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A2B" w:rsidRDefault="00353A2B" w:rsidP="00353A2B">
      <w:bookmarkStart w:id="0" w:name="_GoBack"/>
      <w:bookmarkEnd w:id="0"/>
    </w:p>
    <w:p w:rsidR="00353A2B" w:rsidRDefault="00353A2B" w:rsidP="00353A2B"/>
    <w:p w:rsidR="00353A2B" w:rsidRDefault="00353A2B" w:rsidP="00353A2B"/>
    <w:p w:rsidR="00353A2B" w:rsidRDefault="00353A2B" w:rsidP="00353A2B">
      <w:pPr>
        <w:pStyle w:val="Title"/>
      </w:pPr>
      <w:r>
        <w:t xml:space="preserve">Financing water and sanitation: public realities  </w:t>
      </w:r>
    </w:p>
    <w:p w:rsidR="00353A2B" w:rsidRDefault="00353A2B" w:rsidP="00353A2B">
      <w:pPr>
        <w:jc w:val="center"/>
        <w:rPr>
          <w:b/>
        </w:rPr>
      </w:pPr>
    </w:p>
    <w:p w:rsidR="00353A2B" w:rsidRDefault="00353A2B" w:rsidP="00353A2B">
      <w:pPr>
        <w:jc w:val="center"/>
        <w:rPr>
          <w:b/>
        </w:rPr>
      </w:pPr>
    </w:p>
    <w:p w:rsidR="00353A2B" w:rsidRPr="000C2560" w:rsidRDefault="00353A2B" w:rsidP="00353A2B">
      <w:pPr>
        <w:jc w:val="center"/>
        <w:rPr>
          <w:sz w:val="24"/>
        </w:rPr>
      </w:pPr>
      <w:r w:rsidRPr="000C2560">
        <w:rPr>
          <w:sz w:val="24"/>
        </w:rPr>
        <w:t>By</w:t>
      </w:r>
    </w:p>
    <w:p w:rsidR="00353A2B" w:rsidRDefault="00353A2B" w:rsidP="00353A2B">
      <w:pPr>
        <w:jc w:val="center"/>
        <w:rPr>
          <w:sz w:val="24"/>
        </w:rPr>
      </w:pPr>
    </w:p>
    <w:p w:rsidR="00353A2B" w:rsidRPr="000C2560" w:rsidRDefault="00353A2B" w:rsidP="00353A2B">
      <w:pPr>
        <w:jc w:val="center"/>
        <w:rPr>
          <w:sz w:val="24"/>
        </w:rPr>
      </w:pPr>
    </w:p>
    <w:p w:rsidR="00353A2B" w:rsidRPr="000C2560" w:rsidRDefault="00F44833" w:rsidP="00353A2B">
      <w:pPr>
        <w:jc w:val="center"/>
        <w:rPr>
          <w:sz w:val="24"/>
        </w:rPr>
      </w:pPr>
      <w:r>
        <w:rPr>
          <w:sz w:val="24"/>
        </w:rPr>
        <w:t xml:space="preserve">David Hall </w:t>
      </w:r>
      <w:r w:rsidR="00353A2B" w:rsidRPr="000C2560">
        <w:rPr>
          <w:sz w:val="24"/>
        </w:rPr>
        <w:t>and Emanuele Lobina</w:t>
      </w:r>
    </w:p>
    <w:p w:rsidR="00353A2B" w:rsidRDefault="00353A2B" w:rsidP="00353A2B">
      <w:pPr>
        <w:jc w:val="center"/>
        <w:rPr>
          <w:sz w:val="24"/>
        </w:rPr>
      </w:pPr>
    </w:p>
    <w:p w:rsidR="00353A2B" w:rsidRPr="000C2560" w:rsidRDefault="00353A2B" w:rsidP="00353A2B">
      <w:pPr>
        <w:jc w:val="center"/>
        <w:rPr>
          <w:sz w:val="24"/>
        </w:rPr>
      </w:pPr>
    </w:p>
    <w:p w:rsidR="00353A2B" w:rsidRPr="000C2560" w:rsidRDefault="00353A2B" w:rsidP="00353A2B">
      <w:pPr>
        <w:jc w:val="center"/>
        <w:rPr>
          <w:color w:val="548DD4"/>
          <w:sz w:val="24"/>
        </w:rPr>
      </w:pPr>
      <w:hyperlink r:id="rId10" w:history="1">
        <w:r w:rsidRPr="000C2560">
          <w:rPr>
            <w:rStyle w:val="Hyperlink"/>
            <w:color w:val="548DD4"/>
            <w:sz w:val="24"/>
          </w:rPr>
          <w:t>d.j.hall@gre.ac.uk</w:t>
        </w:r>
      </w:hyperlink>
    </w:p>
    <w:p w:rsidR="00353A2B" w:rsidRDefault="00353A2B" w:rsidP="00353A2B">
      <w:pPr>
        <w:jc w:val="center"/>
        <w:rPr>
          <w:color w:val="548DD4"/>
          <w:sz w:val="24"/>
        </w:rPr>
      </w:pPr>
    </w:p>
    <w:p w:rsidR="00353A2B" w:rsidRPr="000C2560" w:rsidRDefault="00353A2B" w:rsidP="00353A2B">
      <w:pPr>
        <w:jc w:val="center"/>
        <w:rPr>
          <w:color w:val="548DD4"/>
          <w:sz w:val="24"/>
        </w:rPr>
      </w:pPr>
    </w:p>
    <w:p w:rsidR="00353A2B" w:rsidRPr="000C2560" w:rsidRDefault="00353A2B" w:rsidP="00353A2B">
      <w:pPr>
        <w:jc w:val="center"/>
        <w:rPr>
          <w:sz w:val="24"/>
        </w:rPr>
      </w:pPr>
      <w:r w:rsidRPr="000C2560">
        <w:rPr>
          <w:sz w:val="24"/>
        </w:rPr>
        <w:t>March 2012</w:t>
      </w:r>
    </w:p>
    <w:p w:rsidR="00353A2B" w:rsidRDefault="00353A2B" w:rsidP="00353A2B">
      <w:pPr>
        <w:jc w:val="center"/>
        <w:rPr>
          <w:b/>
        </w:rPr>
      </w:pPr>
    </w:p>
    <w:p w:rsidR="00353A2B" w:rsidRDefault="00353A2B" w:rsidP="00353A2B">
      <w:pPr>
        <w:jc w:val="center"/>
        <w:rPr>
          <w:b/>
        </w:rPr>
      </w:pPr>
    </w:p>
    <w:p w:rsidR="00353A2B" w:rsidRPr="00097247" w:rsidRDefault="00353A2B" w:rsidP="00353A2B">
      <w:pPr>
        <w:jc w:val="center"/>
        <w:rPr>
          <w:b/>
        </w:rPr>
      </w:pPr>
    </w:p>
    <w:p w:rsidR="00353A2B" w:rsidRDefault="00353A2B" w:rsidP="00353A2B">
      <w:pPr>
        <w:pStyle w:val="Title"/>
        <w:pBdr>
          <w:top w:val="single" w:sz="4" w:space="1" w:color="auto"/>
          <w:left w:val="single" w:sz="4" w:space="4" w:color="auto"/>
          <w:bottom w:val="single" w:sz="4" w:space="1" w:color="auto"/>
          <w:right w:val="single" w:sz="4" w:space="4" w:color="auto"/>
        </w:pBdr>
        <w:rPr>
          <w:rFonts w:ascii="Times New Roman" w:hAnsi="Times New Roman"/>
          <w:b w:val="0"/>
          <w:color w:val="auto"/>
          <w:sz w:val="24"/>
          <w:szCs w:val="24"/>
        </w:rPr>
      </w:pPr>
      <w:r w:rsidRPr="000C2560">
        <w:rPr>
          <w:rFonts w:ascii="Times New Roman" w:hAnsi="Times New Roman"/>
          <w:b w:val="0"/>
          <w:color w:val="auto"/>
          <w:sz w:val="24"/>
          <w:szCs w:val="24"/>
        </w:rPr>
        <w:t>A report for Public Services International for the 6</w:t>
      </w:r>
      <w:r w:rsidRPr="000C2560">
        <w:rPr>
          <w:rFonts w:ascii="Times New Roman" w:hAnsi="Times New Roman"/>
          <w:b w:val="0"/>
          <w:color w:val="auto"/>
          <w:sz w:val="24"/>
          <w:szCs w:val="24"/>
          <w:vertAlign w:val="superscript"/>
        </w:rPr>
        <w:t>th</w:t>
      </w:r>
      <w:r w:rsidR="0045389C">
        <w:rPr>
          <w:rFonts w:ascii="Times New Roman" w:hAnsi="Times New Roman"/>
          <w:b w:val="0"/>
          <w:color w:val="auto"/>
          <w:sz w:val="24"/>
          <w:szCs w:val="24"/>
        </w:rPr>
        <w:t xml:space="preserve"> World </w:t>
      </w:r>
      <w:r w:rsidR="0045389C">
        <w:rPr>
          <w:rFonts w:ascii="Times New Roman" w:hAnsi="Times New Roman"/>
          <w:b w:val="0"/>
          <w:color w:val="auto"/>
          <w:sz w:val="24"/>
          <w:szCs w:val="24"/>
          <w:lang w:val="en-GB"/>
        </w:rPr>
        <w:t>W</w:t>
      </w:r>
      <w:r w:rsidR="0045389C">
        <w:rPr>
          <w:rFonts w:ascii="Times New Roman" w:hAnsi="Times New Roman"/>
          <w:b w:val="0"/>
          <w:color w:val="auto"/>
          <w:sz w:val="24"/>
          <w:szCs w:val="24"/>
        </w:rPr>
        <w:t>ater Forum, Marseille</w:t>
      </w:r>
      <w:r w:rsidRPr="000C2560">
        <w:rPr>
          <w:rFonts w:ascii="Times New Roman" w:hAnsi="Times New Roman"/>
          <w:b w:val="0"/>
          <w:color w:val="auto"/>
          <w:sz w:val="24"/>
          <w:szCs w:val="24"/>
        </w:rPr>
        <w:t>, March 2012.</w:t>
      </w:r>
    </w:p>
    <w:p w:rsidR="005019D9" w:rsidRPr="000C2560" w:rsidRDefault="005019D9" w:rsidP="00353A2B">
      <w:pPr>
        <w:pStyle w:val="Title"/>
        <w:pBdr>
          <w:top w:val="single" w:sz="4" w:space="1" w:color="auto"/>
          <w:left w:val="single" w:sz="4" w:space="4" w:color="auto"/>
          <w:bottom w:val="single" w:sz="4" w:space="1" w:color="auto"/>
          <w:right w:val="single" w:sz="4" w:space="4" w:color="auto"/>
        </w:pBdr>
        <w:rPr>
          <w:rFonts w:ascii="Times New Roman" w:hAnsi="Times New Roman"/>
          <w:b w:val="0"/>
          <w:color w:val="auto"/>
          <w:sz w:val="24"/>
          <w:szCs w:val="24"/>
        </w:rPr>
      </w:pPr>
    </w:p>
    <w:p w:rsidR="00353A2B" w:rsidRDefault="00BF329C" w:rsidP="00353A2B">
      <w:pPr>
        <w:pStyle w:val="Title"/>
        <w:pBdr>
          <w:top w:val="single" w:sz="4" w:space="1" w:color="auto"/>
          <w:left w:val="single" w:sz="4" w:space="4" w:color="auto"/>
          <w:bottom w:val="single" w:sz="4" w:space="1" w:color="auto"/>
          <w:right w:val="single" w:sz="4" w:space="4" w:color="auto"/>
        </w:pBdr>
        <w:rPr>
          <w:rFonts w:ascii="Times New Roman" w:hAnsi="Times New Roman"/>
          <w:b w:val="0"/>
          <w:color w:val="auto"/>
          <w:sz w:val="22"/>
          <w:szCs w:val="22"/>
        </w:rPr>
      </w:pPr>
      <w:r>
        <w:rPr>
          <w:bCs w:val="0"/>
          <w:noProof/>
          <w:szCs w:val="22"/>
          <w:lang w:val="en-GB" w:eastAsia="en-GB"/>
        </w:rPr>
        <w:drawing>
          <wp:inline distT="0" distB="0" distL="0" distR="0">
            <wp:extent cx="3623945" cy="925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3945" cy="925830"/>
                    </a:xfrm>
                    <a:prstGeom prst="rect">
                      <a:avLst/>
                    </a:prstGeom>
                    <a:noFill/>
                    <a:ln>
                      <a:noFill/>
                    </a:ln>
                  </pic:spPr>
                </pic:pic>
              </a:graphicData>
            </a:graphic>
          </wp:inline>
        </w:drawing>
      </w:r>
    </w:p>
    <w:p w:rsidR="005019D9" w:rsidRDefault="005019D9" w:rsidP="00353A2B">
      <w:pPr>
        <w:pStyle w:val="Title"/>
        <w:pBdr>
          <w:top w:val="single" w:sz="4" w:space="1" w:color="auto"/>
          <w:left w:val="single" w:sz="4" w:space="4" w:color="auto"/>
          <w:bottom w:val="single" w:sz="4" w:space="1" w:color="auto"/>
          <w:right w:val="single" w:sz="4" w:space="4" w:color="auto"/>
        </w:pBdr>
        <w:rPr>
          <w:rFonts w:ascii="Times New Roman" w:hAnsi="Times New Roman"/>
          <w:b w:val="0"/>
          <w:color w:val="auto"/>
          <w:sz w:val="20"/>
          <w:szCs w:val="20"/>
        </w:rPr>
      </w:pPr>
    </w:p>
    <w:p w:rsidR="00353A2B" w:rsidRPr="000C2560" w:rsidRDefault="00353A2B" w:rsidP="00353A2B">
      <w:pPr>
        <w:pStyle w:val="Title"/>
        <w:pBdr>
          <w:top w:val="single" w:sz="4" w:space="1" w:color="auto"/>
          <w:left w:val="single" w:sz="4" w:space="4" w:color="auto"/>
          <w:bottom w:val="single" w:sz="4" w:space="1" w:color="auto"/>
          <w:right w:val="single" w:sz="4" w:space="4" w:color="auto"/>
        </w:pBdr>
        <w:rPr>
          <w:rFonts w:ascii="Times New Roman" w:hAnsi="Times New Roman"/>
          <w:b w:val="0"/>
          <w:color w:val="auto"/>
          <w:sz w:val="20"/>
          <w:szCs w:val="20"/>
        </w:rPr>
      </w:pPr>
      <w:r w:rsidRPr="000C2560">
        <w:rPr>
          <w:rFonts w:ascii="Times New Roman" w:hAnsi="Times New Roman"/>
          <w:b w:val="0"/>
          <w:color w:val="auto"/>
          <w:sz w:val="20"/>
          <w:szCs w:val="20"/>
        </w:rPr>
        <w:t>An earlier version was presented at the IRC conference “Pumps, Pipes and Promises” Den Haag, November 2010</w:t>
      </w:r>
    </w:p>
    <w:p w:rsidR="00353A2B" w:rsidRDefault="00353A2B" w:rsidP="00353A2B">
      <w:pPr>
        <w:rPr>
          <w:lang w:val="en-US" w:eastAsia="ja-JP"/>
        </w:rPr>
      </w:pPr>
    </w:p>
    <w:p w:rsidR="00353A2B" w:rsidRDefault="00353A2B" w:rsidP="00353A2B">
      <w:pPr>
        <w:rPr>
          <w:lang w:val="en-US" w:eastAsia="ja-JP"/>
        </w:rPr>
      </w:pPr>
    </w:p>
    <w:p w:rsidR="00353A2B" w:rsidRDefault="00353A2B" w:rsidP="00353A2B">
      <w:pPr>
        <w:rPr>
          <w:lang w:val="en-US" w:eastAsia="ja-JP"/>
        </w:rPr>
      </w:pPr>
    </w:p>
    <w:p w:rsidR="00353A2B" w:rsidRDefault="00353A2B" w:rsidP="00353A2B">
      <w:pPr>
        <w:rPr>
          <w:lang w:val="en-US" w:eastAsia="ja-JP"/>
        </w:rPr>
      </w:pPr>
    </w:p>
    <w:p w:rsidR="00353A2B" w:rsidRDefault="00353A2B" w:rsidP="00353A2B">
      <w:pPr>
        <w:rPr>
          <w:lang w:val="en-US" w:eastAsia="ja-JP"/>
        </w:rPr>
      </w:pPr>
    </w:p>
    <w:p w:rsidR="00223D1F" w:rsidRPr="00223D1F" w:rsidRDefault="00353A2B" w:rsidP="00353A2B">
      <w:pPr>
        <w:rPr>
          <w:lang w:val="en-US" w:eastAsia="ja-JP"/>
        </w:rPr>
      </w:pPr>
      <w:r>
        <w:rPr>
          <w:lang w:val="en-US" w:eastAsia="ja-JP"/>
        </w:rPr>
        <w:br w:type="page"/>
      </w:r>
    </w:p>
    <w:p w:rsidR="009E6CA9" w:rsidRDefault="00410A9C">
      <w:pPr>
        <w:pStyle w:val="TOC1"/>
        <w:tabs>
          <w:tab w:val="right" w:leader="dot" w:pos="9628"/>
        </w:tabs>
        <w:rPr>
          <w:b w:val="0"/>
          <w:bCs w:val="0"/>
          <w:caps w:val="0"/>
          <w:noProof/>
          <w:sz w:val="22"/>
          <w:szCs w:val="22"/>
        </w:rPr>
      </w:pPr>
      <w:r w:rsidRPr="00EC4FDE">
        <w:rPr>
          <w:smallCaps/>
          <w:sz w:val="16"/>
          <w:szCs w:val="16"/>
        </w:rPr>
        <w:fldChar w:fldCharType="begin"/>
      </w:r>
      <w:r w:rsidRPr="00EC4FDE">
        <w:rPr>
          <w:smallCaps/>
          <w:sz w:val="16"/>
          <w:szCs w:val="16"/>
        </w:rPr>
        <w:instrText xml:space="preserve"> TOC \o "3-4" \h \z \t "Heading 1,1,Heading 2,2,Heading 5,4,Heading 6,4,Heading 7,4,Heading 8,4" </w:instrText>
      </w:r>
      <w:r w:rsidRPr="00EC4FDE">
        <w:rPr>
          <w:smallCaps/>
          <w:sz w:val="16"/>
          <w:szCs w:val="16"/>
        </w:rPr>
        <w:fldChar w:fldCharType="separate"/>
      </w:r>
      <w:hyperlink w:anchor="_Toc318886688" w:history="1">
        <w:r w:rsidR="009E6CA9" w:rsidRPr="00762875">
          <w:rPr>
            <w:rStyle w:val="Hyperlink"/>
            <w:noProof/>
          </w:rPr>
          <w:t>Summary</w:t>
        </w:r>
        <w:r w:rsidR="009E6CA9">
          <w:rPr>
            <w:noProof/>
            <w:webHidden/>
          </w:rPr>
          <w:tab/>
        </w:r>
        <w:r w:rsidR="009E6CA9">
          <w:rPr>
            <w:noProof/>
            <w:webHidden/>
          </w:rPr>
          <w:fldChar w:fldCharType="begin"/>
        </w:r>
        <w:r w:rsidR="009E6CA9">
          <w:rPr>
            <w:noProof/>
            <w:webHidden/>
          </w:rPr>
          <w:instrText xml:space="preserve"> PAGEREF _Toc318886688 \h </w:instrText>
        </w:r>
        <w:r w:rsidR="009E6CA9">
          <w:rPr>
            <w:noProof/>
            <w:webHidden/>
          </w:rPr>
        </w:r>
        <w:r w:rsidR="009E6CA9">
          <w:rPr>
            <w:noProof/>
            <w:webHidden/>
          </w:rPr>
          <w:fldChar w:fldCharType="separate"/>
        </w:r>
        <w:r w:rsidR="0045389C">
          <w:rPr>
            <w:noProof/>
            <w:webHidden/>
          </w:rPr>
          <w:t>3</w:t>
        </w:r>
        <w:r w:rsidR="009E6CA9">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689" w:history="1">
        <w:r w:rsidRPr="00762875">
          <w:rPr>
            <w:rStyle w:val="Hyperlink"/>
            <w:noProof/>
          </w:rPr>
          <w:t>1.</w:t>
        </w:r>
        <w:r>
          <w:rPr>
            <w:b w:val="0"/>
            <w:bCs w:val="0"/>
            <w:caps w:val="0"/>
            <w:noProof/>
            <w:sz w:val="22"/>
            <w:szCs w:val="22"/>
          </w:rPr>
          <w:tab/>
        </w:r>
        <w:r w:rsidRPr="00762875">
          <w:rPr>
            <w:rStyle w:val="Hyperlink"/>
            <w:noProof/>
          </w:rPr>
          <w:t>Introduction</w:t>
        </w:r>
        <w:r>
          <w:rPr>
            <w:noProof/>
            <w:webHidden/>
          </w:rPr>
          <w:tab/>
        </w:r>
        <w:r>
          <w:rPr>
            <w:noProof/>
            <w:webHidden/>
          </w:rPr>
          <w:fldChar w:fldCharType="begin"/>
        </w:r>
        <w:r>
          <w:rPr>
            <w:noProof/>
            <w:webHidden/>
          </w:rPr>
          <w:instrText xml:space="preserve"> PAGEREF _Toc318886689 \h </w:instrText>
        </w:r>
        <w:r>
          <w:rPr>
            <w:noProof/>
            <w:webHidden/>
          </w:rPr>
        </w:r>
        <w:r>
          <w:rPr>
            <w:noProof/>
            <w:webHidden/>
          </w:rPr>
          <w:fldChar w:fldCharType="separate"/>
        </w:r>
        <w:r w:rsidR="0045389C">
          <w:rPr>
            <w:noProof/>
            <w:webHidden/>
          </w:rPr>
          <w:t>4</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690" w:history="1">
        <w:r w:rsidRPr="00762875">
          <w:rPr>
            <w:rStyle w:val="Hyperlink"/>
            <w:noProof/>
          </w:rPr>
          <w:t>2.</w:t>
        </w:r>
        <w:r>
          <w:rPr>
            <w:b w:val="0"/>
            <w:bCs w:val="0"/>
            <w:caps w:val="0"/>
            <w:noProof/>
            <w:sz w:val="22"/>
            <w:szCs w:val="22"/>
          </w:rPr>
          <w:tab/>
        </w:r>
        <w:r w:rsidRPr="00762875">
          <w:rPr>
            <w:rStyle w:val="Hyperlink"/>
            <w:noProof/>
          </w:rPr>
          <w:t>Water finance in high income countries</w:t>
        </w:r>
        <w:r>
          <w:rPr>
            <w:noProof/>
            <w:webHidden/>
          </w:rPr>
          <w:tab/>
        </w:r>
        <w:r>
          <w:rPr>
            <w:noProof/>
            <w:webHidden/>
          </w:rPr>
          <w:fldChar w:fldCharType="begin"/>
        </w:r>
        <w:r>
          <w:rPr>
            <w:noProof/>
            <w:webHidden/>
          </w:rPr>
          <w:instrText xml:space="preserve"> PAGEREF _Toc318886690 \h </w:instrText>
        </w:r>
        <w:r>
          <w:rPr>
            <w:noProof/>
            <w:webHidden/>
          </w:rPr>
        </w:r>
        <w:r>
          <w:rPr>
            <w:noProof/>
            <w:webHidden/>
          </w:rPr>
          <w:fldChar w:fldCharType="separate"/>
        </w:r>
        <w:r w:rsidR="0045389C">
          <w:rPr>
            <w:noProof/>
            <w:webHidden/>
          </w:rPr>
          <w:t>4</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691" w:history="1">
        <w:r w:rsidRPr="00762875">
          <w:rPr>
            <w:rStyle w:val="Hyperlink"/>
            <w:noProof/>
          </w:rPr>
          <w:t>Table 1.</w:t>
        </w:r>
        <w:r>
          <w:rPr>
            <w:noProof/>
            <w:sz w:val="22"/>
            <w:szCs w:val="22"/>
          </w:rPr>
          <w:tab/>
        </w:r>
        <w:r w:rsidRPr="00762875">
          <w:rPr>
            <w:rStyle w:val="Hyperlink"/>
            <w:noProof/>
          </w:rPr>
          <w:t>Finance for drinking water and sewerage services in France 2006</w:t>
        </w:r>
        <w:r>
          <w:rPr>
            <w:noProof/>
            <w:webHidden/>
          </w:rPr>
          <w:tab/>
        </w:r>
        <w:r>
          <w:rPr>
            <w:noProof/>
            <w:webHidden/>
          </w:rPr>
          <w:fldChar w:fldCharType="begin"/>
        </w:r>
        <w:r>
          <w:rPr>
            <w:noProof/>
            <w:webHidden/>
          </w:rPr>
          <w:instrText xml:space="preserve"> PAGEREF _Toc318886691 \h </w:instrText>
        </w:r>
        <w:r>
          <w:rPr>
            <w:noProof/>
            <w:webHidden/>
          </w:rPr>
        </w:r>
        <w:r>
          <w:rPr>
            <w:noProof/>
            <w:webHidden/>
          </w:rPr>
          <w:fldChar w:fldCharType="separate"/>
        </w:r>
        <w:r w:rsidR="0045389C">
          <w:rPr>
            <w:noProof/>
            <w:webHidden/>
          </w:rPr>
          <w:t>5</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692" w:history="1">
        <w:r w:rsidRPr="00762875">
          <w:rPr>
            <w:rStyle w:val="Hyperlink"/>
            <w:noProof/>
          </w:rPr>
          <w:t>2.1.</w:t>
        </w:r>
        <w:r>
          <w:rPr>
            <w:smallCaps w:val="0"/>
            <w:noProof/>
            <w:sz w:val="22"/>
            <w:szCs w:val="22"/>
          </w:rPr>
          <w:tab/>
        </w:r>
        <w:r w:rsidRPr="00762875">
          <w:rPr>
            <w:rStyle w:val="Hyperlink"/>
            <w:noProof/>
          </w:rPr>
          <w:t>General economic advantage of public finance</w:t>
        </w:r>
        <w:r>
          <w:rPr>
            <w:noProof/>
            <w:webHidden/>
          </w:rPr>
          <w:tab/>
        </w:r>
        <w:r>
          <w:rPr>
            <w:noProof/>
            <w:webHidden/>
          </w:rPr>
          <w:fldChar w:fldCharType="begin"/>
        </w:r>
        <w:r>
          <w:rPr>
            <w:noProof/>
            <w:webHidden/>
          </w:rPr>
          <w:instrText xml:space="preserve"> PAGEREF _Toc318886692 \h </w:instrText>
        </w:r>
        <w:r>
          <w:rPr>
            <w:noProof/>
            <w:webHidden/>
          </w:rPr>
        </w:r>
        <w:r>
          <w:rPr>
            <w:noProof/>
            <w:webHidden/>
          </w:rPr>
          <w:fldChar w:fldCharType="separate"/>
        </w:r>
        <w:r w:rsidR="0045389C">
          <w:rPr>
            <w:noProof/>
            <w:webHidden/>
          </w:rPr>
          <w:t>6</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693" w:history="1">
        <w:r w:rsidRPr="00762875">
          <w:rPr>
            <w:rStyle w:val="Hyperlink"/>
            <w:noProof/>
          </w:rPr>
          <w:t>3.</w:t>
        </w:r>
        <w:r>
          <w:rPr>
            <w:b w:val="0"/>
            <w:bCs w:val="0"/>
            <w:caps w:val="0"/>
            <w:noProof/>
            <w:sz w:val="22"/>
            <w:szCs w:val="22"/>
          </w:rPr>
          <w:tab/>
        </w:r>
        <w:r w:rsidRPr="00762875">
          <w:rPr>
            <w:rStyle w:val="Hyperlink"/>
            <w:noProof/>
          </w:rPr>
          <w:t>Financing water and sanitation services in developing countries</w:t>
        </w:r>
        <w:r>
          <w:rPr>
            <w:noProof/>
            <w:webHidden/>
          </w:rPr>
          <w:tab/>
        </w:r>
        <w:r>
          <w:rPr>
            <w:noProof/>
            <w:webHidden/>
          </w:rPr>
          <w:fldChar w:fldCharType="begin"/>
        </w:r>
        <w:r>
          <w:rPr>
            <w:noProof/>
            <w:webHidden/>
          </w:rPr>
          <w:instrText xml:space="preserve"> PAGEREF _Toc318886693 \h </w:instrText>
        </w:r>
        <w:r>
          <w:rPr>
            <w:noProof/>
            <w:webHidden/>
          </w:rPr>
        </w:r>
        <w:r>
          <w:rPr>
            <w:noProof/>
            <w:webHidden/>
          </w:rPr>
          <w:fldChar w:fldCharType="separate"/>
        </w:r>
        <w:r w:rsidR="0045389C">
          <w:rPr>
            <w:noProof/>
            <w:webHidden/>
          </w:rPr>
          <w:t>7</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694" w:history="1">
        <w:r w:rsidRPr="00762875">
          <w:rPr>
            <w:rStyle w:val="Hyperlink"/>
            <w:noProof/>
          </w:rPr>
          <w:t>3.1.</w:t>
        </w:r>
        <w:r>
          <w:rPr>
            <w:smallCaps w:val="0"/>
            <w:noProof/>
            <w:sz w:val="22"/>
            <w:szCs w:val="22"/>
          </w:rPr>
          <w:tab/>
        </w:r>
        <w:r w:rsidRPr="00762875">
          <w:rPr>
            <w:rStyle w:val="Hyperlink"/>
            <w:noProof/>
          </w:rPr>
          <w:t>Financing water and sanitation infrastructure in Africa</w:t>
        </w:r>
        <w:r>
          <w:rPr>
            <w:noProof/>
            <w:webHidden/>
          </w:rPr>
          <w:tab/>
        </w:r>
        <w:r>
          <w:rPr>
            <w:noProof/>
            <w:webHidden/>
          </w:rPr>
          <w:fldChar w:fldCharType="begin"/>
        </w:r>
        <w:r>
          <w:rPr>
            <w:noProof/>
            <w:webHidden/>
          </w:rPr>
          <w:instrText xml:space="preserve"> PAGEREF _Toc318886694 \h </w:instrText>
        </w:r>
        <w:r>
          <w:rPr>
            <w:noProof/>
            <w:webHidden/>
          </w:rPr>
        </w:r>
        <w:r>
          <w:rPr>
            <w:noProof/>
            <w:webHidden/>
          </w:rPr>
          <w:fldChar w:fldCharType="separate"/>
        </w:r>
        <w:r w:rsidR="0045389C">
          <w:rPr>
            <w:noProof/>
            <w:webHidden/>
          </w:rPr>
          <w:t>7</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695" w:history="1">
        <w:r w:rsidRPr="00762875">
          <w:rPr>
            <w:rStyle w:val="Hyperlink"/>
            <w:noProof/>
          </w:rPr>
          <w:t>Table 2.</w:t>
        </w:r>
        <w:r>
          <w:rPr>
            <w:noProof/>
            <w:sz w:val="22"/>
            <w:szCs w:val="22"/>
          </w:rPr>
          <w:tab/>
        </w:r>
        <w:r w:rsidRPr="00762875">
          <w:rPr>
            <w:rStyle w:val="Hyperlink"/>
            <w:noProof/>
          </w:rPr>
          <w:t>Financial flows to water and sanitation in sub-Saharan Africa</w:t>
        </w:r>
        <w:r>
          <w:rPr>
            <w:noProof/>
            <w:webHidden/>
          </w:rPr>
          <w:tab/>
        </w:r>
        <w:r>
          <w:rPr>
            <w:noProof/>
            <w:webHidden/>
          </w:rPr>
          <w:fldChar w:fldCharType="begin"/>
        </w:r>
        <w:r>
          <w:rPr>
            <w:noProof/>
            <w:webHidden/>
          </w:rPr>
          <w:instrText xml:space="preserve"> PAGEREF _Toc318886695 \h </w:instrText>
        </w:r>
        <w:r>
          <w:rPr>
            <w:noProof/>
            <w:webHidden/>
          </w:rPr>
        </w:r>
        <w:r>
          <w:rPr>
            <w:noProof/>
            <w:webHidden/>
          </w:rPr>
          <w:fldChar w:fldCharType="separate"/>
        </w:r>
        <w:r w:rsidR="0045389C">
          <w:rPr>
            <w:noProof/>
            <w:webHidden/>
          </w:rPr>
          <w:t>7</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696" w:history="1">
        <w:r w:rsidRPr="00762875">
          <w:rPr>
            <w:rStyle w:val="Hyperlink"/>
            <w:noProof/>
          </w:rPr>
          <w:t>Chart A.</w:t>
        </w:r>
        <w:r>
          <w:rPr>
            <w:noProof/>
            <w:sz w:val="22"/>
            <w:szCs w:val="22"/>
          </w:rPr>
          <w:tab/>
        </w:r>
        <w:r w:rsidRPr="00762875">
          <w:rPr>
            <w:rStyle w:val="Hyperlink"/>
            <w:noProof/>
          </w:rPr>
          <w:t>Public spending on infrastructure in Africa as % of GDP</w:t>
        </w:r>
        <w:r>
          <w:rPr>
            <w:noProof/>
            <w:webHidden/>
          </w:rPr>
          <w:tab/>
        </w:r>
        <w:r>
          <w:rPr>
            <w:noProof/>
            <w:webHidden/>
          </w:rPr>
          <w:fldChar w:fldCharType="begin"/>
        </w:r>
        <w:r>
          <w:rPr>
            <w:noProof/>
            <w:webHidden/>
          </w:rPr>
          <w:instrText xml:space="preserve"> PAGEREF _Toc318886696 \h </w:instrText>
        </w:r>
        <w:r>
          <w:rPr>
            <w:noProof/>
            <w:webHidden/>
          </w:rPr>
        </w:r>
        <w:r>
          <w:rPr>
            <w:noProof/>
            <w:webHidden/>
          </w:rPr>
          <w:fldChar w:fldCharType="separate"/>
        </w:r>
        <w:r w:rsidR="0045389C">
          <w:rPr>
            <w:noProof/>
            <w:webHidden/>
          </w:rPr>
          <w:t>8</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697" w:history="1">
        <w:r w:rsidRPr="00762875">
          <w:rPr>
            <w:rStyle w:val="Hyperlink"/>
            <w:noProof/>
          </w:rPr>
          <w:t>3.2.</w:t>
        </w:r>
        <w:r>
          <w:rPr>
            <w:smallCaps w:val="0"/>
            <w:noProof/>
            <w:sz w:val="22"/>
            <w:szCs w:val="22"/>
          </w:rPr>
          <w:tab/>
        </w:r>
        <w:r w:rsidRPr="00762875">
          <w:rPr>
            <w:rStyle w:val="Hyperlink"/>
            <w:noProof/>
          </w:rPr>
          <w:t>Investment in Asia</w:t>
        </w:r>
        <w:r>
          <w:rPr>
            <w:noProof/>
            <w:webHidden/>
          </w:rPr>
          <w:tab/>
        </w:r>
        <w:r>
          <w:rPr>
            <w:noProof/>
            <w:webHidden/>
          </w:rPr>
          <w:fldChar w:fldCharType="begin"/>
        </w:r>
        <w:r>
          <w:rPr>
            <w:noProof/>
            <w:webHidden/>
          </w:rPr>
          <w:instrText xml:space="preserve"> PAGEREF _Toc318886697 \h </w:instrText>
        </w:r>
        <w:r>
          <w:rPr>
            <w:noProof/>
            <w:webHidden/>
          </w:rPr>
        </w:r>
        <w:r>
          <w:rPr>
            <w:noProof/>
            <w:webHidden/>
          </w:rPr>
          <w:fldChar w:fldCharType="separate"/>
        </w:r>
        <w:r w:rsidR="0045389C">
          <w:rPr>
            <w:noProof/>
            <w:webHidden/>
          </w:rPr>
          <w:t>8</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698" w:history="1">
        <w:r w:rsidRPr="00762875">
          <w:rPr>
            <w:rStyle w:val="Hyperlink"/>
            <w:noProof/>
          </w:rPr>
          <w:t>Table 3.</w:t>
        </w:r>
        <w:r>
          <w:rPr>
            <w:noProof/>
            <w:sz w:val="22"/>
            <w:szCs w:val="22"/>
          </w:rPr>
          <w:tab/>
        </w:r>
        <w:r w:rsidRPr="00762875">
          <w:rPr>
            <w:rStyle w:val="Hyperlink"/>
            <w:noProof/>
          </w:rPr>
          <w:t>Financing of water and sanitation investment, India, 2007-2012</w:t>
        </w:r>
        <w:r>
          <w:rPr>
            <w:noProof/>
            <w:webHidden/>
          </w:rPr>
          <w:tab/>
        </w:r>
        <w:r>
          <w:rPr>
            <w:noProof/>
            <w:webHidden/>
          </w:rPr>
          <w:fldChar w:fldCharType="begin"/>
        </w:r>
        <w:r>
          <w:rPr>
            <w:noProof/>
            <w:webHidden/>
          </w:rPr>
          <w:instrText xml:space="preserve"> PAGEREF _Toc318886698 \h </w:instrText>
        </w:r>
        <w:r>
          <w:rPr>
            <w:noProof/>
            <w:webHidden/>
          </w:rPr>
        </w:r>
        <w:r>
          <w:rPr>
            <w:noProof/>
            <w:webHidden/>
          </w:rPr>
          <w:fldChar w:fldCharType="separate"/>
        </w:r>
        <w:r w:rsidR="0045389C">
          <w:rPr>
            <w:noProof/>
            <w:webHidden/>
          </w:rPr>
          <w:t>9</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699" w:history="1">
        <w:r w:rsidRPr="00762875">
          <w:rPr>
            <w:rStyle w:val="Hyperlink"/>
            <w:noProof/>
          </w:rPr>
          <w:t>3.3.</w:t>
        </w:r>
        <w:r>
          <w:rPr>
            <w:smallCaps w:val="0"/>
            <w:noProof/>
            <w:sz w:val="22"/>
            <w:szCs w:val="22"/>
          </w:rPr>
          <w:tab/>
        </w:r>
        <w:r w:rsidRPr="00762875">
          <w:rPr>
            <w:rStyle w:val="Hyperlink"/>
            <w:noProof/>
          </w:rPr>
          <w:t>Difference from usual estimates</w:t>
        </w:r>
        <w:r>
          <w:rPr>
            <w:noProof/>
            <w:webHidden/>
          </w:rPr>
          <w:tab/>
        </w:r>
        <w:r>
          <w:rPr>
            <w:noProof/>
            <w:webHidden/>
          </w:rPr>
          <w:fldChar w:fldCharType="begin"/>
        </w:r>
        <w:r>
          <w:rPr>
            <w:noProof/>
            <w:webHidden/>
          </w:rPr>
          <w:instrText xml:space="preserve"> PAGEREF _Toc318886699 \h </w:instrText>
        </w:r>
        <w:r>
          <w:rPr>
            <w:noProof/>
            <w:webHidden/>
          </w:rPr>
        </w:r>
        <w:r>
          <w:rPr>
            <w:noProof/>
            <w:webHidden/>
          </w:rPr>
          <w:fldChar w:fldCharType="separate"/>
        </w:r>
        <w:r w:rsidR="0045389C">
          <w:rPr>
            <w:noProof/>
            <w:webHidden/>
          </w:rPr>
          <w:t>9</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700" w:history="1">
        <w:r w:rsidRPr="00762875">
          <w:rPr>
            <w:rStyle w:val="Hyperlink"/>
            <w:noProof/>
          </w:rPr>
          <w:t>4.</w:t>
        </w:r>
        <w:r>
          <w:rPr>
            <w:b w:val="0"/>
            <w:bCs w:val="0"/>
            <w:caps w:val="0"/>
            <w:noProof/>
            <w:sz w:val="22"/>
            <w:szCs w:val="22"/>
          </w:rPr>
          <w:tab/>
        </w:r>
        <w:r w:rsidRPr="00762875">
          <w:rPr>
            <w:rStyle w:val="Hyperlink"/>
            <w:noProof/>
          </w:rPr>
          <w:t>The effects of the crisis</w:t>
        </w:r>
        <w:r>
          <w:rPr>
            <w:noProof/>
            <w:webHidden/>
          </w:rPr>
          <w:tab/>
        </w:r>
        <w:r>
          <w:rPr>
            <w:noProof/>
            <w:webHidden/>
          </w:rPr>
          <w:fldChar w:fldCharType="begin"/>
        </w:r>
        <w:r>
          <w:rPr>
            <w:noProof/>
            <w:webHidden/>
          </w:rPr>
          <w:instrText xml:space="preserve"> PAGEREF _Toc318886700 \h </w:instrText>
        </w:r>
        <w:r>
          <w:rPr>
            <w:noProof/>
            <w:webHidden/>
          </w:rPr>
        </w:r>
        <w:r>
          <w:rPr>
            <w:noProof/>
            <w:webHidden/>
          </w:rPr>
          <w:fldChar w:fldCharType="separate"/>
        </w:r>
        <w:r w:rsidR="0045389C">
          <w:rPr>
            <w:noProof/>
            <w:webHidden/>
          </w:rPr>
          <w:t>9</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01" w:history="1">
        <w:r w:rsidRPr="00762875">
          <w:rPr>
            <w:rStyle w:val="Hyperlink"/>
            <w:noProof/>
          </w:rPr>
          <w:t>4.1.</w:t>
        </w:r>
        <w:r>
          <w:rPr>
            <w:smallCaps w:val="0"/>
            <w:noProof/>
            <w:sz w:val="22"/>
            <w:szCs w:val="22"/>
          </w:rPr>
          <w:tab/>
        </w:r>
        <w:r w:rsidRPr="00762875">
          <w:rPr>
            <w:rStyle w:val="Hyperlink"/>
            <w:noProof/>
          </w:rPr>
          <w:t>Economic crisis, fiscal stimulus, economic growth and aid</w:t>
        </w:r>
        <w:r>
          <w:rPr>
            <w:noProof/>
            <w:webHidden/>
          </w:rPr>
          <w:tab/>
        </w:r>
        <w:r>
          <w:rPr>
            <w:noProof/>
            <w:webHidden/>
          </w:rPr>
          <w:fldChar w:fldCharType="begin"/>
        </w:r>
        <w:r>
          <w:rPr>
            <w:noProof/>
            <w:webHidden/>
          </w:rPr>
          <w:instrText xml:space="preserve"> PAGEREF _Toc318886701 \h </w:instrText>
        </w:r>
        <w:r>
          <w:rPr>
            <w:noProof/>
            <w:webHidden/>
          </w:rPr>
        </w:r>
        <w:r>
          <w:rPr>
            <w:noProof/>
            <w:webHidden/>
          </w:rPr>
          <w:fldChar w:fldCharType="separate"/>
        </w:r>
        <w:r w:rsidR="0045389C">
          <w:rPr>
            <w:noProof/>
            <w:webHidden/>
          </w:rPr>
          <w:t>9</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02" w:history="1">
        <w:r w:rsidRPr="00762875">
          <w:rPr>
            <w:rStyle w:val="Hyperlink"/>
            <w:noProof/>
          </w:rPr>
          <w:t>Table 4.</w:t>
        </w:r>
        <w:r>
          <w:rPr>
            <w:noProof/>
            <w:sz w:val="22"/>
            <w:szCs w:val="22"/>
          </w:rPr>
          <w:tab/>
        </w:r>
        <w:r w:rsidRPr="00762875">
          <w:rPr>
            <w:rStyle w:val="Hyperlink"/>
            <w:noProof/>
          </w:rPr>
          <w:t>Public spending as % of GDP in sub-Saharan Africa 2006-2012</w:t>
        </w:r>
        <w:r>
          <w:rPr>
            <w:noProof/>
            <w:webHidden/>
          </w:rPr>
          <w:tab/>
        </w:r>
        <w:r>
          <w:rPr>
            <w:noProof/>
            <w:webHidden/>
          </w:rPr>
          <w:fldChar w:fldCharType="begin"/>
        </w:r>
        <w:r>
          <w:rPr>
            <w:noProof/>
            <w:webHidden/>
          </w:rPr>
          <w:instrText xml:space="preserve"> PAGEREF _Toc318886702 \h </w:instrText>
        </w:r>
        <w:r>
          <w:rPr>
            <w:noProof/>
            <w:webHidden/>
          </w:rPr>
        </w:r>
        <w:r>
          <w:rPr>
            <w:noProof/>
            <w:webHidden/>
          </w:rPr>
          <w:fldChar w:fldCharType="separate"/>
        </w:r>
        <w:r w:rsidR="0045389C">
          <w:rPr>
            <w:noProof/>
            <w:webHidden/>
          </w:rPr>
          <w:t>10</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03" w:history="1">
        <w:r w:rsidRPr="00762875">
          <w:rPr>
            <w:rStyle w:val="Hyperlink"/>
            <w:noProof/>
          </w:rPr>
          <w:t>4.2.</w:t>
        </w:r>
        <w:r>
          <w:rPr>
            <w:smallCaps w:val="0"/>
            <w:noProof/>
            <w:sz w:val="22"/>
            <w:szCs w:val="22"/>
          </w:rPr>
          <w:tab/>
        </w:r>
        <w:r w:rsidRPr="00762875">
          <w:rPr>
            <w:rStyle w:val="Hyperlink"/>
            <w:noProof/>
          </w:rPr>
          <w:t>Aid trends: OECD and non-OECD</w:t>
        </w:r>
        <w:r>
          <w:rPr>
            <w:noProof/>
            <w:webHidden/>
          </w:rPr>
          <w:tab/>
        </w:r>
        <w:r>
          <w:rPr>
            <w:noProof/>
            <w:webHidden/>
          </w:rPr>
          <w:fldChar w:fldCharType="begin"/>
        </w:r>
        <w:r>
          <w:rPr>
            <w:noProof/>
            <w:webHidden/>
          </w:rPr>
          <w:instrText xml:space="preserve"> PAGEREF _Toc318886703 \h </w:instrText>
        </w:r>
        <w:r>
          <w:rPr>
            <w:noProof/>
            <w:webHidden/>
          </w:rPr>
        </w:r>
        <w:r>
          <w:rPr>
            <w:noProof/>
            <w:webHidden/>
          </w:rPr>
          <w:fldChar w:fldCharType="separate"/>
        </w:r>
        <w:r w:rsidR="0045389C">
          <w:rPr>
            <w:noProof/>
            <w:webHidden/>
          </w:rPr>
          <w:t>10</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04" w:history="1">
        <w:r w:rsidRPr="00762875">
          <w:rPr>
            <w:rStyle w:val="Hyperlink"/>
            <w:noProof/>
          </w:rPr>
          <w:t>Table 5.</w:t>
        </w:r>
        <w:r>
          <w:rPr>
            <w:noProof/>
            <w:sz w:val="22"/>
            <w:szCs w:val="22"/>
          </w:rPr>
          <w:tab/>
        </w:r>
        <w:r w:rsidRPr="00762875">
          <w:rPr>
            <w:rStyle w:val="Hyperlink"/>
            <w:noProof/>
          </w:rPr>
          <w:t>Aid by OECD donor countries –  water,2005-2010 ($millions)</w:t>
        </w:r>
        <w:r>
          <w:rPr>
            <w:noProof/>
            <w:webHidden/>
          </w:rPr>
          <w:tab/>
        </w:r>
        <w:r>
          <w:rPr>
            <w:noProof/>
            <w:webHidden/>
          </w:rPr>
          <w:fldChar w:fldCharType="begin"/>
        </w:r>
        <w:r>
          <w:rPr>
            <w:noProof/>
            <w:webHidden/>
          </w:rPr>
          <w:instrText xml:space="preserve"> PAGEREF _Toc318886704 \h </w:instrText>
        </w:r>
        <w:r>
          <w:rPr>
            <w:noProof/>
            <w:webHidden/>
          </w:rPr>
        </w:r>
        <w:r>
          <w:rPr>
            <w:noProof/>
            <w:webHidden/>
          </w:rPr>
          <w:fldChar w:fldCharType="separate"/>
        </w:r>
        <w:r w:rsidR="0045389C">
          <w:rPr>
            <w:noProof/>
            <w:webHidden/>
          </w:rPr>
          <w:t>10</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05" w:history="1">
        <w:r w:rsidRPr="00762875">
          <w:rPr>
            <w:rStyle w:val="Hyperlink"/>
            <w:noProof/>
          </w:rPr>
          <w:t>Chart B.</w:t>
        </w:r>
        <w:r>
          <w:rPr>
            <w:noProof/>
            <w:sz w:val="22"/>
            <w:szCs w:val="22"/>
          </w:rPr>
          <w:tab/>
        </w:r>
        <w:r w:rsidRPr="00762875">
          <w:rPr>
            <w:rStyle w:val="Hyperlink"/>
            <w:noProof/>
          </w:rPr>
          <w:t>Non-OECD aid to Africa, 2006</w:t>
        </w:r>
        <w:r>
          <w:rPr>
            <w:noProof/>
            <w:webHidden/>
          </w:rPr>
          <w:tab/>
        </w:r>
        <w:r>
          <w:rPr>
            <w:noProof/>
            <w:webHidden/>
          </w:rPr>
          <w:fldChar w:fldCharType="begin"/>
        </w:r>
        <w:r>
          <w:rPr>
            <w:noProof/>
            <w:webHidden/>
          </w:rPr>
          <w:instrText xml:space="preserve"> PAGEREF _Toc318886705 \h </w:instrText>
        </w:r>
        <w:r>
          <w:rPr>
            <w:noProof/>
            <w:webHidden/>
          </w:rPr>
        </w:r>
        <w:r>
          <w:rPr>
            <w:noProof/>
            <w:webHidden/>
          </w:rPr>
          <w:fldChar w:fldCharType="separate"/>
        </w:r>
        <w:r w:rsidR="0045389C">
          <w:rPr>
            <w:noProof/>
            <w:webHidden/>
          </w:rPr>
          <w:t>11</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706" w:history="1">
        <w:r w:rsidRPr="00762875">
          <w:rPr>
            <w:rStyle w:val="Hyperlink"/>
            <w:noProof/>
          </w:rPr>
          <w:t>5.</w:t>
        </w:r>
        <w:r>
          <w:rPr>
            <w:b w:val="0"/>
            <w:bCs w:val="0"/>
            <w:caps w:val="0"/>
            <w:noProof/>
            <w:sz w:val="22"/>
            <w:szCs w:val="22"/>
          </w:rPr>
          <w:tab/>
        </w:r>
        <w:r w:rsidRPr="00762875">
          <w:rPr>
            <w:rStyle w:val="Hyperlink"/>
            <w:noProof/>
          </w:rPr>
          <w:t>Costs and affordability</w:t>
        </w:r>
        <w:r>
          <w:rPr>
            <w:noProof/>
            <w:webHidden/>
          </w:rPr>
          <w:tab/>
        </w:r>
        <w:r>
          <w:rPr>
            <w:noProof/>
            <w:webHidden/>
          </w:rPr>
          <w:fldChar w:fldCharType="begin"/>
        </w:r>
        <w:r>
          <w:rPr>
            <w:noProof/>
            <w:webHidden/>
          </w:rPr>
          <w:instrText xml:space="preserve"> PAGEREF _Toc318886706 \h </w:instrText>
        </w:r>
        <w:r>
          <w:rPr>
            <w:noProof/>
            <w:webHidden/>
          </w:rPr>
        </w:r>
        <w:r>
          <w:rPr>
            <w:noProof/>
            <w:webHidden/>
          </w:rPr>
          <w:fldChar w:fldCharType="separate"/>
        </w:r>
        <w:r w:rsidR="0045389C">
          <w:rPr>
            <w:noProof/>
            <w:webHidden/>
          </w:rPr>
          <w:t>11</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07" w:history="1">
        <w:r w:rsidRPr="00762875">
          <w:rPr>
            <w:rStyle w:val="Hyperlink"/>
            <w:noProof/>
          </w:rPr>
          <w:t>5.1.</w:t>
        </w:r>
        <w:r>
          <w:rPr>
            <w:smallCaps w:val="0"/>
            <w:noProof/>
            <w:sz w:val="22"/>
            <w:szCs w:val="22"/>
          </w:rPr>
          <w:tab/>
        </w:r>
        <w:r w:rsidRPr="00762875">
          <w:rPr>
            <w:rStyle w:val="Hyperlink"/>
            <w:noProof/>
          </w:rPr>
          <w:t>Costs and benefits</w:t>
        </w:r>
        <w:r>
          <w:rPr>
            <w:noProof/>
            <w:webHidden/>
          </w:rPr>
          <w:tab/>
        </w:r>
        <w:r>
          <w:rPr>
            <w:noProof/>
            <w:webHidden/>
          </w:rPr>
          <w:fldChar w:fldCharType="begin"/>
        </w:r>
        <w:r>
          <w:rPr>
            <w:noProof/>
            <w:webHidden/>
          </w:rPr>
          <w:instrText xml:space="preserve"> PAGEREF _Toc318886707 \h </w:instrText>
        </w:r>
        <w:r>
          <w:rPr>
            <w:noProof/>
            <w:webHidden/>
          </w:rPr>
        </w:r>
        <w:r>
          <w:rPr>
            <w:noProof/>
            <w:webHidden/>
          </w:rPr>
          <w:fldChar w:fldCharType="separate"/>
        </w:r>
        <w:r w:rsidR="0045389C">
          <w:rPr>
            <w:noProof/>
            <w:webHidden/>
          </w:rPr>
          <w:t>11</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08" w:history="1">
        <w:r w:rsidRPr="00762875">
          <w:rPr>
            <w:rStyle w:val="Hyperlink"/>
            <w:noProof/>
          </w:rPr>
          <w:t>Table 6.</w:t>
        </w:r>
        <w:r>
          <w:rPr>
            <w:noProof/>
            <w:sz w:val="22"/>
            <w:szCs w:val="22"/>
          </w:rPr>
          <w:tab/>
        </w:r>
        <w:r w:rsidRPr="00762875">
          <w:rPr>
            <w:rStyle w:val="Hyperlink"/>
            <w:noProof/>
          </w:rPr>
          <w:t>Costs of meeting MDGs plus urban sewerage connections</w:t>
        </w:r>
        <w:r>
          <w:rPr>
            <w:noProof/>
            <w:webHidden/>
          </w:rPr>
          <w:tab/>
        </w:r>
        <w:r>
          <w:rPr>
            <w:noProof/>
            <w:webHidden/>
          </w:rPr>
          <w:fldChar w:fldCharType="begin"/>
        </w:r>
        <w:r>
          <w:rPr>
            <w:noProof/>
            <w:webHidden/>
          </w:rPr>
          <w:instrText xml:space="preserve"> PAGEREF _Toc318886708 \h </w:instrText>
        </w:r>
        <w:r>
          <w:rPr>
            <w:noProof/>
            <w:webHidden/>
          </w:rPr>
        </w:r>
        <w:r>
          <w:rPr>
            <w:noProof/>
            <w:webHidden/>
          </w:rPr>
          <w:fldChar w:fldCharType="separate"/>
        </w:r>
        <w:r w:rsidR="0045389C">
          <w:rPr>
            <w:noProof/>
            <w:webHidden/>
          </w:rPr>
          <w:t>11</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09" w:history="1">
        <w:r w:rsidRPr="00762875">
          <w:rPr>
            <w:rStyle w:val="Hyperlink"/>
            <w:noProof/>
          </w:rPr>
          <w:t>Table 7.</w:t>
        </w:r>
        <w:r>
          <w:rPr>
            <w:noProof/>
            <w:sz w:val="22"/>
            <w:szCs w:val="22"/>
          </w:rPr>
          <w:tab/>
        </w:r>
        <w:r w:rsidRPr="00762875">
          <w:rPr>
            <w:rStyle w:val="Hyperlink"/>
            <w:noProof/>
          </w:rPr>
          <w:t>Cost per life-years saved as % of GDP per capita, selected African countries</w:t>
        </w:r>
        <w:r>
          <w:rPr>
            <w:noProof/>
            <w:webHidden/>
          </w:rPr>
          <w:tab/>
        </w:r>
        <w:r>
          <w:rPr>
            <w:noProof/>
            <w:webHidden/>
          </w:rPr>
          <w:fldChar w:fldCharType="begin"/>
        </w:r>
        <w:r>
          <w:rPr>
            <w:noProof/>
            <w:webHidden/>
          </w:rPr>
          <w:instrText xml:space="preserve"> PAGEREF _Toc318886709 \h </w:instrText>
        </w:r>
        <w:r>
          <w:rPr>
            <w:noProof/>
            <w:webHidden/>
          </w:rPr>
        </w:r>
        <w:r>
          <w:rPr>
            <w:noProof/>
            <w:webHidden/>
          </w:rPr>
          <w:fldChar w:fldCharType="separate"/>
        </w:r>
        <w:r w:rsidR="0045389C">
          <w:rPr>
            <w:noProof/>
            <w:webHidden/>
          </w:rPr>
          <w:t>12</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10" w:history="1">
        <w:r w:rsidRPr="00762875">
          <w:rPr>
            <w:rStyle w:val="Hyperlink"/>
            <w:noProof/>
          </w:rPr>
          <w:t>5.2.</w:t>
        </w:r>
        <w:r>
          <w:rPr>
            <w:smallCaps w:val="0"/>
            <w:noProof/>
            <w:sz w:val="22"/>
            <w:szCs w:val="22"/>
          </w:rPr>
          <w:tab/>
        </w:r>
        <w:r w:rsidRPr="00762875">
          <w:rPr>
            <w:rStyle w:val="Hyperlink"/>
            <w:noProof/>
          </w:rPr>
          <w:t>Affordable economic resources</w:t>
        </w:r>
        <w:r>
          <w:rPr>
            <w:noProof/>
            <w:webHidden/>
          </w:rPr>
          <w:tab/>
        </w:r>
        <w:r>
          <w:rPr>
            <w:noProof/>
            <w:webHidden/>
          </w:rPr>
          <w:fldChar w:fldCharType="begin"/>
        </w:r>
        <w:r>
          <w:rPr>
            <w:noProof/>
            <w:webHidden/>
          </w:rPr>
          <w:instrText xml:space="preserve"> PAGEREF _Toc318886710 \h </w:instrText>
        </w:r>
        <w:r>
          <w:rPr>
            <w:noProof/>
            <w:webHidden/>
          </w:rPr>
        </w:r>
        <w:r>
          <w:rPr>
            <w:noProof/>
            <w:webHidden/>
          </w:rPr>
          <w:fldChar w:fldCharType="separate"/>
        </w:r>
        <w:r w:rsidR="0045389C">
          <w:rPr>
            <w:noProof/>
            <w:webHidden/>
          </w:rPr>
          <w:t>12</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11" w:history="1">
        <w:r w:rsidRPr="00762875">
          <w:rPr>
            <w:rStyle w:val="Hyperlink"/>
            <w:noProof/>
          </w:rPr>
          <w:t>Table 8.</w:t>
        </w:r>
        <w:r>
          <w:rPr>
            <w:noProof/>
            <w:sz w:val="22"/>
            <w:szCs w:val="22"/>
          </w:rPr>
          <w:tab/>
        </w:r>
        <w:r w:rsidRPr="00762875">
          <w:rPr>
            <w:rStyle w:val="Hyperlink"/>
            <w:noProof/>
          </w:rPr>
          <w:t>Required levels of spending on water infrastructure, % of GDP</w:t>
        </w:r>
        <w:r>
          <w:rPr>
            <w:noProof/>
            <w:webHidden/>
          </w:rPr>
          <w:tab/>
        </w:r>
        <w:r>
          <w:rPr>
            <w:noProof/>
            <w:webHidden/>
          </w:rPr>
          <w:fldChar w:fldCharType="begin"/>
        </w:r>
        <w:r>
          <w:rPr>
            <w:noProof/>
            <w:webHidden/>
          </w:rPr>
          <w:instrText xml:space="preserve"> PAGEREF _Toc318886711 \h </w:instrText>
        </w:r>
        <w:r>
          <w:rPr>
            <w:noProof/>
            <w:webHidden/>
          </w:rPr>
        </w:r>
        <w:r>
          <w:rPr>
            <w:noProof/>
            <w:webHidden/>
          </w:rPr>
          <w:fldChar w:fldCharType="separate"/>
        </w:r>
        <w:r w:rsidR="0045389C">
          <w:rPr>
            <w:noProof/>
            <w:webHidden/>
          </w:rPr>
          <w:t>13</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12" w:history="1">
        <w:r w:rsidRPr="00762875">
          <w:rPr>
            <w:rStyle w:val="Hyperlink"/>
            <w:noProof/>
          </w:rPr>
          <w:t>Table 9.</w:t>
        </w:r>
        <w:r>
          <w:rPr>
            <w:noProof/>
            <w:sz w:val="22"/>
            <w:szCs w:val="22"/>
          </w:rPr>
          <w:tab/>
        </w:r>
        <w:r w:rsidRPr="00762875">
          <w:rPr>
            <w:rStyle w:val="Hyperlink"/>
            <w:noProof/>
          </w:rPr>
          <w:t>Costs of meeting MDGs in 10 years with household water and sanitation connections</w:t>
        </w:r>
        <w:r>
          <w:rPr>
            <w:noProof/>
            <w:webHidden/>
          </w:rPr>
          <w:tab/>
        </w:r>
        <w:r>
          <w:rPr>
            <w:noProof/>
            <w:webHidden/>
          </w:rPr>
          <w:fldChar w:fldCharType="begin"/>
        </w:r>
        <w:r>
          <w:rPr>
            <w:noProof/>
            <w:webHidden/>
          </w:rPr>
          <w:instrText xml:space="preserve"> PAGEREF _Toc318886712 \h </w:instrText>
        </w:r>
        <w:r>
          <w:rPr>
            <w:noProof/>
            <w:webHidden/>
          </w:rPr>
        </w:r>
        <w:r>
          <w:rPr>
            <w:noProof/>
            <w:webHidden/>
          </w:rPr>
          <w:fldChar w:fldCharType="separate"/>
        </w:r>
        <w:r w:rsidR="0045389C">
          <w:rPr>
            <w:noProof/>
            <w:webHidden/>
          </w:rPr>
          <w:t>13</w:t>
        </w:r>
        <w:r>
          <w:rPr>
            <w:noProof/>
            <w:webHidden/>
          </w:rPr>
          <w:fldChar w:fldCharType="end"/>
        </w:r>
      </w:hyperlink>
    </w:p>
    <w:p w:rsidR="009E6CA9" w:rsidRDefault="009E6CA9">
      <w:pPr>
        <w:pStyle w:val="TOC4"/>
        <w:tabs>
          <w:tab w:val="left" w:pos="1760"/>
          <w:tab w:val="right" w:leader="dot" w:pos="9628"/>
        </w:tabs>
        <w:rPr>
          <w:noProof/>
          <w:sz w:val="22"/>
          <w:szCs w:val="22"/>
        </w:rPr>
      </w:pPr>
      <w:hyperlink w:anchor="_Toc318886713" w:history="1">
        <w:r w:rsidRPr="00762875">
          <w:rPr>
            <w:rStyle w:val="Hyperlink"/>
            <w:noProof/>
          </w:rPr>
          <w:t>Table 10.</w:t>
        </w:r>
        <w:r>
          <w:rPr>
            <w:noProof/>
            <w:sz w:val="22"/>
            <w:szCs w:val="22"/>
          </w:rPr>
          <w:tab/>
        </w:r>
        <w:r w:rsidRPr="00762875">
          <w:rPr>
            <w:rStyle w:val="Hyperlink"/>
            <w:noProof/>
          </w:rPr>
          <w:t>Level of aid needed for household water and sewerage connections to cover countries with annual costs of over 1% of GDP</w:t>
        </w:r>
        <w:r>
          <w:rPr>
            <w:noProof/>
            <w:webHidden/>
          </w:rPr>
          <w:tab/>
        </w:r>
        <w:r>
          <w:rPr>
            <w:noProof/>
            <w:webHidden/>
          </w:rPr>
          <w:fldChar w:fldCharType="begin"/>
        </w:r>
        <w:r>
          <w:rPr>
            <w:noProof/>
            <w:webHidden/>
          </w:rPr>
          <w:instrText xml:space="preserve"> PAGEREF _Toc318886713 \h </w:instrText>
        </w:r>
        <w:r>
          <w:rPr>
            <w:noProof/>
            <w:webHidden/>
          </w:rPr>
        </w:r>
        <w:r>
          <w:rPr>
            <w:noProof/>
            <w:webHidden/>
          </w:rPr>
          <w:fldChar w:fldCharType="separate"/>
        </w:r>
        <w:r w:rsidR="0045389C">
          <w:rPr>
            <w:noProof/>
            <w:webHidden/>
          </w:rPr>
          <w:t>14</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714" w:history="1">
        <w:r w:rsidRPr="00762875">
          <w:rPr>
            <w:rStyle w:val="Hyperlink"/>
            <w:noProof/>
          </w:rPr>
          <w:t>6.</w:t>
        </w:r>
        <w:r>
          <w:rPr>
            <w:b w:val="0"/>
            <w:bCs w:val="0"/>
            <w:caps w:val="0"/>
            <w:noProof/>
            <w:sz w:val="22"/>
            <w:szCs w:val="22"/>
          </w:rPr>
          <w:tab/>
        </w:r>
        <w:r w:rsidRPr="00762875">
          <w:rPr>
            <w:rStyle w:val="Hyperlink"/>
            <w:noProof/>
          </w:rPr>
          <w:t>Connections, not improvements</w:t>
        </w:r>
        <w:r>
          <w:rPr>
            <w:noProof/>
            <w:webHidden/>
          </w:rPr>
          <w:tab/>
        </w:r>
        <w:r>
          <w:rPr>
            <w:noProof/>
            <w:webHidden/>
          </w:rPr>
          <w:fldChar w:fldCharType="begin"/>
        </w:r>
        <w:r>
          <w:rPr>
            <w:noProof/>
            <w:webHidden/>
          </w:rPr>
          <w:instrText xml:space="preserve"> PAGEREF _Toc318886714 \h </w:instrText>
        </w:r>
        <w:r>
          <w:rPr>
            <w:noProof/>
            <w:webHidden/>
          </w:rPr>
        </w:r>
        <w:r>
          <w:rPr>
            <w:noProof/>
            <w:webHidden/>
          </w:rPr>
          <w:fldChar w:fldCharType="separate"/>
        </w:r>
        <w:r w:rsidR="0045389C">
          <w:rPr>
            <w:noProof/>
            <w:webHidden/>
          </w:rPr>
          <w:t>15</w:t>
        </w:r>
        <w:r>
          <w:rPr>
            <w:noProof/>
            <w:webHidden/>
          </w:rPr>
          <w:fldChar w:fldCharType="end"/>
        </w:r>
      </w:hyperlink>
    </w:p>
    <w:p w:rsidR="009E6CA9" w:rsidRDefault="009E6CA9">
      <w:pPr>
        <w:pStyle w:val="TOC4"/>
        <w:tabs>
          <w:tab w:val="left" w:pos="1760"/>
          <w:tab w:val="right" w:leader="dot" w:pos="9628"/>
        </w:tabs>
        <w:rPr>
          <w:noProof/>
          <w:sz w:val="22"/>
          <w:szCs w:val="22"/>
        </w:rPr>
      </w:pPr>
      <w:hyperlink w:anchor="_Toc318886715" w:history="1">
        <w:r w:rsidRPr="00762875">
          <w:rPr>
            <w:rStyle w:val="Hyperlink"/>
            <w:noProof/>
          </w:rPr>
          <w:t>Table 11.</w:t>
        </w:r>
        <w:r>
          <w:rPr>
            <w:noProof/>
            <w:sz w:val="22"/>
            <w:szCs w:val="22"/>
          </w:rPr>
          <w:tab/>
        </w:r>
        <w:r w:rsidRPr="00762875">
          <w:rPr>
            <w:rStyle w:val="Hyperlink"/>
            <w:noProof/>
          </w:rPr>
          <w:t>Household piped water connections and MDGs: developing regions</w:t>
        </w:r>
        <w:r>
          <w:rPr>
            <w:noProof/>
            <w:webHidden/>
          </w:rPr>
          <w:tab/>
        </w:r>
        <w:r>
          <w:rPr>
            <w:noProof/>
            <w:webHidden/>
          </w:rPr>
          <w:fldChar w:fldCharType="begin"/>
        </w:r>
        <w:r>
          <w:rPr>
            <w:noProof/>
            <w:webHidden/>
          </w:rPr>
          <w:instrText xml:space="preserve"> PAGEREF _Toc318886715 \h </w:instrText>
        </w:r>
        <w:r>
          <w:rPr>
            <w:noProof/>
            <w:webHidden/>
          </w:rPr>
        </w:r>
        <w:r>
          <w:rPr>
            <w:noProof/>
            <w:webHidden/>
          </w:rPr>
          <w:fldChar w:fldCharType="separate"/>
        </w:r>
        <w:r w:rsidR="0045389C">
          <w:rPr>
            <w:noProof/>
            <w:webHidden/>
          </w:rPr>
          <w:t>15</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16" w:history="1">
        <w:r w:rsidRPr="00762875">
          <w:rPr>
            <w:rStyle w:val="Hyperlink"/>
            <w:noProof/>
          </w:rPr>
          <w:t>Chart C.</w:t>
        </w:r>
        <w:r>
          <w:rPr>
            <w:noProof/>
            <w:sz w:val="22"/>
            <w:szCs w:val="22"/>
          </w:rPr>
          <w:tab/>
        </w:r>
        <w:r w:rsidRPr="00762875">
          <w:rPr>
            <w:rStyle w:val="Hyperlink"/>
            <w:noProof/>
          </w:rPr>
          <w:t>Population gaining piped household connections or ‘improved’ sources 1990-2008</w:t>
        </w:r>
        <w:r>
          <w:rPr>
            <w:noProof/>
            <w:webHidden/>
          </w:rPr>
          <w:tab/>
        </w:r>
        <w:r>
          <w:rPr>
            <w:noProof/>
            <w:webHidden/>
          </w:rPr>
          <w:fldChar w:fldCharType="begin"/>
        </w:r>
        <w:r>
          <w:rPr>
            <w:noProof/>
            <w:webHidden/>
          </w:rPr>
          <w:instrText xml:space="preserve"> PAGEREF _Toc318886716 \h </w:instrText>
        </w:r>
        <w:r>
          <w:rPr>
            <w:noProof/>
            <w:webHidden/>
          </w:rPr>
        </w:r>
        <w:r>
          <w:rPr>
            <w:noProof/>
            <w:webHidden/>
          </w:rPr>
          <w:fldChar w:fldCharType="separate"/>
        </w:r>
        <w:r w:rsidR="0045389C">
          <w:rPr>
            <w:noProof/>
            <w:webHidden/>
          </w:rPr>
          <w:t>16</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717" w:history="1">
        <w:r w:rsidRPr="00762875">
          <w:rPr>
            <w:rStyle w:val="Hyperlink"/>
            <w:noProof/>
          </w:rPr>
          <w:t>7.</w:t>
        </w:r>
        <w:r>
          <w:rPr>
            <w:b w:val="0"/>
            <w:bCs w:val="0"/>
            <w:caps w:val="0"/>
            <w:noProof/>
            <w:sz w:val="22"/>
            <w:szCs w:val="22"/>
          </w:rPr>
          <w:tab/>
        </w:r>
        <w:r w:rsidRPr="00762875">
          <w:rPr>
            <w:rStyle w:val="Hyperlink"/>
            <w:noProof/>
          </w:rPr>
          <w:t>Discussion and conclusions</w:t>
        </w:r>
        <w:r>
          <w:rPr>
            <w:noProof/>
            <w:webHidden/>
          </w:rPr>
          <w:tab/>
        </w:r>
        <w:r>
          <w:rPr>
            <w:noProof/>
            <w:webHidden/>
          </w:rPr>
          <w:fldChar w:fldCharType="begin"/>
        </w:r>
        <w:r>
          <w:rPr>
            <w:noProof/>
            <w:webHidden/>
          </w:rPr>
          <w:instrText xml:space="preserve"> PAGEREF _Toc318886717 \h </w:instrText>
        </w:r>
        <w:r>
          <w:rPr>
            <w:noProof/>
            <w:webHidden/>
          </w:rPr>
        </w:r>
        <w:r>
          <w:rPr>
            <w:noProof/>
            <w:webHidden/>
          </w:rPr>
          <w:fldChar w:fldCharType="separate"/>
        </w:r>
        <w:r w:rsidR="0045389C">
          <w:rPr>
            <w:noProof/>
            <w:webHidden/>
          </w:rPr>
          <w:t>16</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18" w:history="1">
        <w:r w:rsidRPr="00762875">
          <w:rPr>
            <w:rStyle w:val="Hyperlink"/>
            <w:noProof/>
          </w:rPr>
          <w:t>7.1.</w:t>
        </w:r>
        <w:r>
          <w:rPr>
            <w:smallCaps w:val="0"/>
            <w:noProof/>
            <w:sz w:val="22"/>
            <w:szCs w:val="22"/>
          </w:rPr>
          <w:tab/>
        </w:r>
        <w:r w:rsidRPr="00762875">
          <w:rPr>
            <w:rStyle w:val="Hyperlink"/>
            <w:noProof/>
          </w:rPr>
          <w:t>Divergence from reality</w:t>
        </w:r>
        <w:r>
          <w:rPr>
            <w:noProof/>
            <w:webHidden/>
          </w:rPr>
          <w:tab/>
        </w:r>
        <w:r>
          <w:rPr>
            <w:noProof/>
            <w:webHidden/>
          </w:rPr>
          <w:fldChar w:fldCharType="begin"/>
        </w:r>
        <w:r>
          <w:rPr>
            <w:noProof/>
            <w:webHidden/>
          </w:rPr>
          <w:instrText xml:space="preserve"> PAGEREF _Toc318886718 \h </w:instrText>
        </w:r>
        <w:r>
          <w:rPr>
            <w:noProof/>
            <w:webHidden/>
          </w:rPr>
        </w:r>
        <w:r>
          <w:rPr>
            <w:noProof/>
            <w:webHidden/>
          </w:rPr>
          <w:fldChar w:fldCharType="separate"/>
        </w:r>
        <w:r w:rsidR="0045389C">
          <w:rPr>
            <w:noProof/>
            <w:webHidden/>
          </w:rPr>
          <w:t>16</w:t>
        </w:r>
        <w:r>
          <w:rPr>
            <w:noProof/>
            <w:webHidden/>
          </w:rPr>
          <w:fldChar w:fldCharType="end"/>
        </w:r>
      </w:hyperlink>
    </w:p>
    <w:p w:rsidR="009E6CA9" w:rsidRDefault="009E6CA9">
      <w:pPr>
        <w:pStyle w:val="TOC4"/>
        <w:tabs>
          <w:tab w:val="left" w:pos="1540"/>
          <w:tab w:val="right" w:leader="dot" w:pos="9628"/>
        </w:tabs>
        <w:rPr>
          <w:noProof/>
          <w:sz w:val="22"/>
          <w:szCs w:val="22"/>
        </w:rPr>
      </w:pPr>
      <w:hyperlink w:anchor="_Toc318886719" w:history="1">
        <w:r w:rsidRPr="00762875">
          <w:rPr>
            <w:rStyle w:val="Hyperlink"/>
            <w:noProof/>
          </w:rPr>
          <w:t>Chart D.</w:t>
        </w:r>
        <w:r>
          <w:rPr>
            <w:noProof/>
            <w:sz w:val="22"/>
            <w:szCs w:val="22"/>
          </w:rPr>
          <w:tab/>
        </w:r>
        <w:r w:rsidRPr="00762875">
          <w:rPr>
            <w:rStyle w:val="Hyperlink"/>
            <w:noProof/>
          </w:rPr>
          <w:t>Two models: donor/private/improved vs. National/public/household connections</w:t>
        </w:r>
        <w:r>
          <w:rPr>
            <w:noProof/>
            <w:webHidden/>
          </w:rPr>
          <w:tab/>
        </w:r>
        <w:r>
          <w:rPr>
            <w:noProof/>
            <w:webHidden/>
          </w:rPr>
          <w:fldChar w:fldCharType="begin"/>
        </w:r>
        <w:r>
          <w:rPr>
            <w:noProof/>
            <w:webHidden/>
          </w:rPr>
          <w:instrText xml:space="preserve"> PAGEREF _Toc318886719 \h </w:instrText>
        </w:r>
        <w:r>
          <w:rPr>
            <w:noProof/>
            <w:webHidden/>
          </w:rPr>
        </w:r>
        <w:r>
          <w:rPr>
            <w:noProof/>
            <w:webHidden/>
          </w:rPr>
          <w:fldChar w:fldCharType="separate"/>
        </w:r>
        <w:r w:rsidR="0045389C">
          <w:rPr>
            <w:noProof/>
            <w:webHidden/>
          </w:rPr>
          <w:t>17</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20" w:history="1">
        <w:r w:rsidRPr="00762875">
          <w:rPr>
            <w:rStyle w:val="Hyperlink"/>
            <w:noProof/>
          </w:rPr>
          <w:t>7.2.</w:t>
        </w:r>
        <w:r>
          <w:rPr>
            <w:smallCaps w:val="0"/>
            <w:noProof/>
            <w:sz w:val="22"/>
            <w:szCs w:val="22"/>
          </w:rPr>
          <w:tab/>
        </w:r>
        <w:r w:rsidRPr="00762875">
          <w:rPr>
            <w:rStyle w:val="Hyperlink"/>
            <w:noProof/>
          </w:rPr>
          <w:t>A national framework</w:t>
        </w:r>
        <w:r>
          <w:rPr>
            <w:noProof/>
            <w:webHidden/>
          </w:rPr>
          <w:tab/>
        </w:r>
        <w:r>
          <w:rPr>
            <w:noProof/>
            <w:webHidden/>
          </w:rPr>
          <w:fldChar w:fldCharType="begin"/>
        </w:r>
        <w:r>
          <w:rPr>
            <w:noProof/>
            <w:webHidden/>
          </w:rPr>
          <w:instrText xml:space="preserve"> PAGEREF _Toc318886720 \h </w:instrText>
        </w:r>
        <w:r>
          <w:rPr>
            <w:noProof/>
            <w:webHidden/>
          </w:rPr>
        </w:r>
        <w:r>
          <w:rPr>
            <w:noProof/>
            <w:webHidden/>
          </w:rPr>
          <w:fldChar w:fldCharType="separate"/>
        </w:r>
        <w:r w:rsidR="0045389C">
          <w:rPr>
            <w:noProof/>
            <w:webHidden/>
          </w:rPr>
          <w:t>17</w:t>
        </w:r>
        <w:r>
          <w:rPr>
            <w:noProof/>
            <w:webHidden/>
          </w:rPr>
          <w:fldChar w:fldCharType="end"/>
        </w:r>
      </w:hyperlink>
    </w:p>
    <w:p w:rsidR="009E6CA9" w:rsidRDefault="009E6CA9">
      <w:pPr>
        <w:pStyle w:val="TOC2"/>
        <w:tabs>
          <w:tab w:val="left" w:pos="880"/>
          <w:tab w:val="right" w:leader="dot" w:pos="9628"/>
        </w:tabs>
        <w:rPr>
          <w:smallCaps w:val="0"/>
          <w:noProof/>
          <w:sz w:val="22"/>
          <w:szCs w:val="22"/>
        </w:rPr>
      </w:pPr>
      <w:hyperlink w:anchor="_Toc318886721" w:history="1">
        <w:r w:rsidRPr="00762875">
          <w:rPr>
            <w:rStyle w:val="Hyperlink"/>
            <w:noProof/>
          </w:rPr>
          <w:t>7.3.</w:t>
        </w:r>
        <w:r>
          <w:rPr>
            <w:smallCaps w:val="0"/>
            <w:noProof/>
            <w:sz w:val="22"/>
            <w:szCs w:val="22"/>
          </w:rPr>
          <w:tab/>
        </w:r>
        <w:r w:rsidRPr="00762875">
          <w:rPr>
            <w:rStyle w:val="Hyperlink"/>
            <w:noProof/>
          </w:rPr>
          <w:t>Policy conclusions</w:t>
        </w:r>
        <w:r>
          <w:rPr>
            <w:noProof/>
            <w:webHidden/>
          </w:rPr>
          <w:tab/>
        </w:r>
        <w:r>
          <w:rPr>
            <w:noProof/>
            <w:webHidden/>
          </w:rPr>
          <w:fldChar w:fldCharType="begin"/>
        </w:r>
        <w:r>
          <w:rPr>
            <w:noProof/>
            <w:webHidden/>
          </w:rPr>
          <w:instrText xml:space="preserve"> PAGEREF _Toc318886721 \h </w:instrText>
        </w:r>
        <w:r>
          <w:rPr>
            <w:noProof/>
            <w:webHidden/>
          </w:rPr>
        </w:r>
        <w:r>
          <w:rPr>
            <w:noProof/>
            <w:webHidden/>
          </w:rPr>
          <w:fldChar w:fldCharType="separate"/>
        </w:r>
        <w:r w:rsidR="0045389C">
          <w:rPr>
            <w:noProof/>
            <w:webHidden/>
          </w:rPr>
          <w:t>18</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722" w:history="1">
        <w:r w:rsidRPr="00762875">
          <w:rPr>
            <w:rStyle w:val="Hyperlink"/>
            <w:noProof/>
          </w:rPr>
          <w:t>8.</w:t>
        </w:r>
        <w:r>
          <w:rPr>
            <w:b w:val="0"/>
            <w:bCs w:val="0"/>
            <w:caps w:val="0"/>
            <w:noProof/>
            <w:sz w:val="22"/>
            <w:szCs w:val="22"/>
          </w:rPr>
          <w:tab/>
        </w:r>
        <w:r w:rsidRPr="00762875">
          <w:rPr>
            <w:rStyle w:val="Hyperlink"/>
            <w:noProof/>
          </w:rPr>
          <w:t>Bibliography</w:t>
        </w:r>
        <w:r>
          <w:rPr>
            <w:noProof/>
            <w:webHidden/>
          </w:rPr>
          <w:tab/>
        </w:r>
        <w:r>
          <w:rPr>
            <w:noProof/>
            <w:webHidden/>
          </w:rPr>
          <w:fldChar w:fldCharType="begin"/>
        </w:r>
        <w:r>
          <w:rPr>
            <w:noProof/>
            <w:webHidden/>
          </w:rPr>
          <w:instrText xml:space="preserve"> PAGEREF _Toc318886722 \h </w:instrText>
        </w:r>
        <w:r>
          <w:rPr>
            <w:noProof/>
            <w:webHidden/>
          </w:rPr>
        </w:r>
        <w:r>
          <w:rPr>
            <w:noProof/>
            <w:webHidden/>
          </w:rPr>
          <w:fldChar w:fldCharType="separate"/>
        </w:r>
        <w:r w:rsidR="0045389C">
          <w:rPr>
            <w:noProof/>
            <w:webHidden/>
          </w:rPr>
          <w:t>19</w:t>
        </w:r>
        <w:r>
          <w:rPr>
            <w:noProof/>
            <w:webHidden/>
          </w:rPr>
          <w:fldChar w:fldCharType="end"/>
        </w:r>
      </w:hyperlink>
    </w:p>
    <w:p w:rsidR="009E6CA9" w:rsidRDefault="009E6CA9">
      <w:pPr>
        <w:pStyle w:val="TOC1"/>
        <w:tabs>
          <w:tab w:val="left" w:pos="440"/>
          <w:tab w:val="right" w:leader="dot" w:pos="9628"/>
        </w:tabs>
        <w:rPr>
          <w:b w:val="0"/>
          <w:bCs w:val="0"/>
          <w:caps w:val="0"/>
          <w:noProof/>
          <w:sz w:val="22"/>
          <w:szCs w:val="22"/>
        </w:rPr>
      </w:pPr>
      <w:hyperlink w:anchor="_Toc318886723" w:history="1">
        <w:r w:rsidRPr="00762875">
          <w:rPr>
            <w:rStyle w:val="Hyperlink"/>
            <w:noProof/>
          </w:rPr>
          <w:t>9.</w:t>
        </w:r>
        <w:r>
          <w:rPr>
            <w:b w:val="0"/>
            <w:bCs w:val="0"/>
            <w:caps w:val="0"/>
            <w:noProof/>
            <w:sz w:val="22"/>
            <w:szCs w:val="22"/>
          </w:rPr>
          <w:tab/>
        </w:r>
        <w:r w:rsidRPr="00762875">
          <w:rPr>
            <w:rStyle w:val="Hyperlink"/>
            <w:noProof/>
          </w:rPr>
          <w:t>Annexe: Costs as percentage of GDP: details of OECD and PSIRU estimates</w:t>
        </w:r>
        <w:r>
          <w:rPr>
            <w:noProof/>
            <w:webHidden/>
          </w:rPr>
          <w:tab/>
        </w:r>
        <w:r>
          <w:rPr>
            <w:noProof/>
            <w:webHidden/>
          </w:rPr>
          <w:fldChar w:fldCharType="begin"/>
        </w:r>
        <w:r>
          <w:rPr>
            <w:noProof/>
            <w:webHidden/>
          </w:rPr>
          <w:instrText xml:space="preserve"> PAGEREF _Toc318886723 \h </w:instrText>
        </w:r>
        <w:r>
          <w:rPr>
            <w:noProof/>
            <w:webHidden/>
          </w:rPr>
        </w:r>
        <w:r>
          <w:rPr>
            <w:noProof/>
            <w:webHidden/>
          </w:rPr>
          <w:fldChar w:fldCharType="separate"/>
        </w:r>
        <w:r w:rsidR="0045389C">
          <w:rPr>
            <w:noProof/>
            <w:webHidden/>
          </w:rPr>
          <w:t>21</w:t>
        </w:r>
        <w:r>
          <w:rPr>
            <w:noProof/>
            <w:webHidden/>
          </w:rPr>
          <w:fldChar w:fldCharType="end"/>
        </w:r>
      </w:hyperlink>
    </w:p>
    <w:p w:rsidR="009E6CA9" w:rsidRDefault="009E6CA9">
      <w:pPr>
        <w:pStyle w:val="TOC4"/>
        <w:tabs>
          <w:tab w:val="left" w:pos="1760"/>
          <w:tab w:val="right" w:leader="dot" w:pos="9628"/>
        </w:tabs>
        <w:rPr>
          <w:noProof/>
          <w:sz w:val="22"/>
          <w:szCs w:val="22"/>
        </w:rPr>
      </w:pPr>
      <w:hyperlink w:anchor="_Toc318886724" w:history="1">
        <w:r w:rsidRPr="00762875">
          <w:rPr>
            <w:rStyle w:val="Hyperlink"/>
            <w:noProof/>
          </w:rPr>
          <w:t>Table 12.</w:t>
        </w:r>
        <w:r>
          <w:rPr>
            <w:noProof/>
            <w:sz w:val="22"/>
            <w:szCs w:val="22"/>
          </w:rPr>
          <w:tab/>
        </w:r>
        <w:r w:rsidRPr="00762875">
          <w:rPr>
            <w:rStyle w:val="Hyperlink"/>
            <w:noProof/>
          </w:rPr>
          <w:t>Cost of water and sanitation investment as % of GDP, OECD</w:t>
        </w:r>
        <w:r>
          <w:rPr>
            <w:noProof/>
            <w:webHidden/>
          </w:rPr>
          <w:tab/>
        </w:r>
        <w:r>
          <w:rPr>
            <w:noProof/>
            <w:webHidden/>
          </w:rPr>
          <w:fldChar w:fldCharType="begin"/>
        </w:r>
        <w:r>
          <w:rPr>
            <w:noProof/>
            <w:webHidden/>
          </w:rPr>
          <w:instrText xml:space="preserve"> PAGEREF _Toc318886724 \h </w:instrText>
        </w:r>
        <w:r>
          <w:rPr>
            <w:noProof/>
            <w:webHidden/>
          </w:rPr>
        </w:r>
        <w:r>
          <w:rPr>
            <w:noProof/>
            <w:webHidden/>
          </w:rPr>
          <w:fldChar w:fldCharType="separate"/>
        </w:r>
        <w:r w:rsidR="0045389C">
          <w:rPr>
            <w:noProof/>
            <w:webHidden/>
          </w:rPr>
          <w:t>21</w:t>
        </w:r>
        <w:r>
          <w:rPr>
            <w:noProof/>
            <w:webHidden/>
          </w:rPr>
          <w:fldChar w:fldCharType="end"/>
        </w:r>
      </w:hyperlink>
    </w:p>
    <w:p w:rsidR="009E6CA9" w:rsidRDefault="009E6CA9">
      <w:pPr>
        <w:pStyle w:val="TOC4"/>
        <w:tabs>
          <w:tab w:val="left" w:pos="1760"/>
          <w:tab w:val="right" w:leader="dot" w:pos="9628"/>
        </w:tabs>
        <w:rPr>
          <w:noProof/>
          <w:sz w:val="22"/>
          <w:szCs w:val="22"/>
        </w:rPr>
      </w:pPr>
      <w:hyperlink w:anchor="_Toc318886725" w:history="1">
        <w:r w:rsidRPr="00762875">
          <w:rPr>
            <w:rStyle w:val="Hyperlink"/>
            <w:noProof/>
          </w:rPr>
          <w:t>Table 13.</w:t>
        </w:r>
        <w:r>
          <w:rPr>
            <w:noProof/>
            <w:sz w:val="22"/>
            <w:szCs w:val="22"/>
          </w:rPr>
          <w:tab/>
        </w:r>
        <w:r w:rsidRPr="00762875">
          <w:rPr>
            <w:rStyle w:val="Hyperlink"/>
            <w:noProof/>
          </w:rPr>
          <w:t>Cost of household connections as % of GDP, PSIRU</w:t>
        </w:r>
        <w:r>
          <w:rPr>
            <w:noProof/>
            <w:webHidden/>
          </w:rPr>
          <w:tab/>
        </w:r>
        <w:r>
          <w:rPr>
            <w:noProof/>
            <w:webHidden/>
          </w:rPr>
          <w:fldChar w:fldCharType="begin"/>
        </w:r>
        <w:r>
          <w:rPr>
            <w:noProof/>
            <w:webHidden/>
          </w:rPr>
          <w:instrText xml:space="preserve"> PAGEREF _Toc318886725 \h </w:instrText>
        </w:r>
        <w:r>
          <w:rPr>
            <w:noProof/>
            <w:webHidden/>
          </w:rPr>
        </w:r>
        <w:r>
          <w:rPr>
            <w:noProof/>
            <w:webHidden/>
          </w:rPr>
          <w:fldChar w:fldCharType="separate"/>
        </w:r>
        <w:r w:rsidR="0045389C">
          <w:rPr>
            <w:noProof/>
            <w:webHidden/>
          </w:rPr>
          <w:t>22</w:t>
        </w:r>
        <w:r>
          <w:rPr>
            <w:noProof/>
            <w:webHidden/>
          </w:rPr>
          <w:fldChar w:fldCharType="end"/>
        </w:r>
      </w:hyperlink>
    </w:p>
    <w:p w:rsidR="009E6CA9" w:rsidRDefault="009E6CA9">
      <w:pPr>
        <w:pStyle w:val="TOC1"/>
        <w:tabs>
          <w:tab w:val="left" w:pos="660"/>
          <w:tab w:val="right" w:leader="dot" w:pos="9628"/>
        </w:tabs>
        <w:rPr>
          <w:b w:val="0"/>
          <w:bCs w:val="0"/>
          <w:caps w:val="0"/>
          <w:noProof/>
          <w:sz w:val="22"/>
          <w:szCs w:val="22"/>
        </w:rPr>
      </w:pPr>
      <w:hyperlink w:anchor="_Toc318886726" w:history="1">
        <w:r w:rsidRPr="00762875">
          <w:rPr>
            <w:rStyle w:val="Hyperlink"/>
            <w:noProof/>
          </w:rPr>
          <w:t>10.</w:t>
        </w:r>
        <w:r>
          <w:rPr>
            <w:b w:val="0"/>
            <w:bCs w:val="0"/>
            <w:caps w:val="0"/>
            <w:noProof/>
            <w:sz w:val="22"/>
            <w:szCs w:val="22"/>
          </w:rPr>
          <w:tab/>
        </w:r>
        <w:r w:rsidRPr="00762875">
          <w:rPr>
            <w:rStyle w:val="Hyperlink"/>
            <w:noProof/>
          </w:rPr>
          <w:t>Notes</w:t>
        </w:r>
        <w:r>
          <w:rPr>
            <w:noProof/>
            <w:webHidden/>
          </w:rPr>
          <w:tab/>
        </w:r>
        <w:r>
          <w:rPr>
            <w:noProof/>
            <w:webHidden/>
          </w:rPr>
          <w:fldChar w:fldCharType="begin"/>
        </w:r>
        <w:r>
          <w:rPr>
            <w:noProof/>
            <w:webHidden/>
          </w:rPr>
          <w:instrText xml:space="preserve"> PAGEREF _Toc318886726 \h </w:instrText>
        </w:r>
        <w:r>
          <w:rPr>
            <w:noProof/>
            <w:webHidden/>
          </w:rPr>
        </w:r>
        <w:r>
          <w:rPr>
            <w:noProof/>
            <w:webHidden/>
          </w:rPr>
          <w:fldChar w:fldCharType="separate"/>
        </w:r>
        <w:r w:rsidR="0045389C">
          <w:rPr>
            <w:noProof/>
            <w:webHidden/>
          </w:rPr>
          <w:t>23</w:t>
        </w:r>
        <w:r>
          <w:rPr>
            <w:noProof/>
            <w:webHidden/>
          </w:rPr>
          <w:fldChar w:fldCharType="end"/>
        </w:r>
      </w:hyperlink>
    </w:p>
    <w:p w:rsidR="00410A9C" w:rsidRDefault="00410A9C" w:rsidP="00297E47">
      <w:pPr>
        <w:pStyle w:val="Heading1"/>
        <w:numPr>
          <w:ilvl w:val="0"/>
          <w:numId w:val="0"/>
        </w:numPr>
        <w:ind w:left="360" w:hanging="360"/>
      </w:pPr>
      <w:r w:rsidRPr="00EC4FDE">
        <w:fldChar w:fldCharType="end"/>
      </w:r>
      <w:r w:rsidR="00353A2B">
        <w:br w:type="page"/>
      </w:r>
      <w:bookmarkStart w:id="1" w:name="_Toc318886688"/>
      <w:r w:rsidR="00297E47">
        <w:lastRenderedPageBreak/>
        <w:t>Summary</w:t>
      </w:r>
      <w:bookmarkEnd w:id="1"/>
      <w:r w:rsidR="00297E47">
        <w:t xml:space="preserve"> </w:t>
      </w:r>
    </w:p>
    <w:p w:rsidR="00297E47" w:rsidRDefault="00297E47" w:rsidP="00297E47">
      <w:pPr>
        <w:rPr>
          <w:lang w:eastAsia="en-US"/>
        </w:rPr>
      </w:pPr>
    </w:p>
    <w:p w:rsidR="00297E47" w:rsidRDefault="00297E47" w:rsidP="00297E47">
      <w:pPr>
        <w:rPr>
          <w:lang w:eastAsia="en-US"/>
        </w:rPr>
      </w:pPr>
    </w:p>
    <w:p w:rsidR="00297E47" w:rsidRDefault="00297E47" w:rsidP="00297E47">
      <w:r>
        <w:t>T</w:t>
      </w:r>
      <w:r w:rsidRPr="00322A8A">
        <w:t xml:space="preserve">he orthodox </w:t>
      </w:r>
      <w:r>
        <w:t>model</w:t>
      </w:r>
      <w:r w:rsidRPr="00322A8A">
        <w:t xml:space="preserve"> for financing water and sanitation </w:t>
      </w:r>
      <w:r>
        <w:t>treats</w:t>
      </w:r>
      <w:r w:rsidRPr="00322A8A">
        <w:t xml:space="preserve"> the state in developing countries as </w:t>
      </w:r>
      <w:r>
        <w:t xml:space="preserve">being unable to </w:t>
      </w:r>
      <w:r w:rsidRPr="00322A8A">
        <w:t xml:space="preserve">finance </w:t>
      </w:r>
      <w:r>
        <w:t>investment.</w:t>
      </w:r>
      <w:r w:rsidRPr="00322A8A">
        <w:t xml:space="preserve"> It promote</w:t>
      </w:r>
      <w:r>
        <w:t>s</w:t>
      </w:r>
      <w:r w:rsidRPr="00322A8A">
        <w:t xml:space="preserve"> </w:t>
      </w:r>
      <w:r>
        <w:t xml:space="preserve">instead </w:t>
      </w:r>
      <w:r w:rsidRPr="00322A8A">
        <w:t xml:space="preserve">the primacy of commercial direct financing, with </w:t>
      </w:r>
      <w:r>
        <w:t xml:space="preserve">cost recovery from consumers </w:t>
      </w:r>
      <w:r w:rsidRPr="00322A8A">
        <w:t>supported by targeted aid.</w:t>
      </w:r>
      <w:r>
        <w:t xml:space="preserve"> It also emphasises ‘improved’ connections, rather than household connections. The paper argues that all these positions conflict with empirical evidence.</w:t>
      </w:r>
    </w:p>
    <w:p w:rsidR="00297E47" w:rsidRDefault="00297E47" w:rsidP="00297E47">
      <w:r>
        <w:t xml:space="preserve">  </w:t>
      </w:r>
    </w:p>
    <w:p w:rsidR="00297E47" w:rsidRDefault="00297E47" w:rsidP="00297E47">
      <w:r>
        <w:t xml:space="preserve">This does not reflect the historical experience of high income countries. </w:t>
      </w:r>
      <w:r w:rsidRPr="00322A8A">
        <w:t xml:space="preserve">The great majority of investment in water and sanitation services in </w:t>
      </w:r>
      <w:r>
        <w:t xml:space="preserve">Europe, </w:t>
      </w:r>
      <w:r w:rsidR="00F44833">
        <w:t>North America</w:t>
      </w:r>
      <w:r>
        <w:t xml:space="preserve"> and Japan,</w:t>
      </w:r>
      <w:r w:rsidRPr="00322A8A">
        <w:t xml:space="preserve"> has been carried out by the public sector using public finance raised through taxation. </w:t>
      </w:r>
      <w:r>
        <w:t>E</w:t>
      </w:r>
      <w:r w:rsidRPr="00395FDD">
        <w:t>ven in France the extension of the system was carried out by and through municipalities, not through private operators</w:t>
      </w:r>
      <w:r>
        <w:t>.</w:t>
      </w:r>
      <w:r w:rsidRPr="00322A8A">
        <w:t xml:space="preserve"> </w:t>
      </w:r>
      <w:r>
        <w:t>C</w:t>
      </w:r>
      <w:r w:rsidRPr="00CB2CFE">
        <w:rPr>
          <w:lang w:eastAsia="en-US"/>
        </w:rPr>
        <w:t>entral governments have</w:t>
      </w:r>
      <w:r>
        <w:t xml:space="preserve"> also</w:t>
      </w:r>
      <w:r w:rsidRPr="00CB2CFE">
        <w:rPr>
          <w:lang w:eastAsia="en-US"/>
        </w:rPr>
        <w:t xml:space="preserve"> played a </w:t>
      </w:r>
      <w:r>
        <w:t>key</w:t>
      </w:r>
      <w:r w:rsidRPr="00CB2CFE">
        <w:rPr>
          <w:lang w:eastAsia="en-US"/>
        </w:rPr>
        <w:t xml:space="preserve"> role in</w:t>
      </w:r>
      <w:r>
        <w:t xml:space="preserve"> </w:t>
      </w:r>
      <w:r w:rsidRPr="00CB2CFE">
        <w:rPr>
          <w:lang w:eastAsia="en-US"/>
        </w:rPr>
        <w:t xml:space="preserve">financing </w:t>
      </w:r>
      <w:r>
        <w:t xml:space="preserve">investment in </w:t>
      </w:r>
      <w:r w:rsidRPr="00CB2CFE">
        <w:rPr>
          <w:lang w:eastAsia="en-US"/>
        </w:rPr>
        <w:t>water systems</w:t>
      </w:r>
      <w:r>
        <w:t>, and in managing water resources and floods.</w:t>
      </w:r>
    </w:p>
    <w:p w:rsidR="00297E47" w:rsidRDefault="00297E47" w:rsidP="00297E47"/>
    <w:p w:rsidR="00297E47" w:rsidRDefault="00297E47" w:rsidP="00297E47">
      <w:r>
        <w:t>The advantages of public finance are that the state pays lower interest than the private sector,</w:t>
      </w:r>
      <w:r w:rsidR="00F44833">
        <w:t xml:space="preserve"> it avoids that</w:t>
      </w:r>
      <w:r>
        <w:t xml:space="preserve"> poorer </w:t>
      </w:r>
      <w:r w:rsidR="00F44833">
        <w:t>‘</w:t>
      </w:r>
      <w:r>
        <w:t>consumers</w:t>
      </w:r>
      <w:r w:rsidR="00F44833">
        <w:t>’</w:t>
      </w:r>
      <w:r>
        <w:t xml:space="preserve"> cannot afford to pay full costs, and the major benefits of universal water and sanitation connections are public health, not private gains. </w:t>
      </w:r>
    </w:p>
    <w:p w:rsidR="00297E47" w:rsidRDefault="00297E47" w:rsidP="00297E47"/>
    <w:p w:rsidR="00297E47" w:rsidRDefault="00297E47" w:rsidP="00297E47">
      <w:r>
        <w:t xml:space="preserve">The orthodox approach has </w:t>
      </w:r>
      <w:r>
        <w:rPr>
          <w:lang w:eastAsia="en-US"/>
        </w:rPr>
        <w:t>failed to generate significant amounts of private investment</w:t>
      </w:r>
      <w:r>
        <w:t xml:space="preserve"> in developing countries. In Africa, the most important source of finance is the public sector in middle income countries, and donor aid in low income countries: the private sector contribution is close to zero. In India, the private sector contribution is also close to zero, with national, state and local governments financing nearly all the investment. </w:t>
      </w:r>
    </w:p>
    <w:p w:rsidR="00297E47" w:rsidRDefault="00297E47" w:rsidP="00297E47"/>
    <w:p w:rsidR="00297E47" w:rsidRDefault="00297E47" w:rsidP="00297E47">
      <w:r>
        <w:t xml:space="preserve">The economic crisis has not affected the prospects for public finance, because of continued </w:t>
      </w:r>
      <w:r w:rsidR="00C465EC">
        <w:t xml:space="preserve">economic </w:t>
      </w:r>
      <w:r>
        <w:t>growth in developing countries, and in</w:t>
      </w:r>
      <w:r w:rsidR="00CE2EDB">
        <w:t xml:space="preserve"> increased</w:t>
      </w:r>
      <w:r>
        <w:t xml:space="preserve"> aid from southern countries. The negative impact on private companies is not significant because of its tiny role.</w:t>
      </w:r>
    </w:p>
    <w:p w:rsidR="00297E47" w:rsidRDefault="00297E47" w:rsidP="00297E47"/>
    <w:p w:rsidR="00297E47" w:rsidRDefault="00297E47" w:rsidP="00297E47">
      <w:r>
        <w:t xml:space="preserve">The costs of providing full water and sewerage household connections are not unaffordable. The benefits in terms of lives saved are very high, and there is a clear positive economic gain even for poorest countries. For the great majority of countries, meeting the Millennium Development Goals (MDGs) by such household connections could be achieved by a 10-year investment programme costing less than 1% of GDP per year, and would deliver </w:t>
      </w:r>
      <w:r w:rsidR="00CE2EDB">
        <w:t xml:space="preserve">significant socio-economic </w:t>
      </w:r>
      <w:r>
        <w:t xml:space="preserve">benefits. </w:t>
      </w:r>
    </w:p>
    <w:p w:rsidR="00297E47" w:rsidRDefault="00297E47" w:rsidP="00297E47"/>
    <w:p w:rsidR="00297E47" w:rsidRDefault="00297E47" w:rsidP="00297E47">
      <w:r>
        <w:t>Countries are in fact acting in accordance with this reality</w:t>
      </w:r>
      <w:r w:rsidR="00C465EC">
        <w:t>, and investing close to the amounts necessary for such targets</w:t>
      </w:r>
      <w:r>
        <w:t xml:space="preserve">. </w:t>
      </w:r>
      <w:r w:rsidRPr="00A25A9A">
        <w:t>In the last 20 years, two-thirds of the advances in water systems in developing countries consist of household connections, rather than ‘improved sources’.</w:t>
      </w:r>
      <w:r>
        <w:t xml:space="preserve"> </w:t>
      </w:r>
      <w:r w:rsidR="00C465EC" w:rsidRPr="00C465EC">
        <w:t>More than 1.2</w:t>
      </w:r>
      <w:r w:rsidR="00CE2EDB">
        <w:t xml:space="preserve"> </w:t>
      </w:r>
      <w:r w:rsidR="00C465EC" w:rsidRPr="00C465EC">
        <w:t>billion people have received household</w:t>
      </w:r>
      <w:r w:rsidR="00C465EC">
        <w:t xml:space="preserve"> water connections in that time, the equivalent of the combined populations of </w:t>
      </w:r>
      <w:r w:rsidR="00E074B5">
        <w:t xml:space="preserve">all OECD countries - </w:t>
      </w:r>
      <w:r w:rsidR="00C465EC">
        <w:t xml:space="preserve">Europe, </w:t>
      </w:r>
      <w:r w:rsidR="00F44833">
        <w:t>North America</w:t>
      </w:r>
      <w:r w:rsidR="00E074B5">
        <w:t xml:space="preserve">, </w:t>
      </w:r>
      <w:r w:rsidR="00C465EC">
        <w:t>Japan</w:t>
      </w:r>
      <w:r w:rsidR="00E074B5">
        <w:t xml:space="preserve"> and Korea together</w:t>
      </w:r>
      <w:r w:rsidR="00C465EC">
        <w:t xml:space="preserve">. </w:t>
      </w:r>
      <w:r>
        <w:t>And overall, the investment by countries has more than achieved the Millennium Development Goals (MDGs) for water.</w:t>
      </w:r>
    </w:p>
    <w:p w:rsidR="00297E47" w:rsidRDefault="00297E47" w:rsidP="00297E47"/>
    <w:p w:rsidR="00297E47" w:rsidRDefault="00297E47" w:rsidP="00297E47">
      <w:r w:rsidRPr="00C5221F">
        <w:t>The framework used by donors and international institutions is now sharply different from the reality of water and sanitation services in developing countries.</w:t>
      </w:r>
      <w:r>
        <w:t xml:space="preserve">  The </w:t>
      </w:r>
      <w:r w:rsidRPr="00322A8A">
        <w:t xml:space="preserve">two models – the </w:t>
      </w:r>
      <w:r w:rsidR="00966636">
        <w:t>World Bank/donor model</w:t>
      </w:r>
      <w:r w:rsidRPr="00322A8A">
        <w:t xml:space="preserve">, and the national model - </w:t>
      </w:r>
      <w:r>
        <w:t>have</w:t>
      </w:r>
      <w:r w:rsidRPr="00322A8A">
        <w:t xml:space="preserve"> conflicting positions on four key aspects – source of finance, type of operator, ‘improved’ source or household connection, and leading role of donors or countries. The national model is in reality driving developments in the sector, and also reflects a new southern view on development.</w:t>
      </w:r>
    </w:p>
    <w:p w:rsidR="00297E47" w:rsidRPr="00297E47" w:rsidRDefault="00297E47" w:rsidP="00297E47">
      <w:pPr>
        <w:rPr>
          <w:lang w:eastAsia="en-US"/>
        </w:rPr>
      </w:pPr>
    </w:p>
    <w:p w:rsidR="00297E47" w:rsidRPr="00EC4FDE" w:rsidRDefault="00297E47" w:rsidP="00CA27EF">
      <w:pPr>
        <w:ind w:left="220"/>
        <w:rPr>
          <w:smallCaps/>
          <w:sz w:val="16"/>
          <w:szCs w:val="16"/>
        </w:rPr>
      </w:pPr>
      <w:r>
        <w:rPr>
          <w:smallCaps/>
          <w:sz w:val="16"/>
          <w:szCs w:val="16"/>
        </w:rPr>
        <w:br w:type="page"/>
      </w:r>
    </w:p>
    <w:p w:rsidR="005C3250" w:rsidRDefault="005C3250" w:rsidP="00167305">
      <w:pPr>
        <w:pStyle w:val="Heading1"/>
      </w:pPr>
      <w:bookmarkStart w:id="2" w:name="_Toc318886689"/>
      <w:r>
        <w:t>Introduction</w:t>
      </w:r>
      <w:bookmarkEnd w:id="2"/>
      <w:r>
        <w:t xml:space="preserve"> </w:t>
      </w:r>
    </w:p>
    <w:p w:rsidR="005C3250" w:rsidRPr="005C3250" w:rsidRDefault="005C3250" w:rsidP="005C3250">
      <w:r w:rsidRPr="005C3250">
        <w:t>For the last 20 years</w:t>
      </w:r>
      <w:r w:rsidR="004A2047">
        <w:t>,</w:t>
      </w:r>
      <w:r w:rsidRPr="005C3250">
        <w:t xml:space="preserve"> the orthodox paradigm for financing water and sanitation in developing countries has treated the state as having inadequate capacity to either finance or operate wat</w:t>
      </w:r>
      <w:r w:rsidR="00024052">
        <w:t xml:space="preserve">er and </w:t>
      </w:r>
      <w:r w:rsidRPr="005C3250">
        <w:t>san</w:t>
      </w:r>
      <w:r w:rsidR="00024052">
        <w:t>itation</w:t>
      </w:r>
      <w:r w:rsidRPr="005C3250">
        <w:t xml:space="preserve"> services. It has instead promoted the primacy of private direct financing of investment, and the market model, with pricing mechanisms providing incentives and signals for investments</w:t>
      </w:r>
      <w:r w:rsidR="00024052">
        <w:t>, supported by targeted aid designed to ‘leverage’ the maximum amount of commercial investment</w:t>
      </w:r>
      <w:r w:rsidRPr="005C3250">
        <w:t>.  In recent years</w:t>
      </w:r>
      <w:r w:rsidR="00872A22">
        <w:t>,</w:t>
      </w:r>
      <w:r w:rsidRPr="005C3250">
        <w:t xml:space="preserve"> it has become apparent that these approaches have not succeeded in generating a flow of investment adequate to meet developmental needs.</w:t>
      </w:r>
    </w:p>
    <w:p w:rsidR="005C3250" w:rsidRDefault="005C3250" w:rsidP="005C3250"/>
    <w:p w:rsidR="005C3250" w:rsidRDefault="0083042D" w:rsidP="00686ED5">
      <w:r>
        <w:t>This paper examines whether this paradigm i</w:t>
      </w:r>
      <w:r w:rsidRPr="005C3250">
        <w:t>s both empirically and conceptually flawed</w:t>
      </w:r>
      <w:r>
        <w:t xml:space="preserve">. </w:t>
      </w:r>
      <w:r w:rsidR="005C3250" w:rsidRPr="005C3250">
        <w:t>It presents empirical evidence on</w:t>
      </w:r>
      <w:r>
        <w:t xml:space="preserve"> </w:t>
      </w:r>
      <w:r w:rsidR="005C3250" w:rsidRPr="005C3250">
        <w:t>the historical relative use of public and private finance for investment in water and sanitation sys</w:t>
      </w:r>
      <w:r>
        <w:t xml:space="preserve">tems in developed countries, evidence on the relative use of </w:t>
      </w:r>
      <w:r w:rsidRPr="005C3250">
        <w:t xml:space="preserve">public </w:t>
      </w:r>
      <w:r>
        <w:t xml:space="preserve">and private </w:t>
      </w:r>
      <w:r w:rsidRPr="005C3250">
        <w:t xml:space="preserve">finance </w:t>
      </w:r>
      <w:r>
        <w:t xml:space="preserve">and aid in developing countries, and evidence on the likely impact of the economic crisis. </w:t>
      </w:r>
      <w:r w:rsidR="00686ED5">
        <w:t xml:space="preserve">It presents an analysis of the affordability of investment in water and sanitation systems for developing countries, and specifically investment in household connections. </w:t>
      </w:r>
    </w:p>
    <w:p w:rsidR="00686ED5" w:rsidRDefault="00686ED5" w:rsidP="00686ED5"/>
    <w:p w:rsidR="005C3250" w:rsidRPr="005C3250" w:rsidRDefault="00686ED5" w:rsidP="005C3250">
      <w:pPr>
        <w:rPr>
          <w:lang w:eastAsia="en-US"/>
        </w:rPr>
      </w:pPr>
      <w:r>
        <w:t xml:space="preserve">In conclusion, it discusses the gap between the official paradigm and observed reality of water and sanitation systems, and identifies two models – the </w:t>
      </w:r>
      <w:r w:rsidR="00966636">
        <w:t>World Bank/donor model</w:t>
      </w:r>
      <w:r>
        <w:t xml:space="preserve">, and the national model - with conflicting positions on four key aspects – source of finance, type of operator, ‘improved’ source or household connection, and leading role of donors or countries. The national model is in reality driving developments in the sector, and also reflects a new southern view on development. </w:t>
      </w:r>
    </w:p>
    <w:p w:rsidR="00097BDC" w:rsidRDefault="00097BDC" w:rsidP="00167305">
      <w:pPr>
        <w:pStyle w:val="Heading1"/>
      </w:pPr>
      <w:bookmarkStart w:id="3" w:name="_Toc318886690"/>
      <w:r>
        <w:t>Water finance in high income countries</w:t>
      </w:r>
      <w:bookmarkEnd w:id="3"/>
    </w:p>
    <w:p w:rsidR="00097BDC" w:rsidRDefault="00CB2CFE" w:rsidP="00097BDC">
      <w:pPr>
        <w:rPr>
          <w:lang w:eastAsia="en-US"/>
        </w:rPr>
      </w:pPr>
      <w:r>
        <w:rPr>
          <w:lang w:eastAsia="en-US"/>
        </w:rPr>
        <w:t xml:space="preserve">The great majority of investment in water and sanitation services in high income countries has been carried out by the public sector using public finance raised through taxation, or loans raised on the security of this flow of taxation. </w:t>
      </w:r>
    </w:p>
    <w:p w:rsidR="00CB2CFE" w:rsidRDefault="00CB2CFE" w:rsidP="00CB2CFE">
      <w:pPr>
        <w:rPr>
          <w:lang w:eastAsia="en-US"/>
        </w:rPr>
      </w:pPr>
    </w:p>
    <w:p w:rsidR="007C1F2E" w:rsidRDefault="00CB2CFE" w:rsidP="007C1F2E">
      <w:pPr>
        <w:rPr>
          <w:lang w:eastAsia="en-US"/>
        </w:rPr>
      </w:pPr>
      <w:r>
        <w:rPr>
          <w:lang w:eastAsia="en-US"/>
        </w:rPr>
        <w:t>D</w:t>
      </w:r>
      <w:r w:rsidRPr="00CB2CFE">
        <w:rPr>
          <w:lang w:eastAsia="en-US"/>
        </w:rPr>
        <w:t>uring the 19th century</w:t>
      </w:r>
      <w:r w:rsidR="001576ED">
        <w:rPr>
          <w:lang w:eastAsia="en-US"/>
        </w:rPr>
        <w:t>,</w:t>
      </w:r>
      <w:r w:rsidRPr="00CB2CFE">
        <w:rPr>
          <w:lang w:eastAsia="en-US"/>
        </w:rPr>
        <w:t xml:space="preserve"> </w:t>
      </w:r>
      <w:r w:rsidR="00395FDD">
        <w:rPr>
          <w:lang w:eastAsia="en-US"/>
        </w:rPr>
        <w:t xml:space="preserve">water utilities </w:t>
      </w:r>
      <w:r w:rsidRPr="00CB2CFE">
        <w:rPr>
          <w:lang w:eastAsia="en-US"/>
        </w:rPr>
        <w:t xml:space="preserve">were </w:t>
      </w:r>
      <w:r w:rsidR="00395FDD">
        <w:rPr>
          <w:lang w:eastAsia="en-US"/>
        </w:rPr>
        <w:t xml:space="preserve">created or taken over by </w:t>
      </w:r>
      <w:r w:rsidRPr="00CB2CFE">
        <w:rPr>
          <w:lang w:eastAsia="en-US"/>
        </w:rPr>
        <w:t>municipalities</w:t>
      </w:r>
      <w:r w:rsidR="00395FDD">
        <w:rPr>
          <w:lang w:eastAsia="en-US"/>
        </w:rPr>
        <w:t xml:space="preserve"> </w:t>
      </w:r>
      <w:r w:rsidRPr="00CB2CFE">
        <w:rPr>
          <w:lang w:eastAsia="en-US"/>
        </w:rPr>
        <w:t>in</w:t>
      </w:r>
      <w:r w:rsidR="00395FDD">
        <w:rPr>
          <w:lang w:eastAsia="en-US"/>
        </w:rPr>
        <w:t xml:space="preserve"> </w:t>
      </w:r>
      <w:r w:rsidRPr="00CB2CFE">
        <w:rPr>
          <w:lang w:eastAsia="en-US"/>
        </w:rPr>
        <w:t xml:space="preserve">nearly all European countries, including the UK. </w:t>
      </w:r>
      <w:r w:rsidR="007C1F2E" w:rsidRPr="00CB2CFE">
        <w:rPr>
          <w:lang w:eastAsia="en-US"/>
        </w:rPr>
        <w:t>This was linked to the growth of municipal socialism (or</w:t>
      </w:r>
      <w:r w:rsidR="007C1F2E">
        <w:rPr>
          <w:lang w:eastAsia="en-US"/>
        </w:rPr>
        <w:t xml:space="preserve"> </w:t>
      </w:r>
      <w:r w:rsidR="007C1F2E" w:rsidRPr="00CB2CFE">
        <w:rPr>
          <w:lang w:eastAsia="en-US"/>
        </w:rPr>
        <w:t>‘gas and water socialism’), which drove the development of local public services in Europe</w:t>
      </w:r>
      <w:r w:rsidR="007C1F2E">
        <w:rPr>
          <w:lang w:eastAsia="en-US"/>
        </w:rPr>
        <w:t xml:space="preserve">. </w:t>
      </w:r>
      <w:r w:rsidR="007C1F2E" w:rsidRPr="00CB2CFE">
        <w:rPr>
          <w:lang w:eastAsia="en-US"/>
        </w:rPr>
        <w:t xml:space="preserve"> This ideology saw the public sector as a</w:t>
      </w:r>
      <w:r w:rsidR="007C1F2E">
        <w:rPr>
          <w:lang w:eastAsia="en-US"/>
        </w:rPr>
        <w:t xml:space="preserve"> </w:t>
      </w:r>
      <w:r w:rsidR="007C1F2E" w:rsidRPr="00CB2CFE">
        <w:rPr>
          <w:lang w:eastAsia="en-US"/>
        </w:rPr>
        <w:t>mechanism to fulfil a set of economic and political objectives - economic development, public</w:t>
      </w:r>
      <w:r w:rsidR="007C1F2E">
        <w:rPr>
          <w:lang w:eastAsia="en-US"/>
        </w:rPr>
        <w:t xml:space="preserve"> </w:t>
      </w:r>
      <w:r w:rsidR="007C1F2E" w:rsidRPr="00CB2CFE">
        <w:rPr>
          <w:lang w:eastAsia="en-US"/>
        </w:rPr>
        <w:t>health and improvement of social conditions for the urban poor.</w:t>
      </w:r>
      <w:r w:rsidR="007C1F2E">
        <w:rPr>
          <w:lang w:eastAsia="en-US"/>
        </w:rPr>
        <w:t xml:space="preserve"> </w:t>
      </w:r>
      <w:r w:rsidR="007C1F2E" w:rsidRPr="00CB2CFE">
        <w:rPr>
          <w:lang w:eastAsia="en-US"/>
        </w:rPr>
        <w:t>The municipalities developed financial mechanisms superior to the private sector, including</w:t>
      </w:r>
      <w:r w:rsidR="007C1F2E">
        <w:rPr>
          <w:lang w:eastAsia="en-US"/>
        </w:rPr>
        <w:t xml:space="preserve"> </w:t>
      </w:r>
      <w:r w:rsidR="007C1F2E" w:rsidRPr="00CB2CFE">
        <w:rPr>
          <w:lang w:eastAsia="en-US"/>
        </w:rPr>
        <w:t>borrowing long-term money from local savers, at low interest rates because of the security of</w:t>
      </w:r>
      <w:r w:rsidR="007C1F2E">
        <w:rPr>
          <w:lang w:eastAsia="en-US"/>
        </w:rPr>
        <w:t xml:space="preserve"> </w:t>
      </w:r>
      <w:r w:rsidR="007C1F2E" w:rsidRPr="00CB2CFE">
        <w:rPr>
          <w:lang w:eastAsia="en-US"/>
        </w:rPr>
        <w:t>their flow of income from taxes.</w:t>
      </w:r>
      <w:r w:rsidR="007C1F2E">
        <w:rPr>
          <w:rStyle w:val="EndnoteReference"/>
          <w:lang w:eastAsia="en-US"/>
        </w:rPr>
        <w:endnoteReference w:id="1"/>
      </w:r>
    </w:p>
    <w:p w:rsidR="007C1F2E" w:rsidRDefault="007C1F2E" w:rsidP="00CB2CFE">
      <w:pPr>
        <w:rPr>
          <w:lang w:eastAsia="en-US"/>
        </w:rPr>
      </w:pPr>
    </w:p>
    <w:p w:rsidR="00395FDD" w:rsidRDefault="00CB2CFE" w:rsidP="00CB2CFE">
      <w:pPr>
        <w:rPr>
          <w:lang w:eastAsia="en-US"/>
        </w:rPr>
      </w:pPr>
      <w:r w:rsidRPr="00CB2CFE">
        <w:rPr>
          <w:lang w:eastAsia="en-US"/>
        </w:rPr>
        <w:t>If anything, the process of municipalisation was even more rapid in the USA than in</w:t>
      </w:r>
      <w:r w:rsidR="00395FDD">
        <w:rPr>
          <w:lang w:eastAsia="en-US"/>
        </w:rPr>
        <w:t xml:space="preserve"> </w:t>
      </w:r>
      <w:r w:rsidRPr="00CB2CFE">
        <w:rPr>
          <w:lang w:eastAsia="en-US"/>
        </w:rPr>
        <w:t>Europe: by 1897, 82% of the largest cities were served by municipal operations.</w:t>
      </w:r>
      <w:r w:rsidR="00395FDD">
        <w:rPr>
          <w:lang w:eastAsia="en-US"/>
        </w:rPr>
        <w:t xml:space="preserve"> </w:t>
      </w:r>
      <w:r w:rsidRPr="00CB2CFE">
        <w:rPr>
          <w:lang w:eastAsia="en-US"/>
        </w:rPr>
        <w:t>Municipalisation was seen as a way to overcome the systemic inefficiencies of the private</w:t>
      </w:r>
      <w:r w:rsidR="00395FDD">
        <w:rPr>
          <w:lang w:eastAsia="en-US"/>
        </w:rPr>
        <w:t xml:space="preserve"> </w:t>
      </w:r>
      <w:r w:rsidRPr="00CB2CFE">
        <w:rPr>
          <w:lang w:eastAsia="en-US"/>
        </w:rPr>
        <w:t>contractors: “During the 19th century, the previously private</w:t>
      </w:r>
      <w:r w:rsidR="00395FDD">
        <w:rPr>
          <w:lang w:eastAsia="en-US"/>
        </w:rPr>
        <w:t xml:space="preserve"> </w:t>
      </w:r>
      <w:r w:rsidRPr="00CB2CFE">
        <w:rPr>
          <w:lang w:eastAsia="en-US"/>
        </w:rPr>
        <w:t>systems came under public ownership</w:t>
      </w:r>
      <w:r w:rsidR="00395FDD">
        <w:rPr>
          <w:lang w:eastAsia="en-US"/>
        </w:rPr>
        <w:t xml:space="preserve"> </w:t>
      </w:r>
      <w:r w:rsidRPr="00CB2CFE">
        <w:rPr>
          <w:lang w:eastAsia="en-US"/>
        </w:rPr>
        <w:t>and public provision because of the inefficiency, costs and corruption connected to them….Democratically elected city councils bought existing utilities and transport systems and set up</w:t>
      </w:r>
      <w:r w:rsidR="00395FDD">
        <w:rPr>
          <w:lang w:eastAsia="en-US"/>
        </w:rPr>
        <w:t xml:space="preserve"> </w:t>
      </w:r>
      <w:r w:rsidRPr="00CB2CFE">
        <w:rPr>
          <w:lang w:eastAsia="en-US"/>
        </w:rPr>
        <w:t>new ones of their own. This resulted in more effective control, higher employment, and greater</w:t>
      </w:r>
      <w:r w:rsidR="00EC4FDE">
        <w:rPr>
          <w:lang w:eastAsia="en-US"/>
        </w:rPr>
        <w:t xml:space="preserve"> </w:t>
      </w:r>
      <w:r w:rsidRPr="00CB2CFE">
        <w:rPr>
          <w:lang w:eastAsia="en-US"/>
        </w:rPr>
        <w:t>benefits to the local people. Councils also gained the right to borrow money to invest in the</w:t>
      </w:r>
      <w:r w:rsidR="00EC4FDE">
        <w:rPr>
          <w:lang w:eastAsia="en-US"/>
        </w:rPr>
        <w:t xml:space="preserve"> </w:t>
      </w:r>
      <w:r w:rsidRPr="00CB2CFE">
        <w:rPr>
          <w:lang w:eastAsia="en-US"/>
        </w:rPr>
        <w:t xml:space="preserve">development of their own systems”. </w:t>
      </w:r>
      <w:r w:rsidR="007C1F2E">
        <w:rPr>
          <w:rStyle w:val="EndnoteReference"/>
          <w:lang w:eastAsia="en-US"/>
        </w:rPr>
        <w:endnoteReference w:id="2"/>
      </w:r>
    </w:p>
    <w:p w:rsidR="00395FDD" w:rsidRDefault="00395FDD" w:rsidP="00CB2CFE">
      <w:pPr>
        <w:rPr>
          <w:lang w:eastAsia="en-US"/>
        </w:rPr>
      </w:pPr>
    </w:p>
    <w:p w:rsidR="00395FDD" w:rsidRDefault="00CB2CFE" w:rsidP="00CB2CFE">
      <w:pPr>
        <w:rPr>
          <w:b/>
          <w:bCs/>
          <w:lang w:eastAsia="en-US"/>
        </w:rPr>
      </w:pPr>
      <w:r w:rsidRPr="00CB2CFE">
        <w:rPr>
          <w:lang w:eastAsia="en-US"/>
        </w:rPr>
        <w:t>In some countries, water charges continue to be collected through</w:t>
      </w:r>
      <w:r w:rsidR="00395FDD">
        <w:rPr>
          <w:lang w:eastAsia="en-US"/>
        </w:rPr>
        <w:t xml:space="preserve"> </w:t>
      </w:r>
      <w:r w:rsidRPr="00CB2CFE">
        <w:rPr>
          <w:lang w:eastAsia="en-US"/>
        </w:rPr>
        <w:t xml:space="preserve">property taxes rather than metered </w:t>
      </w:r>
      <w:r w:rsidR="00395FDD">
        <w:rPr>
          <w:lang w:eastAsia="en-US"/>
        </w:rPr>
        <w:t>p</w:t>
      </w:r>
      <w:r w:rsidRPr="00CB2CFE">
        <w:rPr>
          <w:lang w:eastAsia="en-US"/>
        </w:rPr>
        <w:t>ayments - in the UK the majority of households continue</w:t>
      </w:r>
      <w:r w:rsidR="00395FDD">
        <w:rPr>
          <w:lang w:eastAsia="en-US"/>
        </w:rPr>
        <w:t xml:space="preserve"> </w:t>
      </w:r>
      <w:r w:rsidRPr="00CB2CFE">
        <w:rPr>
          <w:lang w:eastAsia="en-US"/>
        </w:rPr>
        <w:t>to pay annual charges based on the value of their property, rather than metered consumption</w:t>
      </w:r>
      <w:r w:rsidR="00395FDD">
        <w:rPr>
          <w:lang w:eastAsia="en-US"/>
        </w:rPr>
        <w:t xml:space="preserve"> </w:t>
      </w:r>
      <w:r w:rsidRPr="00CB2CFE">
        <w:rPr>
          <w:lang w:eastAsia="en-US"/>
        </w:rPr>
        <w:t>of water.</w:t>
      </w:r>
      <w:r w:rsidR="007C1F2E" w:rsidRPr="007C1F2E">
        <w:t xml:space="preserve"> </w:t>
      </w:r>
      <w:r w:rsidR="007C1F2E">
        <w:t xml:space="preserve"> </w:t>
      </w:r>
      <w:r w:rsidR="007C1F2E" w:rsidRPr="00395FDD">
        <w:t>Water serv</w:t>
      </w:r>
      <w:r w:rsidR="007C1F2E">
        <w:t xml:space="preserve">ices in the UK were provided by </w:t>
      </w:r>
      <w:r w:rsidR="007C1F2E" w:rsidRPr="00395FDD">
        <w:t xml:space="preserve">municipalities until 1974 and then by state-owned regional authorities until 1989. </w:t>
      </w:r>
      <w:r w:rsidR="00E472CF">
        <w:t xml:space="preserve"> </w:t>
      </w:r>
      <w:r w:rsidR="007C1F2E" w:rsidRPr="00395FDD">
        <w:t>Virtually 100% connection of urban population had been achieved well before that date: the privatised water companies of England have, historically, contributed little to the extension of urban water supply systems in England or Wales (still less in Scotland and Northern Ireland, where the systems remain public).</w:t>
      </w:r>
    </w:p>
    <w:p w:rsidR="00395FDD" w:rsidRDefault="00395FDD" w:rsidP="00395FDD"/>
    <w:p w:rsidR="00CB2CFE" w:rsidRDefault="00395FDD" w:rsidP="001E2B21">
      <w:pPr>
        <w:rPr>
          <w:lang w:eastAsia="en-US"/>
        </w:rPr>
      </w:pPr>
      <w:r w:rsidRPr="00395FDD">
        <w:t xml:space="preserve"> </w:t>
      </w:r>
      <w:r w:rsidR="00CB2CFE" w:rsidRPr="00395FDD">
        <w:t xml:space="preserve">In France, </w:t>
      </w:r>
      <w:r>
        <w:t xml:space="preserve">almost uniquely, </w:t>
      </w:r>
      <w:r w:rsidR="00CB2CFE" w:rsidRPr="00395FDD">
        <w:t xml:space="preserve">the private companies </w:t>
      </w:r>
      <w:r>
        <w:t>have survived from the 19</w:t>
      </w:r>
      <w:r w:rsidRPr="00395FDD">
        <w:rPr>
          <w:vertAlign w:val="superscript"/>
        </w:rPr>
        <w:t>th</w:t>
      </w:r>
      <w:r>
        <w:t xml:space="preserve"> century and evolved in the process. D</w:t>
      </w:r>
      <w:r w:rsidR="00CB2CFE" w:rsidRPr="00395FDD">
        <w:t>uring the 19th century when the dominant system was private concessions,</w:t>
      </w:r>
      <w:r w:rsidRPr="00395FDD">
        <w:t xml:space="preserve"> </w:t>
      </w:r>
      <w:r w:rsidR="00CB2CFE" w:rsidRPr="00395FDD">
        <w:t xml:space="preserve">there was very little growth in connections to the network. </w:t>
      </w:r>
      <w:r w:rsidR="00E472CF">
        <w:t xml:space="preserve"> </w:t>
      </w:r>
      <w:r w:rsidR="00CB2CFE" w:rsidRPr="00395FDD">
        <w:t>The municipalities found it was not legally possible to</w:t>
      </w:r>
      <w:r w:rsidRPr="00395FDD">
        <w:t xml:space="preserve"> </w:t>
      </w:r>
      <w:r w:rsidR="00CB2CFE" w:rsidRPr="00395FDD">
        <w:t>force concession companies to extend the network as public policy required, and therefore introduced municipal</w:t>
      </w:r>
      <w:r w:rsidRPr="00395FDD">
        <w:t xml:space="preserve"> </w:t>
      </w:r>
      <w:r w:rsidR="00CB2CFE" w:rsidRPr="00395FDD">
        <w:t>companies (“régies”) as the vehicle for investment and operation. Virtually all the growth in extension of the network</w:t>
      </w:r>
      <w:r w:rsidRPr="00395FDD">
        <w:t xml:space="preserve"> </w:t>
      </w:r>
      <w:r w:rsidR="00CB2CFE" w:rsidRPr="00395FDD">
        <w:t xml:space="preserve">took place under this form during the first 70 years of the 20th century. </w:t>
      </w:r>
      <w:r w:rsidR="00E472CF">
        <w:t xml:space="preserve"> </w:t>
      </w:r>
      <w:r w:rsidR="00CB2CFE" w:rsidRPr="00395FDD">
        <w:t>This included major extensions in rural areas</w:t>
      </w:r>
      <w:r w:rsidRPr="00395FDD">
        <w:t xml:space="preserve"> </w:t>
      </w:r>
      <w:r w:rsidR="00CB2CFE" w:rsidRPr="00395FDD">
        <w:t>following the Second World War, paid for by the urban population, a massive cross-subsidy only possible as an act</w:t>
      </w:r>
      <w:r w:rsidRPr="00395FDD">
        <w:t xml:space="preserve"> </w:t>
      </w:r>
      <w:r w:rsidR="00CB2CFE" w:rsidRPr="00395FDD">
        <w:t xml:space="preserve">of public policy. </w:t>
      </w:r>
      <w:r w:rsidR="00E472CF">
        <w:t xml:space="preserve"> </w:t>
      </w:r>
      <w:r w:rsidR="00CB2CFE" w:rsidRPr="00395FDD">
        <w:t>From the 1970s, delegation to the private sector grew again to become the dominant mode, but</w:t>
      </w:r>
      <w:r w:rsidRPr="00395FDD">
        <w:t xml:space="preserve"> </w:t>
      </w:r>
      <w:r w:rsidR="00CB2CFE" w:rsidRPr="00395FDD">
        <w:t>this time typically under “affermage” lease contracts, under which responsibility for investments remained with the</w:t>
      </w:r>
      <w:r w:rsidRPr="00395FDD">
        <w:t xml:space="preserve"> </w:t>
      </w:r>
      <w:r w:rsidR="00CB2CFE" w:rsidRPr="00395FDD">
        <w:t xml:space="preserve">municipalities. </w:t>
      </w:r>
      <w:r w:rsidR="00E472CF">
        <w:t xml:space="preserve"> </w:t>
      </w:r>
      <w:r w:rsidR="001E2B21" w:rsidRPr="00395FDD">
        <w:t>Thus even in France the extension of the system was carried out by and through municipalities, not through private operators</w:t>
      </w:r>
      <w:r w:rsidR="001E2B21">
        <w:t>.</w:t>
      </w:r>
    </w:p>
    <w:p w:rsidR="00CB2CFE" w:rsidRPr="00CB2CFE" w:rsidRDefault="00CB2CFE" w:rsidP="00CB2CFE">
      <w:pPr>
        <w:rPr>
          <w:lang w:eastAsia="en-US"/>
        </w:rPr>
      </w:pPr>
    </w:p>
    <w:p w:rsidR="00177F5F" w:rsidRDefault="00CB2CFE" w:rsidP="00CB2CFE">
      <w:pPr>
        <w:rPr>
          <w:lang w:eastAsia="en-US"/>
        </w:rPr>
      </w:pPr>
      <w:r w:rsidRPr="00CB2CFE">
        <w:rPr>
          <w:lang w:eastAsia="en-US"/>
        </w:rPr>
        <w:t>Despite the dominant role of municipalities, central governments have played a significant role in</w:t>
      </w:r>
      <w:r w:rsidR="00CE2EDB">
        <w:rPr>
          <w:lang w:eastAsia="en-US"/>
        </w:rPr>
        <w:t xml:space="preserve"> </w:t>
      </w:r>
      <w:r w:rsidRPr="00CB2CFE">
        <w:rPr>
          <w:lang w:eastAsia="en-US"/>
        </w:rPr>
        <w:t>financing water systems. This has sometimes involved paying directly for the water supply service,</w:t>
      </w:r>
      <w:r w:rsidR="00CE2EDB">
        <w:rPr>
          <w:lang w:eastAsia="en-US"/>
        </w:rPr>
        <w:t xml:space="preserve"> </w:t>
      </w:r>
      <w:r w:rsidRPr="00CB2CFE">
        <w:rPr>
          <w:lang w:eastAsia="en-US"/>
        </w:rPr>
        <w:t>so that there is virtually no role for charges (Ireland); distributing some part of central tax revenue</w:t>
      </w:r>
      <w:r w:rsidR="00CE2EDB">
        <w:rPr>
          <w:lang w:eastAsia="en-US"/>
        </w:rPr>
        <w:t xml:space="preserve"> </w:t>
      </w:r>
      <w:r w:rsidRPr="00CB2CFE">
        <w:rPr>
          <w:lang w:eastAsia="en-US"/>
        </w:rPr>
        <w:t>to support local authority spending on water and other services (Canada); providing cheap</w:t>
      </w:r>
      <w:r w:rsidR="00CE2EDB">
        <w:rPr>
          <w:lang w:eastAsia="en-US"/>
        </w:rPr>
        <w:t xml:space="preserve"> </w:t>
      </w:r>
      <w:r w:rsidRPr="00CB2CFE">
        <w:rPr>
          <w:lang w:eastAsia="en-US"/>
        </w:rPr>
        <w:t>loan finance for local authorities to use for capital investment (USA); or collecting part of water</w:t>
      </w:r>
      <w:r w:rsidR="00CE2EDB">
        <w:rPr>
          <w:lang w:eastAsia="en-US"/>
        </w:rPr>
        <w:t xml:space="preserve"> </w:t>
      </w:r>
      <w:r w:rsidRPr="00CB2CFE">
        <w:rPr>
          <w:lang w:eastAsia="en-US"/>
        </w:rPr>
        <w:t>charges centrally and redistributing it to authorities which need to invest (France). In Europe,</w:t>
      </w:r>
      <w:r w:rsidR="00CE2EDB">
        <w:rPr>
          <w:lang w:eastAsia="en-US"/>
        </w:rPr>
        <w:t xml:space="preserve"> </w:t>
      </w:r>
      <w:r w:rsidRPr="00CB2CFE">
        <w:rPr>
          <w:lang w:eastAsia="en-US"/>
        </w:rPr>
        <w:t>the EU itself plays a major role in public financing of water systems in poorer states</w:t>
      </w:r>
      <w:r w:rsidR="007C1F2E">
        <w:rPr>
          <w:lang w:eastAsia="en-US"/>
        </w:rPr>
        <w:t xml:space="preserve"> through the cohesion and solidarity funds</w:t>
      </w:r>
      <w:r w:rsidRPr="00CB2CFE">
        <w:rPr>
          <w:lang w:eastAsia="en-US"/>
        </w:rPr>
        <w:t>, and through</w:t>
      </w:r>
      <w:r w:rsidR="007C1F2E">
        <w:rPr>
          <w:lang w:eastAsia="en-US"/>
        </w:rPr>
        <w:t xml:space="preserve"> </w:t>
      </w:r>
      <w:r w:rsidRPr="00CB2CFE">
        <w:rPr>
          <w:lang w:eastAsia="en-US"/>
        </w:rPr>
        <w:t>low interest loans from its public sector development instrument, the European Investment Bank</w:t>
      </w:r>
      <w:r w:rsidR="00EB2128">
        <w:rPr>
          <w:lang w:eastAsia="en-US"/>
        </w:rPr>
        <w:t>.</w:t>
      </w:r>
    </w:p>
    <w:p w:rsidR="00CB2CFE" w:rsidRDefault="00CB2CFE" w:rsidP="00CB2CFE">
      <w:pPr>
        <w:rPr>
          <w:lang w:eastAsia="en-US"/>
        </w:rPr>
      </w:pPr>
    </w:p>
    <w:p w:rsidR="001E2B21" w:rsidRDefault="00846145" w:rsidP="001E2B21">
      <w:pPr>
        <w:rPr>
          <w:lang w:eastAsia="en-US"/>
        </w:rPr>
      </w:pPr>
      <w:r>
        <w:rPr>
          <w:lang w:eastAsia="en-US"/>
        </w:rPr>
        <w:t>In</w:t>
      </w:r>
      <w:r w:rsidR="00A2695B">
        <w:rPr>
          <w:lang w:eastAsia="en-US"/>
        </w:rPr>
        <w:t xml:space="preserve"> many cases, </w:t>
      </w:r>
      <w:r>
        <w:rPr>
          <w:lang w:eastAsia="en-US"/>
        </w:rPr>
        <w:t xml:space="preserve">user charges </w:t>
      </w:r>
      <w:r w:rsidR="00867347">
        <w:rPr>
          <w:lang w:eastAsia="en-US"/>
        </w:rPr>
        <w:t xml:space="preserve">still include what are </w:t>
      </w:r>
      <w:r w:rsidR="00DE6625">
        <w:rPr>
          <w:lang w:eastAsia="en-US"/>
        </w:rPr>
        <w:t>effectively ear-marked or</w:t>
      </w:r>
      <w:r w:rsidR="00A2695B">
        <w:rPr>
          <w:lang w:eastAsia="en-US"/>
        </w:rPr>
        <w:t xml:space="preserve"> hypothecated taxes rather than</w:t>
      </w:r>
      <w:r w:rsidR="008A7A6D">
        <w:rPr>
          <w:lang w:eastAsia="en-US"/>
        </w:rPr>
        <w:t xml:space="preserve"> </w:t>
      </w:r>
      <w:r w:rsidR="00A2695B">
        <w:rPr>
          <w:lang w:eastAsia="en-US"/>
        </w:rPr>
        <w:t>charges related to consumption</w:t>
      </w:r>
      <w:r w:rsidR="001E2B21">
        <w:rPr>
          <w:lang w:eastAsia="en-US"/>
        </w:rPr>
        <w:t xml:space="preserve">, </w:t>
      </w:r>
      <w:r w:rsidR="008A7A6D">
        <w:rPr>
          <w:lang w:eastAsia="en-US"/>
        </w:rPr>
        <w:t>even under largely privatised systems. The charges levied by the private water companies in England and Wales are still based on a single annual</w:t>
      </w:r>
      <w:r w:rsidR="001E2B21">
        <w:rPr>
          <w:lang w:eastAsia="en-US"/>
        </w:rPr>
        <w:t xml:space="preserve"> payment</w:t>
      </w:r>
      <w:r w:rsidR="008A7A6D">
        <w:rPr>
          <w:lang w:eastAsia="en-US"/>
        </w:rPr>
        <w:t xml:space="preserve"> based on the value of the property (as specified in a tax base which is now obsolete for local government purposes).  </w:t>
      </w:r>
      <w:r w:rsidR="00867347">
        <w:rPr>
          <w:lang w:eastAsia="en-US"/>
        </w:rPr>
        <w:t xml:space="preserve">In Hungary, despite privatisation of water in most major cities, tax revenues </w:t>
      </w:r>
      <w:r w:rsidR="00CF7E66">
        <w:rPr>
          <w:lang w:eastAsia="en-US"/>
        </w:rPr>
        <w:t xml:space="preserve">of central government </w:t>
      </w:r>
      <w:r w:rsidR="00867347">
        <w:rPr>
          <w:lang w:eastAsia="en-US"/>
        </w:rPr>
        <w:t xml:space="preserve">continue to be the main </w:t>
      </w:r>
      <w:r w:rsidR="00CF7E66">
        <w:rPr>
          <w:lang w:eastAsia="en-US"/>
        </w:rPr>
        <w:t xml:space="preserve">source for financing investment in infrastructure. </w:t>
      </w:r>
      <w:r w:rsidR="001E2B21">
        <w:t>I</w:t>
      </w:r>
      <w:r w:rsidR="001E2B21" w:rsidRPr="00395FDD">
        <w:t>n France</w:t>
      </w:r>
      <w:r w:rsidR="001E2B21">
        <w:t>, “funding for water services is still overwhelmingly public, and private funding accounts for only 12% of the investment” (Pezon</w:t>
      </w:r>
      <w:r w:rsidR="00F94C54">
        <w:t>,</w:t>
      </w:r>
      <w:r w:rsidR="001E2B21">
        <w:t xml:space="preserve"> 2009 p.198) </w:t>
      </w:r>
      <w:r w:rsidR="001E2B21" w:rsidRPr="00395FDD">
        <w:t xml:space="preserve">. While it remains possible for people to hypothesise or imagine that such private water companies might be vehicles for investment to extend water systems, there is no historical record of this happening – not even in France or the UK. </w:t>
      </w:r>
    </w:p>
    <w:p w:rsidR="001E2B21" w:rsidRDefault="001E2B21" w:rsidP="001E2B21">
      <w:pPr>
        <w:pStyle w:val="Heading7"/>
      </w:pPr>
      <w:bookmarkStart w:id="4" w:name="_Toc318886691"/>
      <w:r>
        <w:t>Finance for drinking water and sewerage services in France 2006</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893"/>
        <w:gridCol w:w="1894"/>
      </w:tblGrid>
      <w:tr w:rsidR="001E2B21" w:rsidRPr="00485569" w:rsidTr="00A4432F">
        <w:tc>
          <w:tcPr>
            <w:tcW w:w="3652" w:type="dxa"/>
            <w:shd w:val="clear" w:color="auto" w:fill="auto"/>
          </w:tcPr>
          <w:p w:rsidR="001E2B21" w:rsidRPr="00485569" w:rsidRDefault="001E2B21" w:rsidP="001E26F1">
            <w:pPr>
              <w:rPr>
                <w:lang w:eastAsia="en-US"/>
              </w:rPr>
            </w:pPr>
          </w:p>
        </w:tc>
        <w:tc>
          <w:tcPr>
            <w:tcW w:w="1893" w:type="dxa"/>
            <w:shd w:val="clear" w:color="auto" w:fill="auto"/>
          </w:tcPr>
          <w:p w:rsidR="001E2B21" w:rsidRPr="00485569" w:rsidRDefault="001E2B21" w:rsidP="001E26F1">
            <w:pPr>
              <w:rPr>
                <w:lang w:eastAsia="en-US"/>
              </w:rPr>
            </w:pPr>
            <w:r w:rsidRPr="00485569">
              <w:t>€</w:t>
            </w:r>
            <w:r w:rsidR="00CE2EDB">
              <w:t xml:space="preserve"> </w:t>
            </w:r>
            <w:r w:rsidRPr="00485569">
              <w:t>millions</w:t>
            </w:r>
          </w:p>
        </w:tc>
        <w:tc>
          <w:tcPr>
            <w:tcW w:w="1894" w:type="dxa"/>
            <w:shd w:val="clear" w:color="auto" w:fill="auto"/>
          </w:tcPr>
          <w:p w:rsidR="001E2B21" w:rsidRPr="00485569" w:rsidRDefault="001E2B21" w:rsidP="001E26F1">
            <w:pPr>
              <w:rPr>
                <w:lang w:eastAsia="en-US"/>
              </w:rPr>
            </w:pPr>
            <w:r w:rsidRPr="00485569">
              <w:rPr>
                <w:lang w:eastAsia="en-US"/>
              </w:rPr>
              <w:t xml:space="preserve">Percentage </w:t>
            </w:r>
          </w:p>
        </w:tc>
      </w:tr>
      <w:tr w:rsidR="001E2B21" w:rsidRPr="00485569" w:rsidTr="00A4432F">
        <w:tc>
          <w:tcPr>
            <w:tcW w:w="3652" w:type="dxa"/>
            <w:shd w:val="clear" w:color="auto" w:fill="auto"/>
          </w:tcPr>
          <w:p w:rsidR="001E2B21" w:rsidRPr="00485569" w:rsidRDefault="00555FD6" w:rsidP="00555FD6">
            <w:pPr>
              <w:rPr>
                <w:lang w:eastAsia="en-US"/>
              </w:rPr>
            </w:pPr>
            <w:r w:rsidRPr="00485569">
              <w:rPr>
                <w:lang w:eastAsia="en-US"/>
              </w:rPr>
              <w:t>Private a</w:t>
            </w:r>
            <w:r w:rsidR="001E2B21" w:rsidRPr="00485569">
              <w:rPr>
                <w:lang w:eastAsia="en-US"/>
              </w:rPr>
              <w:t>gents</w:t>
            </w:r>
          </w:p>
        </w:tc>
        <w:tc>
          <w:tcPr>
            <w:tcW w:w="1893" w:type="dxa"/>
            <w:shd w:val="clear" w:color="auto" w:fill="auto"/>
          </w:tcPr>
          <w:p w:rsidR="001E2B21" w:rsidRPr="00485569" w:rsidRDefault="001E2B21" w:rsidP="00A4432F">
            <w:pPr>
              <w:jc w:val="right"/>
              <w:rPr>
                <w:lang w:eastAsia="en-US"/>
              </w:rPr>
            </w:pPr>
            <w:r w:rsidRPr="00485569">
              <w:rPr>
                <w:lang w:eastAsia="en-US"/>
              </w:rPr>
              <w:t>576</w:t>
            </w:r>
          </w:p>
        </w:tc>
        <w:tc>
          <w:tcPr>
            <w:tcW w:w="1894" w:type="dxa"/>
            <w:shd w:val="clear" w:color="auto" w:fill="auto"/>
          </w:tcPr>
          <w:p w:rsidR="001E2B21" w:rsidRPr="00485569" w:rsidRDefault="001E2B21" w:rsidP="00A4432F">
            <w:pPr>
              <w:jc w:val="right"/>
              <w:rPr>
                <w:lang w:eastAsia="en-US"/>
              </w:rPr>
            </w:pPr>
            <w:r w:rsidRPr="00485569">
              <w:rPr>
                <w:lang w:eastAsia="en-US"/>
              </w:rPr>
              <w:t>12</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Local authorities – service budget</w:t>
            </w:r>
          </w:p>
        </w:tc>
        <w:tc>
          <w:tcPr>
            <w:tcW w:w="1893" w:type="dxa"/>
            <w:shd w:val="clear" w:color="auto" w:fill="auto"/>
          </w:tcPr>
          <w:p w:rsidR="001E2B21" w:rsidRPr="00485569" w:rsidRDefault="001E2B21" w:rsidP="00A4432F">
            <w:pPr>
              <w:jc w:val="right"/>
              <w:rPr>
                <w:lang w:eastAsia="en-US"/>
              </w:rPr>
            </w:pPr>
            <w:r w:rsidRPr="00485569">
              <w:rPr>
                <w:lang w:eastAsia="en-US"/>
              </w:rPr>
              <w:t>2370</w:t>
            </w:r>
          </w:p>
        </w:tc>
        <w:tc>
          <w:tcPr>
            <w:tcW w:w="1894" w:type="dxa"/>
            <w:shd w:val="clear" w:color="auto" w:fill="auto"/>
          </w:tcPr>
          <w:p w:rsidR="001E2B21" w:rsidRPr="00485569" w:rsidRDefault="001E2B21" w:rsidP="00A4432F">
            <w:pPr>
              <w:jc w:val="right"/>
              <w:rPr>
                <w:lang w:eastAsia="en-US"/>
              </w:rPr>
            </w:pPr>
            <w:r w:rsidRPr="00485569">
              <w:rPr>
                <w:lang w:eastAsia="en-US"/>
              </w:rPr>
              <w:t>49.4</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Local authorities – general budget</w:t>
            </w:r>
          </w:p>
        </w:tc>
        <w:tc>
          <w:tcPr>
            <w:tcW w:w="1893" w:type="dxa"/>
            <w:shd w:val="clear" w:color="auto" w:fill="auto"/>
          </w:tcPr>
          <w:p w:rsidR="001E2B21" w:rsidRPr="00485569" w:rsidRDefault="001E2B21" w:rsidP="00A4432F">
            <w:pPr>
              <w:jc w:val="right"/>
              <w:rPr>
                <w:lang w:eastAsia="en-US"/>
              </w:rPr>
            </w:pPr>
            <w:r w:rsidRPr="00485569">
              <w:rPr>
                <w:lang w:eastAsia="en-US"/>
              </w:rPr>
              <w:t>141</w:t>
            </w:r>
          </w:p>
        </w:tc>
        <w:tc>
          <w:tcPr>
            <w:tcW w:w="1894" w:type="dxa"/>
            <w:shd w:val="clear" w:color="auto" w:fill="auto"/>
          </w:tcPr>
          <w:p w:rsidR="001E2B21" w:rsidRPr="00485569" w:rsidRDefault="001E2B21" w:rsidP="00A4432F">
            <w:pPr>
              <w:jc w:val="right"/>
              <w:rPr>
                <w:lang w:eastAsia="en-US"/>
              </w:rPr>
            </w:pPr>
            <w:r w:rsidRPr="00485569">
              <w:rPr>
                <w:lang w:eastAsia="en-US"/>
              </w:rPr>
              <w:t>2.9</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Water agencies</w:t>
            </w:r>
          </w:p>
        </w:tc>
        <w:tc>
          <w:tcPr>
            <w:tcW w:w="1893" w:type="dxa"/>
            <w:shd w:val="clear" w:color="auto" w:fill="auto"/>
          </w:tcPr>
          <w:p w:rsidR="001E2B21" w:rsidRPr="00485569" w:rsidRDefault="001E2B21" w:rsidP="00A4432F">
            <w:pPr>
              <w:jc w:val="right"/>
              <w:rPr>
                <w:lang w:eastAsia="en-US"/>
              </w:rPr>
            </w:pPr>
            <w:r w:rsidRPr="00485569">
              <w:rPr>
                <w:lang w:eastAsia="en-US"/>
              </w:rPr>
              <w:t>1161</w:t>
            </w:r>
          </w:p>
        </w:tc>
        <w:tc>
          <w:tcPr>
            <w:tcW w:w="1894" w:type="dxa"/>
            <w:shd w:val="clear" w:color="auto" w:fill="auto"/>
          </w:tcPr>
          <w:p w:rsidR="001E2B21" w:rsidRPr="00485569" w:rsidRDefault="001E2B21" w:rsidP="00A4432F">
            <w:pPr>
              <w:jc w:val="right"/>
              <w:rPr>
                <w:lang w:eastAsia="en-US"/>
              </w:rPr>
            </w:pPr>
            <w:r w:rsidRPr="00485569">
              <w:rPr>
                <w:lang w:eastAsia="en-US"/>
              </w:rPr>
              <w:t>24.0</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Départements</w:t>
            </w:r>
          </w:p>
        </w:tc>
        <w:tc>
          <w:tcPr>
            <w:tcW w:w="1893" w:type="dxa"/>
            <w:shd w:val="clear" w:color="auto" w:fill="auto"/>
          </w:tcPr>
          <w:p w:rsidR="001E2B21" w:rsidRPr="00485569" w:rsidRDefault="001E2B21" w:rsidP="00A4432F">
            <w:pPr>
              <w:jc w:val="right"/>
              <w:rPr>
                <w:lang w:eastAsia="en-US"/>
              </w:rPr>
            </w:pPr>
            <w:r w:rsidRPr="00485569">
              <w:rPr>
                <w:lang w:eastAsia="en-US"/>
              </w:rPr>
              <w:t>367</w:t>
            </w:r>
          </w:p>
        </w:tc>
        <w:tc>
          <w:tcPr>
            <w:tcW w:w="1894" w:type="dxa"/>
            <w:shd w:val="clear" w:color="auto" w:fill="auto"/>
          </w:tcPr>
          <w:p w:rsidR="001E2B21" w:rsidRPr="00485569" w:rsidRDefault="001E2B21" w:rsidP="00A4432F">
            <w:pPr>
              <w:jc w:val="right"/>
              <w:rPr>
                <w:lang w:eastAsia="en-US"/>
              </w:rPr>
            </w:pPr>
            <w:r w:rsidRPr="00485569">
              <w:rPr>
                <w:lang w:eastAsia="en-US"/>
              </w:rPr>
              <w:t>7.6</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State</w:t>
            </w:r>
          </w:p>
        </w:tc>
        <w:tc>
          <w:tcPr>
            <w:tcW w:w="1893" w:type="dxa"/>
            <w:shd w:val="clear" w:color="auto" w:fill="auto"/>
          </w:tcPr>
          <w:p w:rsidR="001E2B21" w:rsidRPr="00485569" w:rsidRDefault="001E2B21" w:rsidP="00A4432F">
            <w:pPr>
              <w:jc w:val="right"/>
              <w:rPr>
                <w:lang w:eastAsia="en-US"/>
              </w:rPr>
            </w:pPr>
            <w:r w:rsidRPr="00485569">
              <w:rPr>
                <w:lang w:eastAsia="en-US"/>
              </w:rPr>
              <w:t>121</w:t>
            </w:r>
          </w:p>
        </w:tc>
        <w:tc>
          <w:tcPr>
            <w:tcW w:w="1894" w:type="dxa"/>
            <w:shd w:val="clear" w:color="auto" w:fill="auto"/>
          </w:tcPr>
          <w:p w:rsidR="001E2B21" w:rsidRPr="00485569" w:rsidRDefault="001E2B21" w:rsidP="00A4432F">
            <w:pPr>
              <w:jc w:val="right"/>
              <w:rPr>
                <w:lang w:eastAsia="en-US"/>
              </w:rPr>
            </w:pPr>
            <w:r w:rsidRPr="00485569">
              <w:rPr>
                <w:lang w:eastAsia="en-US"/>
              </w:rPr>
              <w:t>2.5</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Regions</w:t>
            </w:r>
          </w:p>
        </w:tc>
        <w:tc>
          <w:tcPr>
            <w:tcW w:w="1893" w:type="dxa"/>
            <w:shd w:val="clear" w:color="auto" w:fill="auto"/>
          </w:tcPr>
          <w:p w:rsidR="001E2B21" w:rsidRPr="00485569" w:rsidRDefault="001E2B21" w:rsidP="00A4432F">
            <w:pPr>
              <w:jc w:val="right"/>
              <w:rPr>
                <w:lang w:eastAsia="en-US"/>
              </w:rPr>
            </w:pPr>
            <w:r w:rsidRPr="00485569">
              <w:rPr>
                <w:lang w:eastAsia="en-US"/>
              </w:rPr>
              <w:t>64</w:t>
            </w:r>
          </w:p>
        </w:tc>
        <w:tc>
          <w:tcPr>
            <w:tcW w:w="1894" w:type="dxa"/>
            <w:shd w:val="clear" w:color="auto" w:fill="auto"/>
          </w:tcPr>
          <w:p w:rsidR="001E2B21" w:rsidRPr="00485569" w:rsidRDefault="001E2B21" w:rsidP="00A4432F">
            <w:pPr>
              <w:jc w:val="right"/>
              <w:rPr>
                <w:lang w:eastAsia="en-US"/>
              </w:rPr>
            </w:pPr>
            <w:r w:rsidRPr="00485569">
              <w:rPr>
                <w:lang w:eastAsia="en-US"/>
              </w:rPr>
              <w:t>1.3</w:t>
            </w:r>
          </w:p>
        </w:tc>
      </w:tr>
      <w:tr w:rsidR="001E2B21" w:rsidRPr="00485569" w:rsidTr="00A4432F">
        <w:tc>
          <w:tcPr>
            <w:tcW w:w="3652" w:type="dxa"/>
            <w:shd w:val="clear" w:color="auto" w:fill="auto"/>
          </w:tcPr>
          <w:p w:rsidR="001E2B21" w:rsidRPr="00485569" w:rsidRDefault="001E2B21" w:rsidP="001E26F1">
            <w:pPr>
              <w:rPr>
                <w:lang w:eastAsia="en-US"/>
              </w:rPr>
            </w:pPr>
            <w:r w:rsidRPr="00485569">
              <w:rPr>
                <w:lang w:eastAsia="en-US"/>
              </w:rPr>
              <w:t>TOTAL all sources</w:t>
            </w:r>
          </w:p>
        </w:tc>
        <w:tc>
          <w:tcPr>
            <w:tcW w:w="1893" w:type="dxa"/>
            <w:shd w:val="clear" w:color="auto" w:fill="auto"/>
          </w:tcPr>
          <w:p w:rsidR="001E2B21" w:rsidRPr="00485569" w:rsidRDefault="001E2B21" w:rsidP="00A4432F">
            <w:pPr>
              <w:jc w:val="right"/>
              <w:rPr>
                <w:lang w:eastAsia="en-US"/>
              </w:rPr>
            </w:pPr>
            <w:r w:rsidRPr="00485569">
              <w:rPr>
                <w:lang w:eastAsia="en-US"/>
              </w:rPr>
              <w:t>4800</w:t>
            </w:r>
          </w:p>
        </w:tc>
        <w:tc>
          <w:tcPr>
            <w:tcW w:w="1894" w:type="dxa"/>
            <w:shd w:val="clear" w:color="auto" w:fill="auto"/>
          </w:tcPr>
          <w:p w:rsidR="001E2B21" w:rsidRPr="00485569" w:rsidRDefault="001E2B21" w:rsidP="00A4432F">
            <w:pPr>
              <w:jc w:val="right"/>
              <w:rPr>
                <w:lang w:eastAsia="en-US"/>
              </w:rPr>
            </w:pPr>
            <w:r w:rsidRPr="00485569">
              <w:rPr>
                <w:lang w:eastAsia="en-US"/>
              </w:rPr>
              <w:t>100</w:t>
            </w:r>
          </w:p>
        </w:tc>
      </w:tr>
    </w:tbl>
    <w:p w:rsidR="001E2B21" w:rsidRDefault="001E2B21" w:rsidP="001E2B21">
      <w:pPr>
        <w:rPr>
          <w:lang w:eastAsia="en-US"/>
        </w:rPr>
      </w:pPr>
      <w:r w:rsidRPr="00CB2CFE">
        <w:rPr>
          <w:lang w:eastAsia="en-US"/>
        </w:rPr>
        <w:t>Source: Pezon (200</w:t>
      </w:r>
      <w:r>
        <w:rPr>
          <w:lang w:eastAsia="en-US"/>
        </w:rPr>
        <w:t>9</w:t>
      </w:r>
      <w:r w:rsidRPr="00CB2CFE">
        <w:rPr>
          <w:lang w:eastAsia="en-US"/>
        </w:rPr>
        <w:t>)</w:t>
      </w:r>
      <w:r>
        <w:rPr>
          <w:lang w:eastAsia="en-US"/>
        </w:rPr>
        <w:t xml:space="preserve"> </w:t>
      </w:r>
      <w:r>
        <w:rPr>
          <w:rStyle w:val="EndnoteReference"/>
          <w:lang w:eastAsia="en-US"/>
        </w:rPr>
        <w:endnoteReference w:id="3"/>
      </w:r>
      <w:r>
        <w:rPr>
          <w:lang w:eastAsia="en-US"/>
        </w:rPr>
        <w:t xml:space="preserve">  </w:t>
      </w:r>
    </w:p>
    <w:p w:rsidR="002D255B" w:rsidRDefault="002D255B" w:rsidP="00097BDC">
      <w:pPr>
        <w:rPr>
          <w:lang w:eastAsia="en-US"/>
        </w:rPr>
      </w:pPr>
    </w:p>
    <w:p w:rsidR="00C83C7C" w:rsidRDefault="002D255B" w:rsidP="00521B80">
      <w:pPr>
        <w:rPr>
          <w:szCs w:val="22"/>
        </w:rPr>
      </w:pPr>
      <w:r>
        <w:rPr>
          <w:lang w:eastAsia="en-US"/>
        </w:rPr>
        <w:t xml:space="preserve">In Europe, the use of taxation to finance water infrastructure is now institutionalised at European level through the EU </w:t>
      </w:r>
      <w:r w:rsidR="00CF7E66">
        <w:rPr>
          <w:lang w:eastAsia="en-US"/>
        </w:rPr>
        <w:t>cohesion funds</w:t>
      </w:r>
      <w:r>
        <w:rPr>
          <w:lang w:eastAsia="en-US"/>
        </w:rPr>
        <w:t>. The</w:t>
      </w:r>
      <w:r w:rsidR="00CE2EDB">
        <w:rPr>
          <w:lang w:eastAsia="en-US"/>
        </w:rPr>
        <w:t xml:space="preserve"> EU collects about €20</w:t>
      </w:r>
      <w:r w:rsidRPr="002D255B">
        <w:rPr>
          <w:lang w:eastAsia="en-US"/>
        </w:rPr>
        <w:t xml:space="preserve"> in taxes from every person in the EU each year to support investment in water and sanitation</w:t>
      </w:r>
      <w:r w:rsidR="00CF7E66">
        <w:rPr>
          <w:lang w:eastAsia="en-US"/>
        </w:rPr>
        <w:t xml:space="preserve"> </w:t>
      </w:r>
      <w:r>
        <w:rPr>
          <w:lang w:eastAsia="en-US"/>
        </w:rPr>
        <w:t xml:space="preserve">through these funds, and they remain an </w:t>
      </w:r>
      <w:r w:rsidR="00CF7E66">
        <w:rPr>
          <w:lang w:eastAsia="en-US"/>
        </w:rPr>
        <w:t>important source of finance for investments in central and eastern Europe, as they were in southern Eu</w:t>
      </w:r>
      <w:r>
        <w:rPr>
          <w:lang w:eastAsia="en-US"/>
        </w:rPr>
        <w:t>rope during the 1980s and 1990</w:t>
      </w:r>
      <w:r w:rsidR="00CE2EDB">
        <w:rPr>
          <w:lang w:eastAsia="en-US"/>
        </w:rPr>
        <w:t>s</w:t>
      </w:r>
      <w:r>
        <w:rPr>
          <w:lang w:eastAsia="en-US"/>
        </w:rPr>
        <w:t>, where the impact was</w:t>
      </w:r>
      <w:r w:rsidR="00521B80">
        <w:rPr>
          <w:lang w:eastAsia="en-US"/>
        </w:rPr>
        <w:t xml:space="preserve"> </w:t>
      </w:r>
      <w:r>
        <w:rPr>
          <w:lang w:eastAsia="en-US"/>
        </w:rPr>
        <w:t>substantial:</w:t>
      </w:r>
      <w:r w:rsidR="00521B80">
        <w:rPr>
          <w:lang w:eastAsia="en-US"/>
        </w:rPr>
        <w:t xml:space="preserve"> i</w:t>
      </w:r>
      <w:r>
        <w:rPr>
          <w:szCs w:val="22"/>
        </w:rPr>
        <w:t xml:space="preserve">n Portugal, </w:t>
      </w:r>
      <w:r w:rsidR="00521B80">
        <w:rPr>
          <w:szCs w:val="22"/>
        </w:rPr>
        <w:t xml:space="preserve">for example, </w:t>
      </w:r>
      <w:r>
        <w:rPr>
          <w:szCs w:val="22"/>
        </w:rPr>
        <w:t>the population connected to</w:t>
      </w:r>
      <w:r w:rsidR="00521B80">
        <w:rPr>
          <w:szCs w:val="22"/>
        </w:rPr>
        <w:t xml:space="preserve"> piped </w:t>
      </w:r>
      <w:r>
        <w:rPr>
          <w:szCs w:val="22"/>
        </w:rPr>
        <w:t>water supply rose from 61% in 1989 to 95% in 1999</w:t>
      </w:r>
      <w:r w:rsidR="00521B80">
        <w:rPr>
          <w:szCs w:val="22"/>
        </w:rPr>
        <w:t xml:space="preserve">. </w:t>
      </w:r>
      <w:r>
        <w:rPr>
          <w:rStyle w:val="EndnoteReference"/>
          <w:szCs w:val="22"/>
        </w:rPr>
        <w:endnoteReference w:id="4"/>
      </w:r>
    </w:p>
    <w:p w:rsidR="002D255B" w:rsidRDefault="002D255B" w:rsidP="002D255B">
      <w:pPr>
        <w:rPr>
          <w:szCs w:val="22"/>
        </w:rPr>
      </w:pPr>
    </w:p>
    <w:p w:rsidR="009C3D6B" w:rsidRDefault="00EE58A5" w:rsidP="009C3D6B">
      <w:pPr>
        <w:rPr>
          <w:lang w:eastAsia="en-US"/>
        </w:rPr>
      </w:pPr>
      <w:r>
        <w:rPr>
          <w:szCs w:val="22"/>
        </w:rPr>
        <w:lastRenderedPageBreak/>
        <w:t xml:space="preserve">Public finance played the same central role in developing water </w:t>
      </w:r>
      <w:r w:rsidR="009C3D6B">
        <w:rPr>
          <w:szCs w:val="22"/>
        </w:rPr>
        <w:t xml:space="preserve">and sanitation </w:t>
      </w:r>
      <w:r>
        <w:rPr>
          <w:szCs w:val="22"/>
        </w:rPr>
        <w:t xml:space="preserve">systems in Japan, and </w:t>
      </w:r>
      <w:r w:rsidR="009148AB">
        <w:rPr>
          <w:szCs w:val="22"/>
        </w:rPr>
        <w:t xml:space="preserve">in </w:t>
      </w:r>
      <w:r w:rsidR="00F44833">
        <w:rPr>
          <w:szCs w:val="22"/>
        </w:rPr>
        <w:t>North America</w:t>
      </w:r>
      <w:r>
        <w:rPr>
          <w:szCs w:val="22"/>
        </w:rPr>
        <w:t xml:space="preserve">. </w:t>
      </w:r>
      <w:r w:rsidR="009C3D6B">
        <w:rPr>
          <w:lang w:eastAsia="en-US"/>
        </w:rPr>
        <w:t xml:space="preserve">Investment in large-scale capture and storage of water, and flood management, is also carried out overwhelmingly by public investment. </w:t>
      </w:r>
      <w:r w:rsidR="00521B80">
        <w:rPr>
          <w:lang w:eastAsia="en-US"/>
        </w:rPr>
        <w:t>Japan’s flood management programme continues to attract €9</w:t>
      </w:r>
      <w:r w:rsidR="00CE2EDB">
        <w:rPr>
          <w:lang w:eastAsia="en-US"/>
        </w:rPr>
        <w:t xml:space="preserve"> </w:t>
      </w:r>
      <w:r w:rsidR="00521B80">
        <w:rPr>
          <w:lang w:eastAsia="en-US"/>
        </w:rPr>
        <w:t xml:space="preserve">billion investment from public funds each year. </w:t>
      </w:r>
      <w:r w:rsidR="009C3D6B">
        <w:rPr>
          <w:lang w:eastAsia="en-US"/>
        </w:rPr>
        <w:t>These infrastructure projects have also been key elements in nation-building and economic developm</w:t>
      </w:r>
      <w:r w:rsidR="009C3D6B" w:rsidRPr="008E2687">
        <w:rPr>
          <w:rFonts w:cs="Calibri"/>
          <w:lang w:eastAsia="en-US"/>
        </w:rPr>
        <w:t>ent: “The United States has invested trillions of dollars in hydraulic infrastructure. While these investments have been recognized as crucial to promoting growth, many of the largest federal investments in US history were made to curb the destructive effects of water, particularly in response to devastating floods.</w:t>
      </w:r>
      <w:r w:rsidR="00CE2EDB" w:rsidRPr="008E2687">
        <w:rPr>
          <w:rFonts w:cs="Calibri"/>
          <w:lang w:eastAsia="en-US"/>
        </w:rPr>
        <w:t xml:space="preserve"> </w:t>
      </w:r>
      <w:r w:rsidR="009C3D6B" w:rsidRPr="008E2687">
        <w:rPr>
          <w:rFonts w:cs="Calibri"/>
        </w:rPr>
        <w:t xml:space="preserve"> The nation’s founders saw investments in water development as a way to bring the nation together</w:t>
      </w:r>
      <w:r w:rsidR="009C3D6B" w:rsidRPr="008E2687">
        <w:rPr>
          <w:rFonts w:cs="Calibri"/>
          <w:lang w:eastAsia="en-US"/>
        </w:rPr>
        <w:t xml:space="preserve">”. </w:t>
      </w:r>
      <w:r w:rsidR="00CE2EDB" w:rsidRPr="008E2687">
        <w:rPr>
          <w:rFonts w:cs="Calibri"/>
          <w:lang w:eastAsia="en-US"/>
        </w:rPr>
        <w:t xml:space="preserve"> </w:t>
      </w:r>
      <w:r w:rsidR="009C3D6B" w:rsidRPr="008E2687">
        <w:rPr>
          <w:rFonts w:cs="Calibri"/>
          <w:lang w:eastAsia="en-US"/>
        </w:rPr>
        <w:t>Indeed, the USA uses part of its military, the US Army Corps of Engineers, to carry out and man</w:t>
      </w:r>
      <w:r w:rsidR="00EE454A" w:rsidRPr="008E2687">
        <w:rPr>
          <w:rFonts w:cs="Calibri"/>
          <w:lang w:eastAsia="en-US"/>
        </w:rPr>
        <w:t>a</w:t>
      </w:r>
      <w:r w:rsidR="00E06B7E">
        <w:rPr>
          <w:rFonts w:cs="Calibri"/>
          <w:lang w:eastAsia="en-US"/>
        </w:rPr>
        <w:t>ge much of this investment.</w:t>
      </w:r>
      <w:r w:rsidR="009C3D6B" w:rsidRPr="008E2687">
        <w:rPr>
          <w:rStyle w:val="EndnoteReference"/>
          <w:rFonts w:cs="Calibri"/>
          <w:lang w:eastAsia="en-US"/>
        </w:rPr>
        <w:endnoteReference w:id="5"/>
      </w:r>
    </w:p>
    <w:p w:rsidR="009C3D6B" w:rsidRDefault="009C3D6B" w:rsidP="009148AB">
      <w:pPr>
        <w:rPr>
          <w:szCs w:val="22"/>
        </w:rPr>
      </w:pPr>
    </w:p>
    <w:p w:rsidR="009C3D6B" w:rsidRDefault="00435690" w:rsidP="009148AB">
      <w:pPr>
        <w:rPr>
          <w:szCs w:val="22"/>
        </w:rPr>
      </w:pPr>
      <w:r>
        <w:rPr>
          <w:szCs w:val="22"/>
        </w:rPr>
        <w:t xml:space="preserve">The history of water and sanitation in Toronto, Canada, illustrates a typical developmental path. In the early 1870s the growing city suffered from cholera and typhoid due to inadequate sanitation, and the  </w:t>
      </w:r>
      <w:r w:rsidRPr="00663CE2">
        <w:rPr>
          <w:szCs w:val="22"/>
        </w:rPr>
        <w:t>city council</w:t>
      </w:r>
      <w:r>
        <w:rPr>
          <w:szCs w:val="22"/>
        </w:rPr>
        <w:t xml:space="preserve">, despite an economic recession, not only municipalised the water service, it installed  new sewers and made sewerage connections compulsory, for public health reasons, whether householders asked for it or not, financed by the municipality.  The benefits were immense: </w:t>
      </w:r>
      <w:r w:rsidRPr="002B03CD">
        <w:rPr>
          <w:szCs w:val="22"/>
        </w:rPr>
        <w:t>“</w:t>
      </w:r>
      <w:r w:rsidRPr="002B03CD">
        <w:rPr>
          <w:color w:val="000000"/>
          <w:szCs w:val="22"/>
        </w:rPr>
        <w:t>This unprecedented power…led to tremendous sewer development in the 1880’s</w:t>
      </w:r>
      <w:r>
        <w:rPr>
          <w:color w:val="000000"/>
          <w:szCs w:val="22"/>
        </w:rPr>
        <w:t>…..</w:t>
      </w:r>
      <w:r w:rsidRPr="002B03CD">
        <w:rPr>
          <w:color w:val="000000"/>
          <w:szCs w:val="22"/>
        </w:rPr>
        <w:t xml:space="preserve">The effects of the typhoid fever epidemic were greatly reduced by the presence of a complete, clean sewage system. At the beginning of the 20th century, most of the streets in the city had been serviced and the operational costs were met through direct taxation.” </w:t>
      </w:r>
      <w:r>
        <w:rPr>
          <w:rStyle w:val="EndnoteReference"/>
          <w:lang w:eastAsia="en-US"/>
        </w:rPr>
        <w:endnoteReference w:id="6"/>
      </w:r>
      <w:r>
        <w:rPr>
          <w:color w:val="000000"/>
          <w:szCs w:val="22"/>
        </w:rPr>
        <w:t xml:space="preserve">  </w:t>
      </w:r>
      <w:r w:rsidRPr="00663CE2">
        <w:rPr>
          <w:szCs w:val="22"/>
        </w:rPr>
        <w:t>Th</w:t>
      </w:r>
      <w:r>
        <w:rPr>
          <w:szCs w:val="22"/>
        </w:rPr>
        <w:t>e same approach was then taken up across the</w:t>
      </w:r>
      <w:r w:rsidRPr="00663CE2">
        <w:rPr>
          <w:bCs/>
          <w:iCs/>
          <w:szCs w:val="22"/>
        </w:rPr>
        <w:t xml:space="preserve"> province of Ontario</w:t>
      </w:r>
      <w:r>
        <w:rPr>
          <w:bCs/>
          <w:iCs/>
          <w:szCs w:val="22"/>
        </w:rPr>
        <w:t xml:space="preserve">, where public water systems grew rapidly by the turn of the century. The </w:t>
      </w:r>
      <w:r w:rsidRPr="00663CE2">
        <w:rPr>
          <w:bCs/>
          <w:iCs/>
          <w:szCs w:val="22"/>
        </w:rPr>
        <w:t xml:space="preserve">Public Health Act 1912 </w:t>
      </w:r>
      <w:r>
        <w:rPr>
          <w:bCs/>
          <w:iCs/>
          <w:szCs w:val="22"/>
        </w:rPr>
        <w:t xml:space="preserve">enshrined the Toronto principles of public finance and compulsory connection, by giving </w:t>
      </w:r>
      <w:r w:rsidRPr="00663CE2">
        <w:rPr>
          <w:bCs/>
          <w:iCs/>
          <w:szCs w:val="22"/>
        </w:rPr>
        <w:t>the provincial board of health the right not only to decide when a water or sewerage system was necessary “in the interest of the public health”, but also to require</w:t>
      </w:r>
      <w:r>
        <w:rPr>
          <w:bCs/>
          <w:iCs/>
          <w:szCs w:val="22"/>
        </w:rPr>
        <w:t xml:space="preserve"> </w:t>
      </w:r>
      <w:r w:rsidRPr="00663CE2">
        <w:rPr>
          <w:bCs/>
          <w:iCs/>
          <w:szCs w:val="22"/>
        </w:rPr>
        <w:t xml:space="preserve">local councils to finance it. </w:t>
      </w:r>
      <w:r w:rsidRPr="00663CE2">
        <w:rPr>
          <w:rStyle w:val="EndnoteReference"/>
          <w:szCs w:val="22"/>
          <w:lang w:eastAsia="en-US"/>
        </w:rPr>
        <w:endnoteReference w:id="7"/>
      </w:r>
      <w:r>
        <w:rPr>
          <w:lang w:eastAsia="en-US"/>
        </w:rPr>
        <w:t xml:space="preserve">  The water and sanitation system of Toronto has continued to be publicly run and financed. As a proportion of the household incomes of Toronto, there is a long-term downward trend, after the peaks in expenditure which were temporarily necessary to </w:t>
      </w:r>
      <w:r w:rsidR="00BE6463">
        <w:rPr>
          <w:lang w:eastAsia="en-US"/>
        </w:rPr>
        <w:t>construct a</w:t>
      </w:r>
      <w:r w:rsidR="00116D05">
        <w:rPr>
          <w:lang w:eastAsia="en-US"/>
        </w:rPr>
        <w:t xml:space="preserve"> comprehensive network</w:t>
      </w:r>
      <w:r>
        <w:rPr>
          <w:lang w:eastAsia="en-US"/>
        </w:rPr>
        <w:t>.</w:t>
      </w:r>
      <w:r>
        <w:rPr>
          <w:rStyle w:val="EndnoteReference"/>
          <w:lang w:eastAsia="en-US"/>
        </w:rPr>
        <w:endnoteReference w:id="8"/>
      </w:r>
      <w:r>
        <w:rPr>
          <w:szCs w:val="22"/>
        </w:rPr>
        <w:t xml:space="preserve"> </w:t>
      </w:r>
    </w:p>
    <w:p w:rsidR="002D255B" w:rsidRDefault="00F24AB5" w:rsidP="00FD0B00">
      <w:pPr>
        <w:pStyle w:val="Heading2"/>
      </w:pPr>
      <w:bookmarkStart w:id="5" w:name="_Toc318886692"/>
      <w:r>
        <w:t>General economic advantage of public finance</w:t>
      </w:r>
      <w:bookmarkEnd w:id="5"/>
    </w:p>
    <w:p w:rsidR="00670811" w:rsidRDefault="00FD0B00" w:rsidP="00F24AB5">
      <w:pPr>
        <w:rPr>
          <w:lang w:eastAsia="en-US"/>
        </w:rPr>
      </w:pPr>
      <w:r>
        <w:rPr>
          <w:lang w:eastAsia="en-US"/>
        </w:rPr>
        <w:t xml:space="preserve">There are clear economic reasons why public spending has been the preferred method of financing water infrastructure, which are demonstrated in Massarutto’s analysis of the Italian water </w:t>
      </w:r>
      <w:r w:rsidR="00116D05">
        <w:rPr>
          <w:lang w:eastAsia="en-US"/>
        </w:rPr>
        <w:t>sector</w:t>
      </w:r>
      <w:r w:rsidR="00CE2EDB">
        <w:rPr>
          <w:lang w:eastAsia="en-US"/>
        </w:rPr>
        <w:t>.</w:t>
      </w:r>
      <w:r>
        <w:rPr>
          <w:rStyle w:val="EndnoteReference"/>
          <w:lang w:eastAsia="en-US"/>
        </w:rPr>
        <w:endnoteReference w:id="9"/>
      </w:r>
      <w:r>
        <w:rPr>
          <w:lang w:eastAsia="en-US"/>
        </w:rPr>
        <w:t xml:space="preserve"> </w:t>
      </w:r>
    </w:p>
    <w:p w:rsidR="00670811" w:rsidRDefault="00670811" w:rsidP="00F24AB5">
      <w:pPr>
        <w:rPr>
          <w:lang w:eastAsia="en-US"/>
        </w:rPr>
      </w:pPr>
    </w:p>
    <w:p w:rsidR="00137469" w:rsidRDefault="00670811" w:rsidP="00F24AB5">
      <w:pPr>
        <w:rPr>
          <w:lang w:eastAsia="en-US"/>
        </w:rPr>
      </w:pPr>
      <w:r>
        <w:rPr>
          <w:lang w:eastAsia="en-US"/>
        </w:rPr>
        <w:t xml:space="preserve">Firstly, the </w:t>
      </w:r>
      <w:r w:rsidR="00FD0B00">
        <w:rPr>
          <w:lang w:eastAsia="en-US"/>
        </w:rPr>
        <w:t>state can finance construction directly from tax revenues, in which case the cost of capital is zero; if it chooses to borrow, as a way of shifting some costs onto future taxpayers, it can do so more cheaply than the private sector, because of the superior security of tax revenues.</w:t>
      </w:r>
      <w:r w:rsidR="00CE2EDB">
        <w:rPr>
          <w:lang w:eastAsia="en-US"/>
        </w:rPr>
        <w:t xml:space="preserve"> </w:t>
      </w:r>
      <w:r w:rsidR="00FD0B00">
        <w:rPr>
          <w:lang w:eastAsia="en-US"/>
        </w:rPr>
        <w:t xml:space="preserve"> Private investors not only have to pay higher interest rates, but also face the risk of being unable to secure long-term returns on sunk investments. </w:t>
      </w:r>
    </w:p>
    <w:p w:rsidR="00137469" w:rsidRDefault="00137469" w:rsidP="00F24AB5">
      <w:pPr>
        <w:rPr>
          <w:lang w:eastAsia="en-US"/>
        </w:rPr>
      </w:pPr>
    </w:p>
    <w:p w:rsidR="00FD0B00" w:rsidRDefault="00FD0B00" w:rsidP="00F24AB5">
      <w:pPr>
        <w:rPr>
          <w:lang w:eastAsia="en-US"/>
        </w:rPr>
      </w:pPr>
      <w:r>
        <w:rPr>
          <w:lang w:eastAsia="en-US"/>
        </w:rPr>
        <w:t>Capital costs repre</w:t>
      </w:r>
      <w:r w:rsidR="00F24AB5">
        <w:rPr>
          <w:lang w:eastAsia="en-US"/>
        </w:rPr>
        <w:t xml:space="preserve">sent 75% or more of total costs, and so the lower cost of public finance is decisive. </w:t>
      </w:r>
      <w:r w:rsidR="00521B80">
        <w:rPr>
          <w:lang w:eastAsia="en-US"/>
        </w:rPr>
        <w:t>T</w:t>
      </w:r>
      <w:r w:rsidR="00F24AB5" w:rsidRPr="00F24AB5">
        <w:rPr>
          <w:lang w:eastAsia="en-US"/>
        </w:rPr>
        <w:t xml:space="preserve">he difference in the capital cost </w:t>
      </w:r>
      <w:r w:rsidR="00137469">
        <w:rPr>
          <w:lang w:eastAsia="en-US"/>
        </w:rPr>
        <w:t xml:space="preserve">between public and private </w:t>
      </w:r>
      <w:r w:rsidR="00F24AB5" w:rsidRPr="00F24AB5">
        <w:rPr>
          <w:lang w:eastAsia="en-US"/>
        </w:rPr>
        <w:t xml:space="preserve">is as large as the </w:t>
      </w:r>
      <w:r w:rsidR="00F24AB5" w:rsidRPr="00F24AB5">
        <w:rPr>
          <w:i/>
          <w:lang w:eastAsia="en-US"/>
        </w:rPr>
        <w:t>total</w:t>
      </w:r>
      <w:r w:rsidR="00F24AB5">
        <w:rPr>
          <w:lang w:eastAsia="en-US"/>
        </w:rPr>
        <w:t xml:space="preserve"> </w:t>
      </w:r>
      <w:r w:rsidR="00F24AB5" w:rsidRPr="00F24AB5">
        <w:rPr>
          <w:lang w:eastAsia="en-US"/>
        </w:rPr>
        <w:t>operational cost</w:t>
      </w:r>
      <w:r w:rsidR="00137469">
        <w:rPr>
          <w:lang w:eastAsia="en-US"/>
        </w:rPr>
        <w:t xml:space="preserve">, in </w:t>
      </w:r>
      <w:r w:rsidR="00521B80">
        <w:rPr>
          <w:lang w:eastAsia="en-US"/>
        </w:rPr>
        <w:t>M</w:t>
      </w:r>
      <w:r w:rsidR="00137469">
        <w:rPr>
          <w:lang w:eastAsia="en-US"/>
        </w:rPr>
        <w:t>assarutto’s study of Italy</w:t>
      </w:r>
      <w:r w:rsidR="00F24AB5" w:rsidRPr="00F24AB5">
        <w:rPr>
          <w:lang w:eastAsia="en-US"/>
        </w:rPr>
        <w:t xml:space="preserve">. </w:t>
      </w:r>
      <w:r w:rsidR="00CE2EDB">
        <w:rPr>
          <w:lang w:eastAsia="en-US"/>
        </w:rPr>
        <w:t xml:space="preserve"> </w:t>
      </w:r>
      <w:r w:rsidR="00F24AB5">
        <w:rPr>
          <w:lang w:eastAsia="en-US"/>
        </w:rPr>
        <w:t>It is therefore impossible for the private sector to offset higher capital costs by comparative savings</w:t>
      </w:r>
      <w:r w:rsidR="00137469">
        <w:rPr>
          <w:lang w:eastAsia="en-US"/>
        </w:rPr>
        <w:t xml:space="preserve"> </w:t>
      </w:r>
      <w:r w:rsidR="00F24AB5">
        <w:rPr>
          <w:lang w:eastAsia="en-US"/>
        </w:rPr>
        <w:t xml:space="preserve">in operational efficiency </w:t>
      </w:r>
      <w:r w:rsidR="00137469">
        <w:rPr>
          <w:lang w:eastAsia="en-US"/>
        </w:rPr>
        <w:t>(</w:t>
      </w:r>
      <w:r w:rsidR="00F24AB5">
        <w:rPr>
          <w:lang w:eastAsia="en-US"/>
        </w:rPr>
        <w:t xml:space="preserve">and the cumulative evidence </w:t>
      </w:r>
      <w:r w:rsidR="00317804">
        <w:rPr>
          <w:lang w:eastAsia="en-US"/>
        </w:rPr>
        <w:t>of numerous</w:t>
      </w:r>
      <w:r w:rsidR="00F24AB5">
        <w:rPr>
          <w:lang w:eastAsia="en-US"/>
        </w:rPr>
        <w:t xml:space="preserve"> studies is that the private sector does not, in any case, have any systematic advantage in terms of operating efficiency</w:t>
      </w:r>
      <w:r w:rsidR="00137469">
        <w:rPr>
          <w:lang w:eastAsia="en-US"/>
        </w:rPr>
        <w:t>)</w:t>
      </w:r>
      <w:r w:rsidR="00F24AB5">
        <w:rPr>
          <w:lang w:eastAsia="en-US"/>
        </w:rPr>
        <w:t>.</w:t>
      </w:r>
      <w:r w:rsidR="00F24AB5">
        <w:rPr>
          <w:rStyle w:val="EndnoteReference"/>
          <w:lang w:eastAsia="en-US"/>
        </w:rPr>
        <w:endnoteReference w:id="10"/>
      </w:r>
    </w:p>
    <w:p w:rsidR="00EE58A5" w:rsidRDefault="00EE58A5" w:rsidP="00F24AB5">
      <w:pPr>
        <w:rPr>
          <w:lang w:eastAsia="en-US"/>
        </w:rPr>
      </w:pPr>
    </w:p>
    <w:p w:rsidR="00EE58A5" w:rsidRDefault="001D769C" w:rsidP="00F24AB5">
      <w:pPr>
        <w:rPr>
          <w:lang w:eastAsia="en-US"/>
        </w:rPr>
      </w:pPr>
      <w:r>
        <w:rPr>
          <w:lang w:eastAsia="en-US"/>
        </w:rPr>
        <w:t>Massarutto’s paper</w:t>
      </w:r>
      <w:r w:rsidR="00EE58A5">
        <w:rPr>
          <w:lang w:eastAsia="en-US"/>
        </w:rPr>
        <w:t xml:space="preserve"> also shows </w:t>
      </w:r>
      <w:r w:rsidR="009148AB">
        <w:rPr>
          <w:lang w:eastAsia="en-US"/>
        </w:rPr>
        <w:t>a second reason why public finance is needed.</w:t>
      </w:r>
      <w:r w:rsidR="00EE58A5">
        <w:rPr>
          <w:lang w:eastAsia="en-US"/>
        </w:rPr>
        <w:t xml:space="preserve"> </w:t>
      </w:r>
      <w:r w:rsidR="005A0195">
        <w:rPr>
          <w:lang w:eastAsia="en-US"/>
        </w:rPr>
        <w:t xml:space="preserve">Household payments for a service based on full cost recovery by private investors, would represent 3.8-5.0% of income for low income households, even in relatively rich regions of a high income country such as Italy. </w:t>
      </w:r>
      <w:r w:rsidR="00CE2EDB">
        <w:rPr>
          <w:lang w:eastAsia="en-US"/>
        </w:rPr>
        <w:t xml:space="preserve"> </w:t>
      </w:r>
      <w:r w:rsidR="005A0195">
        <w:rPr>
          <w:lang w:eastAsia="en-US"/>
        </w:rPr>
        <w:t xml:space="preserve">A true consumer market would result in far less than 100% coverage, and commercial operators would not offer to provide service to customers whose </w:t>
      </w:r>
      <w:r w:rsidR="00611D1A">
        <w:rPr>
          <w:lang w:eastAsia="en-US"/>
        </w:rPr>
        <w:t>ability to pay a high fixed cost is unreliable.</w:t>
      </w:r>
      <w:r w:rsidR="005A0195">
        <w:rPr>
          <w:lang w:eastAsia="en-US"/>
        </w:rPr>
        <w:t xml:space="preserve"> </w:t>
      </w:r>
    </w:p>
    <w:p w:rsidR="00F24AB5" w:rsidRDefault="00F24AB5" w:rsidP="00FD0B00">
      <w:pPr>
        <w:rPr>
          <w:lang w:eastAsia="en-US"/>
        </w:rPr>
      </w:pPr>
    </w:p>
    <w:p w:rsidR="00FD0B00" w:rsidRPr="00097BDC" w:rsidRDefault="00611D1A" w:rsidP="002D255B">
      <w:pPr>
        <w:rPr>
          <w:lang w:eastAsia="en-US"/>
        </w:rPr>
      </w:pPr>
      <w:r>
        <w:rPr>
          <w:lang w:eastAsia="en-US"/>
        </w:rPr>
        <w:t>A t</w:t>
      </w:r>
      <w:r w:rsidR="00D24A3D">
        <w:rPr>
          <w:lang w:eastAsia="en-US"/>
        </w:rPr>
        <w:t>hird reason is pointed out by Gü</w:t>
      </w:r>
      <w:r>
        <w:rPr>
          <w:lang w:eastAsia="en-US"/>
        </w:rPr>
        <w:t>nt</w:t>
      </w:r>
      <w:r w:rsidR="00D24A3D">
        <w:rPr>
          <w:lang w:eastAsia="en-US"/>
        </w:rPr>
        <w:t>h</w:t>
      </w:r>
      <w:r>
        <w:rPr>
          <w:lang w:eastAsia="en-US"/>
        </w:rPr>
        <w:t>er and Fink</w:t>
      </w:r>
      <w:r w:rsidR="008C0974">
        <w:rPr>
          <w:lang w:eastAsia="en-US"/>
        </w:rPr>
        <w:t xml:space="preserve"> (2010)</w:t>
      </w:r>
      <w:r>
        <w:rPr>
          <w:lang w:eastAsia="en-US"/>
        </w:rPr>
        <w:t>: the health benefits of water and sewerage connections are social rather than private, and so the willingness of individual consumers to spend on these services will be below the socially optimal level. For the social benefit to be realised, connection must be compulsory, not optional – as illustrated by the case of Toronto (above).</w:t>
      </w:r>
    </w:p>
    <w:p w:rsidR="00167305" w:rsidRDefault="00167305" w:rsidP="00167305">
      <w:pPr>
        <w:pStyle w:val="Heading1"/>
      </w:pPr>
      <w:bookmarkStart w:id="6" w:name="_Toc318886693"/>
      <w:r>
        <w:lastRenderedPageBreak/>
        <w:t xml:space="preserve">Financing water and sanitation services in </w:t>
      </w:r>
      <w:r w:rsidR="00226559">
        <w:t>developing countries</w:t>
      </w:r>
      <w:bookmarkEnd w:id="6"/>
    </w:p>
    <w:p w:rsidR="00F37E90" w:rsidRDefault="005C3250" w:rsidP="00F37E90">
      <w:pPr>
        <w:rPr>
          <w:color w:val="000000"/>
          <w:szCs w:val="22"/>
          <w:lang w:eastAsia="en-US"/>
        </w:rPr>
      </w:pPr>
      <w:r>
        <w:rPr>
          <w:lang w:eastAsia="en-US"/>
        </w:rPr>
        <w:t>Since 1990</w:t>
      </w:r>
      <w:r w:rsidR="003A2E0A">
        <w:rPr>
          <w:lang w:eastAsia="en-US"/>
        </w:rPr>
        <w:t>,</w:t>
      </w:r>
      <w:r>
        <w:rPr>
          <w:lang w:eastAsia="en-US"/>
        </w:rPr>
        <w:t xml:space="preserve"> the central model promoted by the World Bank and other international agencies has been of the private water company investing, developing and operating water and sanitation services </w:t>
      </w:r>
      <w:r w:rsidR="0004534B">
        <w:rPr>
          <w:lang w:eastAsia="en-US"/>
        </w:rPr>
        <w:t xml:space="preserve">in middle and low income countries.  It is now generally agreed that this experiment has failed to generate significant amounts of private investment, and that there has been almost universal public resistance </w:t>
      </w:r>
      <w:r w:rsidR="00317804">
        <w:rPr>
          <w:lang w:eastAsia="en-US"/>
        </w:rPr>
        <w:t>to private</w:t>
      </w:r>
      <w:r w:rsidR="0004534B">
        <w:rPr>
          <w:lang w:eastAsia="en-US"/>
        </w:rPr>
        <w:t xml:space="preserve"> companies</w:t>
      </w:r>
      <w:r w:rsidR="00F37E90">
        <w:rPr>
          <w:lang w:eastAsia="en-US"/>
        </w:rPr>
        <w:t xml:space="preserve">.  </w:t>
      </w:r>
      <w:r w:rsidR="00F37E90" w:rsidRPr="009966EB">
        <w:rPr>
          <w:color w:val="000000"/>
          <w:szCs w:val="22"/>
          <w:lang w:eastAsia="en-US"/>
        </w:rPr>
        <w:t>A World Bank research paper in 2006</w:t>
      </w:r>
      <w:r w:rsidR="00F37E90" w:rsidRPr="009966EB">
        <w:rPr>
          <w:bCs/>
          <w:color w:val="000000"/>
          <w:szCs w:val="22"/>
        </w:rPr>
        <w:t xml:space="preserve">, reviewing actual private investment in infrastructure in developing countries between </w:t>
      </w:r>
      <w:r w:rsidR="00F37E90" w:rsidRPr="009966EB">
        <w:rPr>
          <w:color w:val="000000"/>
          <w:szCs w:val="22"/>
        </w:rPr>
        <w:t>1983 and 2004, concluded</w:t>
      </w:r>
      <w:r w:rsidR="00F37E90" w:rsidRPr="009966EB">
        <w:rPr>
          <w:color w:val="000000"/>
          <w:szCs w:val="22"/>
          <w:lang w:eastAsia="en-US"/>
        </w:rPr>
        <w:t>:</w:t>
      </w:r>
    </w:p>
    <w:p w:rsidR="002F58B7" w:rsidRDefault="002F58B7" w:rsidP="00F37E90">
      <w:pPr>
        <w:rPr>
          <w:color w:val="000000"/>
          <w:szCs w:val="22"/>
          <w:lang w:eastAsia="en-US"/>
        </w:rPr>
      </w:pPr>
    </w:p>
    <w:p w:rsidR="005C3250" w:rsidRPr="005C3250" w:rsidRDefault="00F37E90" w:rsidP="0011108C">
      <w:pPr>
        <w:ind w:left="720"/>
        <w:rPr>
          <w:lang w:eastAsia="en-US"/>
        </w:rPr>
      </w:pPr>
      <w:r w:rsidRPr="009966EB">
        <w:rPr>
          <w:color w:val="000000"/>
          <w:szCs w:val="22"/>
          <w:lang w:eastAsia="en-US"/>
        </w:rPr>
        <w:t>“</w:t>
      </w:r>
      <w:r w:rsidRPr="009966EB">
        <w:rPr>
          <w:color w:val="000000"/>
          <w:szCs w:val="22"/>
        </w:rPr>
        <w:t>PPI</w:t>
      </w:r>
      <w:r w:rsidRPr="009966EB">
        <w:rPr>
          <w:color w:val="000000"/>
          <w:szCs w:val="22"/>
          <w:lang w:eastAsia="en-US"/>
        </w:rPr>
        <w:t xml:space="preserve"> [private participation in infrastructure] </w:t>
      </w:r>
      <w:r w:rsidRPr="009966EB">
        <w:rPr>
          <w:color w:val="000000"/>
          <w:szCs w:val="22"/>
        </w:rPr>
        <w:t xml:space="preserve">has disappointed - playing a far less significant role in financing infrastructure in cities than was hoped for, and which might be expected given the attention it has received and continues to receive in strategies to mobilize financing for infrastructure…” </w:t>
      </w:r>
      <w:r w:rsidRPr="009966EB">
        <w:rPr>
          <w:rStyle w:val="EndnoteReference"/>
          <w:color w:val="000000"/>
        </w:rPr>
        <w:endnoteReference w:id="11"/>
      </w:r>
      <w:r w:rsidR="00116D05">
        <w:rPr>
          <w:color w:val="000000"/>
          <w:szCs w:val="22"/>
        </w:rPr>
        <w:t xml:space="preserve"> </w:t>
      </w:r>
      <w:r>
        <w:rPr>
          <w:rStyle w:val="EndnoteReference"/>
          <w:lang w:eastAsia="en-US"/>
        </w:rPr>
        <w:endnoteReference w:id="12"/>
      </w:r>
      <w:r w:rsidR="0004534B">
        <w:rPr>
          <w:lang w:eastAsia="en-US"/>
        </w:rPr>
        <w:t xml:space="preserve"> </w:t>
      </w:r>
    </w:p>
    <w:p w:rsidR="00167305" w:rsidRDefault="00167305" w:rsidP="00167305">
      <w:pPr>
        <w:pStyle w:val="Heading2"/>
      </w:pPr>
      <w:bookmarkStart w:id="7" w:name="_Toc318886694"/>
      <w:r>
        <w:t xml:space="preserve">Financing water and sanitation </w:t>
      </w:r>
      <w:r w:rsidR="00B33111">
        <w:t>infrastructure</w:t>
      </w:r>
      <w:r>
        <w:t xml:space="preserve"> in Africa</w:t>
      </w:r>
      <w:bookmarkEnd w:id="7"/>
    </w:p>
    <w:p w:rsidR="009161AE" w:rsidRDefault="009161AE" w:rsidP="00DF2826">
      <w:pPr>
        <w:rPr>
          <w:lang w:eastAsia="en-US"/>
        </w:rPr>
      </w:pPr>
      <w:r>
        <w:rPr>
          <w:lang w:eastAsia="en-US"/>
        </w:rPr>
        <w:t xml:space="preserve">The World Bank-AFD </w:t>
      </w:r>
      <w:r w:rsidR="00167305">
        <w:rPr>
          <w:lang w:eastAsia="en-US"/>
        </w:rPr>
        <w:t xml:space="preserve">2010 </w:t>
      </w:r>
      <w:r>
        <w:rPr>
          <w:lang w:eastAsia="en-US"/>
        </w:rPr>
        <w:t xml:space="preserve">report on ‘Africa’s Infrastructure’ provides data on the relative contribution of different sources of finance to the provision of water and sanitation services. These </w:t>
      </w:r>
      <w:r w:rsidR="00167305">
        <w:rPr>
          <w:lang w:eastAsia="en-US"/>
        </w:rPr>
        <w:t>sources are: public sector, aid from OECD countries (ODA), aid from non-OECD countries (such as China), and the private sector (PPI, or private participation in infrastructure)</w:t>
      </w:r>
      <w:r>
        <w:rPr>
          <w:lang w:eastAsia="en-US"/>
        </w:rPr>
        <w:t xml:space="preserve">. </w:t>
      </w:r>
      <w:r w:rsidR="0011108C">
        <w:rPr>
          <w:lang w:eastAsia="en-US"/>
        </w:rPr>
        <w:t>D</w:t>
      </w:r>
      <w:r w:rsidR="00167305">
        <w:rPr>
          <w:lang w:eastAsia="en-US"/>
        </w:rPr>
        <w:t xml:space="preserve">ata is based on averages for </w:t>
      </w:r>
      <w:r w:rsidR="000C6C77">
        <w:rPr>
          <w:lang w:eastAsia="en-US"/>
        </w:rPr>
        <w:t>the years 2001-2006.</w:t>
      </w:r>
      <w:r w:rsidR="00167305">
        <w:rPr>
          <w:rStyle w:val="EndnoteReference"/>
          <w:lang w:eastAsia="en-US"/>
        </w:rPr>
        <w:endnoteReference w:id="13"/>
      </w:r>
    </w:p>
    <w:p w:rsidR="009161AE" w:rsidRDefault="009161AE" w:rsidP="00DF2826">
      <w:pPr>
        <w:rPr>
          <w:lang w:eastAsia="en-US"/>
        </w:rPr>
      </w:pPr>
    </w:p>
    <w:p w:rsidR="00DF2826" w:rsidRDefault="00256ED2" w:rsidP="00DF2826">
      <w:pPr>
        <w:rPr>
          <w:lang w:eastAsia="en-US"/>
        </w:rPr>
      </w:pPr>
      <w:r>
        <w:rPr>
          <w:lang w:eastAsia="en-US"/>
        </w:rPr>
        <w:t xml:space="preserve">All operational expenditure is financed through the public sector. </w:t>
      </w:r>
      <w:r w:rsidR="00DF2826">
        <w:rPr>
          <w:lang w:eastAsia="en-US"/>
        </w:rPr>
        <w:t>For capital expenditure alone, aid is more important than public sp</w:t>
      </w:r>
      <w:r w:rsidR="003A74E1">
        <w:rPr>
          <w:lang w:eastAsia="en-US"/>
        </w:rPr>
        <w:t>ending. Aid from OECD countries, at about $1.23</w:t>
      </w:r>
      <w:r w:rsidR="002F58B7">
        <w:rPr>
          <w:lang w:eastAsia="en-US"/>
        </w:rPr>
        <w:t xml:space="preserve"> </w:t>
      </w:r>
      <w:r w:rsidR="003A74E1">
        <w:rPr>
          <w:lang w:eastAsia="en-US"/>
        </w:rPr>
        <w:t>billion per year, is about 15% greater than the public sector finance. Aid from non-OECD countries</w:t>
      </w:r>
      <w:r w:rsidR="00167305">
        <w:rPr>
          <w:lang w:eastAsia="en-US"/>
        </w:rPr>
        <w:t>, such as China,</w:t>
      </w:r>
      <w:r>
        <w:rPr>
          <w:lang w:eastAsia="en-US"/>
        </w:rPr>
        <w:t xml:space="preserve"> </w:t>
      </w:r>
      <w:r w:rsidR="003A74E1">
        <w:rPr>
          <w:lang w:eastAsia="en-US"/>
        </w:rPr>
        <w:t xml:space="preserve">is much smaller. </w:t>
      </w:r>
      <w:r>
        <w:rPr>
          <w:lang w:eastAsia="en-US"/>
        </w:rPr>
        <w:t>The overall totals show that about 80% of all finance (excluding household spending, see below) comes through the public sector</w:t>
      </w:r>
      <w:r w:rsidR="00116D05">
        <w:rPr>
          <w:lang w:eastAsia="en-US"/>
        </w:rPr>
        <w:t>.</w:t>
      </w:r>
      <w:r>
        <w:rPr>
          <w:lang w:eastAsia="en-US"/>
        </w:rPr>
        <w:t xml:space="preserve"> </w:t>
      </w:r>
    </w:p>
    <w:p w:rsidR="003A74E1" w:rsidRDefault="003A74E1" w:rsidP="00DF2826">
      <w:pPr>
        <w:rPr>
          <w:lang w:eastAsia="en-US"/>
        </w:rPr>
      </w:pPr>
    </w:p>
    <w:p w:rsidR="00E505F3" w:rsidRPr="00236951" w:rsidRDefault="003A74E1" w:rsidP="00DF2826">
      <w:pPr>
        <w:rPr>
          <w:b/>
          <w:lang w:eastAsia="en-US"/>
        </w:rPr>
      </w:pPr>
      <w:r>
        <w:rPr>
          <w:lang w:eastAsia="en-US"/>
        </w:rPr>
        <w:t xml:space="preserve">In low income countries, the contribution of aid </w:t>
      </w:r>
      <w:r w:rsidR="00E505F3">
        <w:rPr>
          <w:lang w:eastAsia="en-US"/>
        </w:rPr>
        <w:t xml:space="preserve">to capital investment </w:t>
      </w:r>
      <w:r>
        <w:rPr>
          <w:lang w:eastAsia="en-US"/>
        </w:rPr>
        <w:t xml:space="preserve">is </w:t>
      </w:r>
      <w:r w:rsidR="00E505F3">
        <w:rPr>
          <w:lang w:eastAsia="en-US"/>
        </w:rPr>
        <w:t>about three times as great as the public sector. The public sector is more important in middle income countries, and most of all in resource rich countries, where its contribution is three times greater than aid. In all countries, the contribution of non-OECD aid is smaller than either OECD aid or the public sector</w:t>
      </w:r>
      <w:r w:rsidR="00CA27EF">
        <w:rPr>
          <w:lang w:eastAsia="en-US"/>
        </w:rPr>
        <w:t>, though it is many times larger than the contribution of the private sector</w:t>
      </w:r>
      <w:r w:rsidR="00547D2D">
        <w:rPr>
          <w:lang w:eastAsia="en-US"/>
        </w:rPr>
        <w:t xml:space="preserve">.  </w:t>
      </w:r>
      <w:r w:rsidR="00E505F3">
        <w:rPr>
          <w:lang w:eastAsia="en-US"/>
        </w:rPr>
        <w:t>It is relatively largest in resource rich countries, reflecting the preference of southern donors for focussing aid on these countries.</w:t>
      </w:r>
      <w:r w:rsidR="0011108C">
        <w:rPr>
          <w:lang w:eastAsia="en-US"/>
        </w:rPr>
        <w:t xml:space="preserve"> </w:t>
      </w:r>
      <w:r w:rsidR="00E505F3" w:rsidRPr="00236951">
        <w:rPr>
          <w:b/>
          <w:lang w:eastAsia="en-US"/>
        </w:rPr>
        <w:t xml:space="preserve">In all </w:t>
      </w:r>
      <w:r w:rsidR="000C6C77">
        <w:rPr>
          <w:b/>
          <w:lang w:eastAsia="en-US"/>
        </w:rPr>
        <w:t xml:space="preserve">groups of </w:t>
      </w:r>
      <w:r w:rsidR="00E505F3" w:rsidRPr="00236951">
        <w:rPr>
          <w:b/>
          <w:lang w:eastAsia="en-US"/>
        </w:rPr>
        <w:t>countries,</w:t>
      </w:r>
      <w:r w:rsidR="000C6C77">
        <w:rPr>
          <w:b/>
          <w:lang w:eastAsia="en-US"/>
        </w:rPr>
        <w:t xml:space="preserve"> and in sub-Saharan Africa as a whole,</w:t>
      </w:r>
      <w:r w:rsidR="00E505F3" w:rsidRPr="00236951">
        <w:rPr>
          <w:b/>
          <w:lang w:eastAsia="en-US"/>
        </w:rPr>
        <w:t xml:space="preserve"> the private sector contribution is close to zero.   </w:t>
      </w:r>
    </w:p>
    <w:p w:rsidR="00E505F3" w:rsidRDefault="00E505F3" w:rsidP="00DF2826">
      <w:pPr>
        <w:rPr>
          <w:lang w:eastAsia="en-US"/>
        </w:rPr>
      </w:pPr>
    </w:p>
    <w:p w:rsidR="00D1048B" w:rsidRDefault="003A74E1" w:rsidP="00DF2826">
      <w:pPr>
        <w:rPr>
          <w:lang w:eastAsia="en-US"/>
        </w:rPr>
      </w:pPr>
      <w:r>
        <w:rPr>
          <w:lang w:eastAsia="en-US"/>
        </w:rPr>
        <w:t>The table</w:t>
      </w:r>
      <w:r w:rsidR="00317804">
        <w:rPr>
          <w:lang w:eastAsia="en-US"/>
        </w:rPr>
        <w:t xml:space="preserve"> </w:t>
      </w:r>
      <w:r>
        <w:rPr>
          <w:lang w:eastAsia="en-US"/>
        </w:rPr>
        <w:t>includes an additional figure of $2.13</w:t>
      </w:r>
      <w:r w:rsidR="002F58B7">
        <w:rPr>
          <w:lang w:eastAsia="en-US"/>
        </w:rPr>
        <w:t xml:space="preserve"> </w:t>
      </w:r>
      <w:r>
        <w:rPr>
          <w:lang w:eastAsia="en-US"/>
        </w:rPr>
        <w:t>billion per year of ‘household self-finance’.</w:t>
      </w:r>
      <w:r w:rsidR="002F58B7">
        <w:rPr>
          <w:lang w:eastAsia="en-US"/>
        </w:rPr>
        <w:t xml:space="preserve"> </w:t>
      </w:r>
      <w:r>
        <w:rPr>
          <w:lang w:eastAsia="en-US"/>
        </w:rPr>
        <w:t xml:space="preserve"> This represents a</w:t>
      </w:r>
      <w:r w:rsidR="000C6C77">
        <w:rPr>
          <w:lang w:eastAsia="en-US"/>
        </w:rPr>
        <w:t xml:space="preserve"> very rough</w:t>
      </w:r>
      <w:r>
        <w:rPr>
          <w:lang w:eastAsia="en-US"/>
        </w:rPr>
        <w:t xml:space="preserve"> estimate of spending by private households on </w:t>
      </w:r>
      <w:r w:rsidR="00E505F3">
        <w:rPr>
          <w:lang w:eastAsia="en-US"/>
        </w:rPr>
        <w:t>sanitation, derived from household survey data.</w:t>
      </w:r>
      <w:r w:rsidR="000C6C77">
        <w:rPr>
          <w:lang w:eastAsia="en-US"/>
        </w:rPr>
        <w:t xml:space="preserve"> It is very doubtful whether private spending on household toilets should be classified as infrastructure spending, and household spending is a different category from corporate investment. It is probable that the figure is included in order to boost the apparent contribution of the ‘private’ sector</w:t>
      </w:r>
      <w:r w:rsidR="00256ED2">
        <w:rPr>
          <w:lang w:eastAsia="en-US"/>
        </w:rPr>
        <w:t>, and it is certainly highly misleading to combine it with the PPI data, as one of the figures in the report does.</w:t>
      </w:r>
      <w:r w:rsidR="000C6C77">
        <w:rPr>
          <w:lang w:eastAsia="en-US"/>
        </w:rPr>
        <w:t xml:space="preserve"> </w:t>
      </w:r>
      <w:r w:rsidR="00966636">
        <w:rPr>
          <w:rStyle w:val="EndnoteReference"/>
          <w:lang w:eastAsia="en-US"/>
        </w:rPr>
        <w:endnoteReference w:id="14"/>
      </w:r>
    </w:p>
    <w:p w:rsidR="00B33111" w:rsidRDefault="00B33111" w:rsidP="00B33111">
      <w:pPr>
        <w:pStyle w:val="Heading7"/>
      </w:pPr>
      <w:bookmarkStart w:id="8" w:name="_Toc318886695"/>
      <w:r>
        <w:t>Financial flows to water and sanitation in sub-Saharan Africa</w:t>
      </w:r>
      <w:bookmarkEnd w:id="8"/>
    </w:p>
    <w:p w:rsidR="00B33111" w:rsidRPr="005B3847" w:rsidRDefault="005B3847" w:rsidP="00B33111">
      <w:pPr>
        <w:rPr>
          <w:sz w:val="18"/>
          <w:szCs w:val="18"/>
          <w:lang w:val="fr-FR" w:eastAsia="en-US"/>
        </w:rPr>
      </w:pPr>
      <w:r w:rsidRPr="005B3847">
        <w:rPr>
          <w:sz w:val="18"/>
          <w:szCs w:val="18"/>
          <w:lang w:val="fr-FR" w:eastAsia="en-US"/>
        </w:rPr>
        <w:t>USD $billions per year</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956"/>
        <w:gridCol w:w="957"/>
        <w:gridCol w:w="957"/>
        <w:gridCol w:w="957"/>
        <w:gridCol w:w="851"/>
        <w:gridCol w:w="1062"/>
        <w:gridCol w:w="957"/>
        <w:gridCol w:w="957"/>
      </w:tblGrid>
      <w:tr w:rsidR="005B3847" w:rsidRPr="005B3847" w:rsidTr="00BC542A">
        <w:trPr>
          <w:trHeight w:val="480"/>
        </w:trPr>
        <w:tc>
          <w:tcPr>
            <w:tcW w:w="2000" w:type="dxa"/>
            <w:shd w:val="clear" w:color="auto" w:fill="auto"/>
            <w:vAlign w:val="bottom"/>
            <w:hideMark/>
          </w:tcPr>
          <w:p w:rsidR="005B3847" w:rsidRPr="005B3847" w:rsidRDefault="00BC542A" w:rsidP="005B3847">
            <w:pPr>
              <w:rPr>
                <w:color w:val="000000"/>
                <w:sz w:val="18"/>
                <w:szCs w:val="18"/>
              </w:rPr>
            </w:pPr>
            <w:r>
              <w:rPr>
                <w:color w:val="000000"/>
                <w:sz w:val="18"/>
                <w:szCs w:val="18"/>
              </w:rPr>
              <w:t>Country category</w:t>
            </w:r>
          </w:p>
        </w:tc>
        <w:tc>
          <w:tcPr>
            <w:tcW w:w="956"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O&amp;M</w:t>
            </w:r>
          </w:p>
        </w:tc>
        <w:tc>
          <w:tcPr>
            <w:tcW w:w="5741" w:type="dxa"/>
            <w:gridSpan w:val="6"/>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Capital expenditure</w:t>
            </w:r>
          </w:p>
        </w:tc>
        <w:tc>
          <w:tcPr>
            <w:tcW w:w="957" w:type="dxa"/>
            <w:shd w:val="clear" w:color="auto" w:fill="auto"/>
            <w:vAlign w:val="bottom"/>
            <w:hideMark/>
          </w:tcPr>
          <w:p w:rsidR="005B3847" w:rsidRPr="005B3847" w:rsidRDefault="005B3847" w:rsidP="005B3847">
            <w:pPr>
              <w:rPr>
                <w:color w:val="000000"/>
                <w:sz w:val="18"/>
                <w:szCs w:val="18"/>
              </w:rPr>
            </w:pPr>
          </w:p>
        </w:tc>
      </w:tr>
      <w:tr w:rsidR="005B3847" w:rsidRPr="005B3847" w:rsidTr="00BC542A">
        <w:trPr>
          <w:trHeight w:val="960"/>
        </w:trPr>
        <w:tc>
          <w:tcPr>
            <w:tcW w:w="2000" w:type="dxa"/>
            <w:shd w:val="clear" w:color="auto" w:fill="auto"/>
            <w:vAlign w:val="bottom"/>
            <w:hideMark/>
          </w:tcPr>
          <w:p w:rsidR="005B3847" w:rsidRPr="005B3847" w:rsidRDefault="005B3847" w:rsidP="005B3847">
            <w:pPr>
              <w:rPr>
                <w:color w:val="000000"/>
                <w:sz w:val="18"/>
                <w:szCs w:val="18"/>
              </w:rPr>
            </w:pPr>
          </w:p>
        </w:tc>
        <w:tc>
          <w:tcPr>
            <w:tcW w:w="956"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Public sector</w:t>
            </w:r>
          </w:p>
        </w:tc>
        <w:tc>
          <w:tcPr>
            <w:tcW w:w="957"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Public sector</w:t>
            </w:r>
          </w:p>
        </w:tc>
        <w:tc>
          <w:tcPr>
            <w:tcW w:w="957"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 xml:space="preserve">ODA </w:t>
            </w:r>
          </w:p>
        </w:tc>
        <w:tc>
          <w:tcPr>
            <w:tcW w:w="957"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Non-OECD financiers</w:t>
            </w:r>
          </w:p>
        </w:tc>
        <w:tc>
          <w:tcPr>
            <w:tcW w:w="851"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Private sector (PPI)</w:t>
            </w:r>
          </w:p>
        </w:tc>
        <w:tc>
          <w:tcPr>
            <w:tcW w:w="1062"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Household self-finance</w:t>
            </w:r>
          </w:p>
        </w:tc>
        <w:tc>
          <w:tcPr>
            <w:tcW w:w="957"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 xml:space="preserve">Total </w:t>
            </w:r>
            <w:r>
              <w:rPr>
                <w:color w:val="000000"/>
                <w:sz w:val="18"/>
                <w:szCs w:val="18"/>
              </w:rPr>
              <w:t xml:space="preserve"> capex</w:t>
            </w:r>
          </w:p>
        </w:tc>
        <w:tc>
          <w:tcPr>
            <w:tcW w:w="957" w:type="dxa"/>
            <w:shd w:val="clear" w:color="auto" w:fill="auto"/>
            <w:vAlign w:val="bottom"/>
            <w:hideMark/>
          </w:tcPr>
          <w:p w:rsidR="005B3847" w:rsidRPr="005B3847" w:rsidRDefault="005B3847" w:rsidP="005B3847">
            <w:pPr>
              <w:rPr>
                <w:color w:val="000000"/>
                <w:sz w:val="18"/>
                <w:szCs w:val="18"/>
              </w:rPr>
            </w:pPr>
            <w:r w:rsidRPr="005B3847">
              <w:rPr>
                <w:color w:val="000000"/>
                <w:sz w:val="18"/>
                <w:szCs w:val="18"/>
              </w:rPr>
              <w:t>Total</w:t>
            </w:r>
          </w:p>
        </w:tc>
      </w:tr>
      <w:tr w:rsidR="005B3847" w:rsidRPr="005B3847" w:rsidTr="00BC542A">
        <w:trPr>
          <w:trHeight w:val="240"/>
        </w:trPr>
        <w:tc>
          <w:tcPr>
            <w:tcW w:w="2000" w:type="dxa"/>
            <w:shd w:val="clear" w:color="auto" w:fill="auto"/>
            <w:noWrap/>
            <w:vAlign w:val="bottom"/>
            <w:hideMark/>
          </w:tcPr>
          <w:p w:rsidR="005B3847" w:rsidRPr="005B3847" w:rsidRDefault="005B3847" w:rsidP="005B3847">
            <w:pPr>
              <w:rPr>
                <w:color w:val="000000"/>
                <w:sz w:val="18"/>
                <w:szCs w:val="18"/>
              </w:rPr>
            </w:pPr>
            <w:r w:rsidRPr="005B3847">
              <w:rPr>
                <w:color w:val="000000"/>
                <w:sz w:val="18"/>
                <w:szCs w:val="18"/>
              </w:rPr>
              <w:t>Sub-Saharan Africa</w:t>
            </w:r>
          </w:p>
        </w:tc>
        <w:tc>
          <w:tcPr>
            <w:tcW w:w="956"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3.06</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1.06</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1.23</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0.16</w:t>
            </w:r>
          </w:p>
        </w:tc>
        <w:tc>
          <w:tcPr>
            <w:tcW w:w="851"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0.01</w:t>
            </w:r>
          </w:p>
        </w:tc>
        <w:tc>
          <w:tcPr>
            <w:tcW w:w="1062"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2.13</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4.58</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7.64</w:t>
            </w:r>
          </w:p>
        </w:tc>
      </w:tr>
      <w:tr w:rsidR="005B3847" w:rsidRPr="005B3847" w:rsidTr="00BC542A">
        <w:trPr>
          <w:trHeight w:val="240"/>
        </w:trPr>
        <w:tc>
          <w:tcPr>
            <w:tcW w:w="2000" w:type="dxa"/>
            <w:shd w:val="clear" w:color="auto" w:fill="auto"/>
            <w:noWrap/>
            <w:vAlign w:val="bottom"/>
            <w:hideMark/>
          </w:tcPr>
          <w:p w:rsidR="005B3847" w:rsidRPr="005B3847" w:rsidRDefault="005B3847" w:rsidP="005B3847">
            <w:pPr>
              <w:rPr>
                <w:color w:val="000000"/>
                <w:sz w:val="18"/>
                <w:szCs w:val="18"/>
              </w:rPr>
            </w:pPr>
            <w:r w:rsidRPr="005B3847">
              <w:rPr>
                <w:color w:val="000000"/>
                <w:sz w:val="18"/>
                <w:szCs w:val="18"/>
              </w:rPr>
              <w:t>Low-income fragile</w:t>
            </w:r>
          </w:p>
        </w:tc>
        <w:tc>
          <w:tcPr>
            <w:tcW w:w="956"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0.13</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0.03</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0.11</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0.02</w:t>
            </w:r>
          </w:p>
        </w:tc>
        <w:tc>
          <w:tcPr>
            <w:tcW w:w="851"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0.00</w:t>
            </w:r>
          </w:p>
        </w:tc>
        <w:tc>
          <w:tcPr>
            <w:tcW w:w="1062"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0.16</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0.32</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0.45</w:t>
            </w:r>
          </w:p>
        </w:tc>
      </w:tr>
      <w:tr w:rsidR="005B3847" w:rsidRPr="005B3847" w:rsidTr="00BC542A">
        <w:trPr>
          <w:trHeight w:val="240"/>
        </w:trPr>
        <w:tc>
          <w:tcPr>
            <w:tcW w:w="2000" w:type="dxa"/>
            <w:shd w:val="clear" w:color="auto" w:fill="auto"/>
            <w:noWrap/>
            <w:vAlign w:val="bottom"/>
            <w:hideMark/>
          </w:tcPr>
          <w:p w:rsidR="005B3847" w:rsidRPr="005B3847" w:rsidRDefault="005B3847" w:rsidP="005B3847">
            <w:pPr>
              <w:rPr>
                <w:color w:val="000000"/>
                <w:sz w:val="18"/>
                <w:szCs w:val="18"/>
              </w:rPr>
            </w:pPr>
            <w:r w:rsidRPr="005B3847">
              <w:rPr>
                <w:color w:val="000000"/>
                <w:sz w:val="18"/>
                <w:szCs w:val="18"/>
              </w:rPr>
              <w:t>Low-income non-fragile</w:t>
            </w:r>
          </w:p>
        </w:tc>
        <w:tc>
          <w:tcPr>
            <w:tcW w:w="956"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0.30</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0.25</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0.78</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0.05</w:t>
            </w:r>
          </w:p>
        </w:tc>
        <w:tc>
          <w:tcPr>
            <w:tcW w:w="851"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0.00</w:t>
            </w:r>
          </w:p>
        </w:tc>
        <w:tc>
          <w:tcPr>
            <w:tcW w:w="1062"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0.45</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1.54</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1.83</w:t>
            </w:r>
          </w:p>
        </w:tc>
      </w:tr>
      <w:tr w:rsidR="005B3847" w:rsidRPr="005B3847" w:rsidTr="00BC542A">
        <w:trPr>
          <w:trHeight w:val="240"/>
        </w:trPr>
        <w:tc>
          <w:tcPr>
            <w:tcW w:w="2000" w:type="dxa"/>
            <w:shd w:val="clear" w:color="auto" w:fill="auto"/>
            <w:noWrap/>
            <w:vAlign w:val="bottom"/>
            <w:hideMark/>
          </w:tcPr>
          <w:p w:rsidR="005B3847" w:rsidRPr="005B3847" w:rsidRDefault="005B3847" w:rsidP="005B3847">
            <w:pPr>
              <w:rPr>
                <w:color w:val="000000"/>
                <w:sz w:val="18"/>
                <w:szCs w:val="18"/>
              </w:rPr>
            </w:pPr>
            <w:r w:rsidRPr="005B3847">
              <w:rPr>
                <w:color w:val="000000"/>
                <w:sz w:val="18"/>
                <w:szCs w:val="18"/>
              </w:rPr>
              <w:t>Middle income</w:t>
            </w:r>
          </w:p>
        </w:tc>
        <w:tc>
          <w:tcPr>
            <w:tcW w:w="956"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2.17</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0.15</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0.10</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0.01</w:t>
            </w:r>
          </w:p>
        </w:tc>
        <w:tc>
          <w:tcPr>
            <w:tcW w:w="851"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0.00</w:t>
            </w:r>
          </w:p>
        </w:tc>
        <w:tc>
          <w:tcPr>
            <w:tcW w:w="1062"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0.21</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0.47</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2.64</w:t>
            </w:r>
          </w:p>
        </w:tc>
      </w:tr>
      <w:tr w:rsidR="005B3847" w:rsidRPr="005B3847" w:rsidTr="00BC542A">
        <w:trPr>
          <w:trHeight w:val="240"/>
        </w:trPr>
        <w:tc>
          <w:tcPr>
            <w:tcW w:w="2000" w:type="dxa"/>
            <w:shd w:val="clear" w:color="auto" w:fill="auto"/>
            <w:noWrap/>
            <w:vAlign w:val="bottom"/>
            <w:hideMark/>
          </w:tcPr>
          <w:p w:rsidR="005B3847" w:rsidRPr="005B3847" w:rsidRDefault="005B3847" w:rsidP="005B3847">
            <w:pPr>
              <w:rPr>
                <w:color w:val="000000"/>
                <w:sz w:val="18"/>
                <w:szCs w:val="18"/>
              </w:rPr>
            </w:pPr>
            <w:r w:rsidRPr="005B3847">
              <w:rPr>
                <w:color w:val="000000"/>
                <w:sz w:val="18"/>
                <w:szCs w:val="18"/>
              </w:rPr>
              <w:t>Resource rich</w:t>
            </w:r>
          </w:p>
        </w:tc>
        <w:tc>
          <w:tcPr>
            <w:tcW w:w="956"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0.15</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0.72</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0.24</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0.08</w:t>
            </w:r>
          </w:p>
        </w:tc>
        <w:tc>
          <w:tcPr>
            <w:tcW w:w="851"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0.01</w:t>
            </w:r>
          </w:p>
        </w:tc>
        <w:tc>
          <w:tcPr>
            <w:tcW w:w="1062"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0.52</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1.57</w:t>
            </w:r>
          </w:p>
        </w:tc>
        <w:tc>
          <w:tcPr>
            <w:tcW w:w="957" w:type="dxa"/>
            <w:shd w:val="clear" w:color="auto" w:fill="auto"/>
            <w:noWrap/>
            <w:vAlign w:val="bottom"/>
            <w:hideMark/>
          </w:tcPr>
          <w:p w:rsidR="005B3847" w:rsidRPr="005B3847" w:rsidRDefault="005B3847" w:rsidP="005B3847">
            <w:pPr>
              <w:jc w:val="right"/>
              <w:rPr>
                <w:color w:val="000000"/>
                <w:sz w:val="18"/>
                <w:szCs w:val="18"/>
              </w:rPr>
            </w:pPr>
            <w:r w:rsidRPr="005B3847">
              <w:rPr>
                <w:color w:val="000000"/>
                <w:sz w:val="18"/>
                <w:szCs w:val="18"/>
              </w:rPr>
              <w:t>1.72</w:t>
            </w:r>
          </w:p>
        </w:tc>
      </w:tr>
    </w:tbl>
    <w:p w:rsidR="005B3847" w:rsidRDefault="00BC542A" w:rsidP="00BC542A">
      <w:pPr>
        <w:autoSpaceDE w:val="0"/>
        <w:rPr>
          <w:sz w:val="20"/>
          <w:szCs w:val="20"/>
          <w:lang w:val="fr-FR" w:eastAsia="en-US"/>
        </w:rPr>
      </w:pPr>
      <w:r w:rsidRPr="00F57316">
        <w:rPr>
          <w:sz w:val="20"/>
          <w:szCs w:val="20"/>
          <w:lang w:val="fr-FR" w:eastAsia="en-US"/>
        </w:rPr>
        <w:t>Source: Africa’s Infrastructur</w:t>
      </w:r>
      <w:r>
        <w:rPr>
          <w:sz w:val="20"/>
          <w:szCs w:val="20"/>
          <w:lang w:val="fr-FR" w:eastAsia="en-US"/>
        </w:rPr>
        <w:t>e Table 16.6</w:t>
      </w:r>
      <w:r>
        <w:rPr>
          <w:rStyle w:val="EndnoteReference"/>
          <w:sz w:val="20"/>
          <w:szCs w:val="20"/>
          <w:lang w:val="fr-FR" w:eastAsia="en-US"/>
        </w:rPr>
        <w:endnoteReference w:id="15"/>
      </w:r>
      <w:r>
        <w:rPr>
          <w:sz w:val="20"/>
          <w:szCs w:val="20"/>
          <w:lang w:val="fr-FR" w:eastAsia="en-US"/>
        </w:rPr>
        <w:t xml:space="preserve"> </w:t>
      </w:r>
    </w:p>
    <w:p w:rsidR="007661E1" w:rsidRDefault="00256ED2" w:rsidP="00FA4A72">
      <w:pPr>
        <w:rPr>
          <w:szCs w:val="22"/>
          <w:lang w:eastAsia="en-US"/>
        </w:rPr>
      </w:pPr>
      <w:r w:rsidRPr="00FA4A72">
        <w:rPr>
          <w:szCs w:val="22"/>
          <w:lang w:eastAsia="en-US"/>
        </w:rPr>
        <w:t xml:space="preserve">The report </w:t>
      </w:r>
      <w:r w:rsidR="0082685A">
        <w:rPr>
          <w:szCs w:val="22"/>
          <w:lang w:eastAsia="en-US"/>
        </w:rPr>
        <w:t xml:space="preserve">also </w:t>
      </w:r>
      <w:r w:rsidRPr="00FA4A72">
        <w:rPr>
          <w:szCs w:val="22"/>
          <w:lang w:eastAsia="en-US"/>
        </w:rPr>
        <w:t>covers other sectors</w:t>
      </w:r>
      <w:r w:rsidR="00FA4A72" w:rsidRPr="00FA4A72">
        <w:rPr>
          <w:szCs w:val="22"/>
          <w:lang w:eastAsia="en-US"/>
        </w:rPr>
        <w:t>, including energy</w:t>
      </w:r>
      <w:r w:rsidR="007661E1">
        <w:rPr>
          <w:szCs w:val="22"/>
          <w:lang w:eastAsia="en-US"/>
        </w:rPr>
        <w:t>, transport and communications</w:t>
      </w:r>
      <w:r w:rsidRPr="00FA4A72">
        <w:rPr>
          <w:szCs w:val="22"/>
          <w:lang w:eastAsia="en-US"/>
        </w:rPr>
        <w:t xml:space="preserve">. </w:t>
      </w:r>
      <w:r w:rsidR="007661E1">
        <w:rPr>
          <w:szCs w:val="22"/>
          <w:lang w:eastAsia="en-US"/>
        </w:rPr>
        <w:t xml:space="preserve">Three general findings were that finance is predominantly African, not external; public, not private (except in telecoms); and through central government, not local. </w:t>
      </w:r>
    </w:p>
    <w:p w:rsidR="007661E1" w:rsidRDefault="007661E1" w:rsidP="00FA4A72">
      <w:pPr>
        <w:rPr>
          <w:szCs w:val="22"/>
          <w:lang w:eastAsia="en-US"/>
        </w:rPr>
      </w:pPr>
    </w:p>
    <w:p w:rsidR="00FA4A72" w:rsidRPr="00FA4A72" w:rsidRDefault="00FA4A72" w:rsidP="00FA4A72">
      <w:pPr>
        <w:rPr>
          <w:iCs/>
          <w:szCs w:val="22"/>
        </w:rPr>
      </w:pPr>
      <w:r w:rsidRPr="00FA4A72">
        <w:rPr>
          <w:szCs w:val="22"/>
          <w:lang w:eastAsia="en-US"/>
        </w:rPr>
        <w:t>Overall, it</w:t>
      </w:r>
      <w:r w:rsidR="00256ED2" w:rsidRPr="00FA4A72">
        <w:rPr>
          <w:szCs w:val="22"/>
          <w:lang w:eastAsia="en-US"/>
        </w:rPr>
        <w:t xml:space="preserve"> noted that in general </w:t>
      </w:r>
      <w:r w:rsidRPr="00FA4A72">
        <w:rPr>
          <w:szCs w:val="22"/>
          <w:lang w:eastAsia="en-US"/>
        </w:rPr>
        <w:t>“spending on infrastructure in Africa is higher than previously thought, amounting to $45</w:t>
      </w:r>
      <w:r w:rsidR="002F58B7">
        <w:rPr>
          <w:szCs w:val="22"/>
          <w:lang w:eastAsia="en-US"/>
        </w:rPr>
        <w:t xml:space="preserve"> </w:t>
      </w:r>
      <w:r w:rsidRPr="00FA4A72">
        <w:rPr>
          <w:szCs w:val="22"/>
          <w:lang w:eastAsia="en-US"/>
        </w:rPr>
        <w:t>billion per year”</w:t>
      </w:r>
      <w:r w:rsidR="002F58B7">
        <w:rPr>
          <w:szCs w:val="22"/>
          <w:lang w:eastAsia="en-US"/>
        </w:rPr>
        <w:t>.</w:t>
      </w:r>
      <w:r w:rsidR="003E126C">
        <w:rPr>
          <w:szCs w:val="22"/>
          <w:lang w:eastAsia="en-US"/>
        </w:rPr>
        <w:t xml:space="preserve"> </w:t>
      </w:r>
      <w:r w:rsidRPr="00FA4A72">
        <w:rPr>
          <w:szCs w:val="22"/>
          <w:lang w:eastAsia="en-US"/>
        </w:rPr>
        <w:t>Most of it is paid for by Africans: “</w:t>
      </w:r>
      <w:r w:rsidR="00256ED2" w:rsidRPr="00FA4A72">
        <w:rPr>
          <w:szCs w:val="22"/>
        </w:rPr>
        <w:t>two</w:t>
      </w:r>
      <w:r w:rsidRPr="00FA4A72">
        <w:rPr>
          <w:szCs w:val="22"/>
        </w:rPr>
        <w:t>-</w:t>
      </w:r>
      <w:r w:rsidR="00256ED2" w:rsidRPr="00FA4A72">
        <w:rPr>
          <w:szCs w:val="22"/>
        </w:rPr>
        <w:t>thirds</w:t>
      </w:r>
      <w:r w:rsidR="00317804">
        <w:rPr>
          <w:szCs w:val="22"/>
        </w:rPr>
        <w:t xml:space="preserve"> </w:t>
      </w:r>
      <w:r w:rsidR="00256ED2" w:rsidRPr="00FA4A72">
        <w:rPr>
          <w:szCs w:val="22"/>
        </w:rPr>
        <w:t>of this overall spending is domestically</w:t>
      </w:r>
      <w:r w:rsidRPr="00FA4A72">
        <w:rPr>
          <w:szCs w:val="22"/>
        </w:rPr>
        <w:t xml:space="preserve"> </w:t>
      </w:r>
      <w:r w:rsidR="00256ED2" w:rsidRPr="00FA4A72">
        <w:rPr>
          <w:szCs w:val="22"/>
        </w:rPr>
        <w:t>sourced: $30 billion of annual spending is</w:t>
      </w:r>
      <w:r w:rsidRPr="00FA4A72">
        <w:rPr>
          <w:szCs w:val="22"/>
        </w:rPr>
        <w:t xml:space="preserve"> </w:t>
      </w:r>
      <w:r w:rsidR="00256ED2" w:rsidRPr="00FA4A72">
        <w:rPr>
          <w:szCs w:val="22"/>
        </w:rPr>
        <w:t>financed by the African taxpayer and infrastructure</w:t>
      </w:r>
      <w:r w:rsidRPr="00FA4A72">
        <w:rPr>
          <w:szCs w:val="22"/>
        </w:rPr>
        <w:t xml:space="preserve"> </w:t>
      </w:r>
      <w:r w:rsidR="00256ED2" w:rsidRPr="00FA4A72">
        <w:rPr>
          <w:szCs w:val="22"/>
        </w:rPr>
        <w:t>user, and a further $15 billion is from</w:t>
      </w:r>
      <w:r w:rsidRPr="00FA4A72">
        <w:rPr>
          <w:szCs w:val="22"/>
        </w:rPr>
        <w:t xml:space="preserve"> </w:t>
      </w:r>
      <w:r w:rsidR="00256ED2" w:rsidRPr="00FA4A72">
        <w:rPr>
          <w:szCs w:val="22"/>
        </w:rPr>
        <w:t>external sources</w:t>
      </w:r>
      <w:r w:rsidRPr="00FA4A72">
        <w:rPr>
          <w:szCs w:val="22"/>
        </w:rPr>
        <w:t>”.  Thus external aid and FDI supplement, rather than dominate</w:t>
      </w:r>
      <w:r w:rsidR="002F58B7">
        <w:rPr>
          <w:szCs w:val="22"/>
        </w:rPr>
        <w:t xml:space="preserve"> investment</w:t>
      </w:r>
      <w:r w:rsidRPr="00FA4A72">
        <w:rPr>
          <w:szCs w:val="22"/>
        </w:rPr>
        <w:t>.  It also note</w:t>
      </w:r>
      <w:r w:rsidR="007661E1">
        <w:rPr>
          <w:szCs w:val="22"/>
        </w:rPr>
        <w:t>s</w:t>
      </w:r>
      <w:r w:rsidRPr="00FA4A72">
        <w:rPr>
          <w:szCs w:val="22"/>
        </w:rPr>
        <w:t xml:space="preserve"> that “The public sector re</w:t>
      </w:r>
      <w:r w:rsidR="007661E1">
        <w:rPr>
          <w:szCs w:val="22"/>
        </w:rPr>
        <w:t>mains the dominant source of fi</w:t>
      </w:r>
      <w:r w:rsidRPr="00FA4A72">
        <w:rPr>
          <w:szCs w:val="22"/>
        </w:rPr>
        <w:t>nance for water, energy, and transport in all but the fragile states”</w:t>
      </w:r>
      <w:r w:rsidRPr="00FA4A72">
        <w:rPr>
          <w:iCs/>
          <w:szCs w:val="22"/>
        </w:rPr>
        <w:t xml:space="preserve">. </w:t>
      </w:r>
      <w:r w:rsidRPr="007661E1">
        <w:rPr>
          <w:b/>
          <w:iCs/>
          <w:szCs w:val="22"/>
        </w:rPr>
        <w:t>The private sector makes no significant contribution to infrastructure investment in Africa except in telecoms.</w:t>
      </w:r>
      <w:r w:rsidR="007661E1">
        <w:rPr>
          <w:iCs/>
          <w:szCs w:val="22"/>
        </w:rPr>
        <w:t xml:space="preserve"> </w:t>
      </w:r>
      <w:r w:rsidR="00966636">
        <w:rPr>
          <w:rStyle w:val="EndnoteReference"/>
          <w:iCs/>
          <w:szCs w:val="22"/>
        </w:rPr>
        <w:endnoteReference w:id="16"/>
      </w:r>
    </w:p>
    <w:p w:rsidR="00FA4A72" w:rsidRPr="00FA4A72" w:rsidRDefault="00FA4A72" w:rsidP="00FA4A72">
      <w:pPr>
        <w:rPr>
          <w:iCs/>
          <w:szCs w:val="22"/>
        </w:rPr>
      </w:pPr>
    </w:p>
    <w:p w:rsidR="002F58B7" w:rsidRDefault="00FA4A72" w:rsidP="00FA4A72">
      <w:pPr>
        <w:rPr>
          <w:szCs w:val="22"/>
        </w:rPr>
      </w:pPr>
      <w:r w:rsidRPr="00FA4A72">
        <w:rPr>
          <w:iCs/>
          <w:szCs w:val="22"/>
        </w:rPr>
        <w:t>It further notes that “</w:t>
      </w:r>
      <w:r w:rsidRPr="00FA4A72">
        <w:rPr>
          <w:szCs w:val="22"/>
        </w:rPr>
        <w:t>Public investment is largely tax financed and executed through central government budgets, whereas the operating and mainte</w:t>
      </w:r>
      <w:r w:rsidR="00F04A15">
        <w:rPr>
          <w:szCs w:val="22"/>
        </w:rPr>
        <w:t>nance expenditure is largely fi</w:t>
      </w:r>
      <w:r w:rsidRPr="00FA4A72">
        <w:rPr>
          <w:szCs w:val="22"/>
        </w:rPr>
        <w:t xml:space="preserve">nanced from user charges and executed through </w:t>
      </w:r>
      <w:r w:rsidR="00317804" w:rsidRPr="00FA4A72">
        <w:rPr>
          <w:szCs w:val="22"/>
        </w:rPr>
        <w:t>state owned</w:t>
      </w:r>
      <w:r w:rsidRPr="00FA4A72">
        <w:rPr>
          <w:szCs w:val="22"/>
        </w:rPr>
        <w:t xml:space="preserve"> enterprises.”</w:t>
      </w:r>
      <w:r w:rsidR="001E2B21">
        <w:rPr>
          <w:szCs w:val="22"/>
        </w:rPr>
        <w:t xml:space="preserve"> </w:t>
      </w:r>
      <w:r w:rsidR="00457CCC">
        <w:rPr>
          <w:szCs w:val="22"/>
        </w:rPr>
        <w:t xml:space="preserve"> </w:t>
      </w:r>
      <w:r w:rsidR="00B063B1">
        <w:rPr>
          <w:szCs w:val="22"/>
          <w:lang w:eastAsia="en-US"/>
        </w:rPr>
        <w:t>(</w:t>
      </w:r>
      <w:r w:rsidR="00B063B1" w:rsidRPr="002A622C">
        <w:rPr>
          <w:sz w:val="20"/>
          <w:szCs w:val="20"/>
          <w:lang w:eastAsia="en-US"/>
        </w:rPr>
        <w:t>World Bank/AFD 2010</w:t>
      </w:r>
      <w:r w:rsidR="00B063B1">
        <w:rPr>
          <w:sz w:val="20"/>
          <w:szCs w:val="20"/>
          <w:lang w:eastAsia="en-US"/>
        </w:rPr>
        <w:t xml:space="preserve"> p.8)</w:t>
      </w:r>
      <w:r w:rsidR="00B063B1">
        <w:rPr>
          <w:szCs w:val="22"/>
        </w:rPr>
        <w:t xml:space="preserve"> </w:t>
      </w:r>
      <w:r w:rsidRPr="00FA4A72">
        <w:rPr>
          <w:szCs w:val="22"/>
        </w:rPr>
        <w:t xml:space="preserve">Thus the key channels of public finance are through central government and the public sector – in contrast to the model at the centre of the OECD/World Bank approach, which focuses on municipal finance and private sector operators. </w:t>
      </w:r>
    </w:p>
    <w:p w:rsidR="00256ED2" w:rsidRDefault="00256ED2" w:rsidP="00FA4A72">
      <w:pPr>
        <w:rPr>
          <w:szCs w:val="22"/>
        </w:rPr>
      </w:pPr>
    </w:p>
    <w:p w:rsidR="007661E1" w:rsidRDefault="007661E1" w:rsidP="007661E1">
      <w:pPr>
        <w:pStyle w:val="Heading8"/>
      </w:pPr>
      <w:bookmarkStart w:id="9" w:name="_Toc318886696"/>
      <w:r>
        <w:t>Public spending on infrastructure in Africa as % of GDP</w:t>
      </w:r>
      <w:bookmarkEnd w:id="9"/>
    </w:p>
    <w:p w:rsidR="007661E1" w:rsidRPr="00FA4A72" w:rsidRDefault="00BF329C" w:rsidP="00FA4A72">
      <w:pPr>
        <w:rPr>
          <w:szCs w:val="22"/>
        </w:rPr>
      </w:pPr>
      <w:r>
        <w:rPr>
          <w:noProof/>
          <w:szCs w:val="22"/>
        </w:rPr>
        <w:drawing>
          <wp:inline distT="0" distB="0" distL="0" distR="0">
            <wp:extent cx="2258060" cy="29914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8060" cy="2991485"/>
                    </a:xfrm>
                    <a:prstGeom prst="rect">
                      <a:avLst/>
                    </a:prstGeom>
                    <a:noFill/>
                    <a:ln>
                      <a:noFill/>
                    </a:ln>
                  </pic:spPr>
                </pic:pic>
              </a:graphicData>
            </a:graphic>
          </wp:inline>
        </w:drawing>
      </w:r>
    </w:p>
    <w:p w:rsidR="00FA4A72" w:rsidRPr="00D1048B" w:rsidRDefault="007661E1" w:rsidP="00D1048B">
      <w:pPr>
        <w:autoSpaceDE w:val="0"/>
        <w:rPr>
          <w:rFonts w:ascii="Minion-Regular" w:eastAsia="Minion-Regular" w:hAnsi="Minion-Regular" w:cs="Minion-Regular"/>
          <w:sz w:val="16"/>
          <w:szCs w:val="16"/>
          <w:lang w:val="fr-FR"/>
        </w:rPr>
      </w:pPr>
      <w:r w:rsidRPr="00F57316">
        <w:rPr>
          <w:lang w:val="fr-FR" w:eastAsia="en-US"/>
        </w:rPr>
        <w:t xml:space="preserve">Source: Africa’s Infrastructure </w:t>
      </w:r>
      <w:hyperlink r:id="rId13" w:history="1">
        <w:r w:rsidRPr="00D1048B">
          <w:rPr>
            <w:rStyle w:val="Hyperlink"/>
            <w:rFonts w:ascii="Minion-Regular" w:eastAsia="Minion-Regular" w:hAnsi="Minion-Regular"/>
            <w:sz w:val="16"/>
            <w:szCs w:val="16"/>
            <w:lang w:val="fr-FR"/>
          </w:rPr>
          <w:t>http://www.infrastructureafrica.org/aicd/system/files/AIATT_Consolidated_smaller.pdf</w:t>
        </w:r>
      </w:hyperlink>
      <w:r w:rsidRPr="00D1048B">
        <w:rPr>
          <w:rFonts w:ascii="Minion-Regular" w:eastAsia="Minion-Regular" w:hAnsi="Minion-Regular" w:cs="Minion-Regular"/>
          <w:sz w:val="16"/>
          <w:szCs w:val="16"/>
          <w:lang w:val="fr-FR"/>
        </w:rPr>
        <w:t xml:space="preserve"> </w:t>
      </w:r>
    </w:p>
    <w:p w:rsidR="00D51B11" w:rsidRDefault="00D51B11" w:rsidP="00D51B11">
      <w:pPr>
        <w:pStyle w:val="Heading2"/>
      </w:pPr>
      <w:bookmarkStart w:id="10" w:name="_Toc318886697"/>
      <w:r>
        <w:t>Investment in Asia</w:t>
      </w:r>
      <w:bookmarkEnd w:id="10"/>
    </w:p>
    <w:p w:rsidR="00D51B11" w:rsidRDefault="00D51B11" w:rsidP="00D51B11">
      <w:pPr>
        <w:rPr>
          <w:b/>
        </w:rPr>
      </w:pPr>
      <w:r>
        <w:rPr>
          <w:lang w:eastAsia="en-US"/>
        </w:rPr>
        <w:t xml:space="preserve">There is no comparable recent </w:t>
      </w:r>
      <w:r w:rsidR="008350A7">
        <w:rPr>
          <w:lang w:eastAsia="en-US"/>
        </w:rPr>
        <w:t xml:space="preserve">international </w:t>
      </w:r>
      <w:r>
        <w:rPr>
          <w:lang w:eastAsia="en-US"/>
        </w:rPr>
        <w:t xml:space="preserve">study on financing of infrastructure in </w:t>
      </w:r>
      <w:r w:rsidR="00F44833">
        <w:rPr>
          <w:lang w:eastAsia="en-US"/>
        </w:rPr>
        <w:t>South Asia</w:t>
      </w:r>
      <w:r>
        <w:rPr>
          <w:lang w:eastAsia="en-US"/>
        </w:rPr>
        <w:t>. Another World Bank study in 2006 estimated that investments in infrastructure</w:t>
      </w:r>
      <w:r w:rsidR="008350A7">
        <w:rPr>
          <w:lang w:eastAsia="en-US"/>
        </w:rPr>
        <w:t xml:space="preserve"> in </w:t>
      </w:r>
      <w:r w:rsidR="00F44833">
        <w:rPr>
          <w:lang w:eastAsia="en-US"/>
        </w:rPr>
        <w:t>South Asia</w:t>
      </w:r>
      <w:r w:rsidR="008350A7">
        <w:rPr>
          <w:lang w:eastAsia="en-US"/>
        </w:rPr>
        <w:t xml:space="preserve"> </w:t>
      </w:r>
      <w:r>
        <w:rPr>
          <w:lang w:eastAsia="en-US"/>
        </w:rPr>
        <w:t xml:space="preserve">were about 12% financed by the private sector and 88% by the public sector. This was estimated by valuing changes in infrastructure stocks, and </w:t>
      </w:r>
      <w:r w:rsidRPr="0005591D">
        <w:t>netting out the portion that was financed by the private sector</w:t>
      </w:r>
      <w:r>
        <w:t xml:space="preserve">, giving </w:t>
      </w:r>
      <w:r w:rsidRPr="0005591D">
        <w:t>estimates of around US$24.4 billion per year in public investment and US$3.2 billion in private investment.</w:t>
      </w:r>
      <w:r w:rsidRPr="00D51B11">
        <w:rPr>
          <w:rStyle w:val="EndnoteReference"/>
          <w:lang w:eastAsia="en-US"/>
        </w:rPr>
        <w:t xml:space="preserve"> </w:t>
      </w:r>
      <w:r>
        <w:rPr>
          <w:rStyle w:val="EndnoteReference"/>
          <w:lang w:eastAsia="en-US"/>
        </w:rPr>
        <w:endnoteReference w:id="17"/>
      </w:r>
      <w:r w:rsidR="008350A7">
        <w:rPr>
          <w:lang w:eastAsia="en-US"/>
        </w:rPr>
        <w:t xml:space="preserve"> But data from India shows that this estimate certainly overstates the role of the private sector.</w:t>
      </w:r>
    </w:p>
    <w:p w:rsidR="00D51B11" w:rsidRDefault="00D51B11" w:rsidP="00DF2826">
      <w:pPr>
        <w:rPr>
          <w:lang w:eastAsia="en-US"/>
        </w:rPr>
      </w:pPr>
    </w:p>
    <w:p w:rsidR="0086015F" w:rsidRDefault="00353A2B" w:rsidP="00D51B11">
      <w:pPr>
        <w:rPr>
          <w:lang w:eastAsia="en-US"/>
        </w:rPr>
      </w:pPr>
      <w:r w:rsidRPr="00353A2B">
        <w:rPr>
          <w:lang w:eastAsia="en-US"/>
        </w:rPr>
        <w:t xml:space="preserve">There is a wealth of information on the financing of infrastructure investment in India, in the reports of the Indian Planning Commission. This provides a breakdown by sector – electricity, roads, telecoms etc. – and by the source of financing, under three headings: central government, state government and private sector.  The </w:t>
      </w:r>
      <w:r w:rsidR="002F58B7">
        <w:rPr>
          <w:lang w:eastAsia="en-US"/>
        </w:rPr>
        <w:t xml:space="preserve">private sector is the greatest </w:t>
      </w:r>
      <w:r w:rsidRPr="00353A2B">
        <w:rPr>
          <w:lang w:eastAsia="en-US"/>
        </w:rPr>
        <w:t>source of investment finance in telecoms (82%), and also a large proportion of investment in electricity (44%), but in roads and rail its contribution is very small (16% and 4% respectively).  In water supply and sanitation, there has been investment of over USD $22 billion in t</w:t>
      </w:r>
      <w:r w:rsidR="002F58B7">
        <w:rPr>
          <w:lang w:eastAsia="en-US"/>
        </w:rPr>
        <w:t>h</w:t>
      </w:r>
      <w:r w:rsidRPr="00353A2B">
        <w:rPr>
          <w:lang w:eastAsia="en-US"/>
        </w:rPr>
        <w:t xml:space="preserve">e 5-year period </w:t>
      </w:r>
      <w:r w:rsidR="002F58B7">
        <w:rPr>
          <w:lang w:eastAsia="en-US"/>
        </w:rPr>
        <w:t>2007-2012</w:t>
      </w:r>
      <w:r w:rsidRPr="00353A2B">
        <w:rPr>
          <w:lang w:eastAsia="en-US"/>
        </w:rPr>
        <w:t>- however, the contribution of the private sector is only 0.4%.</w:t>
      </w:r>
    </w:p>
    <w:p w:rsidR="0086015F" w:rsidRDefault="0086015F" w:rsidP="00D51B11">
      <w:pPr>
        <w:rPr>
          <w:lang w:eastAsia="en-US"/>
        </w:rPr>
      </w:pPr>
    </w:p>
    <w:p w:rsidR="00353A2B" w:rsidRDefault="00353A2B" w:rsidP="00353A2B">
      <w:pPr>
        <w:pStyle w:val="Heading7"/>
      </w:pPr>
      <w:bookmarkStart w:id="11" w:name="_Toc193783755"/>
      <w:bookmarkStart w:id="12" w:name="_Toc318478129"/>
      <w:bookmarkStart w:id="13" w:name="_Toc318886698"/>
      <w:r>
        <w:t>Financing of water and sanitation investment, India</w:t>
      </w:r>
      <w:bookmarkEnd w:id="11"/>
      <w:r>
        <w:t>, 2007-2012</w:t>
      </w:r>
      <w:bookmarkEnd w:id="12"/>
      <w:bookmarkEnd w:id="13"/>
    </w:p>
    <w:p w:rsidR="00353A2B" w:rsidRPr="00353A2B" w:rsidRDefault="00353A2B" w:rsidP="00353A2B">
      <w:r w:rsidRPr="00353A2B">
        <w:t xml:space="preserve">Currency converted at </w:t>
      </w:r>
      <w:r w:rsidRPr="00AC69B2">
        <w:rPr>
          <w:lang w:eastAsia="en-US"/>
        </w:rPr>
        <w:t>R50</w:t>
      </w:r>
      <w:r w:rsidRPr="00353A2B">
        <w:t>=$1</w:t>
      </w:r>
    </w:p>
    <w:tbl>
      <w:tblPr>
        <w:tblW w:w="8379"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92"/>
        <w:gridCol w:w="1371"/>
        <w:gridCol w:w="1371"/>
        <w:gridCol w:w="1511"/>
        <w:gridCol w:w="1134"/>
      </w:tblGrid>
      <w:tr w:rsidR="00353A2B" w:rsidRPr="00485569" w:rsidTr="00353A2B">
        <w:trPr>
          <w:trHeight w:val="240"/>
        </w:trPr>
        <w:tc>
          <w:tcPr>
            <w:tcW w:w="2992" w:type="dxa"/>
            <w:shd w:val="clear" w:color="auto" w:fill="auto"/>
            <w:noWrap/>
            <w:vAlign w:val="bottom"/>
            <w:hideMark/>
          </w:tcPr>
          <w:p w:rsidR="00353A2B" w:rsidRPr="00353A2B" w:rsidRDefault="00353A2B" w:rsidP="00811BE6">
            <w:pPr>
              <w:rPr>
                <w:color w:val="000000"/>
                <w:sz w:val="20"/>
              </w:rPr>
            </w:pPr>
          </w:p>
        </w:tc>
        <w:tc>
          <w:tcPr>
            <w:tcW w:w="1371" w:type="dxa"/>
            <w:shd w:val="clear" w:color="auto" w:fill="auto"/>
            <w:noWrap/>
            <w:vAlign w:val="bottom"/>
            <w:hideMark/>
          </w:tcPr>
          <w:p w:rsidR="00353A2B" w:rsidRPr="00353A2B" w:rsidRDefault="00353A2B" w:rsidP="00353A2B">
            <w:pPr>
              <w:jc w:val="right"/>
              <w:rPr>
                <w:color w:val="000000"/>
                <w:sz w:val="20"/>
              </w:rPr>
            </w:pPr>
            <w:r w:rsidRPr="00353A2B">
              <w:rPr>
                <w:color w:val="000000"/>
                <w:sz w:val="20"/>
              </w:rPr>
              <w:t>R crore</w:t>
            </w:r>
          </w:p>
        </w:tc>
        <w:tc>
          <w:tcPr>
            <w:tcW w:w="1371" w:type="dxa"/>
            <w:shd w:val="clear" w:color="auto" w:fill="auto"/>
            <w:noWrap/>
            <w:vAlign w:val="bottom"/>
            <w:hideMark/>
          </w:tcPr>
          <w:p w:rsidR="00353A2B" w:rsidRPr="00353A2B" w:rsidRDefault="002F58B7" w:rsidP="00811BE6">
            <w:pPr>
              <w:rPr>
                <w:color w:val="000000"/>
                <w:sz w:val="20"/>
              </w:rPr>
            </w:pPr>
            <w:r>
              <w:rPr>
                <w:color w:val="000000"/>
                <w:sz w:val="20"/>
                <w:szCs w:val="20"/>
              </w:rPr>
              <w:t>US$ million</w:t>
            </w:r>
          </w:p>
        </w:tc>
        <w:tc>
          <w:tcPr>
            <w:tcW w:w="1511" w:type="dxa"/>
            <w:shd w:val="clear" w:color="auto" w:fill="auto"/>
            <w:noWrap/>
            <w:vAlign w:val="bottom"/>
            <w:hideMark/>
          </w:tcPr>
          <w:p w:rsidR="00353A2B" w:rsidRPr="00353A2B" w:rsidRDefault="00353A2B" w:rsidP="00811BE6">
            <w:pPr>
              <w:rPr>
                <w:color w:val="000000"/>
                <w:sz w:val="20"/>
              </w:rPr>
            </w:pPr>
            <w:r w:rsidRPr="00AC69B2">
              <w:rPr>
                <w:color w:val="000000"/>
                <w:sz w:val="20"/>
                <w:szCs w:val="20"/>
              </w:rPr>
              <w:t>%</w:t>
            </w:r>
            <w:r>
              <w:rPr>
                <w:color w:val="000000"/>
                <w:sz w:val="20"/>
                <w:szCs w:val="20"/>
              </w:rPr>
              <w:t xml:space="preserve"> of total investment</w:t>
            </w:r>
          </w:p>
        </w:tc>
        <w:tc>
          <w:tcPr>
            <w:tcW w:w="1134" w:type="dxa"/>
          </w:tcPr>
          <w:p w:rsidR="00353A2B" w:rsidRPr="00AC69B2" w:rsidRDefault="00353A2B" w:rsidP="00811BE6">
            <w:pPr>
              <w:rPr>
                <w:color w:val="000000"/>
                <w:sz w:val="20"/>
                <w:szCs w:val="20"/>
              </w:rPr>
            </w:pPr>
            <w:r>
              <w:rPr>
                <w:color w:val="000000"/>
                <w:sz w:val="20"/>
                <w:szCs w:val="20"/>
              </w:rPr>
              <w:t>% of GDP</w:t>
            </w:r>
          </w:p>
        </w:tc>
      </w:tr>
      <w:tr w:rsidR="00353A2B" w:rsidRPr="00485569" w:rsidTr="00353A2B">
        <w:trPr>
          <w:trHeight w:val="255"/>
        </w:trPr>
        <w:tc>
          <w:tcPr>
            <w:tcW w:w="2992" w:type="dxa"/>
            <w:shd w:val="clear" w:color="auto" w:fill="auto"/>
            <w:noWrap/>
            <w:vAlign w:val="bottom"/>
            <w:hideMark/>
          </w:tcPr>
          <w:p w:rsidR="00353A2B" w:rsidRPr="00353A2B" w:rsidRDefault="00353A2B" w:rsidP="00811BE6">
            <w:pPr>
              <w:rPr>
                <w:sz w:val="20"/>
              </w:rPr>
            </w:pPr>
            <w:r w:rsidRPr="00AC69B2">
              <w:rPr>
                <w:sz w:val="20"/>
                <w:szCs w:val="20"/>
              </w:rPr>
              <w:t xml:space="preserve"> </w:t>
            </w:r>
            <w:r w:rsidRPr="00AC69B2">
              <w:rPr>
                <w:bCs/>
                <w:color w:val="000000"/>
                <w:sz w:val="20"/>
                <w:szCs w:val="20"/>
              </w:rPr>
              <w:t xml:space="preserve">Water </w:t>
            </w:r>
            <w:r w:rsidRPr="00AC69B2">
              <w:rPr>
                <w:sz w:val="20"/>
                <w:szCs w:val="20"/>
              </w:rPr>
              <w:t xml:space="preserve"> Supply &amp; Sanitation  </w:t>
            </w:r>
          </w:p>
        </w:tc>
        <w:tc>
          <w:tcPr>
            <w:tcW w:w="1371" w:type="dxa"/>
            <w:shd w:val="clear" w:color="auto" w:fill="auto"/>
            <w:noWrap/>
            <w:vAlign w:val="bottom"/>
            <w:hideMark/>
          </w:tcPr>
          <w:p w:rsidR="00353A2B" w:rsidRPr="00353A2B" w:rsidRDefault="00353A2B" w:rsidP="00353A2B">
            <w:pPr>
              <w:jc w:val="right"/>
              <w:rPr>
                <w:sz w:val="20"/>
              </w:rPr>
            </w:pPr>
            <w:r w:rsidRPr="00AC69B2">
              <w:rPr>
                <w:sz w:val="20"/>
                <w:szCs w:val="20"/>
              </w:rPr>
              <w:t>111689</w:t>
            </w:r>
          </w:p>
        </w:tc>
        <w:tc>
          <w:tcPr>
            <w:tcW w:w="1371" w:type="dxa"/>
            <w:shd w:val="clear" w:color="auto" w:fill="auto"/>
            <w:noWrap/>
            <w:vAlign w:val="bottom"/>
            <w:hideMark/>
          </w:tcPr>
          <w:p w:rsidR="00353A2B" w:rsidRPr="00353A2B" w:rsidRDefault="00353A2B" w:rsidP="00353A2B">
            <w:pPr>
              <w:jc w:val="right"/>
              <w:rPr>
                <w:color w:val="000000"/>
                <w:sz w:val="20"/>
              </w:rPr>
            </w:pPr>
            <w:r w:rsidRPr="00AC69B2">
              <w:rPr>
                <w:color w:val="000000"/>
                <w:sz w:val="20"/>
                <w:szCs w:val="20"/>
              </w:rPr>
              <w:t>22338</w:t>
            </w:r>
          </w:p>
        </w:tc>
        <w:tc>
          <w:tcPr>
            <w:tcW w:w="1511" w:type="dxa"/>
            <w:shd w:val="clear" w:color="auto" w:fill="auto"/>
            <w:noWrap/>
            <w:vAlign w:val="bottom"/>
            <w:hideMark/>
          </w:tcPr>
          <w:p w:rsidR="00353A2B" w:rsidRPr="00353A2B" w:rsidRDefault="00353A2B" w:rsidP="00353A2B">
            <w:pPr>
              <w:jc w:val="right"/>
              <w:rPr>
                <w:color w:val="000000"/>
                <w:sz w:val="20"/>
              </w:rPr>
            </w:pPr>
            <w:r w:rsidRPr="00AC69B2">
              <w:rPr>
                <w:color w:val="000000"/>
                <w:sz w:val="20"/>
                <w:szCs w:val="20"/>
              </w:rPr>
              <w:t>100</w:t>
            </w:r>
          </w:p>
        </w:tc>
        <w:tc>
          <w:tcPr>
            <w:tcW w:w="1134" w:type="dxa"/>
          </w:tcPr>
          <w:p w:rsidR="00353A2B" w:rsidRPr="00AC69B2" w:rsidRDefault="00353A2B" w:rsidP="00811BE6">
            <w:pPr>
              <w:jc w:val="right"/>
              <w:rPr>
                <w:color w:val="000000"/>
                <w:sz w:val="20"/>
                <w:szCs w:val="20"/>
              </w:rPr>
            </w:pPr>
            <w:r>
              <w:rPr>
                <w:color w:val="000000"/>
                <w:sz w:val="20"/>
                <w:szCs w:val="20"/>
              </w:rPr>
              <w:t>0.41%</w:t>
            </w:r>
          </w:p>
        </w:tc>
      </w:tr>
      <w:tr w:rsidR="00353A2B" w:rsidRPr="00485569" w:rsidTr="00353A2B">
        <w:trPr>
          <w:trHeight w:val="255"/>
        </w:trPr>
        <w:tc>
          <w:tcPr>
            <w:tcW w:w="2992" w:type="dxa"/>
            <w:shd w:val="clear" w:color="auto" w:fill="auto"/>
            <w:noWrap/>
            <w:vAlign w:val="bottom"/>
            <w:hideMark/>
          </w:tcPr>
          <w:p w:rsidR="00353A2B" w:rsidRPr="00AC69B2" w:rsidRDefault="00353A2B" w:rsidP="00811BE6">
            <w:pPr>
              <w:jc w:val="right"/>
              <w:rPr>
                <w:i/>
                <w:sz w:val="20"/>
                <w:szCs w:val="20"/>
              </w:rPr>
            </w:pPr>
            <w:r w:rsidRPr="00AC69B2">
              <w:rPr>
                <w:i/>
                <w:sz w:val="20"/>
                <w:szCs w:val="20"/>
              </w:rPr>
              <w:t>Of which:</w:t>
            </w:r>
          </w:p>
        </w:tc>
        <w:tc>
          <w:tcPr>
            <w:tcW w:w="1371" w:type="dxa"/>
            <w:shd w:val="clear" w:color="auto" w:fill="auto"/>
            <w:noWrap/>
            <w:vAlign w:val="bottom"/>
            <w:hideMark/>
          </w:tcPr>
          <w:p w:rsidR="00353A2B" w:rsidRPr="00AC69B2" w:rsidRDefault="00353A2B" w:rsidP="00811BE6">
            <w:pPr>
              <w:jc w:val="right"/>
              <w:rPr>
                <w:i/>
                <w:sz w:val="20"/>
                <w:szCs w:val="20"/>
              </w:rPr>
            </w:pPr>
          </w:p>
        </w:tc>
        <w:tc>
          <w:tcPr>
            <w:tcW w:w="1371" w:type="dxa"/>
            <w:shd w:val="clear" w:color="auto" w:fill="auto"/>
            <w:noWrap/>
            <w:vAlign w:val="bottom"/>
            <w:hideMark/>
          </w:tcPr>
          <w:p w:rsidR="00353A2B" w:rsidRPr="00AC69B2" w:rsidRDefault="00353A2B" w:rsidP="00811BE6">
            <w:pPr>
              <w:jc w:val="right"/>
              <w:rPr>
                <w:i/>
                <w:color w:val="000000"/>
                <w:sz w:val="20"/>
                <w:szCs w:val="20"/>
              </w:rPr>
            </w:pPr>
          </w:p>
        </w:tc>
        <w:tc>
          <w:tcPr>
            <w:tcW w:w="1511" w:type="dxa"/>
            <w:shd w:val="clear" w:color="auto" w:fill="auto"/>
            <w:noWrap/>
            <w:vAlign w:val="bottom"/>
            <w:hideMark/>
          </w:tcPr>
          <w:p w:rsidR="00353A2B" w:rsidRPr="00AC69B2" w:rsidRDefault="00353A2B" w:rsidP="00811BE6">
            <w:pPr>
              <w:jc w:val="right"/>
              <w:rPr>
                <w:i/>
                <w:color w:val="000000"/>
                <w:sz w:val="20"/>
                <w:szCs w:val="20"/>
              </w:rPr>
            </w:pPr>
          </w:p>
        </w:tc>
        <w:tc>
          <w:tcPr>
            <w:tcW w:w="1134" w:type="dxa"/>
          </w:tcPr>
          <w:p w:rsidR="00353A2B" w:rsidRPr="00AC69B2" w:rsidRDefault="00353A2B" w:rsidP="00811BE6">
            <w:pPr>
              <w:jc w:val="right"/>
              <w:rPr>
                <w:i/>
                <w:color w:val="000000"/>
                <w:sz w:val="20"/>
                <w:szCs w:val="20"/>
              </w:rPr>
            </w:pPr>
          </w:p>
        </w:tc>
      </w:tr>
      <w:tr w:rsidR="00353A2B" w:rsidRPr="00485569" w:rsidTr="00353A2B">
        <w:trPr>
          <w:trHeight w:val="255"/>
        </w:trPr>
        <w:tc>
          <w:tcPr>
            <w:tcW w:w="2992" w:type="dxa"/>
            <w:shd w:val="clear" w:color="auto" w:fill="auto"/>
            <w:noWrap/>
            <w:vAlign w:val="bottom"/>
            <w:hideMark/>
          </w:tcPr>
          <w:p w:rsidR="00353A2B" w:rsidRPr="00353A2B" w:rsidRDefault="00353A2B" w:rsidP="00811BE6">
            <w:pPr>
              <w:rPr>
                <w:sz w:val="20"/>
              </w:rPr>
            </w:pPr>
            <w:r w:rsidRPr="00AC69B2">
              <w:rPr>
                <w:sz w:val="20"/>
                <w:szCs w:val="20"/>
              </w:rPr>
              <w:t xml:space="preserve"> </w:t>
            </w:r>
            <w:r w:rsidRPr="00353A2B">
              <w:rPr>
                <w:color w:val="000000"/>
                <w:sz w:val="20"/>
              </w:rPr>
              <w:t>Central government</w:t>
            </w:r>
          </w:p>
        </w:tc>
        <w:tc>
          <w:tcPr>
            <w:tcW w:w="1371" w:type="dxa"/>
            <w:shd w:val="clear" w:color="auto" w:fill="auto"/>
            <w:noWrap/>
            <w:vAlign w:val="bottom"/>
            <w:hideMark/>
          </w:tcPr>
          <w:p w:rsidR="00353A2B" w:rsidRPr="00353A2B" w:rsidRDefault="00353A2B" w:rsidP="00811BE6">
            <w:pPr>
              <w:jc w:val="right"/>
              <w:rPr>
                <w:sz w:val="20"/>
              </w:rPr>
            </w:pPr>
            <w:r w:rsidRPr="00AC69B2">
              <w:rPr>
                <w:sz w:val="20"/>
                <w:szCs w:val="20"/>
              </w:rPr>
              <w:t>43235</w:t>
            </w:r>
          </w:p>
        </w:tc>
        <w:tc>
          <w:tcPr>
            <w:tcW w:w="1371" w:type="dxa"/>
            <w:shd w:val="clear" w:color="auto" w:fill="auto"/>
            <w:noWrap/>
            <w:vAlign w:val="bottom"/>
            <w:hideMark/>
          </w:tcPr>
          <w:p w:rsidR="00353A2B" w:rsidRPr="00353A2B" w:rsidRDefault="00353A2B" w:rsidP="00811BE6">
            <w:pPr>
              <w:jc w:val="right"/>
              <w:rPr>
                <w:color w:val="000000"/>
                <w:sz w:val="20"/>
              </w:rPr>
            </w:pPr>
            <w:r w:rsidRPr="00AC69B2">
              <w:rPr>
                <w:color w:val="000000"/>
                <w:sz w:val="20"/>
                <w:szCs w:val="20"/>
              </w:rPr>
              <w:t>8647</w:t>
            </w:r>
          </w:p>
        </w:tc>
        <w:tc>
          <w:tcPr>
            <w:tcW w:w="1511" w:type="dxa"/>
            <w:shd w:val="clear" w:color="auto" w:fill="auto"/>
            <w:noWrap/>
            <w:vAlign w:val="bottom"/>
            <w:hideMark/>
          </w:tcPr>
          <w:p w:rsidR="00353A2B" w:rsidRPr="00353A2B" w:rsidRDefault="00353A2B" w:rsidP="00811BE6">
            <w:pPr>
              <w:jc w:val="right"/>
              <w:rPr>
                <w:color w:val="000000"/>
                <w:sz w:val="20"/>
              </w:rPr>
            </w:pPr>
            <w:r w:rsidRPr="00AC69B2">
              <w:rPr>
                <w:color w:val="000000"/>
                <w:sz w:val="20"/>
                <w:szCs w:val="20"/>
              </w:rPr>
              <w:t>38.7</w:t>
            </w:r>
          </w:p>
        </w:tc>
        <w:tc>
          <w:tcPr>
            <w:tcW w:w="1134" w:type="dxa"/>
          </w:tcPr>
          <w:p w:rsidR="00353A2B" w:rsidRPr="00AC69B2" w:rsidRDefault="00353A2B" w:rsidP="00811BE6">
            <w:pPr>
              <w:jc w:val="right"/>
              <w:rPr>
                <w:color w:val="000000"/>
                <w:sz w:val="20"/>
                <w:szCs w:val="20"/>
              </w:rPr>
            </w:pPr>
          </w:p>
        </w:tc>
      </w:tr>
      <w:tr w:rsidR="00353A2B" w:rsidRPr="00485569" w:rsidTr="00353A2B">
        <w:trPr>
          <w:trHeight w:val="255"/>
        </w:trPr>
        <w:tc>
          <w:tcPr>
            <w:tcW w:w="2992" w:type="dxa"/>
            <w:shd w:val="clear" w:color="auto" w:fill="auto"/>
            <w:noWrap/>
            <w:vAlign w:val="bottom"/>
            <w:hideMark/>
          </w:tcPr>
          <w:p w:rsidR="00353A2B" w:rsidRPr="00353A2B" w:rsidRDefault="00353A2B" w:rsidP="00811BE6">
            <w:pPr>
              <w:rPr>
                <w:sz w:val="20"/>
              </w:rPr>
            </w:pPr>
            <w:r w:rsidRPr="00AC69B2">
              <w:rPr>
                <w:sz w:val="20"/>
                <w:szCs w:val="20"/>
              </w:rPr>
              <w:t xml:space="preserve"> </w:t>
            </w:r>
            <w:r w:rsidRPr="00353A2B">
              <w:rPr>
                <w:color w:val="000000"/>
                <w:sz w:val="20"/>
              </w:rPr>
              <w:t>State governments</w:t>
            </w:r>
            <w:r w:rsidRPr="00AC69B2">
              <w:rPr>
                <w:color w:val="000000"/>
                <w:sz w:val="20"/>
                <w:szCs w:val="20"/>
              </w:rPr>
              <w:t xml:space="preserve"> </w:t>
            </w:r>
            <w:r w:rsidRPr="00AC69B2">
              <w:rPr>
                <w:sz w:val="20"/>
                <w:szCs w:val="20"/>
              </w:rPr>
              <w:t xml:space="preserve"> </w:t>
            </w:r>
          </w:p>
        </w:tc>
        <w:tc>
          <w:tcPr>
            <w:tcW w:w="1371" w:type="dxa"/>
            <w:shd w:val="clear" w:color="auto" w:fill="auto"/>
            <w:noWrap/>
            <w:vAlign w:val="bottom"/>
            <w:hideMark/>
          </w:tcPr>
          <w:p w:rsidR="00353A2B" w:rsidRPr="00353A2B" w:rsidRDefault="00353A2B" w:rsidP="00811BE6">
            <w:pPr>
              <w:jc w:val="right"/>
              <w:rPr>
                <w:sz w:val="20"/>
              </w:rPr>
            </w:pPr>
            <w:r w:rsidRPr="00AC69B2">
              <w:rPr>
                <w:sz w:val="20"/>
                <w:szCs w:val="20"/>
              </w:rPr>
              <w:t>67971</w:t>
            </w:r>
          </w:p>
        </w:tc>
        <w:tc>
          <w:tcPr>
            <w:tcW w:w="1371" w:type="dxa"/>
            <w:shd w:val="clear" w:color="auto" w:fill="auto"/>
            <w:noWrap/>
            <w:vAlign w:val="bottom"/>
            <w:hideMark/>
          </w:tcPr>
          <w:p w:rsidR="00353A2B" w:rsidRPr="00353A2B" w:rsidRDefault="00353A2B" w:rsidP="00811BE6">
            <w:pPr>
              <w:jc w:val="right"/>
              <w:rPr>
                <w:color w:val="000000"/>
                <w:sz w:val="20"/>
              </w:rPr>
            </w:pPr>
            <w:r w:rsidRPr="00AC69B2">
              <w:rPr>
                <w:color w:val="000000"/>
                <w:sz w:val="20"/>
                <w:szCs w:val="20"/>
              </w:rPr>
              <w:t>13594</w:t>
            </w:r>
          </w:p>
        </w:tc>
        <w:tc>
          <w:tcPr>
            <w:tcW w:w="1511" w:type="dxa"/>
            <w:shd w:val="clear" w:color="auto" w:fill="auto"/>
            <w:noWrap/>
            <w:vAlign w:val="bottom"/>
            <w:hideMark/>
          </w:tcPr>
          <w:p w:rsidR="00353A2B" w:rsidRPr="00353A2B" w:rsidRDefault="00353A2B" w:rsidP="00811BE6">
            <w:pPr>
              <w:jc w:val="right"/>
              <w:rPr>
                <w:color w:val="000000"/>
                <w:sz w:val="20"/>
              </w:rPr>
            </w:pPr>
            <w:r w:rsidRPr="00AC69B2">
              <w:rPr>
                <w:color w:val="000000"/>
                <w:sz w:val="20"/>
                <w:szCs w:val="20"/>
              </w:rPr>
              <w:t>60.9</w:t>
            </w:r>
          </w:p>
        </w:tc>
        <w:tc>
          <w:tcPr>
            <w:tcW w:w="1134" w:type="dxa"/>
          </w:tcPr>
          <w:p w:rsidR="00353A2B" w:rsidRPr="00AC69B2" w:rsidRDefault="00353A2B" w:rsidP="00811BE6">
            <w:pPr>
              <w:jc w:val="right"/>
              <w:rPr>
                <w:color w:val="000000"/>
                <w:sz w:val="20"/>
                <w:szCs w:val="20"/>
              </w:rPr>
            </w:pPr>
          </w:p>
        </w:tc>
      </w:tr>
      <w:tr w:rsidR="00353A2B" w:rsidRPr="00485569" w:rsidTr="00353A2B">
        <w:trPr>
          <w:trHeight w:val="255"/>
        </w:trPr>
        <w:tc>
          <w:tcPr>
            <w:tcW w:w="2992" w:type="dxa"/>
            <w:shd w:val="clear" w:color="auto" w:fill="auto"/>
            <w:noWrap/>
            <w:vAlign w:val="bottom"/>
            <w:hideMark/>
          </w:tcPr>
          <w:p w:rsidR="00353A2B" w:rsidRPr="00353A2B" w:rsidRDefault="00353A2B" w:rsidP="00811BE6">
            <w:pPr>
              <w:rPr>
                <w:sz w:val="20"/>
              </w:rPr>
            </w:pPr>
            <w:r w:rsidRPr="00AC69B2">
              <w:rPr>
                <w:sz w:val="20"/>
                <w:szCs w:val="20"/>
              </w:rPr>
              <w:t xml:space="preserve"> </w:t>
            </w:r>
            <w:r w:rsidRPr="00AC69B2">
              <w:rPr>
                <w:color w:val="000000"/>
                <w:sz w:val="20"/>
                <w:szCs w:val="20"/>
              </w:rPr>
              <w:t xml:space="preserve">Private </w:t>
            </w:r>
            <w:r w:rsidRPr="00353A2B">
              <w:rPr>
                <w:sz w:val="20"/>
              </w:rPr>
              <w:t xml:space="preserve"> sector</w:t>
            </w:r>
          </w:p>
        </w:tc>
        <w:tc>
          <w:tcPr>
            <w:tcW w:w="1371" w:type="dxa"/>
            <w:shd w:val="clear" w:color="auto" w:fill="auto"/>
            <w:noWrap/>
            <w:vAlign w:val="bottom"/>
            <w:hideMark/>
          </w:tcPr>
          <w:p w:rsidR="00353A2B" w:rsidRPr="00353A2B" w:rsidRDefault="00353A2B" w:rsidP="00811BE6">
            <w:pPr>
              <w:jc w:val="right"/>
              <w:rPr>
                <w:sz w:val="20"/>
              </w:rPr>
            </w:pPr>
            <w:r w:rsidRPr="00AC69B2">
              <w:rPr>
                <w:sz w:val="20"/>
                <w:szCs w:val="20"/>
              </w:rPr>
              <w:t xml:space="preserve"> </w:t>
            </w:r>
            <w:r w:rsidRPr="00AC69B2">
              <w:rPr>
                <w:color w:val="000000"/>
                <w:sz w:val="20"/>
                <w:szCs w:val="20"/>
              </w:rPr>
              <w:t xml:space="preserve">484 </w:t>
            </w:r>
            <w:r w:rsidRPr="00AC69B2">
              <w:rPr>
                <w:sz w:val="20"/>
                <w:szCs w:val="20"/>
              </w:rPr>
              <w:t xml:space="preserve"> </w:t>
            </w:r>
          </w:p>
        </w:tc>
        <w:tc>
          <w:tcPr>
            <w:tcW w:w="1371" w:type="dxa"/>
            <w:shd w:val="clear" w:color="auto" w:fill="auto"/>
            <w:noWrap/>
            <w:vAlign w:val="bottom"/>
            <w:hideMark/>
          </w:tcPr>
          <w:p w:rsidR="00353A2B" w:rsidRPr="00AC69B2" w:rsidRDefault="00353A2B" w:rsidP="00811BE6">
            <w:pPr>
              <w:jc w:val="right"/>
              <w:rPr>
                <w:color w:val="000000"/>
                <w:sz w:val="20"/>
                <w:szCs w:val="20"/>
              </w:rPr>
            </w:pPr>
            <w:r w:rsidRPr="00AC69B2">
              <w:rPr>
                <w:color w:val="000000"/>
                <w:sz w:val="20"/>
                <w:szCs w:val="20"/>
              </w:rPr>
              <w:t>97</w:t>
            </w:r>
          </w:p>
        </w:tc>
        <w:tc>
          <w:tcPr>
            <w:tcW w:w="1511" w:type="dxa"/>
            <w:shd w:val="clear" w:color="auto" w:fill="auto"/>
            <w:noWrap/>
            <w:vAlign w:val="bottom"/>
            <w:hideMark/>
          </w:tcPr>
          <w:p w:rsidR="00353A2B" w:rsidRPr="00353A2B" w:rsidRDefault="00353A2B" w:rsidP="00811BE6">
            <w:pPr>
              <w:jc w:val="right"/>
              <w:rPr>
                <w:color w:val="000000"/>
                <w:sz w:val="20"/>
              </w:rPr>
            </w:pPr>
            <w:r w:rsidRPr="00353A2B">
              <w:rPr>
                <w:color w:val="000000"/>
                <w:sz w:val="20"/>
              </w:rPr>
              <w:t>0.</w:t>
            </w:r>
            <w:r w:rsidRPr="00AC69B2">
              <w:rPr>
                <w:color w:val="000000"/>
                <w:sz w:val="20"/>
                <w:szCs w:val="20"/>
              </w:rPr>
              <w:t>4</w:t>
            </w:r>
          </w:p>
        </w:tc>
        <w:tc>
          <w:tcPr>
            <w:tcW w:w="1134" w:type="dxa"/>
          </w:tcPr>
          <w:p w:rsidR="00353A2B" w:rsidRPr="00353A2B" w:rsidRDefault="00353A2B" w:rsidP="00811BE6">
            <w:pPr>
              <w:jc w:val="right"/>
              <w:rPr>
                <w:color w:val="000000"/>
                <w:sz w:val="20"/>
              </w:rPr>
            </w:pPr>
          </w:p>
        </w:tc>
      </w:tr>
      <w:tr w:rsidR="00353A2B" w:rsidRPr="00485569" w:rsidTr="00353A2B">
        <w:trPr>
          <w:trHeight w:val="240"/>
        </w:trPr>
        <w:tc>
          <w:tcPr>
            <w:tcW w:w="2992" w:type="dxa"/>
            <w:shd w:val="clear" w:color="auto" w:fill="auto"/>
            <w:noWrap/>
            <w:vAlign w:val="bottom"/>
            <w:hideMark/>
          </w:tcPr>
          <w:p w:rsidR="00353A2B" w:rsidRPr="00353A2B" w:rsidRDefault="00353A2B" w:rsidP="00811BE6">
            <w:pPr>
              <w:rPr>
                <w:color w:val="000000"/>
                <w:sz w:val="20"/>
              </w:rPr>
            </w:pPr>
          </w:p>
        </w:tc>
        <w:tc>
          <w:tcPr>
            <w:tcW w:w="1371" w:type="dxa"/>
            <w:shd w:val="clear" w:color="auto" w:fill="auto"/>
            <w:noWrap/>
            <w:vAlign w:val="bottom"/>
            <w:hideMark/>
          </w:tcPr>
          <w:p w:rsidR="00353A2B" w:rsidRPr="00353A2B" w:rsidRDefault="00353A2B" w:rsidP="00811BE6">
            <w:pPr>
              <w:jc w:val="right"/>
              <w:rPr>
                <w:color w:val="000000"/>
                <w:sz w:val="20"/>
              </w:rPr>
            </w:pPr>
          </w:p>
        </w:tc>
        <w:tc>
          <w:tcPr>
            <w:tcW w:w="1371" w:type="dxa"/>
            <w:shd w:val="clear" w:color="auto" w:fill="auto"/>
            <w:noWrap/>
            <w:vAlign w:val="bottom"/>
            <w:hideMark/>
          </w:tcPr>
          <w:p w:rsidR="00353A2B" w:rsidRPr="00353A2B" w:rsidRDefault="00353A2B" w:rsidP="00811BE6">
            <w:pPr>
              <w:jc w:val="right"/>
              <w:rPr>
                <w:color w:val="000000"/>
                <w:sz w:val="20"/>
              </w:rPr>
            </w:pPr>
          </w:p>
        </w:tc>
        <w:tc>
          <w:tcPr>
            <w:tcW w:w="1511" w:type="dxa"/>
            <w:shd w:val="clear" w:color="auto" w:fill="auto"/>
            <w:noWrap/>
            <w:vAlign w:val="bottom"/>
            <w:hideMark/>
          </w:tcPr>
          <w:p w:rsidR="00353A2B" w:rsidRPr="00353A2B" w:rsidRDefault="00353A2B" w:rsidP="00811BE6">
            <w:pPr>
              <w:jc w:val="right"/>
              <w:rPr>
                <w:color w:val="000000"/>
                <w:sz w:val="20"/>
              </w:rPr>
            </w:pPr>
          </w:p>
        </w:tc>
        <w:tc>
          <w:tcPr>
            <w:tcW w:w="1134" w:type="dxa"/>
          </w:tcPr>
          <w:p w:rsidR="00353A2B" w:rsidRPr="00AC69B2" w:rsidRDefault="00353A2B" w:rsidP="00811BE6">
            <w:pPr>
              <w:jc w:val="right"/>
              <w:rPr>
                <w:color w:val="000000"/>
                <w:sz w:val="20"/>
                <w:szCs w:val="20"/>
              </w:rPr>
            </w:pPr>
          </w:p>
        </w:tc>
      </w:tr>
    </w:tbl>
    <w:p w:rsidR="00353A2B" w:rsidRDefault="00353A2B" w:rsidP="00353A2B">
      <w:pPr>
        <w:rPr>
          <w:lang w:eastAsia="en-US"/>
        </w:rPr>
      </w:pPr>
      <w:r>
        <w:rPr>
          <w:lang w:eastAsia="en-US"/>
        </w:rPr>
        <w:t xml:space="preserve">Source: Planning Commission of India </w:t>
      </w:r>
      <w:r>
        <w:rPr>
          <w:rStyle w:val="EndnoteReference"/>
          <w:lang w:eastAsia="en-US"/>
        </w:rPr>
        <w:endnoteReference w:id="18"/>
      </w:r>
    </w:p>
    <w:p w:rsidR="00256ED2" w:rsidRDefault="00256ED2" w:rsidP="00DF2826">
      <w:pPr>
        <w:rPr>
          <w:lang w:eastAsia="en-US"/>
        </w:rPr>
      </w:pPr>
    </w:p>
    <w:p w:rsidR="0005591D" w:rsidRDefault="00F04A15" w:rsidP="0005591D">
      <w:pPr>
        <w:pStyle w:val="Heading2"/>
      </w:pPr>
      <w:bookmarkStart w:id="14" w:name="_Toc318886699"/>
      <w:r>
        <w:t>Di</w:t>
      </w:r>
      <w:r w:rsidR="00B33111">
        <w:t>fference from usual estimates</w:t>
      </w:r>
      <w:bookmarkEnd w:id="14"/>
    </w:p>
    <w:p w:rsidR="00B33111" w:rsidRDefault="00B33111" w:rsidP="00B33111">
      <w:pPr>
        <w:rPr>
          <w:lang w:eastAsia="en-US"/>
        </w:rPr>
      </w:pPr>
      <w:r>
        <w:rPr>
          <w:lang w:eastAsia="en-US"/>
        </w:rPr>
        <w:t xml:space="preserve">This distribution differs from that generally used in global discussions of water finance. These typically assume </w:t>
      </w:r>
      <w:r>
        <w:t>a much larger role for the private sector – local and international</w:t>
      </w:r>
      <w:r w:rsidR="000D368E">
        <w:t xml:space="preserve">: for example, a recent article estimated that globally, local and international private </w:t>
      </w:r>
      <w:r w:rsidR="00533BEB">
        <w:t>companies were delivering 25% of investment in water and sanitation in developing countries in 2005.</w:t>
      </w:r>
      <w:r w:rsidR="000D368E">
        <w:rPr>
          <w:rStyle w:val="EndnoteReference"/>
        </w:rPr>
        <w:endnoteReference w:id="19"/>
      </w:r>
      <w:r w:rsidR="00533BEB">
        <w:t xml:space="preserve">  But it is consistent with the history of investment in water. </w:t>
      </w:r>
    </w:p>
    <w:p w:rsidR="00B33111" w:rsidRDefault="00B33111" w:rsidP="00B33111">
      <w:pPr>
        <w:rPr>
          <w:lang w:eastAsia="en-US"/>
        </w:rPr>
      </w:pPr>
    </w:p>
    <w:p w:rsidR="00001E35" w:rsidRPr="00226559" w:rsidRDefault="00B33111" w:rsidP="00AD181A">
      <w:pPr>
        <w:rPr>
          <w:iCs/>
          <w:lang w:eastAsia="en-US"/>
        </w:rPr>
      </w:pPr>
      <w:r w:rsidRPr="00226559">
        <w:rPr>
          <w:lang w:eastAsia="en-US"/>
        </w:rPr>
        <w:t xml:space="preserve">Before the promotion of the private sector began in the 1990s, public sector investment in developing countries used to </w:t>
      </w:r>
      <w:r w:rsidR="00F04A15">
        <w:rPr>
          <w:lang w:eastAsia="en-US"/>
        </w:rPr>
        <w:t xml:space="preserve">be </w:t>
      </w:r>
      <w:r w:rsidR="00AD181A" w:rsidRPr="00226559">
        <w:rPr>
          <w:lang w:eastAsia="en-US"/>
        </w:rPr>
        <w:t xml:space="preserve">at a much higher level. During the 1990s this dropped sharply: in Latin America, </w:t>
      </w:r>
      <w:r w:rsidR="00AD181A" w:rsidRPr="00226559">
        <w:rPr>
          <w:iCs/>
          <w:lang w:eastAsia="en-US"/>
        </w:rPr>
        <w:t xml:space="preserve">public sector investment in infrastructure dropped from 3% of GDP to 0.8%. </w:t>
      </w:r>
      <w:r w:rsidR="00E06B7E">
        <w:rPr>
          <w:iCs/>
          <w:lang w:eastAsia="en-US"/>
        </w:rPr>
        <w:t xml:space="preserve"> </w:t>
      </w:r>
      <w:r w:rsidR="00AD181A" w:rsidRPr="00226559">
        <w:rPr>
          <w:iCs/>
          <w:lang w:eastAsia="en-US"/>
        </w:rPr>
        <w:t>A World Bank study concluded that the promotion of privatisation was itself a causal factor: “Ultimately, many of the adjustments in public financing and ODA largely reflect the fact that the expectations of private sector participation in the financing of infrastructure needs were overoptimistic.” Mor</w:t>
      </w:r>
      <w:r w:rsidR="00226559">
        <w:rPr>
          <w:iCs/>
          <w:lang w:eastAsia="en-US"/>
        </w:rPr>
        <w:t>e</w:t>
      </w:r>
      <w:r w:rsidR="00AD181A" w:rsidRPr="00226559">
        <w:rPr>
          <w:iCs/>
          <w:lang w:eastAsia="en-US"/>
        </w:rPr>
        <w:t xml:space="preserve">over, private sector investments were heavily skewed away from the areas of greatest need – Africa and </w:t>
      </w:r>
      <w:r w:rsidR="00F44833">
        <w:rPr>
          <w:iCs/>
          <w:lang w:eastAsia="en-US"/>
        </w:rPr>
        <w:t>South Asia</w:t>
      </w:r>
      <w:r w:rsidR="00AD181A" w:rsidRPr="00226559">
        <w:rPr>
          <w:iCs/>
          <w:lang w:eastAsia="en-US"/>
        </w:rPr>
        <w:t xml:space="preserve"> – and in sectors other than water:  the bulk of private </w:t>
      </w:r>
      <w:r w:rsidR="00317804" w:rsidRPr="00226559">
        <w:rPr>
          <w:iCs/>
          <w:lang w:eastAsia="en-US"/>
        </w:rPr>
        <w:t>investment went</w:t>
      </w:r>
      <w:r w:rsidR="00AD181A" w:rsidRPr="00226559">
        <w:rPr>
          <w:iCs/>
          <w:lang w:eastAsia="en-US"/>
        </w:rPr>
        <w:t xml:space="preserve"> to energy and telecoms in Latin America, East Asia and Eastern Europe.</w:t>
      </w:r>
      <w:r w:rsidR="00AD181A" w:rsidRPr="00226559">
        <w:rPr>
          <w:rStyle w:val="EndnoteReference"/>
          <w:iCs/>
          <w:lang w:eastAsia="en-US"/>
        </w:rPr>
        <w:endnoteReference w:id="20"/>
      </w:r>
    </w:p>
    <w:p w:rsidR="00521B80" w:rsidRDefault="00521B80" w:rsidP="00001E35">
      <w:pPr>
        <w:rPr>
          <w:i/>
          <w:iCs/>
          <w:lang w:eastAsia="en-US"/>
        </w:rPr>
      </w:pPr>
    </w:p>
    <w:p w:rsidR="00C83669" w:rsidRPr="00521B80" w:rsidRDefault="00C83669" w:rsidP="00521B80">
      <w:pPr>
        <w:pStyle w:val="Heading1"/>
      </w:pPr>
      <w:bookmarkStart w:id="15" w:name="_Toc318886700"/>
      <w:r w:rsidRPr="00521B80">
        <w:t>The effects of the crisis</w:t>
      </w:r>
      <w:bookmarkEnd w:id="15"/>
    </w:p>
    <w:p w:rsidR="00E34651" w:rsidRPr="00521B80" w:rsidRDefault="00C83669" w:rsidP="00521B80">
      <w:pPr>
        <w:pStyle w:val="Heading2"/>
      </w:pPr>
      <w:bookmarkStart w:id="16" w:name="_Toc318886701"/>
      <w:r w:rsidRPr="00521B80">
        <w:t>Economic crisis, f</w:t>
      </w:r>
      <w:r w:rsidR="009121E9" w:rsidRPr="00521B80">
        <w:t>iscal stimulus</w:t>
      </w:r>
      <w:r w:rsidR="00794F3E" w:rsidRPr="00521B80">
        <w:t xml:space="preserve">, </w:t>
      </w:r>
      <w:r w:rsidR="00E34651" w:rsidRPr="00521B80">
        <w:t>economic growth</w:t>
      </w:r>
      <w:r w:rsidR="00794F3E" w:rsidRPr="00521B80">
        <w:t xml:space="preserve"> and </w:t>
      </w:r>
      <w:r w:rsidRPr="00521B80">
        <w:t>aid</w:t>
      </w:r>
      <w:bookmarkEnd w:id="16"/>
    </w:p>
    <w:p w:rsidR="009121E9" w:rsidRPr="00521B80" w:rsidRDefault="00E34651" w:rsidP="00521B80">
      <w:pPr>
        <w:rPr>
          <w:lang w:eastAsia="en-US"/>
        </w:rPr>
      </w:pPr>
      <w:r w:rsidRPr="00521B80">
        <w:rPr>
          <w:lang w:eastAsia="en-US"/>
        </w:rPr>
        <w:t xml:space="preserve">The crisis </w:t>
      </w:r>
      <w:r w:rsidR="00727732" w:rsidRPr="00521B80">
        <w:rPr>
          <w:lang w:eastAsia="en-US"/>
        </w:rPr>
        <w:t>has done much</w:t>
      </w:r>
      <w:r w:rsidRPr="00521B80">
        <w:rPr>
          <w:lang w:eastAsia="en-US"/>
        </w:rPr>
        <w:t xml:space="preserve"> less damage to African economies than </w:t>
      </w:r>
      <w:r w:rsidR="00727732" w:rsidRPr="00521B80">
        <w:rPr>
          <w:lang w:eastAsia="en-US"/>
        </w:rPr>
        <w:t xml:space="preserve">it has to northern countries. The region as a whole did not even experience a contraction in 2009, when GDP growth overall was 2%; the IMF forecasts that in 2010 there will be growth of 4.7%, and in 2011 growth of 6% in GDP. </w:t>
      </w:r>
    </w:p>
    <w:p w:rsidR="009121E9" w:rsidRPr="00521B80" w:rsidRDefault="009121E9" w:rsidP="00521B80">
      <w:pPr>
        <w:rPr>
          <w:lang w:eastAsia="en-US"/>
        </w:rPr>
      </w:pPr>
    </w:p>
    <w:p w:rsidR="00E34651" w:rsidRPr="00521B80" w:rsidRDefault="00727732" w:rsidP="00521B80">
      <w:pPr>
        <w:rPr>
          <w:szCs w:val="22"/>
        </w:rPr>
      </w:pPr>
      <w:r w:rsidRPr="00521B80">
        <w:rPr>
          <w:lang w:eastAsia="en-US"/>
        </w:rPr>
        <w:t xml:space="preserve">This is partly due to </w:t>
      </w:r>
      <w:r w:rsidR="009121E9" w:rsidRPr="00521B80">
        <w:rPr>
          <w:lang w:eastAsia="en-US"/>
        </w:rPr>
        <w:t xml:space="preserve">the use of fiscal stimulus packages, which included </w:t>
      </w:r>
      <w:r w:rsidRPr="00521B80">
        <w:rPr>
          <w:lang w:eastAsia="en-US"/>
        </w:rPr>
        <w:t xml:space="preserve">increased plans for public </w:t>
      </w:r>
      <w:r w:rsidR="009121E9" w:rsidRPr="00521B80">
        <w:rPr>
          <w:lang w:eastAsia="en-US"/>
        </w:rPr>
        <w:t xml:space="preserve">infrastructure </w:t>
      </w:r>
      <w:r w:rsidRPr="00521B80">
        <w:rPr>
          <w:lang w:eastAsia="en-US"/>
        </w:rPr>
        <w:t>spending</w:t>
      </w:r>
      <w:r w:rsidR="009121E9" w:rsidRPr="00521B80">
        <w:rPr>
          <w:lang w:eastAsia="en-US"/>
        </w:rPr>
        <w:t>, and have been strongly praised by the IFIs:</w:t>
      </w:r>
      <w:r w:rsidRPr="00521B80">
        <w:rPr>
          <w:lang w:eastAsia="en-US"/>
        </w:rPr>
        <w:t xml:space="preserve"> </w:t>
      </w:r>
      <w:r w:rsidR="009121E9" w:rsidRPr="00521B80">
        <w:rPr>
          <w:szCs w:val="22"/>
        </w:rPr>
        <w:t>“</w:t>
      </w:r>
      <w:r w:rsidR="00E34651" w:rsidRPr="00521B80">
        <w:rPr>
          <w:szCs w:val="22"/>
        </w:rPr>
        <w:t>stimulus packages have been managed successfully without major impact on debt, and have increased the scale of public investment in infrastructure and the credibility of public spending on infrastructure</w:t>
      </w:r>
      <w:r w:rsidR="00E06B7E">
        <w:rPr>
          <w:szCs w:val="22"/>
        </w:rPr>
        <w:t>”.</w:t>
      </w:r>
      <w:r w:rsidR="009121E9" w:rsidRPr="00521B80">
        <w:rPr>
          <w:rStyle w:val="EndnoteReference"/>
          <w:lang w:eastAsia="en-US"/>
        </w:rPr>
        <w:endnoteReference w:id="21"/>
      </w:r>
      <w:r w:rsidR="009121E9" w:rsidRPr="00521B80">
        <w:rPr>
          <w:szCs w:val="22"/>
        </w:rPr>
        <w:t xml:space="preserve"> </w:t>
      </w:r>
      <w:r w:rsidR="00E06B7E">
        <w:rPr>
          <w:szCs w:val="22"/>
        </w:rPr>
        <w:t xml:space="preserve"> </w:t>
      </w:r>
      <w:r w:rsidR="009121E9" w:rsidRPr="00521B80">
        <w:rPr>
          <w:szCs w:val="22"/>
        </w:rPr>
        <w:t xml:space="preserve">There is no pressure from the World Bank or the IMF to make cuts to reduce these deficits, unlike the situation in Europe. </w:t>
      </w:r>
      <w:r w:rsidR="009121E9" w:rsidRPr="00521B80">
        <w:rPr>
          <w:szCs w:val="22"/>
          <w:lang w:eastAsia="en-US"/>
        </w:rPr>
        <w:t xml:space="preserve">The </w:t>
      </w:r>
      <w:r w:rsidR="00E34651" w:rsidRPr="00521B80">
        <w:rPr>
          <w:szCs w:val="22"/>
          <w:lang w:eastAsia="en-US"/>
        </w:rPr>
        <w:t>World Bank’s Global Economic Prospects 2010 says: “</w:t>
      </w:r>
      <w:r w:rsidR="00E34651" w:rsidRPr="00521B80">
        <w:rPr>
          <w:szCs w:val="22"/>
        </w:rPr>
        <w:t>The need to unwind stimulus measures among developing countries is generally less pressing; because both fiscal deficits and debt-to-GDP ratios are much lower”.</w:t>
      </w:r>
      <w:r w:rsidRPr="00521B80">
        <w:rPr>
          <w:rStyle w:val="EndnoteReference"/>
          <w:szCs w:val="22"/>
        </w:rPr>
        <w:endnoteReference w:id="22"/>
      </w:r>
    </w:p>
    <w:p w:rsidR="00E34651" w:rsidRPr="00521B80" w:rsidRDefault="00E34651" w:rsidP="00521B80">
      <w:pPr>
        <w:rPr>
          <w:szCs w:val="22"/>
        </w:rPr>
      </w:pPr>
    </w:p>
    <w:p w:rsidR="008A3D5B" w:rsidRPr="00521B80" w:rsidRDefault="009121E9" w:rsidP="00521B80">
      <w:pPr>
        <w:rPr>
          <w:szCs w:val="22"/>
        </w:rPr>
      </w:pPr>
      <w:r w:rsidRPr="00521B80">
        <w:rPr>
          <w:szCs w:val="22"/>
        </w:rPr>
        <w:t xml:space="preserve">This is despite the fact that the stimulus packages were large: public spending plans were increased by 5% of GDP above the average level of the 2003-2007 period, </w:t>
      </w:r>
      <w:r w:rsidR="008A3D5B" w:rsidRPr="00521B80">
        <w:rPr>
          <w:szCs w:val="22"/>
        </w:rPr>
        <w:t xml:space="preserve">with higher levels of spending on health and education in low income countries, even in 2009. </w:t>
      </w:r>
      <w:r w:rsidR="008A3D5B" w:rsidRPr="00521B80">
        <w:rPr>
          <w:rStyle w:val="EndnoteReference"/>
          <w:szCs w:val="22"/>
        </w:rPr>
        <w:endnoteReference w:id="23"/>
      </w:r>
      <w:r w:rsidR="00E34651" w:rsidRPr="00521B80">
        <w:rPr>
          <w:szCs w:val="22"/>
        </w:rPr>
        <w:t xml:space="preserve"> </w:t>
      </w:r>
      <w:r w:rsidR="00410A9C" w:rsidRPr="00521B80">
        <w:rPr>
          <w:szCs w:val="22"/>
        </w:rPr>
        <w:t xml:space="preserve"> </w:t>
      </w:r>
    </w:p>
    <w:p w:rsidR="00521B80" w:rsidRPr="00521B80" w:rsidRDefault="00521B80" w:rsidP="00521B80">
      <w:pPr>
        <w:rPr>
          <w:szCs w:val="22"/>
        </w:rPr>
      </w:pPr>
    </w:p>
    <w:p w:rsidR="008A3D5B" w:rsidRPr="00521B80" w:rsidRDefault="008A3D5B" w:rsidP="00521B80">
      <w:pPr>
        <w:rPr>
          <w:lang w:eastAsia="en-US"/>
        </w:rPr>
      </w:pPr>
      <w:r w:rsidRPr="00521B80">
        <w:rPr>
          <w:szCs w:val="22"/>
        </w:rPr>
        <w:t xml:space="preserve">African governments are </w:t>
      </w:r>
      <w:r w:rsidR="00794F3E" w:rsidRPr="00521B80">
        <w:rPr>
          <w:szCs w:val="22"/>
        </w:rPr>
        <w:t xml:space="preserve">also </w:t>
      </w:r>
      <w:r w:rsidRPr="00521B80">
        <w:rPr>
          <w:szCs w:val="22"/>
        </w:rPr>
        <w:t>confidently planning to finance their deficits by borrowing, including issuing bonds. Both Kenya and Tanzania plan to issue €500</w:t>
      </w:r>
      <w:r w:rsidR="002F58B7">
        <w:rPr>
          <w:szCs w:val="22"/>
        </w:rPr>
        <w:t xml:space="preserve"> million in bonds</w:t>
      </w:r>
      <w:r w:rsidRPr="00521B80">
        <w:rPr>
          <w:szCs w:val="22"/>
        </w:rPr>
        <w:t xml:space="preserve">, Uganda plans a similar issue aimed at national rather than international investors. </w:t>
      </w:r>
      <w:r w:rsidR="003319F9" w:rsidRPr="00521B80">
        <w:rPr>
          <w:lang w:eastAsia="en-US"/>
        </w:rPr>
        <w:t xml:space="preserve">This policy is </w:t>
      </w:r>
      <w:r w:rsidRPr="00521B80">
        <w:rPr>
          <w:lang w:eastAsia="en-US"/>
        </w:rPr>
        <w:t>supported by a longer-term trend since 2000 for developing country governments being able to borrow money more cheaply, compared with rich countries. According to an IMF study, the spreads and effective interest rates paid by these governments has fallen in the last decade, so the cost of borrowing is lower.</w:t>
      </w:r>
      <w:r w:rsidRPr="00521B80">
        <w:rPr>
          <w:rStyle w:val="EndnoteReference"/>
          <w:lang w:eastAsia="en-US"/>
        </w:rPr>
        <w:endnoteReference w:id="24"/>
      </w:r>
    </w:p>
    <w:p w:rsidR="008A3D5B" w:rsidRPr="00521B80" w:rsidRDefault="008A3D5B" w:rsidP="00521B80">
      <w:pPr>
        <w:rPr>
          <w:szCs w:val="22"/>
        </w:rPr>
      </w:pPr>
    </w:p>
    <w:p w:rsidR="00794F3E" w:rsidRDefault="006B22C6" w:rsidP="00521B80">
      <w:pPr>
        <w:rPr>
          <w:lang w:eastAsia="en-US"/>
        </w:rPr>
      </w:pPr>
      <w:r>
        <w:rPr>
          <w:lang w:eastAsia="en-US"/>
        </w:rPr>
        <w:t>P</w:t>
      </w:r>
      <w:r w:rsidR="00E34651" w:rsidRPr="00521B80">
        <w:rPr>
          <w:lang w:eastAsia="en-US"/>
        </w:rPr>
        <w:t xml:space="preserve">ublic spending as a percentage of GDP </w:t>
      </w:r>
      <w:r>
        <w:rPr>
          <w:lang w:eastAsia="en-US"/>
        </w:rPr>
        <w:t xml:space="preserve">has increased </w:t>
      </w:r>
      <w:r w:rsidR="002A5BF7" w:rsidRPr="00521B80">
        <w:rPr>
          <w:lang w:eastAsia="en-US"/>
        </w:rPr>
        <w:t>across Africa as a whole</w:t>
      </w:r>
      <w:r>
        <w:rPr>
          <w:lang w:eastAsia="en-US"/>
        </w:rPr>
        <w:t xml:space="preserve">, and remains </w:t>
      </w:r>
      <w:r w:rsidR="00E34651" w:rsidRPr="00521B80">
        <w:rPr>
          <w:lang w:eastAsia="en-US"/>
        </w:rPr>
        <w:t xml:space="preserve">above </w:t>
      </w:r>
      <w:r>
        <w:rPr>
          <w:lang w:eastAsia="en-US"/>
        </w:rPr>
        <w:t xml:space="preserve">pre-crisis levels. The IMF </w:t>
      </w:r>
      <w:r w:rsidR="00E34651" w:rsidRPr="00521B80">
        <w:rPr>
          <w:lang w:eastAsia="en-US"/>
        </w:rPr>
        <w:t>forecast</w:t>
      </w:r>
      <w:r>
        <w:rPr>
          <w:lang w:eastAsia="en-US"/>
        </w:rPr>
        <w:t>s</w:t>
      </w:r>
      <w:r w:rsidR="00E34651" w:rsidRPr="00521B80">
        <w:rPr>
          <w:lang w:eastAsia="en-US"/>
        </w:rPr>
        <w:t xml:space="preserve"> </w:t>
      </w:r>
      <w:r w:rsidR="00167305" w:rsidRPr="00521B80">
        <w:rPr>
          <w:lang w:eastAsia="en-US"/>
        </w:rPr>
        <w:t xml:space="preserve">GDP </w:t>
      </w:r>
      <w:r w:rsidR="00E34651" w:rsidRPr="00521B80">
        <w:rPr>
          <w:lang w:eastAsia="en-US"/>
        </w:rPr>
        <w:t xml:space="preserve">growth </w:t>
      </w:r>
      <w:r w:rsidR="00167305" w:rsidRPr="00521B80">
        <w:rPr>
          <w:lang w:eastAsia="en-US"/>
        </w:rPr>
        <w:t xml:space="preserve">of </w:t>
      </w:r>
      <w:r>
        <w:rPr>
          <w:lang w:eastAsia="en-US"/>
        </w:rPr>
        <w:t>6</w:t>
      </w:r>
      <w:r w:rsidR="00E34651" w:rsidRPr="00521B80">
        <w:rPr>
          <w:lang w:eastAsia="en-US"/>
        </w:rPr>
        <w:t xml:space="preserve">% </w:t>
      </w:r>
      <w:r>
        <w:rPr>
          <w:lang w:eastAsia="en-US"/>
        </w:rPr>
        <w:t>in 2012</w:t>
      </w:r>
      <w:r w:rsidR="00E34651" w:rsidRPr="00521B80">
        <w:rPr>
          <w:lang w:eastAsia="en-US"/>
        </w:rPr>
        <w:t xml:space="preserve">, </w:t>
      </w:r>
      <w:r>
        <w:rPr>
          <w:lang w:eastAsia="en-US"/>
        </w:rPr>
        <w:t>so the</w:t>
      </w:r>
      <w:r w:rsidR="002A5BF7" w:rsidRPr="00521B80">
        <w:rPr>
          <w:lang w:eastAsia="en-US"/>
        </w:rPr>
        <w:t xml:space="preserve"> </w:t>
      </w:r>
      <w:r w:rsidR="00E34651" w:rsidRPr="00521B80">
        <w:rPr>
          <w:lang w:eastAsia="en-US"/>
        </w:rPr>
        <w:t xml:space="preserve">actual </w:t>
      </w:r>
      <w:r>
        <w:rPr>
          <w:lang w:eastAsia="en-US"/>
        </w:rPr>
        <w:t xml:space="preserve">volume of </w:t>
      </w:r>
      <w:r w:rsidR="00E34651" w:rsidRPr="00521B80">
        <w:rPr>
          <w:lang w:eastAsia="en-US"/>
        </w:rPr>
        <w:t xml:space="preserve">public spending </w:t>
      </w:r>
      <w:r w:rsidR="002A5BF7" w:rsidRPr="00521B80">
        <w:rPr>
          <w:lang w:eastAsia="en-US"/>
        </w:rPr>
        <w:t>will be significantly higher – about 10% higher in 2011 than in 2008, in re</w:t>
      </w:r>
      <w:r w:rsidR="0045389C">
        <w:rPr>
          <w:lang w:eastAsia="en-US"/>
        </w:rPr>
        <w:t>al terms.</w:t>
      </w:r>
      <w:r w:rsidR="00D172DF">
        <w:rPr>
          <w:rStyle w:val="EndnoteReference"/>
          <w:lang w:eastAsia="en-US"/>
        </w:rPr>
        <w:endnoteReference w:id="25"/>
      </w:r>
    </w:p>
    <w:p w:rsidR="006B22C6" w:rsidRPr="00521B80" w:rsidRDefault="006B22C6" w:rsidP="00521B80">
      <w:pPr>
        <w:rPr>
          <w:lang w:eastAsia="en-US"/>
        </w:rPr>
      </w:pPr>
    </w:p>
    <w:p w:rsidR="00E34651" w:rsidRDefault="00E34651" w:rsidP="00E34651">
      <w:pPr>
        <w:pStyle w:val="Heading7"/>
      </w:pPr>
      <w:bookmarkStart w:id="17" w:name="_Toc318886702"/>
      <w:r>
        <w:t xml:space="preserve">Public spending as % of GDP in </w:t>
      </w:r>
      <w:r w:rsidR="006B22C6">
        <w:t>sub-Saharan Africa</w:t>
      </w:r>
      <w:r>
        <w:t xml:space="preserve"> 200</w:t>
      </w:r>
      <w:r w:rsidR="006B22C6">
        <w:t>6</w:t>
      </w:r>
      <w:r>
        <w:t>-201</w:t>
      </w:r>
      <w:r w:rsidR="006B22C6">
        <w:t>2</w:t>
      </w:r>
      <w:bookmarkEnd w:id="17"/>
    </w:p>
    <w:tbl>
      <w:tblPr>
        <w:tblW w:w="76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tblGrid>
      <w:tr w:rsidR="006B22C6" w:rsidRPr="00485569" w:rsidTr="006B22C6">
        <w:trPr>
          <w:trHeight w:val="225"/>
        </w:trPr>
        <w:tc>
          <w:tcPr>
            <w:tcW w:w="960" w:type="dxa"/>
            <w:shd w:val="clear" w:color="auto" w:fill="auto"/>
            <w:noWrap/>
            <w:vAlign w:val="bottom"/>
          </w:tcPr>
          <w:p w:rsidR="006B22C6" w:rsidRPr="00536E7E" w:rsidRDefault="006B22C6" w:rsidP="00410A9C">
            <w:pPr>
              <w:rPr>
                <w:rFonts w:cs="Calibri"/>
                <w:color w:val="000000"/>
                <w:szCs w:val="22"/>
              </w:rPr>
            </w:pPr>
          </w:p>
        </w:tc>
        <w:tc>
          <w:tcPr>
            <w:tcW w:w="960" w:type="dxa"/>
          </w:tcPr>
          <w:p w:rsidR="006B22C6" w:rsidRPr="00536E7E" w:rsidRDefault="006B22C6" w:rsidP="00410A9C">
            <w:pPr>
              <w:jc w:val="right"/>
              <w:rPr>
                <w:rFonts w:cs="Calibri"/>
                <w:color w:val="000000"/>
                <w:szCs w:val="22"/>
              </w:rPr>
            </w:pPr>
            <w:r>
              <w:rPr>
                <w:rFonts w:cs="Calibri"/>
                <w:color w:val="000000"/>
                <w:szCs w:val="22"/>
              </w:rPr>
              <w:t>2006</w:t>
            </w:r>
          </w:p>
        </w:tc>
        <w:tc>
          <w:tcPr>
            <w:tcW w:w="960" w:type="dxa"/>
          </w:tcPr>
          <w:p w:rsidR="006B22C6" w:rsidRPr="00536E7E" w:rsidRDefault="006B22C6" w:rsidP="00410A9C">
            <w:pPr>
              <w:jc w:val="right"/>
              <w:rPr>
                <w:rFonts w:cs="Calibri"/>
                <w:color w:val="000000"/>
                <w:szCs w:val="22"/>
              </w:rPr>
            </w:pPr>
            <w:r>
              <w:rPr>
                <w:rFonts w:cs="Calibri"/>
                <w:color w:val="000000"/>
                <w:szCs w:val="22"/>
              </w:rPr>
              <w:t>2007</w:t>
            </w:r>
          </w:p>
        </w:tc>
        <w:tc>
          <w:tcPr>
            <w:tcW w:w="960" w:type="dxa"/>
            <w:shd w:val="clear" w:color="auto" w:fill="auto"/>
            <w:noWrap/>
            <w:vAlign w:val="bottom"/>
          </w:tcPr>
          <w:p w:rsidR="006B22C6" w:rsidRPr="00536E7E" w:rsidRDefault="006B22C6" w:rsidP="00410A9C">
            <w:pPr>
              <w:jc w:val="right"/>
              <w:rPr>
                <w:rFonts w:cs="Calibri"/>
                <w:color w:val="000000"/>
                <w:szCs w:val="22"/>
              </w:rPr>
            </w:pPr>
            <w:r w:rsidRPr="00536E7E">
              <w:rPr>
                <w:rFonts w:cs="Calibri"/>
                <w:color w:val="000000"/>
                <w:szCs w:val="22"/>
              </w:rPr>
              <w:t>2008</w:t>
            </w:r>
          </w:p>
        </w:tc>
        <w:tc>
          <w:tcPr>
            <w:tcW w:w="960" w:type="dxa"/>
            <w:shd w:val="clear" w:color="auto" w:fill="auto"/>
            <w:noWrap/>
            <w:vAlign w:val="bottom"/>
          </w:tcPr>
          <w:p w:rsidR="006B22C6" w:rsidRPr="00536E7E" w:rsidRDefault="006B22C6" w:rsidP="00410A9C">
            <w:pPr>
              <w:jc w:val="right"/>
              <w:rPr>
                <w:rFonts w:cs="Calibri"/>
                <w:color w:val="000000"/>
                <w:szCs w:val="22"/>
              </w:rPr>
            </w:pPr>
            <w:r w:rsidRPr="00536E7E">
              <w:rPr>
                <w:rFonts w:cs="Calibri"/>
                <w:color w:val="000000"/>
                <w:szCs w:val="22"/>
              </w:rPr>
              <w:t>2009</w:t>
            </w:r>
          </w:p>
        </w:tc>
        <w:tc>
          <w:tcPr>
            <w:tcW w:w="960" w:type="dxa"/>
            <w:shd w:val="clear" w:color="auto" w:fill="auto"/>
            <w:noWrap/>
            <w:vAlign w:val="bottom"/>
          </w:tcPr>
          <w:p w:rsidR="006B22C6" w:rsidRPr="00536E7E" w:rsidRDefault="006B22C6" w:rsidP="00410A9C">
            <w:pPr>
              <w:jc w:val="right"/>
              <w:rPr>
                <w:rFonts w:cs="Calibri"/>
                <w:color w:val="000000"/>
                <w:szCs w:val="22"/>
              </w:rPr>
            </w:pPr>
            <w:r w:rsidRPr="00536E7E">
              <w:rPr>
                <w:rFonts w:cs="Calibri"/>
                <w:color w:val="000000"/>
                <w:szCs w:val="22"/>
              </w:rPr>
              <w:t>2010</w:t>
            </w:r>
          </w:p>
        </w:tc>
        <w:tc>
          <w:tcPr>
            <w:tcW w:w="960" w:type="dxa"/>
            <w:shd w:val="clear" w:color="auto" w:fill="auto"/>
            <w:noWrap/>
            <w:vAlign w:val="bottom"/>
          </w:tcPr>
          <w:p w:rsidR="006B22C6" w:rsidRPr="00536E7E" w:rsidRDefault="006B22C6" w:rsidP="00410A9C">
            <w:pPr>
              <w:jc w:val="right"/>
              <w:rPr>
                <w:rFonts w:cs="Calibri"/>
                <w:color w:val="000000"/>
                <w:szCs w:val="22"/>
              </w:rPr>
            </w:pPr>
            <w:r w:rsidRPr="00536E7E">
              <w:rPr>
                <w:rFonts w:cs="Calibri"/>
                <w:color w:val="000000"/>
                <w:szCs w:val="22"/>
              </w:rPr>
              <w:t>2011</w:t>
            </w:r>
          </w:p>
        </w:tc>
        <w:tc>
          <w:tcPr>
            <w:tcW w:w="960" w:type="dxa"/>
          </w:tcPr>
          <w:p w:rsidR="006B22C6" w:rsidRPr="00536E7E" w:rsidRDefault="006B22C6" w:rsidP="00410A9C">
            <w:pPr>
              <w:jc w:val="right"/>
              <w:rPr>
                <w:rFonts w:cs="Calibri"/>
                <w:color w:val="000000"/>
                <w:szCs w:val="22"/>
              </w:rPr>
            </w:pPr>
            <w:r>
              <w:rPr>
                <w:rFonts w:cs="Calibri"/>
                <w:color w:val="000000"/>
                <w:szCs w:val="22"/>
              </w:rPr>
              <w:t>2012</w:t>
            </w:r>
          </w:p>
        </w:tc>
      </w:tr>
      <w:tr w:rsidR="006B22C6" w:rsidRPr="00485569" w:rsidTr="006B22C6">
        <w:trPr>
          <w:trHeight w:val="225"/>
        </w:trPr>
        <w:tc>
          <w:tcPr>
            <w:tcW w:w="960" w:type="dxa"/>
            <w:shd w:val="clear" w:color="auto" w:fill="auto"/>
            <w:noWrap/>
            <w:vAlign w:val="bottom"/>
            <w:hideMark/>
          </w:tcPr>
          <w:p w:rsidR="006B22C6" w:rsidRPr="0033613E" w:rsidRDefault="006B22C6" w:rsidP="00410A9C">
            <w:pPr>
              <w:rPr>
                <w:rFonts w:cs="Calibri"/>
                <w:color w:val="000000"/>
                <w:szCs w:val="22"/>
              </w:rPr>
            </w:pPr>
            <w:r w:rsidRPr="0033613E">
              <w:rPr>
                <w:rFonts w:cs="Calibri"/>
                <w:color w:val="000000"/>
                <w:szCs w:val="22"/>
              </w:rPr>
              <w:t>Africa</w:t>
            </w:r>
          </w:p>
        </w:tc>
        <w:tc>
          <w:tcPr>
            <w:tcW w:w="960" w:type="dxa"/>
          </w:tcPr>
          <w:p w:rsidR="006B22C6" w:rsidRPr="006B22C6" w:rsidRDefault="006B22C6" w:rsidP="00410A9C">
            <w:pPr>
              <w:jc w:val="right"/>
              <w:rPr>
                <w:b/>
                <w:bCs/>
                <w:lang w:eastAsia="en-US"/>
              </w:rPr>
            </w:pPr>
            <w:r w:rsidRPr="006B22C6">
              <w:rPr>
                <w:b/>
                <w:bCs/>
                <w:lang w:eastAsia="en-US"/>
              </w:rPr>
              <w:t>24.8</w:t>
            </w:r>
          </w:p>
        </w:tc>
        <w:tc>
          <w:tcPr>
            <w:tcW w:w="960" w:type="dxa"/>
          </w:tcPr>
          <w:p w:rsidR="006B22C6" w:rsidRPr="006B22C6" w:rsidRDefault="006B22C6" w:rsidP="00410A9C">
            <w:pPr>
              <w:jc w:val="right"/>
              <w:rPr>
                <w:b/>
                <w:bCs/>
                <w:lang w:eastAsia="en-US"/>
              </w:rPr>
            </w:pPr>
            <w:r w:rsidRPr="006B22C6">
              <w:rPr>
                <w:b/>
                <w:bCs/>
                <w:lang w:eastAsia="en-US"/>
              </w:rPr>
              <w:t>26.6</w:t>
            </w:r>
          </w:p>
        </w:tc>
        <w:tc>
          <w:tcPr>
            <w:tcW w:w="960" w:type="dxa"/>
            <w:shd w:val="clear" w:color="auto" w:fill="auto"/>
            <w:noWrap/>
            <w:vAlign w:val="bottom"/>
            <w:hideMark/>
          </w:tcPr>
          <w:p w:rsidR="006B22C6" w:rsidRPr="0033613E" w:rsidRDefault="006B22C6" w:rsidP="00410A9C">
            <w:pPr>
              <w:jc w:val="right"/>
              <w:rPr>
                <w:rFonts w:cs="Calibri"/>
                <w:color w:val="000000"/>
                <w:szCs w:val="22"/>
              </w:rPr>
            </w:pPr>
            <w:r w:rsidRPr="006B22C6">
              <w:rPr>
                <w:b/>
                <w:bCs/>
                <w:lang w:eastAsia="en-US"/>
              </w:rPr>
              <w:t>27.8</w:t>
            </w:r>
          </w:p>
        </w:tc>
        <w:tc>
          <w:tcPr>
            <w:tcW w:w="960" w:type="dxa"/>
            <w:shd w:val="clear" w:color="auto" w:fill="auto"/>
            <w:noWrap/>
            <w:vAlign w:val="bottom"/>
            <w:hideMark/>
          </w:tcPr>
          <w:p w:rsidR="006B22C6" w:rsidRPr="0033613E" w:rsidRDefault="006B22C6" w:rsidP="00410A9C">
            <w:pPr>
              <w:jc w:val="right"/>
              <w:rPr>
                <w:rFonts w:cs="Calibri"/>
                <w:color w:val="000000"/>
                <w:szCs w:val="22"/>
              </w:rPr>
            </w:pPr>
            <w:r w:rsidRPr="006B22C6">
              <w:rPr>
                <w:b/>
                <w:bCs/>
                <w:lang w:eastAsia="en-US"/>
              </w:rPr>
              <w:t>29.8</w:t>
            </w:r>
          </w:p>
        </w:tc>
        <w:tc>
          <w:tcPr>
            <w:tcW w:w="960" w:type="dxa"/>
            <w:shd w:val="clear" w:color="auto" w:fill="auto"/>
            <w:noWrap/>
            <w:vAlign w:val="bottom"/>
            <w:hideMark/>
          </w:tcPr>
          <w:p w:rsidR="006B22C6" w:rsidRPr="0033613E" w:rsidRDefault="006B22C6" w:rsidP="00410A9C">
            <w:pPr>
              <w:jc w:val="right"/>
              <w:rPr>
                <w:rFonts w:cs="Calibri"/>
                <w:color w:val="000000"/>
                <w:szCs w:val="22"/>
              </w:rPr>
            </w:pPr>
            <w:r w:rsidRPr="006B22C6">
              <w:rPr>
                <w:b/>
                <w:bCs/>
                <w:lang w:eastAsia="en-US"/>
              </w:rPr>
              <w:t>30.3</w:t>
            </w:r>
          </w:p>
        </w:tc>
        <w:tc>
          <w:tcPr>
            <w:tcW w:w="960" w:type="dxa"/>
            <w:shd w:val="clear" w:color="auto" w:fill="auto"/>
            <w:noWrap/>
            <w:vAlign w:val="bottom"/>
            <w:hideMark/>
          </w:tcPr>
          <w:p w:rsidR="006B22C6" w:rsidRPr="0033613E" w:rsidRDefault="006B22C6" w:rsidP="00410A9C">
            <w:pPr>
              <w:jc w:val="right"/>
              <w:rPr>
                <w:rFonts w:cs="Calibri"/>
                <w:color w:val="000000"/>
                <w:szCs w:val="22"/>
              </w:rPr>
            </w:pPr>
            <w:r w:rsidRPr="006B22C6">
              <w:rPr>
                <w:b/>
                <w:bCs/>
                <w:lang w:eastAsia="en-US"/>
              </w:rPr>
              <w:t>29.2</w:t>
            </w:r>
          </w:p>
        </w:tc>
        <w:tc>
          <w:tcPr>
            <w:tcW w:w="960" w:type="dxa"/>
          </w:tcPr>
          <w:p w:rsidR="006B22C6" w:rsidRPr="0033613E" w:rsidRDefault="006B22C6" w:rsidP="00410A9C">
            <w:pPr>
              <w:jc w:val="right"/>
              <w:rPr>
                <w:rFonts w:cs="Calibri"/>
                <w:color w:val="000000"/>
                <w:szCs w:val="22"/>
              </w:rPr>
            </w:pPr>
            <w:r w:rsidRPr="006B22C6">
              <w:rPr>
                <w:b/>
                <w:bCs/>
                <w:lang w:eastAsia="en-US"/>
              </w:rPr>
              <w:t>28.4</w:t>
            </w:r>
          </w:p>
        </w:tc>
      </w:tr>
    </w:tbl>
    <w:p w:rsidR="00521B80" w:rsidRDefault="0086015F" w:rsidP="00E34651">
      <w:pPr>
        <w:rPr>
          <w:lang w:eastAsia="en-US"/>
        </w:rPr>
      </w:pPr>
      <w:r>
        <w:rPr>
          <w:lang w:eastAsia="en-US"/>
        </w:rPr>
        <w:t xml:space="preserve">Source: </w:t>
      </w:r>
      <w:r w:rsidR="006B22C6">
        <w:rPr>
          <w:lang w:eastAsia="en-US"/>
        </w:rPr>
        <w:t xml:space="preserve">IMF </w:t>
      </w:r>
      <w:r>
        <w:rPr>
          <w:lang w:eastAsia="en-US"/>
        </w:rPr>
        <w:t xml:space="preserve">  </w:t>
      </w:r>
      <w:r w:rsidR="006B22C6" w:rsidRPr="006B22C6">
        <w:rPr>
          <w:lang w:eastAsia="en-US"/>
        </w:rPr>
        <w:t>Regional economic outlook. Sub-Saharan Africa</w:t>
      </w:r>
      <w:r w:rsidR="006B22C6">
        <w:rPr>
          <w:lang w:eastAsia="en-US"/>
        </w:rPr>
        <w:t xml:space="preserve"> 2011 </w:t>
      </w:r>
      <w:r w:rsidR="00D172DF">
        <w:rPr>
          <w:rStyle w:val="EndnoteReference"/>
          <w:lang w:eastAsia="en-US"/>
        </w:rPr>
        <w:endnoteReference w:id="26"/>
      </w:r>
    </w:p>
    <w:p w:rsidR="00D172DF" w:rsidRDefault="00D172DF" w:rsidP="00E34651">
      <w:pPr>
        <w:rPr>
          <w:lang w:eastAsia="en-US"/>
        </w:rPr>
      </w:pPr>
    </w:p>
    <w:p w:rsidR="00DB6ECF" w:rsidRDefault="00DB6ECF" w:rsidP="00DB6ECF">
      <w:pPr>
        <w:pStyle w:val="Heading2"/>
      </w:pPr>
      <w:bookmarkStart w:id="18" w:name="_Toc318886703"/>
      <w:r>
        <w:t>Aid</w:t>
      </w:r>
      <w:r w:rsidR="0022074A">
        <w:t xml:space="preserve"> trends</w:t>
      </w:r>
      <w:r w:rsidR="002E14D0">
        <w:t xml:space="preserve">: </w:t>
      </w:r>
      <w:r w:rsidR="00D51465">
        <w:t xml:space="preserve">OECD </w:t>
      </w:r>
      <w:r w:rsidR="00C83669">
        <w:t>and non-OECD</w:t>
      </w:r>
      <w:bookmarkEnd w:id="18"/>
    </w:p>
    <w:p w:rsidR="00235140" w:rsidRDefault="00DB6ECF" w:rsidP="002E14D0">
      <w:r>
        <w:t>The trend in aid spending by</w:t>
      </w:r>
      <w:r w:rsidR="008138F7">
        <w:t xml:space="preserve"> </w:t>
      </w:r>
      <w:r w:rsidR="00D51465">
        <w:t xml:space="preserve">OECD </w:t>
      </w:r>
      <w:r>
        <w:t>donors depends on the outcome of poli</w:t>
      </w:r>
      <w:r w:rsidR="0022074A">
        <w:t xml:space="preserve">cy decisions </w:t>
      </w:r>
      <w:r w:rsidR="00C83669">
        <w:t>on</w:t>
      </w:r>
      <w:r w:rsidR="0022074A">
        <w:t xml:space="preserve"> </w:t>
      </w:r>
      <w:r>
        <w:t xml:space="preserve">public spending cuts </w:t>
      </w:r>
      <w:r w:rsidR="003E3BC0">
        <w:t xml:space="preserve">as part of </w:t>
      </w:r>
      <w:r w:rsidR="00F81942">
        <w:t>the austerity policies being adopted</w:t>
      </w:r>
      <w:r w:rsidR="003E3283">
        <w:t>.</w:t>
      </w:r>
      <w:r w:rsidR="00C83669">
        <w:t xml:space="preserve">  </w:t>
      </w:r>
      <w:r w:rsidR="00F81942" w:rsidRPr="00DD1E0C">
        <w:rPr>
          <w:lang w:eastAsia="en-US"/>
        </w:rPr>
        <w:t>In</w:t>
      </w:r>
      <w:r w:rsidR="00F81942">
        <w:rPr>
          <w:lang w:eastAsia="en-US"/>
        </w:rPr>
        <w:t xml:space="preserve"> the water sector, </w:t>
      </w:r>
      <w:r w:rsidRPr="00466791">
        <w:t xml:space="preserve">OECD figures show </w:t>
      </w:r>
      <w:r w:rsidR="00F81942">
        <w:t xml:space="preserve">a rise in commitments of ODA for water in 2009, but a sharp drop in 2010, to levels below those of 2008. Given the political pressure for austerity policies, and the </w:t>
      </w:r>
      <w:r w:rsidR="00DF78C0">
        <w:t xml:space="preserve">fact that developing countries are growing much faster than OECD countries, it is certain that aid from OECD countries will decline as a proportion of GDP of recipient countries. </w:t>
      </w:r>
    </w:p>
    <w:p w:rsidR="0022074A" w:rsidRDefault="002E14D0" w:rsidP="00235140">
      <w:pPr>
        <w:pStyle w:val="Heading7"/>
      </w:pPr>
      <w:bookmarkStart w:id="19" w:name="_Toc318886704"/>
      <w:r>
        <w:t xml:space="preserve">Aid by </w:t>
      </w:r>
      <w:r w:rsidR="00D51465">
        <w:t xml:space="preserve">OECD </w:t>
      </w:r>
      <w:r w:rsidR="00742AEB">
        <w:t>donor countries</w:t>
      </w:r>
      <w:r w:rsidR="00235140">
        <w:t xml:space="preserve"> </w:t>
      </w:r>
      <w:r w:rsidR="006E2191">
        <w:t xml:space="preserve">– </w:t>
      </w:r>
      <w:r w:rsidR="00235140">
        <w:t>water,</w:t>
      </w:r>
      <w:r w:rsidR="00E06B7E">
        <w:t xml:space="preserve"> </w:t>
      </w:r>
      <w:r w:rsidR="001E2B21">
        <w:t>200</w:t>
      </w:r>
      <w:r w:rsidR="00D172DF">
        <w:t>5-2010</w:t>
      </w:r>
      <w:r w:rsidR="001E2B21">
        <w:t xml:space="preserve"> ($millions)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34"/>
        <w:gridCol w:w="1276"/>
        <w:gridCol w:w="992"/>
        <w:gridCol w:w="992"/>
        <w:gridCol w:w="992"/>
        <w:gridCol w:w="992"/>
      </w:tblGrid>
      <w:tr w:rsidR="00F81942" w:rsidRPr="00FD1AE1" w:rsidTr="00F81942">
        <w:tc>
          <w:tcPr>
            <w:tcW w:w="1809" w:type="dxa"/>
          </w:tcPr>
          <w:p w:rsidR="00F81942" w:rsidRPr="00D83FD7" w:rsidRDefault="00F81942" w:rsidP="00235140">
            <w:pPr>
              <w:rPr>
                <w:sz w:val="20"/>
                <w:szCs w:val="20"/>
              </w:rPr>
            </w:pPr>
          </w:p>
        </w:tc>
        <w:tc>
          <w:tcPr>
            <w:tcW w:w="1134" w:type="dxa"/>
          </w:tcPr>
          <w:p w:rsidR="00F81942" w:rsidRPr="00FD1AE1" w:rsidRDefault="00F81942" w:rsidP="00235140">
            <w:pPr>
              <w:rPr>
                <w:sz w:val="20"/>
                <w:szCs w:val="20"/>
                <w:lang w:val="fr-FR"/>
              </w:rPr>
            </w:pPr>
            <w:r>
              <w:rPr>
                <w:sz w:val="20"/>
                <w:szCs w:val="20"/>
                <w:lang w:val="fr-FR"/>
              </w:rPr>
              <w:t>2005</w:t>
            </w:r>
          </w:p>
        </w:tc>
        <w:tc>
          <w:tcPr>
            <w:tcW w:w="1276" w:type="dxa"/>
          </w:tcPr>
          <w:p w:rsidR="00F81942" w:rsidRPr="00FD1AE1" w:rsidRDefault="00F81942" w:rsidP="00235140">
            <w:pPr>
              <w:rPr>
                <w:sz w:val="20"/>
                <w:szCs w:val="20"/>
                <w:lang w:val="fr-FR"/>
              </w:rPr>
            </w:pPr>
            <w:r>
              <w:rPr>
                <w:sz w:val="20"/>
                <w:szCs w:val="20"/>
                <w:lang w:val="fr-FR"/>
              </w:rPr>
              <w:t>2006</w:t>
            </w:r>
          </w:p>
        </w:tc>
        <w:tc>
          <w:tcPr>
            <w:tcW w:w="992" w:type="dxa"/>
          </w:tcPr>
          <w:p w:rsidR="00F81942" w:rsidRPr="00FD1AE1" w:rsidRDefault="00F81942" w:rsidP="00DB6ECF">
            <w:pPr>
              <w:rPr>
                <w:sz w:val="20"/>
                <w:szCs w:val="20"/>
                <w:lang w:val="fr-FR"/>
              </w:rPr>
            </w:pPr>
            <w:r>
              <w:rPr>
                <w:sz w:val="20"/>
                <w:szCs w:val="20"/>
                <w:lang w:val="fr-FR"/>
              </w:rPr>
              <w:t>2007</w:t>
            </w:r>
          </w:p>
        </w:tc>
        <w:tc>
          <w:tcPr>
            <w:tcW w:w="992" w:type="dxa"/>
          </w:tcPr>
          <w:p w:rsidR="00F81942" w:rsidRPr="00FD1AE1" w:rsidRDefault="00F81942" w:rsidP="00DB6ECF">
            <w:pPr>
              <w:rPr>
                <w:sz w:val="20"/>
                <w:szCs w:val="20"/>
                <w:lang w:val="fr-FR"/>
              </w:rPr>
            </w:pPr>
            <w:r>
              <w:rPr>
                <w:sz w:val="20"/>
                <w:szCs w:val="20"/>
                <w:lang w:val="fr-FR"/>
              </w:rPr>
              <w:t>2008</w:t>
            </w:r>
          </w:p>
        </w:tc>
        <w:tc>
          <w:tcPr>
            <w:tcW w:w="992" w:type="dxa"/>
          </w:tcPr>
          <w:p w:rsidR="00F81942" w:rsidRPr="00FD1AE1" w:rsidRDefault="00F81942" w:rsidP="00DB6ECF">
            <w:pPr>
              <w:rPr>
                <w:sz w:val="20"/>
                <w:szCs w:val="20"/>
                <w:lang w:val="fr-FR"/>
              </w:rPr>
            </w:pPr>
            <w:r>
              <w:rPr>
                <w:sz w:val="20"/>
                <w:szCs w:val="20"/>
                <w:lang w:val="fr-FR"/>
              </w:rPr>
              <w:t>2009</w:t>
            </w:r>
          </w:p>
        </w:tc>
        <w:tc>
          <w:tcPr>
            <w:tcW w:w="992" w:type="dxa"/>
          </w:tcPr>
          <w:p w:rsidR="00F81942" w:rsidRPr="00FD1AE1" w:rsidRDefault="00F81942" w:rsidP="00DB6ECF">
            <w:pPr>
              <w:rPr>
                <w:sz w:val="20"/>
                <w:szCs w:val="20"/>
                <w:lang w:val="fr-FR"/>
              </w:rPr>
            </w:pPr>
            <w:r>
              <w:rPr>
                <w:sz w:val="20"/>
                <w:szCs w:val="20"/>
                <w:lang w:val="fr-FR"/>
              </w:rPr>
              <w:t>2010</w:t>
            </w:r>
          </w:p>
        </w:tc>
      </w:tr>
      <w:tr w:rsidR="00F81942" w:rsidRPr="00FD1AE1" w:rsidTr="00F81942">
        <w:tc>
          <w:tcPr>
            <w:tcW w:w="1809" w:type="dxa"/>
          </w:tcPr>
          <w:p w:rsidR="00F81942" w:rsidRPr="00FD1AE1" w:rsidRDefault="00F81942" w:rsidP="00DB6ECF">
            <w:pPr>
              <w:rPr>
                <w:sz w:val="20"/>
                <w:szCs w:val="20"/>
                <w:lang w:val="fr-FR"/>
              </w:rPr>
            </w:pPr>
          </w:p>
        </w:tc>
        <w:tc>
          <w:tcPr>
            <w:tcW w:w="1134" w:type="dxa"/>
          </w:tcPr>
          <w:p w:rsidR="00F81942" w:rsidRPr="00FD1AE1" w:rsidRDefault="00F81942" w:rsidP="00FD1AE1">
            <w:pPr>
              <w:jc w:val="right"/>
              <w:rPr>
                <w:color w:val="000000"/>
                <w:sz w:val="20"/>
                <w:szCs w:val="20"/>
              </w:rPr>
            </w:pPr>
          </w:p>
        </w:tc>
        <w:tc>
          <w:tcPr>
            <w:tcW w:w="1276"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r>
      <w:tr w:rsidR="00F81942" w:rsidRPr="00FD1AE1" w:rsidTr="00F81942">
        <w:tc>
          <w:tcPr>
            <w:tcW w:w="1809" w:type="dxa"/>
          </w:tcPr>
          <w:p w:rsidR="00F81942" w:rsidRPr="00FD1AE1" w:rsidRDefault="00F81942" w:rsidP="00DB6ECF">
            <w:pPr>
              <w:rPr>
                <w:sz w:val="20"/>
                <w:szCs w:val="20"/>
                <w:lang w:val="fr-FR"/>
              </w:rPr>
            </w:pPr>
            <w:r>
              <w:rPr>
                <w:sz w:val="20"/>
                <w:szCs w:val="20"/>
                <w:lang w:val="fr-FR"/>
              </w:rPr>
              <w:t>ODA commitments</w:t>
            </w:r>
          </w:p>
        </w:tc>
        <w:tc>
          <w:tcPr>
            <w:tcW w:w="1134" w:type="dxa"/>
          </w:tcPr>
          <w:p w:rsidR="00F81942" w:rsidRPr="00FD1AE1" w:rsidRDefault="00F81942" w:rsidP="00F81942">
            <w:pPr>
              <w:jc w:val="right"/>
              <w:rPr>
                <w:color w:val="000000"/>
                <w:sz w:val="20"/>
                <w:szCs w:val="20"/>
              </w:rPr>
            </w:pPr>
            <w:r>
              <w:t>4567.41</w:t>
            </w:r>
          </w:p>
        </w:tc>
        <w:tc>
          <w:tcPr>
            <w:tcW w:w="1276" w:type="dxa"/>
          </w:tcPr>
          <w:p w:rsidR="00F81942" w:rsidRPr="00FD1AE1" w:rsidRDefault="00F81942" w:rsidP="00F81942">
            <w:pPr>
              <w:jc w:val="right"/>
              <w:rPr>
                <w:color w:val="000000"/>
                <w:sz w:val="20"/>
                <w:szCs w:val="20"/>
              </w:rPr>
            </w:pPr>
            <w:r>
              <w:t>3958.85</w:t>
            </w:r>
          </w:p>
        </w:tc>
        <w:tc>
          <w:tcPr>
            <w:tcW w:w="992" w:type="dxa"/>
          </w:tcPr>
          <w:p w:rsidR="00F81942" w:rsidRPr="00FD1AE1" w:rsidRDefault="00F81942" w:rsidP="00F81942">
            <w:pPr>
              <w:jc w:val="right"/>
              <w:rPr>
                <w:sz w:val="20"/>
                <w:szCs w:val="20"/>
                <w:lang w:val="fr-FR"/>
              </w:rPr>
            </w:pPr>
            <w:r>
              <w:t>4412.24</w:t>
            </w:r>
          </w:p>
        </w:tc>
        <w:tc>
          <w:tcPr>
            <w:tcW w:w="992" w:type="dxa"/>
          </w:tcPr>
          <w:p w:rsidR="00F81942" w:rsidRPr="00FD1AE1" w:rsidRDefault="00F81942" w:rsidP="00F81942">
            <w:pPr>
              <w:jc w:val="right"/>
              <w:rPr>
                <w:sz w:val="20"/>
                <w:szCs w:val="20"/>
                <w:lang w:val="fr-FR"/>
              </w:rPr>
            </w:pPr>
            <w:r>
              <w:t>5817.91</w:t>
            </w:r>
          </w:p>
        </w:tc>
        <w:tc>
          <w:tcPr>
            <w:tcW w:w="992" w:type="dxa"/>
          </w:tcPr>
          <w:p w:rsidR="00F81942" w:rsidRPr="00FD1AE1" w:rsidRDefault="00F81942" w:rsidP="00F81942">
            <w:pPr>
              <w:jc w:val="right"/>
              <w:rPr>
                <w:sz w:val="20"/>
                <w:szCs w:val="20"/>
                <w:lang w:val="fr-FR"/>
              </w:rPr>
            </w:pPr>
            <w:r>
              <w:t>6513.57</w:t>
            </w:r>
          </w:p>
        </w:tc>
        <w:tc>
          <w:tcPr>
            <w:tcW w:w="992" w:type="dxa"/>
          </w:tcPr>
          <w:p w:rsidR="00F81942" w:rsidRPr="00FD1AE1" w:rsidRDefault="00F81942" w:rsidP="00F81942">
            <w:pPr>
              <w:jc w:val="right"/>
              <w:rPr>
                <w:sz w:val="20"/>
                <w:szCs w:val="20"/>
                <w:lang w:val="fr-FR"/>
              </w:rPr>
            </w:pPr>
            <w:r>
              <w:t>5249.65</w:t>
            </w:r>
          </w:p>
        </w:tc>
      </w:tr>
      <w:tr w:rsidR="00F81942" w:rsidRPr="00FD1AE1" w:rsidTr="00F81942">
        <w:tc>
          <w:tcPr>
            <w:tcW w:w="1809" w:type="dxa"/>
          </w:tcPr>
          <w:p w:rsidR="00F81942" w:rsidRPr="00FD1AE1" w:rsidRDefault="00F81942" w:rsidP="00DB6ECF">
            <w:pPr>
              <w:rPr>
                <w:sz w:val="20"/>
                <w:szCs w:val="20"/>
                <w:lang w:val="fr-FR"/>
              </w:rPr>
            </w:pPr>
          </w:p>
        </w:tc>
        <w:tc>
          <w:tcPr>
            <w:tcW w:w="1134" w:type="dxa"/>
          </w:tcPr>
          <w:p w:rsidR="00F81942" w:rsidRPr="00FD1AE1" w:rsidRDefault="00F81942" w:rsidP="00FD1AE1">
            <w:pPr>
              <w:jc w:val="right"/>
              <w:rPr>
                <w:color w:val="000000"/>
                <w:sz w:val="20"/>
                <w:szCs w:val="20"/>
              </w:rPr>
            </w:pPr>
          </w:p>
        </w:tc>
        <w:tc>
          <w:tcPr>
            <w:tcW w:w="1276" w:type="dxa"/>
          </w:tcPr>
          <w:p w:rsidR="00F81942" w:rsidRPr="00FD1AE1" w:rsidRDefault="00F81942" w:rsidP="00FD1AE1">
            <w:pPr>
              <w:jc w:val="right"/>
              <w:rPr>
                <w:sz w:val="20"/>
                <w:szCs w:val="20"/>
                <w:lang w:val="fr-FR"/>
              </w:rPr>
            </w:pPr>
          </w:p>
        </w:tc>
        <w:tc>
          <w:tcPr>
            <w:tcW w:w="992"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c>
          <w:tcPr>
            <w:tcW w:w="992" w:type="dxa"/>
          </w:tcPr>
          <w:p w:rsidR="00F81942" w:rsidRPr="00FD1AE1" w:rsidRDefault="00F81942" w:rsidP="00FD1AE1">
            <w:pPr>
              <w:jc w:val="right"/>
              <w:rPr>
                <w:color w:val="000000"/>
                <w:sz w:val="20"/>
                <w:szCs w:val="20"/>
              </w:rPr>
            </w:pPr>
          </w:p>
        </w:tc>
      </w:tr>
    </w:tbl>
    <w:p w:rsidR="0022074A" w:rsidRPr="00D83FD7" w:rsidRDefault="00235140" w:rsidP="00DB6ECF">
      <w:pPr>
        <w:rPr>
          <w:color w:val="0000FF"/>
          <w:sz w:val="18"/>
          <w:szCs w:val="18"/>
          <w:u w:val="single"/>
          <w:lang w:val="fr-FR"/>
        </w:rPr>
      </w:pPr>
      <w:r>
        <w:rPr>
          <w:lang w:val="fr-FR"/>
        </w:rPr>
        <w:t xml:space="preserve">Source : OECD </w:t>
      </w:r>
      <w:hyperlink r:id="rId14" w:history="1">
        <w:r w:rsidRPr="00D83FD7">
          <w:rPr>
            <w:color w:val="0000FF"/>
            <w:sz w:val="18"/>
            <w:u w:val="single"/>
            <w:lang w:val="fr-FR"/>
          </w:rPr>
          <w:t>http://www.oecd.org/da</w:t>
        </w:r>
        <w:r w:rsidRPr="00D83FD7">
          <w:rPr>
            <w:color w:val="0000FF"/>
            <w:sz w:val="18"/>
            <w:u w:val="single"/>
            <w:lang w:val="fr-FR"/>
          </w:rPr>
          <w:t>c</w:t>
        </w:r>
        <w:r w:rsidRPr="00D83FD7">
          <w:rPr>
            <w:color w:val="0000FF"/>
            <w:sz w:val="18"/>
            <w:u w:val="single"/>
            <w:lang w:val="fr-FR"/>
          </w:rPr>
          <w:t xml:space="preserve">/stats/idsonline </w:t>
        </w:r>
      </w:hyperlink>
      <w:r w:rsidR="00F81942">
        <w:rPr>
          <w:rStyle w:val="EndnoteReference"/>
          <w:color w:val="0000FF"/>
          <w:sz w:val="18"/>
          <w:szCs w:val="18"/>
          <w:u w:val="single"/>
        </w:rPr>
        <w:endnoteReference w:id="27"/>
      </w:r>
    </w:p>
    <w:p w:rsidR="0022074A" w:rsidRPr="00D83FD7" w:rsidRDefault="0022074A" w:rsidP="00DB6ECF">
      <w:pPr>
        <w:rPr>
          <w:lang w:val="fr-FR"/>
        </w:rPr>
      </w:pPr>
    </w:p>
    <w:p w:rsidR="008E4F17" w:rsidRDefault="00C6076C" w:rsidP="008F3754">
      <w:pPr>
        <w:autoSpaceDE w:val="0"/>
        <w:autoSpaceDN w:val="0"/>
        <w:adjustRightInd w:val="0"/>
        <w:rPr>
          <w:b/>
          <w:szCs w:val="22"/>
        </w:rPr>
      </w:pPr>
      <w:r>
        <w:rPr>
          <w:szCs w:val="22"/>
        </w:rPr>
        <w:t>Non-OECD aid is concentrated on countries with natural resources. Thus t</w:t>
      </w:r>
      <w:r w:rsidR="008F3754" w:rsidRPr="008F3754">
        <w:rPr>
          <w:szCs w:val="22"/>
        </w:rPr>
        <w:t>he main beneficiaries of Chinese</w:t>
      </w:r>
      <w:r>
        <w:rPr>
          <w:szCs w:val="22"/>
        </w:rPr>
        <w:t xml:space="preserve"> </w:t>
      </w:r>
      <w:r w:rsidR="008F3754" w:rsidRPr="008F3754">
        <w:rPr>
          <w:szCs w:val="22"/>
        </w:rPr>
        <w:t>infrastructure finance to the sub</w:t>
      </w:r>
      <w:r w:rsidR="00DF1D6C">
        <w:rPr>
          <w:szCs w:val="22"/>
        </w:rPr>
        <w:t>-</w:t>
      </w:r>
      <w:r w:rsidR="008F3754" w:rsidRPr="008F3754">
        <w:rPr>
          <w:szCs w:val="22"/>
        </w:rPr>
        <w:t>region are Nigeria (34 per cent), Angola (20 per</w:t>
      </w:r>
      <w:r w:rsidR="008F3754">
        <w:rPr>
          <w:szCs w:val="22"/>
        </w:rPr>
        <w:t xml:space="preserve"> </w:t>
      </w:r>
      <w:r w:rsidR="008F3754" w:rsidRPr="008F3754">
        <w:rPr>
          <w:szCs w:val="22"/>
        </w:rPr>
        <w:t>cent), Ethiopia (10 per cent) and Sudan (8 per cent)</w:t>
      </w:r>
      <w:r w:rsidR="008E4F17">
        <w:rPr>
          <w:szCs w:val="22"/>
          <w:lang w:eastAsia="en-US"/>
        </w:rPr>
        <w:t xml:space="preserve">. </w:t>
      </w:r>
      <w:r w:rsidR="008F3754">
        <w:rPr>
          <w:szCs w:val="22"/>
          <w:lang w:eastAsia="en-US"/>
        </w:rPr>
        <w:t xml:space="preserve">China’s aid is focussed on infrastructure, although water is a relatively small element: </w:t>
      </w:r>
      <w:r w:rsidR="00B542E2" w:rsidRPr="008F3754">
        <w:rPr>
          <w:szCs w:val="22"/>
          <w:lang w:eastAsia="en-US"/>
        </w:rPr>
        <w:t>“</w:t>
      </w:r>
      <w:r w:rsidR="00B542E2" w:rsidRPr="008F3754">
        <w:rPr>
          <w:szCs w:val="22"/>
        </w:rPr>
        <w:t>about 54 per cent of China’s support to Africa over</w:t>
      </w:r>
      <w:r w:rsidR="008F3754">
        <w:rPr>
          <w:szCs w:val="22"/>
        </w:rPr>
        <w:t xml:space="preserve"> </w:t>
      </w:r>
      <w:r w:rsidR="00B542E2" w:rsidRPr="008F3754">
        <w:rPr>
          <w:szCs w:val="22"/>
        </w:rPr>
        <w:t>the period 2002–2007 was in infrastructure and public works. It is estimated that</w:t>
      </w:r>
      <w:r w:rsidR="008F3754">
        <w:rPr>
          <w:szCs w:val="22"/>
        </w:rPr>
        <w:t xml:space="preserve"> </w:t>
      </w:r>
      <w:r w:rsidR="00B542E2" w:rsidRPr="008F3754">
        <w:rPr>
          <w:szCs w:val="22"/>
        </w:rPr>
        <w:t>Chinese infrastructure finance commitments rose from $470 million in 2001 to</w:t>
      </w:r>
      <w:r w:rsidR="008F3754">
        <w:rPr>
          <w:szCs w:val="22"/>
        </w:rPr>
        <w:t xml:space="preserve"> </w:t>
      </w:r>
      <w:r w:rsidR="00B542E2" w:rsidRPr="008F3754">
        <w:rPr>
          <w:szCs w:val="22"/>
        </w:rPr>
        <w:t>$4.5 billion in 2007</w:t>
      </w:r>
      <w:r w:rsidR="008E4F17">
        <w:rPr>
          <w:szCs w:val="22"/>
        </w:rPr>
        <w:t>.</w:t>
      </w:r>
      <w:r w:rsidR="00B542E2" w:rsidRPr="008F3754">
        <w:rPr>
          <w:szCs w:val="22"/>
        </w:rPr>
        <w:t xml:space="preserve">  With regard to sectoral distribution, 33 per cent</w:t>
      </w:r>
      <w:r w:rsidR="008F3754">
        <w:rPr>
          <w:szCs w:val="22"/>
        </w:rPr>
        <w:t xml:space="preserve"> </w:t>
      </w:r>
      <w:r w:rsidR="00B542E2" w:rsidRPr="008F3754">
        <w:rPr>
          <w:szCs w:val="22"/>
        </w:rPr>
        <w:t>of Chinese infrastructure finance to sub-Saharan Africa over the period 2001–</w:t>
      </w:r>
      <w:r w:rsidR="008F3754">
        <w:rPr>
          <w:szCs w:val="22"/>
        </w:rPr>
        <w:t xml:space="preserve"> </w:t>
      </w:r>
      <w:r w:rsidR="00B542E2" w:rsidRPr="008F3754">
        <w:rPr>
          <w:szCs w:val="22"/>
        </w:rPr>
        <w:t>2007 went to electricity, 33 per cent to transport, 17 per cent to ICT, 14 per cent</w:t>
      </w:r>
      <w:r w:rsidR="008F3754">
        <w:rPr>
          <w:szCs w:val="22"/>
        </w:rPr>
        <w:t xml:space="preserve"> </w:t>
      </w:r>
      <w:r w:rsidR="00B542E2" w:rsidRPr="008F3754">
        <w:rPr>
          <w:szCs w:val="22"/>
        </w:rPr>
        <w:t xml:space="preserve">to general projects and 2 per cent to water.” </w:t>
      </w:r>
      <w:r w:rsidR="002A5BF7">
        <w:rPr>
          <w:rStyle w:val="EndnoteReference"/>
          <w:szCs w:val="22"/>
        </w:rPr>
        <w:endnoteReference w:id="28"/>
      </w:r>
      <w:r w:rsidR="008E4F17">
        <w:rPr>
          <w:szCs w:val="22"/>
        </w:rPr>
        <w:t xml:space="preserve"> </w:t>
      </w:r>
      <w:r w:rsidR="000C6C77">
        <w:rPr>
          <w:szCs w:val="22"/>
        </w:rPr>
        <w:t xml:space="preserve"> Thus China’s </w:t>
      </w:r>
      <w:r w:rsidR="008E4F17">
        <w:rPr>
          <w:szCs w:val="22"/>
        </w:rPr>
        <w:t xml:space="preserve">aid to water in Africa </w:t>
      </w:r>
      <w:r w:rsidR="000C6C77">
        <w:rPr>
          <w:szCs w:val="22"/>
        </w:rPr>
        <w:t xml:space="preserve">is around </w:t>
      </w:r>
      <w:r w:rsidR="00DF78C0">
        <w:rPr>
          <w:szCs w:val="22"/>
        </w:rPr>
        <w:t>$</w:t>
      </w:r>
      <w:r w:rsidR="008E4F17">
        <w:rPr>
          <w:szCs w:val="22"/>
        </w:rPr>
        <w:t>90</w:t>
      </w:r>
      <w:r w:rsidR="00435083">
        <w:rPr>
          <w:szCs w:val="22"/>
        </w:rPr>
        <w:t xml:space="preserve"> </w:t>
      </w:r>
      <w:r w:rsidR="008E4F17">
        <w:rPr>
          <w:szCs w:val="22"/>
        </w:rPr>
        <w:t xml:space="preserve">million </w:t>
      </w:r>
      <w:r w:rsidR="00DD1E0C">
        <w:rPr>
          <w:szCs w:val="22"/>
        </w:rPr>
        <w:t>per annum</w:t>
      </w:r>
      <w:r w:rsidR="000C6C77">
        <w:rPr>
          <w:szCs w:val="22"/>
        </w:rPr>
        <w:t xml:space="preserve">. This confirms the findings of the Africa infrastructure review: </w:t>
      </w:r>
      <w:r w:rsidR="000C6C77" w:rsidRPr="000C6C77">
        <w:rPr>
          <w:b/>
          <w:szCs w:val="22"/>
        </w:rPr>
        <w:t>Chinese aid to water in Africa is eight</w:t>
      </w:r>
      <w:r w:rsidR="00DD1E0C" w:rsidRPr="000C6C77">
        <w:rPr>
          <w:b/>
          <w:szCs w:val="22"/>
        </w:rPr>
        <w:t xml:space="preserve"> times great</w:t>
      </w:r>
      <w:r w:rsidR="000C6C77" w:rsidRPr="000C6C77">
        <w:rPr>
          <w:b/>
          <w:szCs w:val="22"/>
        </w:rPr>
        <w:t>er than the contribution of the world’s private sector.</w:t>
      </w:r>
    </w:p>
    <w:p w:rsidR="00C83669" w:rsidRDefault="00C83669" w:rsidP="008F3754">
      <w:pPr>
        <w:autoSpaceDE w:val="0"/>
        <w:autoSpaceDN w:val="0"/>
        <w:adjustRightInd w:val="0"/>
        <w:rPr>
          <w:b/>
          <w:szCs w:val="22"/>
        </w:rPr>
      </w:pPr>
    </w:p>
    <w:p w:rsidR="00D1048B" w:rsidRDefault="00C83669" w:rsidP="00C83669">
      <w:pPr>
        <w:autoSpaceDE w:val="0"/>
        <w:autoSpaceDN w:val="0"/>
        <w:adjustRightInd w:val="0"/>
        <w:rPr>
          <w:szCs w:val="22"/>
        </w:rPr>
      </w:pPr>
      <w:r>
        <w:rPr>
          <w:szCs w:val="22"/>
        </w:rPr>
        <w:t>An</w:t>
      </w:r>
      <w:r w:rsidRPr="00C6076C">
        <w:rPr>
          <w:szCs w:val="22"/>
        </w:rPr>
        <w:t xml:space="preserve"> UNCTAD report does not expect the crisis to necessarily have a negative effect on aid from non-OECD countries: “For example, since the onset of the crisis, China has stepped up rather than reduced its economic engagement in African countries. In particular, it has promised to increase support to Africa. Brazil, India and the Republic of Korea have also signalled their intention to provide more support to the region in the coming years. Although the financial and economic crisis poses challenges for Africa– South cooperation, it also presents opportunities for Africa and could have a positive effect on Southern support to the region through two channels. First, to the extent that it has reduced growth prospects, it may create an incentive for Southern partners to pay more attention to the effectiveness of their support and so maximize its development impact in the region. Second, the crisis could also increase Southern solidarity and the need to enhance economic and development cooperation as a mechanism for weathering the impact of the global slowdown in developing countries.” </w:t>
      </w:r>
      <w:r>
        <w:rPr>
          <w:rStyle w:val="EndnoteReference"/>
          <w:szCs w:val="22"/>
        </w:rPr>
        <w:endnoteReference w:id="29"/>
      </w:r>
    </w:p>
    <w:p w:rsidR="008F3754" w:rsidRDefault="00C6076C" w:rsidP="00C6076C">
      <w:pPr>
        <w:pStyle w:val="Heading8"/>
      </w:pPr>
      <w:bookmarkStart w:id="20" w:name="_Toc318886705"/>
      <w:r>
        <w:t>Non-OECD aid to Africa, 2006</w:t>
      </w:r>
      <w:bookmarkEnd w:id="20"/>
    </w:p>
    <w:tbl>
      <w:tblPr>
        <w:tblW w:w="2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280"/>
      </w:tblGrid>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Country</w:t>
            </w:r>
          </w:p>
        </w:tc>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 millions</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South Korea</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47.8</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Turkey</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24.9</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Arab countries</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290.2</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China</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2300</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India</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11.3</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Brazil</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96.1</w:t>
            </w:r>
          </w:p>
        </w:tc>
      </w:tr>
      <w:tr w:rsidR="00DF78C0" w:rsidRPr="00DF78C0" w:rsidTr="00DF78C0">
        <w:trPr>
          <w:trHeight w:val="240"/>
        </w:trPr>
        <w:tc>
          <w:tcPr>
            <w:tcW w:w="1280" w:type="dxa"/>
            <w:shd w:val="clear" w:color="auto" w:fill="auto"/>
            <w:noWrap/>
            <w:vAlign w:val="bottom"/>
            <w:hideMark/>
          </w:tcPr>
          <w:p w:rsidR="00DF78C0" w:rsidRPr="00DF78C0" w:rsidRDefault="00DF78C0" w:rsidP="00DF78C0">
            <w:pPr>
              <w:rPr>
                <w:color w:val="000000"/>
                <w:sz w:val="20"/>
                <w:szCs w:val="20"/>
              </w:rPr>
            </w:pPr>
            <w:r w:rsidRPr="00DF78C0">
              <w:rPr>
                <w:color w:val="000000"/>
                <w:sz w:val="20"/>
                <w:szCs w:val="20"/>
              </w:rPr>
              <w:t>Total</w:t>
            </w:r>
          </w:p>
        </w:tc>
        <w:tc>
          <w:tcPr>
            <w:tcW w:w="1280" w:type="dxa"/>
            <w:shd w:val="clear" w:color="auto" w:fill="auto"/>
            <w:noWrap/>
            <w:vAlign w:val="bottom"/>
            <w:hideMark/>
          </w:tcPr>
          <w:p w:rsidR="00DF78C0" w:rsidRPr="00DF78C0" w:rsidRDefault="00DF78C0" w:rsidP="00DF78C0">
            <w:pPr>
              <w:jc w:val="right"/>
              <w:rPr>
                <w:color w:val="000000"/>
                <w:sz w:val="20"/>
                <w:szCs w:val="20"/>
              </w:rPr>
            </w:pPr>
            <w:r w:rsidRPr="00DF78C0">
              <w:rPr>
                <w:color w:val="000000"/>
                <w:sz w:val="20"/>
                <w:szCs w:val="20"/>
              </w:rPr>
              <w:t>2770.3</w:t>
            </w:r>
          </w:p>
        </w:tc>
      </w:tr>
    </w:tbl>
    <w:p w:rsidR="002A5BF7" w:rsidRPr="00C6076C" w:rsidRDefault="002A5BF7" w:rsidP="002A5BF7">
      <w:pPr>
        <w:rPr>
          <w:lang w:eastAsia="en-US"/>
        </w:rPr>
      </w:pPr>
      <w:r>
        <w:rPr>
          <w:lang w:eastAsia="en-US"/>
        </w:rPr>
        <w:t>Source: UNCTAD</w:t>
      </w:r>
      <w:r w:rsidR="0086015F">
        <w:rPr>
          <w:lang w:eastAsia="en-US"/>
        </w:rPr>
        <w:t xml:space="preserve"> 2010</w:t>
      </w:r>
      <w:r w:rsidR="00DF78C0">
        <w:rPr>
          <w:lang w:eastAsia="en-US"/>
        </w:rPr>
        <w:t xml:space="preserve"> </w:t>
      </w:r>
      <w:r>
        <w:rPr>
          <w:rStyle w:val="EndnoteReference"/>
          <w:szCs w:val="22"/>
        </w:rPr>
        <w:endnoteReference w:id="30"/>
      </w:r>
    </w:p>
    <w:p w:rsidR="00161EB7" w:rsidRDefault="004C1151" w:rsidP="00161EB7">
      <w:pPr>
        <w:pStyle w:val="Heading1"/>
      </w:pPr>
      <w:bookmarkStart w:id="21" w:name="_Toc318886706"/>
      <w:r>
        <w:t>Costs and affordability</w:t>
      </w:r>
      <w:bookmarkEnd w:id="21"/>
    </w:p>
    <w:p w:rsidR="00161EB7" w:rsidRDefault="00161EB7" w:rsidP="00161EB7">
      <w:pPr>
        <w:pStyle w:val="Heading2"/>
      </w:pPr>
      <w:bookmarkStart w:id="22" w:name="_Toc318886707"/>
      <w:r>
        <w:t>Costs</w:t>
      </w:r>
      <w:r w:rsidR="007A549D">
        <w:t xml:space="preserve"> and benefits</w:t>
      </w:r>
      <w:bookmarkEnd w:id="22"/>
    </w:p>
    <w:p w:rsidR="00161EB7" w:rsidRDefault="001C1BDA" w:rsidP="00161EB7">
      <w:pPr>
        <w:rPr>
          <w:lang w:eastAsia="en-US"/>
        </w:rPr>
      </w:pPr>
      <w:r>
        <w:rPr>
          <w:lang w:eastAsia="en-US"/>
        </w:rPr>
        <w:t xml:space="preserve">The starting point for any question of affordability is costs. The table below shows the most recent comprehensive costings published by </w:t>
      </w:r>
      <w:r w:rsidR="00DF1D6C">
        <w:rPr>
          <w:lang w:eastAsia="en-US"/>
        </w:rPr>
        <w:t>the World Health Organisation (</w:t>
      </w:r>
      <w:r>
        <w:rPr>
          <w:lang w:eastAsia="en-US"/>
        </w:rPr>
        <w:t>WHO</w:t>
      </w:r>
      <w:r w:rsidR="00DF1D6C">
        <w:rPr>
          <w:lang w:eastAsia="en-US"/>
        </w:rPr>
        <w:t>)</w:t>
      </w:r>
      <w:r>
        <w:rPr>
          <w:lang w:eastAsia="en-US"/>
        </w:rPr>
        <w:t xml:space="preserve"> for developing countries.</w:t>
      </w:r>
      <w:r w:rsidR="00B42DFD">
        <w:rPr>
          <w:lang w:eastAsia="en-US"/>
        </w:rPr>
        <w:t xml:space="preserve"> The table shows that the </w:t>
      </w:r>
      <w:r w:rsidR="00DF1D6C">
        <w:rPr>
          <w:lang w:eastAsia="en-US"/>
        </w:rPr>
        <w:t>cost of full household connections is</w:t>
      </w:r>
      <w:r w:rsidR="00B42DFD">
        <w:rPr>
          <w:lang w:eastAsia="en-US"/>
        </w:rPr>
        <w:t xml:space="preserve"> roughly double the cost of basic ‘improved’ connections.  Using the costs for </w:t>
      </w:r>
      <w:r>
        <w:rPr>
          <w:lang w:eastAsia="en-US"/>
        </w:rPr>
        <w:t xml:space="preserve">full household </w:t>
      </w:r>
      <w:r w:rsidR="008138F7">
        <w:rPr>
          <w:lang w:eastAsia="en-US"/>
        </w:rPr>
        <w:t>connections,</w:t>
      </w:r>
      <w:r w:rsidR="00B42DFD">
        <w:rPr>
          <w:lang w:eastAsia="en-US"/>
        </w:rPr>
        <w:t xml:space="preserve"> the table shows that </w:t>
      </w:r>
      <w:r w:rsidR="004C1151">
        <w:rPr>
          <w:lang w:eastAsia="en-US"/>
        </w:rPr>
        <w:t xml:space="preserve">all developing countries </w:t>
      </w:r>
      <w:r w:rsidR="00B42DFD">
        <w:rPr>
          <w:lang w:eastAsia="en-US"/>
        </w:rPr>
        <w:t>could</w:t>
      </w:r>
      <w:r w:rsidR="004C1151">
        <w:rPr>
          <w:lang w:eastAsia="en-US"/>
        </w:rPr>
        <w:t xml:space="preserve"> achieve MDG levels of coverage using full household connections for both water and sewerage</w:t>
      </w:r>
      <w:r w:rsidR="00B42DFD" w:rsidRPr="00B42DFD">
        <w:rPr>
          <w:lang w:eastAsia="en-US"/>
        </w:rPr>
        <w:t xml:space="preserve"> </w:t>
      </w:r>
      <w:r w:rsidR="00B42DFD">
        <w:rPr>
          <w:lang w:eastAsia="en-US"/>
        </w:rPr>
        <w:t xml:space="preserve">for a cost of $35 billion per year over 10 years. </w:t>
      </w:r>
    </w:p>
    <w:p w:rsidR="00161EB7" w:rsidRDefault="00161EB7" w:rsidP="00161EB7">
      <w:pPr>
        <w:pStyle w:val="Heading7"/>
      </w:pPr>
      <w:bookmarkStart w:id="23" w:name="_Toc191107240"/>
      <w:bookmarkStart w:id="24" w:name="_Toc193783761"/>
      <w:bookmarkStart w:id="25" w:name="_Toc318886708"/>
      <w:r>
        <w:t>Costs of meeting MDGs plus urban sewerage connections</w:t>
      </w:r>
      <w:bookmarkEnd w:id="23"/>
      <w:bookmarkEnd w:id="24"/>
      <w:bookmarkEnd w:id="25"/>
      <w: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701"/>
        <w:gridCol w:w="1701"/>
      </w:tblGrid>
      <w:tr w:rsidR="00161EB7" w:rsidRPr="00161EB7" w:rsidTr="001C1BDA">
        <w:tc>
          <w:tcPr>
            <w:tcW w:w="5495" w:type="dxa"/>
          </w:tcPr>
          <w:p w:rsidR="00161EB7" w:rsidRPr="00161EB7" w:rsidRDefault="00161EB7" w:rsidP="00161EB7">
            <w:pPr>
              <w:rPr>
                <w:sz w:val="20"/>
                <w:szCs w:val="20"/>
                <w:lang w:eastAsia="en-US"/>
              </w:rPr>
            </w:pPr>
            <w:r w:rsidRPr="00161EB7">
              <w:rPr>
                <w:sz w:val="20"/>
                <w:szCs w:val="20"/>
              </w:rPr>
              <w:t xml:space="preserve">Urban and rural. </w:t>
            </w:r>
            <w:r w:rsidRPr="00161EB7">
              <w:rPr>
                <w:sz w:val="20"/>
                <w:szCs w:val="20"/>
                <w:lang w:eastAsia="en-US"/>
              </w:rPr>
              <w:t>US$</w:t>
            </w:r>
            <w:r w:rsidR="00EC4FDE">
              <w:rPr>
                <w:sz w:val="20"/>
                <w:szCs w:val="20"/>
                <w:lang w:eastAsia="en-US"/>
              </w:rPr>
              <w:t xml:space="preserve"> </w:t>
            </w:r>
            <w:r w:rsidRPr="00161EB7">
              <w:rPr>
                <w:sz w:val="20"/>
                <w:szCs w:val="20"/>
                <w:lang w:eastAsia="en-US"/>
              </w:rPr>
              <w:t>billion, 2005 prices</w:t>
            </w:r>
          </w:p>
          <w:p w:rsidR="00161EB7" w:rsidRPr="00161EB7" w:rsidRDefault="00161EB7" w:rsidP="00161EB7">
            <w:pPr>
              <w:rPr>
                <w:b/>
                <w:sz w:val="20"/>
                <w:szCs w:val="20"/>
              </w:rPr>
            </w:pPr>
          </w:p>
        </w:tc>
        <w:tc>
          <w:tcPr>
            <w:tcW w:w="1701" w:type="dxa"/>
          </w:tcPr>
          <w:p w:rsidR="00161EB7" w:rsidRPr="00161EB7" w:rsidRDefault="00161EB7" w:rsidP="00161EB7">
            <w:pPr>
              <w:rPr>
                <w:b/>
                <w:sz w:val="20"/>
                <w:szCs w:val="20"/>
              </w:rPr>
            </w:pPr>
            <w:r w:rsidRPr="00161EB7">
              <w:rPr>
                <w:b/>
                <w:sz w:val="20"/>
                <w:szCs w:val="20"/>
              </w:rPr>
              <w:t xml:space="preserve">Total costs to achieve MDG targets </w:t>
            </w:r>
          </w:p>
        </w:tc>
        <w:tc>
          <w:tcPr>
            <w:tcW w:w="1701" w:type="dxa"/>
          </w:tcPr>
          <w:p w:rsidR="00161EB7" w:rsidRPr="00161EB7" w:rsidRDefault="00161EB7" w:rsidP="00161EB7">
            <w:pPr>
              <w:rPr>
                <w:b/>
                <w:sz w:val="20"/>
                <w:szCs w:val="20"/>
              </w:rPr>
            </w:pPr>
            <w:r w:rsidRPr="00161EB7">
              <w:rPr>
                <w:b/>
                <w:sz w:val="20"/>
                <w:szCs w:val="20"/>
              </w:rPr>
              <w:t xml:space="preserve">Average annual cost over 10 years </w:t>
            </w:r>
          </w:p>
        </w:tc>
      </w:tr>
      <w:tr w:rsidR="00161EB7" w:rsidRPr="00161EB7" w:rsidTr="001C1BDA">
        <w:tc>
          <w:tcPr>
            <w:tcW w:w="5495" w:type="dxa"/>
          </w:tcPr>
          <w:p w:rsidR="00161EB7" w:rsidRPr="00161EB7" w:rsidRDefault="00161EB7" w:rsidP="00161EB7">
            <w:pPr>
              <w:rPr>
                <w:b/>
                <w:sz w:val="20"/>
                <w:szCs w:val="20"/>
              </w:rPr>
            </w:pPr>
          </w:p>
        </w:tc>
        <w:tc>
          <w:tcPr>
            <w:tcW w:w="1701" w:type="dxa"/>
          </w:tcPr>
          <w:p w:rsidR="00161EB7" w:rsidRPr="00161EB7" w:rsidRDefault="00161EB7" w:rsidP="00161EB7">
            <w:pPr>
              <w:rPr>
                <w:b/>
                <w:sz w:val="20"/>
                <w:szCs w:val="20"/>
              </w:rPr>
            </w:pPr>
            <w:r w:rsidRPr="00161EB7">
              <w:rPr>
                <w:b/>
                <w:sz w:val="20"/>
                <w:szCs w:val="20"/>
              </w:rPr>
              <w:t>Water and sanitation</w:t>
            </w:r>
          </w:p>
        </w:tc>
        <w:tc>
          <w:tcPr>
            <w:tcW w:w="1701" w:type="dxa"/>
          </w:tcPr>
          <w:p w:rsidR="00161EB7" w:rsidRPr="00161EB7" w:rsidRDefault="00161EB7" w:rsidP="00161EB7">
            <w:pPr>
              <w:rPr>
                <w:b/>
                <w:sz w:val="20"/>
                <w:szCs w:val="20"/>
              </w:rPr>
            </w:pPr>
            <w:r w:rsidRPr="00161EB7">
              <w:rPr>
                <w:b/>
                <w:sz w:val="20"/>
                <w:szCs w:val="20"/>
              </w:rPr>
              <w:t>Water and sanitation</w:t>
            </w:r>
          </w:p>
        </w:tc>
      </w:tr>
      <w:tr w:rsidR="00161EB7" w:rsidRPr="00161EB7" w:rsidTr="001C1BDA">
        <w:tc>
          <w:tcPr>
            <w:tcW w:w="5495" w:type="dxa"/>
          </w:tcPr>
          <w:p w:rsidR="00161EB7" w:rsidRPr="00161EB7" w:rsidRDefault="00161EB7" w:rsidP="00161EB7">
            <w:pPr>
              <w:rPr>
                <w:rFonts w:cs="Arial"/>
                <w:b/>
                <w:sz w:val="20"/>
                <w:szCs w:val="20"/>
              </w:rPr>
            </w:pPr>
            <w:r w:rsidRPr="00161EB7">
              <w:rPr>
                <w:rFonts w:cs="Arial"/>
                <w:b/>
                <w:sz w:val="20"/>
                <w:szCs w:val="20"/>
              </w:rPr>
              <w:t>WHO base case: low-cost improvements</w:t>
            </w:r>
          </w:p>
        </w:tc>
        <w:tc>
          <w:tcPr>
            <w:tcW w:w="1701" w:type="dxa"/>
          </w:tcPr>
          <w:p w:rsidR="00161EB7" w:rsidRPr="00161EB7" w:rsidRDefault="00161EB7" w:rsidP="00161EB7">
            <w:pPr>
              <w:jc w:val="right"/>
              <w:rPr>
                <w:rFonts w:cs="Arial"/>
                <w:sz w:val="20"/>
                <w:szCs w:val="20"/>
              </w:rPr>
            </w:pPr>
          </w:p>
        </w:tc>
        <w:tc>
          <w:tcPr>
            <w:tcW w:w="1701" w:type="dxa"/>
          </w:tcPr>
          <w:p w:rsidR="00161EB7" w:rsidRPr="00161EB7" w:rsidRDefault="00161EB7" w:rsidP="00161EB7">
            <w:pPr>
              <w:jc w:val="right"/>
              <w:rPr>
                <w:rFonts w:cs="Arial"/>
                <w:sz w:val="20"/>
                <w:szCs w:val="20"/>
              </w:rPr>
            </w:pPr>
          </w:p>
        </w:tc>
      </w:tr>
      <w:tr w:rsidR="00161EB7" w:rsidRPr="00161EB7" w:rsidTr="001C1BDA">
        <w:tc>
          <w:tcPr>
            <w:tcW w:w="5495" w:type="dxa"/>
          </w:tcPr>
          <w:p w:rsidR="00161EB7" w:rsidRPr="00161EB7" w:rsidRDefault="00161EB7" w:rsidP="00161EB7">
            <w:pPr>
              <w:jc w:val="right"/>
              <w:rPr>
                <w:rFonts w:cs="Arial"/>
                <w:i/>
                <w:sz w:val="20"/>
                <w:szCs w:val="20"/>
              </w:rPr>
            </w:pPr>
            <w:r w:rsidRPr="00161EB7">
              <w:rPr>
                <w:rFonts w:cs="Arial"/>
                <w:i/>
                <w:sz w:val="20"/>
                <w:szCs w:val="20"/>
              </w:rPr>
              <w:t>Costs of new coverage inc O&amp;M</w:t>
            </w:r>
          </w:p>
        </w:tc>
        <w:tc>
          <w:tcPr>
            <w:tcW w:w="1701" w:type="dxa"/>
          </w:tcPr>
          <w:p w:rsidR="00161EB7" w:rsidRPr="00161EB7" w:rsidRDefault="00161EB7" w:rsidP="00161EB7">
            <w:pPr>
              <w:jc w:val="right"/>
              <w:rPr>
                <w:rFonts w:cs="Arial"/>
                <w:i/>
                <w:sz w:val="20"/>
                <w:szCs w:val="20"/>
              </w:rPr>
            </w:pPr>
            <w:r w:rsidRPr="00161EB7">
              <w:rPr>
                <w:rFonts w:cs="Arial"/>
                <w:i/>
                <w:sz w:val="20"/>
                <w:szCs w:val="20"/>
              </w:rPr>
              <w:t>184</w:t>
            </w:r>
          </w:p>
        </w:tc>
        <w:tc>
          <w:tcPr>
            <w:tcW w:w="1701" w:type="dxa"/>
          </w:tcPr>
          <w:p w:rsidR="00161EB7" w:rsidRPr="00161EB7" w:rsidRDefault="00161EB7" w:rsidP="00161EB7">
            <w:pPr>
              <w:jc w:val="right"/>
              <w:rPr>
                <w:rFonts w:cs="Arial"/>
                <w:i/>
                <w:sz w:val="20"/>
                <w:szCs w:val="20"/>
              </w:rPr>
            </w:pPr>
            <w:r w:rsidRPr="00161EB7">
              <w:rPr>
                <w:rFonts w:cs="Arial"/>
                <w:i/>
                <w:sz w:val="20"/>
                <w:szCs w:val="20"/>
              </w:rPr>
              <w:t>18</w:t>
            </w:r>
          </w:p>
        </w:tc>
      </w:tr>
      <w:tr w:rsidR="00161EB7" w:rsidRPr="00161EB7" w:rsidTr="001C1BDA">
        <w:tc>
          <w:tcPr>
            <w:tcW w:w="5495" w:type="dxa"/>
          </w:tcPr>
          <w:p w:rsidR="00161EB7" w:rsidRPr="00161EB7" w:rsidRDefault="00161EB7" w:rsidP="00161EB7">
            <w:pPr>
              <w:jc w:val="right"/>
              <w:rPr>
                <w:rFonts w:cs="Arial"/>
                <w:sz w:val="20"/>
                <w:szCs w:val="20"/>
              </w:rPr>
            </w:pPr>
            <w:r w:rsidRPr="00161EB7">
              <w:rPr>
                <w:rFonts w:cs="Arial"/>
                <w:sz w:val="20"/>
                <w:szCs w:val="20"/>
              </w:rPr>
              <w:t>Extra cost of household connections: $bn.</w:t>
            </w:r>
          </w:p>
        </w:tc>
        <w:tc>
          <w:tcPr>
            <w:tcW w:w="1701" w:type="dxa"/>
          </w:tcPr>
          <w:p w:rsidR="00161EB7" w:rsidRPr="00161EB7" w:rsidRDefault="00161EB7" w:rsidP="00161EB7">
            <w:pPr>
              <w:jc w:val="right"/>
              <w:rPr>
                <w:rFonts w:cs="Arial"/>
                <w:sz w:val="20"/>
                <w:szCs w:val="20"/>
              </w:rPr>
            </w:pPr>
            <w:r w:rsidRPr="00161EB7">
              <w:rPr>
                <w:rFonts w:cs="Arial"/>
                <w:sz w:val="20"/>
                <w:szCs w:val="20"/>
              </w:rPr>
              <w:t>143</w:t>
            </w:r>
          </w:p>
        </w:tc>
        <w:tc>
          <w:tcPr>
            <w:tcW w:w="1701" w:type="dxa"/>
          </w:tcPr>
          <w:p w:rsidR="00161EB7" w:rsidRPr="00161EB7" w:rsidRDefault="00161EB7" w:rsidP="00161EB7">
            <w:pPr>
              <w:jc w:val="right"/>
              <w:rPr>
                <w:rFonts w:cs="Arial"/>
                <w:sz w:val="20"/>
                <w:szCs w:val="20"/>
              </w:rPr>
            </w:pPr>
            <w:r w:rsidRPr="00161EB7">
              <w:rPr>
                <w:rFonts w:cs="Arial"/>
                <w:sz w:val="20"/>
                <w:szCs w:val="20"/>
              </w:rPr>
              <w:t>15</w:t>
            </w:r>
          </w:p>
        </w:tc>
      </w:tr>
      <w:tr w:rsidR="00161EB7" w:rsidRPr="00161EB7" w:rsidTr="001C1BDA">
        <w:tc>
          <w:tcPr>
            <w:tcW w:w="5495" w:type="dxa"/>
          </w:tcPr>
          <w:p w:rsidR="00161EB7" w:rsidRPr="00161EB7" w:rsidRDefault="00161EB7" w:rsidP="00161EB7">
            <w:pPr>
              <w:jc w:val="right"/>
              <w:rPr>
                <w:rFonts w:cs="Arial"/>
                <w:i/>
                <w:sz w:val="20"/>
                <w:szCs w:val="20"/>
              </w:rPr>
            </w:pPr>
            <w:r w:rsidRPr="00161EB7">
              <w:rPr>
                <w:rFonts w:cs="Arial"/>
                <w:i/>
                <w:sz w:val="20"/>
                <w:szCs w:val="20"/>
              </w:rPr>
              <w:t>Total costs of new coverage inc O&amp;M</w:t>
            </w:r>
          </w:p>
        </w:tc>
        <w:tc>
          <w:tcPr>
            <w:tcW w:w="1701" w:type="dxa"/>
          </w:tcPr>
          <w:p w:rsidR="00161EB7" w:rsidRPr="00161EB7" w:rsidRDefault="00161EB7" w:rsidP="00161EB7">
            <w:pPr>
              <w:jc w:val="right"/>
              <w:rPr>
                <w:rFonts w:cs="Arial"/>
                <w:i/>
                <w:sz w:val="20"/>
                <w:szCs w:val="20"/>
              </w:rPr>
            </w:pPr>
            <w:r w:rsidRPr="00161EB7">
              <w:rPr>
                <w:rFonts w:cs="Arial"/>
                <w:i/>
                <w:sz w:val="20"/>
                <w:szCs w:val="20"/>
              </w:rPr>
              <w:t>327</w:t>
            </w:r>
          </w:p>
        </w:tc>
        <w:tc>
          <w:tcPr>
            <w:tcW w:w="1701" w:type="dxa"/>
          </w:tcPr>
          <w:p w:rsidR="00161EB7" w:rsidRPr="00161EB7" w:rsidRDefault="00161EB7" w:rsidP="00161EB7">
            <w:pPr>
              <w:jc w:val="right"/>
              <w:rPr>
                <w:rFonts w:cs="Arial"/>
                <w:i/>
                <w:sz w:val="20"/>
                <w:szCs w:val="20"/>
              </w:rPr>
            </w:pPr>
            <w:r w:rsidRPr="00161EB7">
              <w:rPr>
                <w:rFonts w:cs="Arial"/>
                <w:i/>
                <w:sz w:val="20"/>
                <w:szCs w:val="20"/>
              </w:rPr>
              <w:t>33</w:t>
            </w:r>
          </w:p>
        </w:tc>
      </w:tr>
      <w:tr w:rsidR="00161EB7" w:rsidRPr="00161EB7" w:rsidTr="001C1BDA">
        <w:tc>
          <w:tcPr>
            <w:tcW w:w="5495" w:type="dxa"/>
          </w:tcPr>
          <w:p w:rsidR="00161EB7" w:rsidRPr="00161EB7" w:rsidRDefault="00161EB7" w:rsidP="0086015F">
            <w:pPr>
              <w:jc w:val="right"/>
              <w:rPr>
                <w:rFonts w:cs="Arial"/>
                <w:sz w:val="20"/>
                <w:szCs w:val="20"/>
              </w:rPr>
            </w:pPr>
            <w:r w:rsidRPr="00161EB7">
              <w:rPr>
                <w:rFonts w:cs="Arial"/>
                <w:sz w:val="20"/>
                <w:szCs w:val="20"/>
              </w:rPr>
              <w:t xml:space="preserve">Extra cost of </w:t>
            </w:r>
            <w:r w:rsidR="00B063B1">
              <w:rPr>
                <w:rFonts w:cs="Arial"/>
                <w:sz w:val="20"/>
                <w:szCs w:val="20"/>
              </w:rPr>
              <w:t xml:space="preserve">PSIRU </w:t>
            </w:r>
            <w:r w:rsidRPr="00161EB7">
              <w:rPr>
                <w:rFonts w:cs="Arial"/>
                <w:sz w:val="20"/>
                <w:szCs w:val="20"/>
              </w:rPr>
              <w:t>urban sewerage target</w:t>
            </w:r>
          </w:p>
        </w:tc>
        <w:tc>
          <w:tcPr>
            <w:tcW w:w="1701" w:type="dxa"/>
          </w:tcPr>
          <w:p w:rsidR="00161EB7" w:rsidRPr="00161EB7" w:rsidRDefault="00161EB7" w:rsidP="00161EB7">
            <w:pPr>
              <w:jc w:val="right"/>
              <w:rPr>
                <w:rFonts w:cs="Arial"/>
                <w:sz w:val="20"/>
                <w:szCs w:val="20"/>
              </w:rPr>
            </w:pPr>
            <w:r w:rsidRPr="00161EB7">
              <w:rPr>
                <w:rFonts w:cs="Arial"/>
                <w:sz w:val="20"/>
                <w:szCs w:val="20"/>
              </w:rPr>
              <w:t>22</w:t>
            </w:r>
          </w:p>
        </w:tc>
        <w:tc>
          <w:tcPr>
            <w:tcW w:w="1701" w:type="dxa"/>
          </w:tcPr>
          <w:p w:rsidR="00161EB7" w:rsidRPr="00161EB7" w:rsidRDefault="00161EB7" w:rsidP="00161EB7">
            <w:pPr>
              <w:jc w:val="right"/>
              <w:rPr>
                <w:rFonts w:cs="Arial"/>
                <w:sz w:val="20"/>
                <w:szCs w:val="20"/>
              </w:rPr>
            </w:pPr>
            <w:r w:rsidRPr="00161EB7">
              <w:rPr>
                <w:rFonts w:cs="Arial"/>
                <w:sz w:val="20"/>
                <w:szCs w:val="20"/>
              </w:rPr>
              <w:t>2</w:t>
            </w:r>
          </w:p>
        </w:tc>
      </w:tr>
      <w:tr w:rsidR="00161EB7" w:rsidRPr="00161EB7" w:rsidTr="001C1BDA">
        <w:tc>
          <w:tcPr>
            <w:tcW w:w="5495" w:type="dxa"/>
          </w:tcPr>
          <w:p w:rsidR="00161EB7" w:rsidRPr="00161EB7" w:rsidRDefault="00161EB7" w:rsidP="00161EB7">
            <w:pPr>
              <w:jc w:val="right"/>
              <w:rPr>
                <w:rFonts w:cs="Arial"/>
                <w:i/>
                <w:sz w:val="20"/>
                <w:szCs w:val="20"/>
              </w:rPr>
            </w:pPr>
            <w:r w:rsidRPr="00161EB7">
              <w:rPr>
                <w:rFonts w:cs="Arial"/>
                <w:i/>
                <w:sz w:val="20"/>
                <w:szCs w:val="20"/>
              </w:rPr>
              <w:t xml:space="preserve">Total costs of coverage inc O&amp;M </w:t>
            </w:r>
          </w:p>
        </w:tc>
        <w:tc>
          <w:tcPr>
            <w:tcW w:w="1701" w:type="dxa"/>
          </w:tcPr>
          <w:p w:rsidR="00161EB7" w:rsidRPr="00161EB7" w:rsidRDefault="00161EB7" w:rsidP="00161EB7">
            <w:pPr>
              <w:jc w:val="right"/>
              <w:rPr>
                <w:rFonts w:cs="Arial"/>
                <w:i/>
                <w:sz w:val="20"/>
                <w:szCs w:val="20"/>
              </w:rPr>
            </w:pPr>
            <w:r w:rsidRPr="00161EB7">
              <w:rPr>
                <w:rFonts w:cs="Arial"/>
                <w:i/>
                <w:sz w:val="20"/>
                <w:szCs w:val="20"/>
              </w:rPr>
              <w:t>349</w:t>
            </w:r>
          </w:p>
        </w:tc>
        <w:tc>
          <w:tcPr>
            <w:tcW w:w="1701" w:type="dxa"/>
          </w:tcPr>
          <w:p w:rsidR="00161EB7" w:rsidRPr="00161EB7" w:rsidRDefault="00161EB7" w:rsidP="00161EB7">
            <w:pPr>
              <w:jc w:val="right"/>
              <w:rPr>
                <w:rFonts w:cs="Arial"/>
                <w:i/>
                <w:sz w:val="20"/>
                <w:szCs w:val="20"/>
              </w:rPr>
            </w:pPr>
            <w:r w:rsidRPr="00161EB7">
              <w:rPr>
                <w:rFonts w:cs="Arial"/>
                <w:i/>
                <w:sz w:val="20"/>
                <w:szCs w:val="20"/>
              </w:rPr>
              <w:t>35</w:t>
            </w:r>
          </w:p>
        </w:tc>
      </w:tr>
    </w:tbl>
    <w:p w:rsidR="00161EB7" w:rsidRDefault="00161EB7" w:rsidP="00161EB7">
      <w:pPr>
        <w:rPr>
          <w:szCs w:val="22"/>
        </w:rPr>
      </w:pPr>
      <w:r>
        <w:rPr>
          <w:szCs w:val="22"/>
        </w:rPr>
        <w:t>Sourc</w:t>
      </w:r>
      <w:r w:rsidR="001C1BDA">
        <w:rPr>
          <w:szCs w:val="22"/>
        </w:rPr>
        <w:t>e: WHO 2008, PSIRU calculations</w:t>
      </w:r>
    </w:p>
    <w:p w:rsidR="0084627D" w:rsidRDefault="0084627D" w:rsidP="00161EB7">
      <w:pPr>
        <w:rPr>
          <w:lang w:eastAsia="en-US"/>
        </w:rPr>
      </w:pPr>
    </w:p>
    <w:p w:rsidR="00D04526" w:rsidRDefault="00D04526" w:rsidP="00D04526">
      <w:pPr>
        <w:rPr>
          <w:lang w:eastAsia="en-US"/>
        </w:rPr>
      </w:pPr>
      <w:r w:rsidRPr="00D04526">
        <w:rPr>
          <w:lang w:eastAsia="en-US"/>
        </w:rPr>
        <w:t>The relative health benefits of household connections has been confirmed by a number of studies.</w:t>
      </w:r>
      <w:r w:rsidR="0045389C">
        <w:rPr>
          <w:lang w:eastAsia="en-US"/>
        </w:rPr>
        <w:t xml:space="preserve"> </w:t>
      </w:r>
      <w:r w:rsidRPr="00D04526">
        <w:rPr>
          <w:lang w:eastAsia="en-US"/>
        </w:rPr>
        <w:t xml:space="preserve"> A study of the installation of household sewerage connections in the city of Salvador, Brazil found a 20% fall in child morbidity.</w:t>
      </w:r>
      <w:r w:rsidRPr="00D04526">
        <w:rPr>
          <w:vertAlign w:val="superscript"/>
          <w:lang w:eastAsia="en-US"/>
        </w:rPr>
        <w:endnoteReference w:id="31"/>
      </w:r>
      <w:r w:rsidRPr="00D04526">
        <w:rPr>
          <w:lang w:eastAsia="en-US"/>
        </w:rPr>
        <w:t xml:space="preserve">  </w:t>
      </w:r>
      <w:r w:rsidR="00A35EF2">
        <w:rPr>
          <w:lang w:eastAsia="en-US"/>
        </w:rPr>
        <w:t>Studies</w:t>
      </w:r>
      <w:r w:rsidR="00A35EF2" w:rsidRPr="00D04526">
        <w:rPr>
          <w:lang w:eastAsia="en-US"/>
        </w:rPr>
        <w:t xml:space="preserve"> by Günther and Fink </w:t>
      </w:r>
      <w:r w:rsidRPr="00D04526">
        <w:rPr>
          <w:lang w:eastAsia="en-US"/>
        </w:rPr>
        <w:t xml:space="preserve">found that household </w:t>
      </w:r>
      <w:r w:rsidR="00A35EF2">
        <w:rPr>
          <w:lang w:eastAsia="en-US"/>
        </w:rPr>
        <w:t xml:space="preserve">water </w:t>
      </w:r>
      <w:r w:rsidRPr="00D04526">
        <w:rPr>
          <w:lang w:eastAsia="en-US"/>
        </w:rPr>
        <w:t>connections</w:t>
      </w:r>
      <w:r>
        <w:rPr>
          <w:lang w:eastAsia="en-US"/>
        </w:rPr>
        <w:t xml:space="preserve"> reduce</w:t>
      </w:r>
      <w:r w:rsidR="00A35EF2">
        <w:rPr>
          <w:lang w:eastAsia="en-US"/>
        </w:rPr>
        <w:t xml:space="preserve">d episodes of diarrhoea twice as much as a shared pipe, and household toilets by three times as much as shared public facilities. </w:t>
      </w:r>
      <w:r>
        <w:rPr>
          <w:lang w:eastAsia="en-US"/>
        </w:rPr>
        <w:t xml:space="preserve"> </w:t>
      </w:r>
      <w:r w:rsidR="00A35EF2">
        <w:rPr>
          <w:lang w:eastAsia="en-US"/>
        </w:rPr>
        <w:t>This translates into big differences in mortality rates:</w:t>
      </w:r>
      <w:r w:rsidR="00435083">
        <w:rPr>
          <w:lang w:eastAsia="en-US"/>
        </w:rPr>
        <w:t xml:space="preserve"> household</w:t>
      </w:r>
      <w:r w:rsidRPr="00D04526">
        <w:rPr>
          <w:lang w:eastAsia="en-US"/>
        </w:rPr>
        <w:t xml:space="preserve"> water connections and flush toilets lead to an average mortality reduction of 25 deaths per 1000 live births</w:t>
      </w:r>
      <w:r>
        <w:rPr>
          <w:lang w:eastAsia="en-US"/>
        </w:rPr>
        <w:t xml:space="preserve">, whereas </w:t>
      </w:r>
      <w:r w:rsidRPr="00D04526">
        <w:rPr>
          <w:lang w:eastAsia="en-US"/>
        </w:rPr>
        <w:t xml:space="preserve">‘improved’ water and sanitation technology (such as public water pumps and ventilated improved pit latrines) </w:t>
      </w:r>
      <w:r>
        <w:rPr>
          <w:lang w:eastAsia="en-US"/>
        </w:rPr>
        <w:t xml:space="preserve">only </w:t>
      </w:r>
      <w:r w:rsidRPr="00D04526">
        <w:rPr>
          <w:lang w:eastAsia="en-US"/>
        </w:rPr>
        <w:t xml:space="preserve">lowers child mortality by 8 deaths per 1000. </w:t>
      </w:r>
      <w:r w:rsidR="0045389C">
        <w:rPr>
          <w:lang w:eastAsia="en-US"/>
        </w:rPr>
        <w:t xml:space="preserve"> </w:t>
      </w:r>
      <w:r w:rsidRPr="00D04526">
        <w:rPr>
          <w:lang w:eastAsia="en-US"/>
        </w:rPr>
        <w:t xml:space="preserve">The effect of household connections is </w:t>
      </w:r>
      <w:r w:rsidR="00A35EF2">
        <w:rPr>
          <w:lang w:eastAsia="en-US"/>
        </w:rPr>
        <w:t xml:space="preserve">also longer lasting, </w:t>
      </w:r>
      <w:r w:rsidRPr="00D04526">
        <w:rPr>
          <w:lang w:eastAsia="en-US"/>
        </w:rPr>
        <w:t xml:space="preserve">because the technology is more durable. </w:t>
      </w:r>
      <w:r w:rsidR="0045389C">
        <w:rPr>
          <w:lang w:eastAsia="en-US"/>
        </w:rPr>
        <w:t xml:space="preserve"> </w:t>
      </w:r>
      <w:r w:rsidRPr="00D04526">
        <w:rPr>
          <w:lang w:eastAsia="en-US"/>
        </w:rPr>
        <w:t>This impact of full household connections would by itself achieve 41% of the improvement in child mortality needed to meet the MDG for child mortality rates.</w:t>
      </w:r>
      <w:r w:rsidR="00A35EF2" w:rsidRPr="00D04526">
        <w:rPr>
          <w:vertAlign w:val="superscript"/>
          <w:lang w:eastAsia="en-US"/>
        </w:rPr>
        <w:endnoteReference w:id="32"/>
      </w:r>
      <w:r w:rsidRPr="00D04526">
        <w:rPr>
          <w:lang w:eastAsia="en-US"/>
        </w:rPr>
        <w:t xml:space="preserve"> </w:t>
      </w:r>
    </w:p>
    <w:p w:rsidR="00D04526" w:rsidRDefault="00D04526" w:rsidP="00D04526">
      <w:pPr>
        <w:rPr>
          <w:lang w:eastAsia="en-US"/>
        </w:rPr>
      </w:pPr>
    </w:p>
    <w:p w:rsidR="001B6713" w:rsidRDefault="00A35EF2" w:rsidP="00161EB7">
      <w:pPr>
        <w:rPr>
          <w:lang w:eastAsia="en-US"/>
        </w:rPr>
      </w:pPr>
      <w:r>
        <w:rPr>
          <w:lang w:eastAsia="en-US"/>
        </w:rPr>
        <w:t>Purely in economic terms, these benefits are</w:t>
      </w:r>
      <w:r w:rsidR="007A549D">
        <w:rPr>
          <w:lang w:eastAsia="en-US"/>
        </w:rPr>
        <w:t xml:space="preserve"> larger than the costs</w:t>
      </w:r>
      <w:r>
        <w:rPr>
          <w:lang w:eastAsia="en-US"/>
        </w:rPr>
        <w:t xml:space="preserve"> of the investments</w:t>
      </w:r>
      <w:r w:rsidR="007A549D">
        <w:rPr>
          <w:lang w:eastAsia="en-US"/>
        </w:rPr>
        <w:t xml:space="preserve">. </w:t>
      </w:r>
      <w:r w:rsidR="0029262D">
        <w:rPr>
          <w:lang w:eastAsia="en-US"/>
        </w:rPr>
        <w:t>Günther and Fink calculate each year of life saved by</w:t>
      </w:r>
      <w:r>
        <w:rPr>
          <w:lang w:eastAsia="en-US"/>
        </w:rPr>
        <w:t xml:space="preserve"> water and sewerage connections </w:t>
      </w:r>
      <w:r w:rsidR="00266B97">
        <w:rPr>
          <w:lang w:eastAsia="en-US"/>
        </w:rPr>
        <w:t xml:space="preserve">costs </w:t>
      </w:r>
      <w:r w:rsidR="0029262D">
        <w:rPr>
          <w:lang w:eastAsia="en-US"/>
        </w:rPr>
        <w:t xml:space="preserve">less than </w:t>
      </w:r>
      <w:r w:rsidR="00266B97">
        <w:rPr>
          <w:lang w:eastAsia="en-US"/>
        </w:rPr>
        <w:t xml:space="preserve">the economic output per person per year </w:t>
      </w:r>
      <w:r w:rsidR="0029262D">
        <w:rPr>
          <w:lang w:eastAsia="en-US"/>
        </w:rPr>
        <w:t>for the great majority of developing countries</w:t>
      </w:r>
      <w:r w:rsidR="00266B97">
        <w:rPr>
          <w:lang w:eastAsia="en-US"/>
        </w:rPr>
        <w:t xml:space="preserve"> (as measured by GDP per capita)</w:t>
      </w:r>
      <w:r w:rsidR="0029262D">
        <w:rPr>
          <w:lang w:eastAsia="en-US"/>
        </w:rPr>
        <w:t>.</w:t>
      </w:r>
      <w:r w:rsidR="00266B97">
        <w:rPr>
          <w:lang w:eastAsia="en-US"/>
        </w:rPr>
        <w:t xml:space="preserve"> They also found that full household connections are more cost-effective than just ‘improved’ sanitation because of the long-lasting nature of the infrastructure and its effects. </w:t>
      </w:r>
      <w:r w:rsidR="0029262D">
        <w:rPr>
          <w:rStyle w:val="EndnoteReference"/>
          <w:lang w:eastAsia="en-US"/>
        </w:rPr>
        <w:endnoteReference w:id="33"/>
      </w:r>
      <w:r w:rsidR="0029262D">
        <w:rPr>
          <w:lang w:eastAsia="en-US"/>
        </w:rPr>
        <w:t xml:space="preserve"> </w:t>
      </w:r>
      <w:r w:rsidR="001B6713">
        <w:rPr>
          <w:lang w:eastAsia="en-US"/>
        </w:rPr>
        <w:t xml:space="preserve">In this sense, </w:t>
      </w:r>
      <w:r w:rsidR="007A549D">
        <w:rPr>
          <w:lang w:eastAsia="en-US"/>
        </w:rPr>
        <w:t xml:space="preserve">countries cannot afford </w:t>
      </w:r>
      <w:r w:rsidR="009B0340" w:rsidRPr="009B0340">
        <w:rPr>
          <w:i/>
          <w:lang w:eastAsia="en-US"/>
        </w:rPr>
        <w:t>not</w:t>
      </w:r>
      <w:r w:rsidR="007A549D" w:rsidRPr="009B0340">
        <w:rPr>
          <w:i/>
          <w:lang w:eastAsia="en-US"/>
        </w:rPr>
        <w:t xml:space="preserve"> </w:t>
      </w:r>
      <w:r w:rsidR="007A549D">
        <w:rPr>
          <w:lang w:eastAsia="en-US"/>
        </w:rPr>
        <w:t>to make these investments</w:t>
      </w:r>
      <w:r w:rsidR="001B6713">
        <w:rPr>
          <w:lang w:eastAsia="en-US"/>
        </w:rPr>
        <w:t xml:space="preserve"> - a</w:t>
      </w:r>
      <w:r w:rsidR="007A549D">
        <w:rPr>
          <w:lang w:eastAsia="en-US"/>
        </w:rPr>
        <w:t xml:space="preserve"> country which does not do so would be worse </w:t>
      </w:r>
      <w:r w:rsidR="00A47B79">
        <w:rPr>
          <w:lang w:eastAsia="en-US"/>
        </w:rPr>
        <w:t>off overall</w:t>
      </w:r>
      <w:r w:rsidR="001B6713">
        <w:rPr>
          <w:lang w:eastAsia="en-US"/>
        </w:rPr>
        <w:t>.</w:t>
      </w:r>
      <w:r w:rsidR="00117F37">
        <w:rPr>
          <w:lang w:eastAsia="en-US"/>
        </w:rPr>
        <w:t xml:space="preserve"> The WSP now estimates that in India the health and economic damage of inadequate </w:t>
      </w:r>
      <w:r w:rsidR="00A47B79">
        <w:rPr>
          <w:lang w:eastAsia="en-US"/>
        </w:rPr>
        <w:t>sanitation is</w:t>
      </w:r>
      <w:r w:rsidR="00117F37">
        <w:rPr>
          <w:lang w:eastAsia="en-US"/>
        </w:rPr>
        <w:t xml:space="preserve"> equivalent to 6.4% of GDP, </w:t>
      </w:r>
      <w:r w:rsidR="00CC04D2">
        <w:rPr>
          <w:lang w:eastAsia="en-US"/>
        </w:rPr>
        <w:t>six times the estimated cost of dealing with it. T</w:t>
      </w:r>
      <w:r w:rsidR="00117F37">
        <w:rPr>
          <w:lang w:eastAsia="en-US"/>
        </w:rPr>
        <w:t>he WSP</w:t>
      </w:r>
      <w:r w:rsidR="00CC04D2">
        <w:rPr>
          <w:lang w:eastAsia="en-US"/>
        </w:rPr>
        <w:t xml:space="preserve"> adds that making this investment</w:t>
      </w:r>
      <w:r w:rsidR="00FA4BD3">
        <w:rPr>
          <w:lang w:eastAsia="en-US"/>
        </w:rPr>
        <w:t>:</w:t>
      </w:r>
      <w:r w:rsidR="00CC04D2">
        <w:rPr>
          <w:lang w:eastAsia="en-US"/>
        </w:rPr>
        <w:t xml:space="preserve"> “</w:t>
      </w:r>
      <w:r w:rsidR="00CC04D2" w:rsidRPr="00CC04D2">
        <w:rPr>
          <w:lang w:eastAsia="en-US"/>
        </w:rPr>
        <w:t>will also result in a huge economic</w:t>
      </w:r>
      <w:r w:rsidR="00CC04D2">
        <w:rPr>
          <w:lang w:eastAsia="en-US"/>
        </w:rPr>
        <w:t xml:space="preserve"> </w:t>
      </w:r>
      <w:r w:rsidR="00CC04D2" w:rsidRPr="00CC04D2">
        <w:rPr>
          <w:lang w:eastAsia="en-US"/>
        </w:rPr>
        <w:t>benefit in terms of a large sanitation market</w:t>
      </w:r>
      <w:r w:rsidR="00CC04D2">
        <w:rPr>
          <w:lang w:eastAsia="en-US"/>
        </w:rPr>
        <w:t>”.</w:t>
      </w:r>
      <w:r w:rsidR="00117F37">
        <w:rPr>
          <w:rStyle w:val="EndnoteReference"/>
          <w:lang w:eastAsia="en-US"/>
        </w:rPr>
        <w:endnoteReference w:id="34"/>
      </w:r>
    </w:p>
    <w:p w:rsidR="00A941BD" w:rsidRDefault="00435083" w:rsidP="00266B97">
      <w:pPr>
        <w:pStyle w:val="Heading7"/>
      </w:pPr>
      <w:bookmarkStart w:id="26" w:name="_Toc193783763"/>
      <w:bookmarkStart w:id="27" w:name="_Toc318886709"/>
      <w:r>
        <w:t>Cost</w:t>
      </w:r>
      <w:r w:rsidR="001B6713">
        <w:t xml:space="preserve"> </w:t>
      </w:r>
      <w:bookmarkEnd w:id="26"/>
      <w:r w:rsidR="0084627D">
        <w:t>per life-years saved as % of GDP per capita</w:t>
      </w:r>
      <w:r w:rsidR="00266B97">
        <w:t>, selected African countries</w:t>
      </w:r>
      <w:bookmarkEnd w:id="27"/>
    </w:p>
    <w:p w:rsidR="0084627D" w:rsidRDefault="0084627D" w:rsidP="0084627D">
      <w:pPr>
        <w:rPr>
          <w:lang w:eastAsia="en-US"/>
        </w:rPr>
      </w:pPr>
      <w:r>
        <w:rPr>
          <w:lang w:eastAsia="en-US"/>
        </w:rPr>
        <w:t>(full household connections water and sewerage.)</w:t>
      </w:r>
    </w:p>
    <w:p w:rsidR="00266B97" w:rsidRPr="0084627D" w:rsidRDefault="00266B97" w:rsidP="0084627D">
      <w:pPr>
        <w:rPr>
          <w:lang w:eastAsia="en-US"/>
        </w:rPr>
      </w:pPr>
    </w:p>
    <w:tbl>
      <w:tblPr>
        <w:tblW w:w="3701" w:type="dxa"/>
        <w:tblInd w:w="93" w:type="dxa"/>
        <w:tblLook w:val="04A0" w:firstRow="1" w:lastRow="0" w:firstColumn="1" w:lastColumn="0" w:noHBand="0" w:noVBand="1"/>
      </w:tblPr>
      <w:tblGrid>
        <w:gridCol w:w="1687"/>
        <w:gridCol w:w="2014"/>
      </w:tblGrid>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color w:val="000000"/>
                <w:sz w:val="20"/>
                <w:szCs w:val="20"/>
              </w:rPr>
            </w:pPr>
            <w:r>
              <w:rPr>
                <w:color w:val="000000"/>
                <w:sz w:val="20"/>
                <w:szCs w:val="20"/>
              </w:rPr>
              <w:t>Country</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Pr>
                <w:sz w:val="18"/>
                <w:szCs w:val="18"/>
              </w:rPr>
              <w:t xml:space="preserve">Cost per life year saved as % of GDP per capita </w:t>
            </w:r>
          </w:p>
        </w:tc>
      </w:tr>
    </w:tbl>
    <w:p w:rsidR="00E06B7E" w:rsidRDefault="00E06B7E" w:rsidP="00266B97">
      <w:pPr>
        <w:rPr>
          <w:color w:val="000000"/>
          <w:sz w:val="20"/>
          <w:szCs w:val="20"/>
        </w:rPr>
        <w:sectPr w:rsidR="00E06B7E" w:rsidSect="0078087D">
          <w:headerReference w:type="default" r:id="rId15"/>
          <w:footerReference w:type="default" r:id="rId16"/>
          <w:headerReference w:type="first" r:id="rId17"/>
          <w:footerReference w:type="first" r:id="rId18"/>
          <w:footnotePr>
            <w:numFmt w:val="chicago"/>
          </w:footnotePr>
          <w:endnotePr>
            <w:numFmt w:val="decimal"/>
          </w:endnotePr>
          <w:pgSz w:w="11906" w:h="16838" w:code="9"/>
          <w:pgMar w:top="1134" w:right="1134" w:bottom="1134" w:left="1134" w:header="567" w:footer="567" w:gutter="0"/>
          <w:cols w:space="708"/>
          <w:titlePg/>
          <w:docGrid w:linePitch="360"/>
        </w:sectPr>
      </w:pPr>
    </w:p>
    <w:tbl>
      <w:tblPr>
        <w:tblW w:w="3701" w:type="dxa"/>
        <w:tblInd w:w="93" w:type="dxa"/>
        <w:tblLook w:val="04A0" w:firstRow="1" w:lastRow="0" w:firstColumn="1" w:lastColumn="0" w:noHBand="0" w:noVBand="1"/>
      </w:tblPr>
      <w:tblGrid>
        <w:gridCol w:w="1687"/>
        <w:gridCol w:w="2014"/>
      </w:tblGrid>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color w:val="000000"/>
                <w:sz w:val="20"/>
                <w:szCs w:val="20"/>
              </w:rPr>
              <w:t xml:space="preserve">Benin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0.722</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Burkina Faso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0.380</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Cameroon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0.273</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Chad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0.205</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Congo, Rep.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0.299</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Gabon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0.150</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Ghana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0.843</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Guinea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0.205</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Kenya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0.605</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Lesotho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0.644</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Liberia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2.898</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Madagascar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2.164</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Malawi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0.827</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Mali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0.528</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Mozambique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0.359</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Namibia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0.310</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Niger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0.675</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Nigeria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0.228</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Senegal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0.283</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Swaziland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0.116</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Tanzania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1.125</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Uganda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0.753</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Zambia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0.283</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 xml:space="preserve">Zimbabwe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color w:val="000000"/>
                <w:sz w:val="20"/>
                <w:szCs w:val="20"/>
              </w:rPr>
              <w:t>0.855</w:t>
            </w:r>
            <w:r w:rsidRPr="00266B97">
              <w:rPr>
                <w:sz w:val="18"/>
                <w:szCs w:val="18"/>
              </w:rPr>
              <w:t xml:space="preserve"> </w:t>
            </w:r>
          </w:p>
        </w:tc>
      </w:tr>
      <w:tr w:rsidR="00266B97" w:rsidRPr="00266B97" w:rsidTr="00266B97">
        <w:trPr>
          <w:trHeight w:val="255"/>
        </w:trPr>
        <w:tc>
          <w:tcPr>
            <w:tcW w:w="1687"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b/>
                <w:bCs/>
                <w:color w:val="000000"/>
                <w:sz w:val="20"/>
                <w:szCs w:val="20"/>
              </w:rPr>
              <w:t xml:space="preserve">Average </w:t>
            </w:r>
            <w:r w:rsidRPr="00266B97">
              <w:rPr>
                <w:sz w:val="18"/>
                <w:szCs w:val="18"/>
              </w:rPr>
              <w:t xml:space="preserve"> </w:t>
            </w:r>
          </w:p>
        </w:tc>
        <w:tc>
          <w:tcPr>
            <w:tcW w:w="2014" w:type="dxa"/>
            <w:tcBorders>
              <w:top w:val="nil"/>
              <w:left w:val="nil"/>
              <w:bottom w:val="nil"/>
              <w:right w:val="nil"/>
            </w:tcBorders>
            <w:shd w:val="clear" w:color="auto" w:fill="auto"/>
            <w:noWrap/>
            <w:vAlign w:val="bottom"/>
            <w:hideMark/>
          </w:tcPr>
          <w:p w:rsidR="00266B97" w:rsidRPr="00266B97" w:rsidRDefault="00266B97" w:rsidP="00266B97">
            <w:pPr>
              <w:rPr>
                <w:sz w:val="18"/>
                <w:szCs w:val="18"/>
              </w:rPr>
            </w:pPr>
            <w:r w:rsidRPr="00266B97">
              <w:rPr>
                <w:sz w:val="18"/>
                <w:szCs w:val="18"/>
              </w:rPr>
              <w:t xml:space="preserve"> </w:t>
            </w:r>
            <w:r w:rsidRPr="00266B97">
              <w:rPr>
                <w:b/>
                <w:bCs/>
                <w:color w:val="000000"/>
                <w:sz w:val="20"/>
                <w:szCs w:val="20"/>
              </w:rPr>
              <w:t>0.655</w:t>
            </w:r>
            <w:r w:rsidRPr="00266B97">
              <w:rPr>
                <w:sz w:val="18"/>
                <w:szCs w:val="18"/>
              </w:rPr>
              <w:t xml:space="preserve"> </w:t>
            </w:r>
          </w:p>
        </w:tc>
      </w:tr>
    </w:tbl>
    <w:p w:rsidR="00E06B7E" w:rsidRDefault="00E06B7E" w:rsidP="00A941BD">
      <w:pPr>
        <w:rPr>
          <w:szCs w:val="22"/>
          <w:lang w:eastAsia="en-US"/>
        </w:rPr>
        <w:sectPr w:rsidR="00E06B7E" w:rsidSect="00E06B7E">
          <w:footnotePr>
            <w:numFmt w:val="chicago"/>
          </w:footnotePr>
          <w:endnotePr>
            <w:numFmt w:val="decimal"/>
          </w:endnotePr>
          <w:type w:val="continuous"/>
          <w:pgSz w:w="11906" w:h="16838" w:code="9"/>
          <w:pgMar w:top="1134" w:right="1134" w:bottom="1134" w:left="1134" w:header="567" w:footer="567" w:gutter="0"/>
          <w:cols w:num="2" w:space="708"/>
          <w:titlePg/>
          <w:docGrid w:linePitch="360"/>
        </w:sectPr>
      </w:pPr>
    </w:p>
    <w:p w:rsidR="00A941BD" w:rsidRDefault="00A941BD" w:rsidP="00A941BD">
      <w:pPr>
        <w:rPr>
          <w:szCs w:val="22"/>
          <w:lang w:eastAsia="en-US"/>
        </w:rPr>
      </w:pPr>
      <w:r>
        <w:rPr>
          <w:szCs w:val="22"/>
          <w:lang w:eastAsia="en-US"/>
        </w:rPr>
        <w:t xml:space="preserve">Source: </w:t>
      </w:r>
      <w:r w:rsidR="0029262D">
        <w:rPr>
          <w:szCs w:val="22"/>
          <w:lang w:eastAsia="en-US"/>
        </w:rPr>
        <w:t>Günther and Fink 2011</w:t>
      </w:r>
      <w:r w:rsidR="00D24A3D">
        <w:rPr>
          <w:szCs w:val="22"/>
          <w:lang w:eastAsia="en-US"/>
        </w:rPr>
        <w:t xml:space="preserve">, </w:t>
      </w:r>
      <w:r w:rsidR="00266B97">
        <w:rPr>
          <w:szCs w:val="22"/>
          <w:lang w:eastAsia="en-US"/>
        </w:rPr>
        <w:t>Table 10</w:t>
      </w:r>
      <w:r w:rsidR="00A35EF2">
        <w:rPr>
          <w:rStyle w:val="EndnoteReference"/>
          <w:lang w:eastAsia="en-US"/>
        </w:rPr>
        <w:endnoteReference w:id="35"/>
      </w:r>
    </w:p>
    <w:p w:rsidR="00EA6204" w:rsidRDefault="00EA6204" w:rsidP="00A941BD">
      <w:pPr>
        <w:rPr>
          <w:szCs w:val="22"/>
          <w:lang w:eastAsia="en-US"/>
        </w:rPr>
      </w:pPr>
    </w:p>
    <w:p w:rsidR="00E06B7E" w:rsidRDefault="00EA6204" w:rsidP="00A941BD">
      <w:pPr>
        <w:rPr>
          <w:szCs w:val="22"/>
          <w:lang w:eastAsia="en-US"/>
        </w:rPr>
      </w:pPr>
      <w:r>
        <w:rPr>
          <w:szCs w:val="22"/>
          <w:lang w:eastAsia="en-US"/>
        </w:rPr>
        <w:t xml:space="preserve">Most of these benefits come in the form of externalities, however, </w:t>
      </w:r>
      <w:r w:rsidR="00FA4BD3">
        <w:rPr>
          <w:szCs w:val="22"/>
          <w:lang w:eastAsia="en-US"/>
        </w:rPr>
        <w:t xml:space="preserve">and realised over a longer time period, </w:t>
      </w:r>
      <w:r>
        <w:rPr>
          <w:szCs w:val="22"/>
          <w:lang w:eastAsia="en-US"/>
        </w:rPr>
        <w:t xml:space="preserve">so that they are not enjoyed by the investor, but by society and the economy in general. </w:t>
      </w:r>
      <w:r w:rsidR="0045389C">
        <w:rPr>
          <w:szCs w:val="22"/>
          <w:lang w:eastAsia="en-US"/>
        </w:rPr>
        <w:t xml:space="preserve"> </w:t>
      </w:r>
      <w:r>
        <w:rPr>
          <w:szCs w:val="22"/>
          <w:lang w:eastAsia="en-US"/>
        </w:rPr>
        <w:t xml:space="preserve">A </w:t>
      </w:r>
      <w:r w:rsidR="000343F1">
        <w:rPr>
          <w:szCs w:val="22"/>
          <w:lang w:eastAsia="en-US"/>
        </w:rPr>
        <w:t xml:space="preserve">2009 </w:t>
      </w:r>
      <w:r>
        <w:rPr>
          <w:szCs w:val="22"/>
          <w:lang w:eastAsia="en-US"/>
        </w:rPr>
        <w:t xml:space="preserve">private sector report </w:t>
      </w:r>
      <w:r w:rsidR="00435083">
        <w:rPr>
          <w:szCs w:val="22"/>
          <w:lang w:eastAsia="en-US"/>
        </w:rPr>
        <w:t xml:space="preserve">on global water economics </w:t>
      </w:r>
      <w:r w:rsidR="003710D6">
        <w:rPr>
          <w:szCs w:val="22"/>
          <w:lang w:eastAsia="en-US"/>
        </w:rPr>
        <w:t xml:space="preserve">by McKinsey </w:t>
      </w:r>
      <w:r>
        <w:rPr>
          <w:szCs w:val="22"/>
          <w:lang w:eastAsia="en-US"/>
        </w:rPr>
        <w:t xml:space="preserve">analyses </w:t>
      </w:r>
      <w:r w:rsidR="000343F1">
        <w:rPr>
          <w:szCs w:val="22"/>
          <w:lang w:eastAsia="en-US"/>
        </w:rPr>
        <w:t>investment r</w:t>
      </w:r>
      <w:r w:rsidR="009B0340">
        <w:rPr>
          <w:szCs w:val="22"/>
          <w:lang w:eastAsia="en-US"/>
        </w:rPr>
        <w:t xml:space="preserve">equirements in the water sector, </w:t>
      </w:r>
      <w:r w:rsidR="000343F1">
        <w:rPr>
          <w:szCs w:val="22"/>
          <w:lang w:eastAsia="en-US"/>
        </w:rPr>
        <w:t xml:space="preserve">and identifies agricultural schemes and industrial efficiency schemes as areas where there may be sufficient short-term returns for private investment. Water supply to households is in a different category: </w:t>
      </w:r>
    </w:p>
    <w:p w:rsidR="00EA6204" w:rsidRDefault="000343F1" w:rsidP="00A941BD">
      <w:pPr>
        <w:rPr>
          <w:szCs w:val="22"/>
          <w:lang w:eastAsia="en-US"/>
        </w:rPr>
      </w:pPr>
      <w:r>
        <w:rPr>
          <w:szCs w:val="22"/>
          <w:lang w:eastAsia="en-US"/>
        </w:rPr>
        <w:t xml:space="preserve"> </w:t>
      </w:r>
    </w:p>
    <w:p w:rsidR="00EA6204" w:rsidRDefault="00EA6204" w:rsidP="000343F1">
      <w:pPr>
        <w:ind w:left="720"/>
        <w:rPr>
          <w:szCs w:val="22"/>
          <w:lang w:eastAsia="en-US"/>
        </w:rPr>
      </w:pPr>
      <w:r>
        <w:rPr>
          <w:szCs w:val="22"/>
          <w:lang w:eastAsia="en-US"/>
        </w:rPr>
        <w:t>“…</w:t>
      </w:r>
      <w:r w:rsidRPr="00EA6204">
        <w:rPr>
          <w:szCs w:val="22"/>
          <w:lang w:eastAsia="en-US"/>
        </w:rPr>
        <w:t>in many cases the measures with long payback periods—many of them</w:t>
      </w:r>
      <w:r>
        <w:rPr>
          <w:szCs w:val="22"/>
          <w:lang w:eastAsia="en-US"/>
        </w:rPr>
        <w:t xml:space="preserve"> </w:t>
      </w:r>
      <w:r w:rsidRPr="00EA6204">
        <w:rPr>
          <w:szCs w:val="22"/>
          <w:lang w:eastAsia="en-US"/>
        </w:rPr>
        <w:t>supply infrastructure—are also the most capital intensive ones. This likely indicates that those</w:t>
      </w:r>
      <w:r>
        <w:rPr>
          <w:szCs w:val="22"/>
          <w:lang w:eastAsia="en-US"/>
        </w:rPr>
        <w:t xml:space="preserve"> </w:t>
      </w:r>
      <w:r w:rsidRPr="00EA6204">
        <w:rPr>
          <w:szCs w:val="22"/>
          <w:lang w:eastAsia="en-US"/>
        </w:rPr>
        <w:t>measures will not attract private sector capital, requiring the financial burden to fall fully on the</w:t>
      </w:r>
      <w:r>
        <w:rPr>
          <w:szCs w:val="22"/>
          <w:lang w:eastAsia="en-US"/>
        </w:rPr>
        <w:t xml:space="preserve"> </w:t>
      </w:r>
      <w:r w:rsidRPr="00EA6204">
        <w:rPr>
          <w:szCs w:val="22"/>
          <w:lang w:eastAsia="en-US"/>
        </w:rPr>
        <w:t>public sector</w:t>
      </w:r>
      <w:r w:rsidR="0045389C">
        <w:rPr>
          <w:szCs w:val="22"/>
          <w:lang w:eastAsia="en-US"/>
        </w:rPr>
        <w:t>”.</w:t>
      </w:r>
      <w:r>
        <w:rPr>
          <w:rStyle w:val="EndnoteReference"/>
          <w:szCs w:val="22"/>
          <w:lang w:eastAsia="en-US"/>
        </w:rPr>
        <w:endnoteReference w:id="36"/>
      </w:r>
    </w:p>
    <w:p w:rsidR="00FA4BD3" w:rsidRDefault="00FA4BD3" w:rsidP="00EA6204">
      <w:pPr>
        <w:rPr>
          <w:szCs w:val="22"/>
          <w:lang w:eastAsia="en-US"/>
        </w:rPr>
      </w:pPr>
    </w:p>
    <w:p w:rsidR="000343F1" w:rsidRDefault="00FA4BD3" w:rsidP="00161EB7">
      <w:pPr>
        <w:rPr>
          <w:lang w:eastAsia="en-US"/>
        </w:rPr>
      </w:pPr>
      <w:r>
        <w:rPr>
          <w:szCs w:val="22"/>
          <w:lang w:eastAsia="en-US"/>
        </w:rPr>
        <w:t xml:space="preserve">Some </w:t>
      </w:r>
      <w:r w:rsidR="0085053C">
        <w:rPr>
          <w:szCs w:val="22"/>
          <w:lang w:eastAsia="en-US"/>
        </w:rPr>
        <w:t>commercial</w:t>
      </w:r>
      <w:r>
        <w:rPr>
          <w:szCs w:val="22"/>
          <w:lang w:eastAsia="en-US"/>
        </w:rPr>
        <w:t xml:space="preserve"> investment and activities may </w:t>
      </w:r>
      <w:r w:rsidR="0085053C">
        <w:rPr>
          <w:szCs w:val="22"/>
          <w:lang w:eastAsia="en-US"/>
        </w:rPr>
        <w:t xml:space="preserve">also </w:t>
      </w:r>
      <w:r w:rsidR="006350F9">
        <w:rPr>
          <w:szCs w:val="22"/>
          <w:lang w:eastAsia="en-US"/>
        </w:rPr>
        <w:t>have detrimental effects</w:t>
      </w:r>
      <w:r w:rsidR="0085053C">
        <w:rPr>
          <w:szCs w:val="22"/>
          <w:lang w:eastAsia="en-US"/>
        </w:rPr>
        <w:t xml:space="preserve"> on overall welfare</w:t>
      </w:r>
      <w:r w:rsidR="006350F9">
        <w:rPr>
          <w:szCs w:val="22"/>
          <w:lang w:eastAsia="en-US"/>
        </w:rPr>
        <w:t>. For example, manufacturers of commercial drinks may invest in promotions which effectively encourage the purchase of sweetened drinks rather than plain water and thus have a dam</w:t>
      </w:r>
      <w:r w:rsidR="006D0A61">
        <w:rPr>
          <w:szCs w:val="22"/>
          <w:lang w:eastAsia="en-US"/>
        </w:rPr>
        <w:t>a</w:t>
      </w:r>
      <w:r w:rsidR="006350F9">
        <w:rPr>
          <w:szCs w:val="22"/>
          <w:lang w:eastAsia="en-US"/>
        </w:rPr>
        <w:t xml:space="preserve">ging effect on public health. Coca-Cola has been reprimanded for this in the UK, where it showed a television advertisement with the slogan ‘for people who don’t like water’. </w:t>
      </w:r>
      <w:r w:rsidR="0045389C">
        <w:rPr>
          <w:szCs w:val="22"/>
          <w:lang w:eastAsia="en-US"/>
        </w:rPr>
        <w:t xml:space="preserve"> </w:t>
      </w:r>
      <w:r w:rsidR="006350F9">
        <w:rPr>
          <w:szCs w:val="22"/>
          <w:lang w:eastAsia="en-US"/>
        </w:rPr>
        <w:t>The advertising standards authority upheld complaints: “</w:t>
      </w:r>
      <w:r w:rsidR="006350F9" w:rsidRPr="006350F9">
        <w:rPr>
          <w:szCs w:val="22"/>
          <w:lang w:eastAsia="en-US"/>
        </w:rPr>
        <w:t>the overriding theme of the ad was the characters rejection of water</w:t>
      </w:r>
      <w:r w:rsidR="006350F9">
        <w:rPr>
          <w:szCs w:val="22"/>
          <w:lang w:eastAsia="en-US"/>
        </w:rPr>
        <w:t>…</w:t>
      </w:r>
      <w:r w:rsidR="006350F9" w:rsidRPr="006350F9">
        <w:rPr>
          <w:szCs w:val="22"/>
          <w:lang w:eastAsia="en-US"/>
        </w:rPr>
        <w:t xml:space="preserve"> we concluded that the ad was irresponsible and could discourage good dietary practice</w:t>
      </w:r>
      <w:r w:rsidR="006350F9">
        <w:rPr>
          <w:szCs w:val="22"/>
          <w:lang w:eastAsia="en-US"/>
        </w:rPr>
        <w:t>”.</w:t>
      </w:r>
      <w:r w:rsidR="006350F9">
        <w:rPr>
          <w:rStyle w:val="EndnoteReference"/>
          <w:szCs w:val="22"/>
          <w:lang w:eastAsia="en-US"/>
        </w:rPr>
        <w:endnoteReference w:id="37"/>
      </w:r>
      <w:r w:rsidR="006350F9">
        <w:rPr>
          <w:szCs w:val="22"/>
          <w:lang w:eastAsia="en-US"/>
        </w:rPr>
        <w:t xml:space="preserve">  </w:t>
      </w:r>
      <w:r w:rsidR="0085053C">
        <w:rPr>
          <w:szCs w:val="22"/>
          <w:lang w:eastAsia="en-US"/>
        </w:rPr>
        <w:t xml:space="preserve">Commercial bottled water is an economically inefficient and environmentally harmful way of distributing water. </w:t>
      </w:r>
      <w:r w:rsidR="0045389C">
        <w:rPr>
          <w:szCs w:val="22"/>
          <w:lang w:eastAsia="en-US"/>
        </w:rPr>
        <w:t xml:space="preserve"> </w:t>
      </w:r>
      <w:r w:rsidR="0085053C">
        <w:rPr>
          <w:szCs w:val="22"/>
          <w:lang w:eastAsia="en-US"/>
        </w:rPr>
        <w:t>The inefficient form of transport makes it far more expensive per litre to consumers, as well as generating plastic waste and consuming large amounts of energy in its production. In a number of cities, including Paris, public authorities are actively trying to discourage the use of bottled water, even to the point of experimenting with providing sparkling water through public drinking fountains.</w:t>
      </w:r>
      <w:r w:rsidR="0085053C">
        <w:rPr>
          <w:rStyle w:val="EndnoteReference"/>
          <w:szCs w:val="22"/>
          <w:lang w:eastAsia="en-US"/>
        </w:rPr>
        <w:endnoteReference w:id="38"/>
      </w:r>
      <w:r w:rsidR="00F57FAF">
        <w:rPr>
          <w:szCs w:val="22"/>
          <w:lang w:eastAsia="en-US"/>
        </w:rPr>
        <w:t xml:space="preserve"> </w:t>
      </w:r>
      <w:r w:rsidR="0045389C">
        <w:rPr>
          <w:szCs w:val="22"/>
          <w:lang w:eastAsia="en-US"/>
        </w:rPr>
        <w:t xml:space="preserve"> </w:t>
      </w:r>
      <w:r w:rsidR="00F57FAF">
        <w:rPr>
          <w:szCs w:val="22"/>
          <w:lang w:eastAsia="en-US"/>
        </w:rPr>
        <w:t xml:space="preserve">Consumers can thus have more to spend on other products. </w:t>
      </w:r>
    </w:p>
    <w:p w:rsidR="001B6713" w:rsidRDefault="001B6713" w:rsidP="001B6713">
      <w:pPr>
        <w:pStyle w:val="Heading2"/>
      </w:pPr>
      <w:bookmarkStart w:id="28" w:name="_Toc318886710"/>
      <w:r>
        <w:t>Affordable economic resources</w:t>
      </w:r>
      <w:bookmarkEnd w:id="28"/>
    </w:p>
    <w:p w:rsidR="006D0A61" w:rsidRDefault="00CC04D2" w:rsidP="00E06B7E">
      <w:r>
        <w:rPr>
          <w:lang w:eastAsia="en-US"/>
        </w:rPr>
        <w:t xml:space="preserve">The next level of affordability is to assess what the implications are in terms of </w:t>
      </w:r>
      <w:r w:rsidR="00A941BD" w:rsidRPr="00A941BD">
        <w:t xml:space="preserve">the </w:t>
      </w:r>
      <w:r w:rsidR="00CC2195">
        <w:t xml:space="preserve">resources available </w:t>
      </w:r>
      <w:r w:rsidR="007A549D">
        <w:t xml:space="preserve">in the whole economy, usually measured by GDP. </w:t>
      </w:r>
      <w:r>
        <w:t xml:space="preserve">This is a constraint, which at the extreme </w:t>
      </w:r>
      <w:r w:rsidR="00240D84">
        <w:t xml:space="preserve">means that </w:t>
      </w:r>
      <w:r>
        <w:t>programmes of investment</w:t>
      </w:r>
      <w:r w:rsidR="00240D84" w:rsidRPr="00240D84">
        <w:t xml:space="preserve"> </w:t>
      </w:r>
      <w:r w:rsidR="00240D84">
        <w:t>whose annual costs exceed 100% of GDP cannot be carried out</w:t>
      </w:r>
      <w:r>
        <w:t xml:space="preserve">, </w:t>
      </w:r>
      <w:r w:rsidR="00240D84">
        <w:t xml:space="preserve">whatever the cost-benefit ratios.  The real constraints are far below this point, but for poor countries the constraints are worse, because a given investment programme represents a larger share of GDP. </w:t>
      </w:r>
      <w:r w:rsidR="007A549D">
        <w:t xml:space="preserve">So the next step is to </w:t>
      </w:r>
      <w:r w:rsidR="003F744E">
        <w:t>calculate what</w:t>
      </w:r>
      <w:r w:rsidR="007A549D">
        <w:t xml:space="preserve"> the costs </w:t>
      </w:r>
      <w:r w:rsidR="00240D84">
        <w:t>are as a</w:t>
      </w:r>
      <w:r w:rsidR="007A549D">
        <w:t xml:space="preserve"> </w:t>
      </w:r>
      <w:r w:rsidR="00CC2195">
        <w:t>proportion of GDP</w:t>
      </w:r>
      <w:r w:rsidR="00240D84">
        <w:t xml:space="preserve">. It does not matter, for these purposes, whether the necessary investment is financed by consumer spending, government spending or corporate spending (or even aid) – all of this is part of GDP. </w:t>
      </w:r>
      <w:r w:rsidR="00E06B7E">
        <w:t xml:space="preserve"> </w:t>
      </w:r>
      <w:r w:rsidR="006D0A61">
        <w:t xml:space="preserve">This issue is important, because the majority </w:t>
      </w:r>
      <w:r w:rsidR="003F744E">
        <w:t>of official</w:t>
      </w:r>
      <w:r w:rsidR="006D0A61">
        <w:t xml:space="preserve"> and donor publications on water assert or </w:t>
      </w:r>
      <w:r w:rsidR="003F744E">
        <w:t>assume that</w:t>
      </w:r>
      <w:r w:rsidR="006D0A61">
        <w:t xml:space="preserve"> the level of investment – especially in household water and sewerage connections – is unaffordable. </w:t>
      </w:r>
      <w:r w:rsidR="006D0A61" w:rsidRPr="006D0A61">
        <w:t>The</w:t>
      </w:r>
      <w:r w:rsidR="006E2D67">
        <w:t xml:space="preserve"> UN’s World Water Development Report</w:t>
      </w:r>
      <w:r w:rsidR="003E1F56">
        <w:t xml:space="preserve"> (WWDR) </w:t>
      </w:r>
      <w:r w:rsidR="006D0A61">
        <w:t>i</w:t>
      </w:r>
      <w:r w:rsidR="006D0A61" w:rsidRPr="006D0A61">
        <w:t>s typical. It argues that the option of full household connections to sewers and water supply cannot and will not be financed</w:t>
      </w:r>
      <w:r w:rsidR="006D0A61">
        <w:t xml:space="preserve">, because </w:t>
      </w:r>
      <w:r w:rsidR="006D0A61" w:rsidRPr="006D0A61">
        <w:t>the cost of achieving these gains is “above income levels in developing countries”</w:t>
      </w:r>
      <w:r w:rsidR="003E1F56" w:rsidRPr="003E1F56">
        <w:t xml:space="preserve"> </w:t>
      </w:r>
      <w:r w:rsidR="003E1F56">
        <w:t xml:space="preserve">(UN </w:t>
      </w:r>
      <w:r w:rsidR="003E1F56" w:rsidRPr="006D0A61">
        <w:t>WWDR</w:t>
      </w:r>
      <w:r w:rsidR="0086015F">
        <w:t xml:space="preserve"> </w:t>
      </w:r>
      <w:r w:rsidR="003E1F56">
        <w:t>2006 p.419)</w:t>
      </w:r>
      <w:r w:rsidR="006D0A61" w:rsidRPr="006D0A61">
        <w:t>.</w:t>
      </w:r>
      <w:r w:rsidR="006D0A61" w:rsidRPr="006D0A61">
        <w:rPr>
          <w:vertAlign w:val="superscript"/>
        </w:rPr>
        <w:endnoteReference w:id="39"/>
      </w:r>
    </w:p>
    <w:p w:rsidR="004C1151" w:rsidRDefault="004C1151" w:rsidP="00161EB7"/>
    <w:p w:rsidR="008471CC" w:rsidRDefault="00CC2195" w:rsidP="00E57B30">
      <w:r>
        <w:t>The table</w:t>
      </w:r>
      <w:r w:rsidR="00E57B30">
        <w:t>s</w:t>
      </w:r>
      <w:r>
        <w:t xml:space="preserve"> below shows two</w:t>
      </w:r>
      <w:r w:rsidR="00240D84">
        <w:t xml:space="preserve"> recent</w:t>
      </w:r>
      <w:r>
        <w:t xml:space="preserve"> sets of estimates for the costs of water and sanitation investments. </w:t>
      </w:r>
      <w:r w:rsidR="00E57B30">
        <w:t xml:space="preserve">The first was part of an OECD project estimating investment needs </w:t>
      </w:r>
      <w:r w:rsidR="00097BDC">
        <w:t xml:space="preserve">in </w:t>
      </w:r>
      <w:r w:rsidR="008471CC">
        <w:t>infrastructure</w:t>
      </w:r>
      <w:r w:rsidR="00097BDC">
        <w:t xml:space="preserve"> sectors, </w:t>
      </w:r>
      <w:r w:rsidR="00B42DFD">
        <w:t xml:space="preserve">based on collecting </w:t>
      </w:r>
      <w:r w:rsidR="008471CC">
        <w:t xml:space="preserve">a range of </w:t>
      </w:r>
      <w:r w:rsidR="00B42DFD">
        <w:t>country level estimates of actual</w:t>
      </w:r>
      <w:r w:rsidR="000E0EF7">
        <w:t xml:space="preserve"> </w:t>
      </w:r>
      <w:r w:rsidR="00B42DFD">
        <w:t>investments</w:t>
      </w:r>
      <w:r w:rsidR="00116D05">
        <w:t>.</w:t>
      </w:r>
      <w:r w:rsidR="008471CC">
        <w:rPr>
          <w:rStyle w:val="EndnoteReference"/>
        </w:rPr>
        <w:endnoteReference w:id="40"/>
      </w:r>
      <w:r w:rsidR="00B42DFD">
        <w:t xml:space="preserve"> </w:t>
      </w:r>
      <w:r w:rsidR="00116D05">
        <w:t xml:space="preserve"> </w:t>
      </w:r>
      <w:r w:rsidR="00B42DFD">
        <w:t>The second was a PSIRU report on sewerage, examining the costs, benefits and affordability of household connections to sewerage systems.</w:t>
      </w:r>
      <w:r w:rsidR="007B45CD">
        <w:rPr>
          <w:rStyle w:val="EndnoteReference"/>
        </w:rPr>
        <w:endnoteReference w:id="41"/>
      </w:r>
      <w:r w:rsidR="00B42DFD">
        <w:t xml:space="preserve"> </w:t>
      </w:r>
      <w:r w:rsidR="00097BDC">
        <w:t>T</w:t>
      </w:r>
      <w:r w:rsidR="00E57B30">
        <w:t>he OECD was mainly concerned with the “</w:t>
      </w:r>
      <w:r w:rsidR="00E57B30" w:rsidRPr="00E57B30">
        <w:t>enormous implications in terms of the ability of service</w:t>
      </w:r>
      <w:r w:rsidR="00097BDC">
        <w:t xml:space="preserve"> </w:t>
      </w:r>
      <w:r w:rsidR="00E57B30" w:rsidRPr="00E57B30">
        <w:t>providers for their business models and in raising the necessary finances</w:t>
      </w:r>
      <w:r w:rsidR="00E57B30">
        <w:t>”</w:t>
      </w:r>
      <w:r w:rsidR="00097BDC">
        <w:t xml:space="preserve">, while the PSIRU paper was focussed on the </w:t>
      </w:r>
      <w:r w:rsidR="000E0EF7">
        <w:t xml:space="preserve">macro-economic </w:t>
      </w:r>
      <w:r w:rsidR="00097BDC">
        <w:t>feasibility of financing household connections</w:t>
      </w:r>
      <w:r w:rsidR="008471CC">
        <w:t xml:space="preserve"> over a 10 year programme for all developing countries, based on household connections required, WHO cost estimates, and actual GDP.  </w:t>
      </w:r>
    </w:p>
    <w:p w:rsidR="008471CC" w:rsidRDefault="008471CC" w:rsidP="00E57B30"/>
    <w:p w:rsidR="00CC2195" w:rsidRDefault="008471CC" w:rsidP="00161EB7">
      <w:r>
        <w:t xml:space="preserve">Both studies arrived at similar estimates of the proportion of GDP required. They are very close </w:t>
      </w:r>
      <w:r w:rsidR="003F744E">
        <w:t>for low</w:t>
      </w:r>
      <w:r>
        <w:t xml:space="preserve"> income countries, where the OECD range is between 0.71% and 6.30% of GDP, </w:t>
      </w:r>
      <w:r w:rsidR="003F744E">
        <w:t>and the</w:t>
      </w:r>
      <w:r>
        <w:t xml:space="preserve"> PSIRU estimates range from 0.64% to 6.29%. For middle income countries </w:t>
      </w:r>
      <w:r w:rsidR="00481F94">
        <w:t>the PSIRU range is lower: 0.11% to 0.89%, compared with the OECD range of 0.54% to 2.60%</w:t>
      </w:r>
      <w:r w:rsidR="003F744E">
        <w:t xml:space="preserve"> (Table </w:t>
      </w:r>
      <w:r w:rsidR="003E1F56">
        <w:t>8</w:t>
      </w:r>
      <w:r w:rsidR="003F744E">
        <w:t>)</w:t>
      </w:r>
      <w:r w:rsidR="00481F94">
        <w:t xml:space="preserve">. </w:t>
      </w:r>
    </w:p>
    <w:p w:rsidR="009024C6" w:rsidRDefault="009024C6" w:rsidP="00161EB7"/>
    <w:p w:rsidR="009024C6" w:rsidRDefault="009024C6" w:rsidP="00161EB7">
      <w:r>
        <w:t>The PSIRU estimates provide specific figures at country level, covering the great majority of developing countries. The second table shows the estimated costs for full household connections in countries containing nearly 90% of the population identified by the MDGs, if developed rapidly in a 10-year programme.  The costs are less than 1% of GDP per annum for 13 of these countries; and less than 0.5% in 8 of these</w:t>
      </w:r>
      <w:r w:rsidR="003F744E">
        <w:t xml:space="preserve"> (Table </w:t>
      </w:r>
      <w:r w:rsidR="003E1F56">
        <w:t>9</w:t>
      </w:r>
      <w:r w:rsidR="003F744E">
        <w:t>)</w:t>
      </w:r>
      <w:r>
        <w:t xml:space="preserve">. In only two countries – DR Congo and Ethiopia – do the costs exceed 1.5% of GDP. </w:t>
      </w:r>
    </w:p>
    <w:p w:rsidR="00A941BD" w:rsidRDefault="00E57B30" w:rsidP="00E57B30">
      <w:pPr>
        <w:pStyle w:val="Heading7"/>
      </w:pPr>
      <w:bookmarkStart w:id="29" w:name="_Toc318886711"/>
      <w:r>
        <w:t>Required levels of spending on water infrastructure</w:t>
      </w:r>
      <w:r w:rsidR="00481F94">
        <w:t>, % of GDP</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1701"/>
      </w:tblGrid>
      <w:tr w:rsidR="00481F94" w:rsidRPr="00F04A15" w:rsidTr="004234DD">
        <w:tc>
          <w:tcPr>
            <w:tcW w:w="2660" w:type="dxa"/>
            <w:shd w:val="clear" w:color="auto" w:fill="auto"/>
          </w:tcPr>
          <w:p w:rsidR="00481F94" w:rsidRPr="00F04A15" w:rsidRDefault="00481F94" w:rsidP="00481F94">
            <w:pPr>
              <w:rPr>
                <w:sz w:val="20"/>
                <w:szCs w:val="20"/>
                <w:lang w:eastAsia="en-US"/>
              </w:rPr>
            </w:pPr>
          </w:p>
        </w:tc>
        <w:tc>
          <w:tcPr>
            <w:tcW w:w="1701" w:type="dxa"/>
            <w:shd w:val="clear" w:color="auto" w:fill="auto"/>
          </w:tcPr>
          <w:p w:rsidR="00481F94" w:rsidRPr="00F04A15" w:rsidRDefault="00481F94" w:rsidP="00481F94">
            <w:pPr>
              <w:rPr>
                <w:sz w:val="20"/>
                <w:szCs w:val="20"/>
                <w:lang w:eastAsia="en-US"/>
              </w:rPr>
            </w:pPr>
            <w:r w:rsidRPr="00F04A15">
              <w:rPr>
                <w:sz w:val="20"/>
                <w:szCs w:val="20"/>
                <w:lang w:eastAsia="en-US"/>
              </w:rPr>
              <w:t>OECD range</w:t>
            </w:r>
          </w:p>
        </w:tc>
        <w:tc>
          <w:tcPr>
            <w:tcW w:w="1701" w:type="dxa"/>
            <w:shd w:val="clear" w:color="auto" w:fill="auto"/>
          </w:tcPr>
          <w:p w:rsidR="00481F94" w:rsidRPr="00F04A15" w:rsidRDefault="00481F94" w:rsidP="00481F94">
            <w:pPr>
              <w:rPr>
                <w:sz w:val="20"/>
                <w:szCs w:val="20"/>
                <w:lang w:eastAsia="en-US"/>
              </w:rPr>
            </w:pPr>
            <w:r w:rsidRPr="00F04A15">
              <w:rPr>
                <w:sz w:val="20"/>
                <w:szCs w:val="20"/>
                <w:lang w:eastAsia="en-US"/>
              </w:rPr>
              <w:t>PSIRU range</w:t>
            </w:r>
          </w:p>
        </w:tc>
      </w:tr>
      <w:tr w:rsidR="007B45CD" w:rsidRPr="00F04A15" w:rsidTr="008242F8">
        <w:tc>
          <w:tcPr>
            <w:tcW w:w="2660" w:type="dxa"/>
            <w:shd w:val="clear" w:color="auto" w:fill="auto"/>
          </w:tcPr>
          <w:p w:rsidR="007B45CD" w:rsidRPr="00F04A15" w:rsidRDefault="007B45CD" w:rsidP="008242F8">
            <w:pPr>
              <w:rPr>
                <w:sz w:val="20"/>
                <w:szCs w:val="20"/>
                <w:lang w:eastAsia="en-US"/>
              </w:rPr>
            </w:pPr>
          </w:p>
        </w:tc>
        <w:tc>
          <w:tcPr>
            <w:tcW w:w="1701" w:type="dxa"/>
            <w:shd w:val="clear" w:color="auto" w:fill="auto"/>
          </w:tcPr>
          <w:p w:rsidR="007B45CD" w:rsidRPr="00F04A15" w:rsidRDefault="007B45CD" w:rsidP="008242F8">
            <w:pPr>
              <w:rPr>
                <w:sz w:val="20"/>
                <w:szCs w:val="20"/>
                <w:lang w:eastAsia="en-US"/>
              </w:rPr>
            </w:pPr>
          </w:p>
        </w:tc>
        <w:tc>
          <w:tcPr>
            <w:tcW w:w="1701" w:type="dxa"/>
            <w:shd w:val="clear" w:color="auto" w:fill="auto"/>
          </w:tcPr>
          <w:p w:rsidR="007B45CD" w:rsidRPr="00F04A15" w:rsidRDefault="007B45CD" w:rsidP="008242F8">
            <w:pPr>
              <w:rPr>
                <w:sz w:val="20"/>
                <w:szCs w:val="20"/>
                <w:lang w:eastAsia="en-US"/>
              </w:rPr>
            </w:pPr>
          </w:p>
        </w:tc>
      </w:tr>
      <w:tr w:rsidR="00481F94" w:rsidRPr="00F04A15" w:rsidTr="004234DD">
        <w:tc>
          <w:tcPr>
            <w:tcW w:w="2660" w:type="dxa"/>
            <w:shd w:val="clear" w:color="auto" w:fill="auto"/>
          </w:tcPr>
          <w:p w:rsidR="00481F94" w:rsidRPr="00F04A15" w:rsidRDefault="00481F94" w:rsidP="00481F94">
            <w:pPr>
              <w:rPr>
                <w:sz w:val="20"/>
                <w:szCs w:val="20"/>
                <w:lang w:eastAsia="en-US"/>
              </w:rPr>
            </w:pPr>
            <w:r w:rsidRPr="00F04A15">
              <w:rPr>
                <w:sz w:val="20"/>
                <w:szCs w:val="20"/>
                <w:lang w:eastAsia="en-US"/>
              </w:rPr>
              <w:t xml:space="preserve">Low income countries </w:t>
            </w:r>
          </w:p>
        </w:tc>
        <w:tc>
          <w:tcPr>
            <w:tcW w:w="1701" w:type="dxa"/>
            <w:shd w:val="clear" w:color="auto" w:fill="auto"/>
          </w:tcPr>
          <w:p w:rsidR="00481F94" w:rsidRPr="00F04A15" w:rsidRDefault="00481F94" w:rsidP="007B45CD">
            <w:pPr>
              <w:jc w:val="center"/>
              <w:rPr>
                <w:sz w:val="20"/>
                <w:szCs w:val="20"/>
                <w:lang w:eastAsia="en-US"/>
              </w:rPr>
            </w:pPr>
            <w:r w:rsidRPr="00F04A15">
              <w:rPr>
                <w:sz w:val="20"/>
                <w:szCs w:val="20"/>
                <w:lang w:eastAsia="en-US"/>
              </w:rPr>
              <w:t>0.71</w:t>
            </w:r>
            <w:r w:rsidR="007B45CD" w:rsidRPr="00F04A15">
              <w:rPr>
                <w:sz w:val="20"/>
                <w:szCs w:val="20"/>
                <w:lang w:eastAsia="en-US"/>
              </w:rPr>
              <w:t xml:space="preserve">% </w:t>
            </w:r>
            <w:r w:rsidRPr="00F04A15">
              <w:rPr>
                <w:sz w:val="20"/>
                <w:szCs w:val="20"/>
                <w:lang w:eastAsia="en-US"/>
              </w:rPr>
              <w:t>-</w:t>
            </w:r>
            <w:r w:rsidR="007B45CD" w:rsidRPr="00F04A15">
              <w:rPr>
                <w:sz w:val="20"/>
                <w:szCs w:val="20"/>
                <w:lang w:eastAsia="en-US"/>
              </w:rPr>
              <w:t xml:space="preserve"> </w:t>
            </w:r>
            <w:r w:rsidRPr="00F04A15">
              <w:rPr>
                <w:sz w:val="20"/>
                <w:szCs w:val="20"/>
                <w:lang w:eastAsia="en-US"/>
              </w:rPr>
              <w:t>6.30</w:t>
            </w:r>
            <w:r w:rsidR="007B45CD" w:rsidRPr="00F04A15">
              <w:rPr>
                <w:sz w:val="20"/>
                <w:szCs w:val="20"/>
                <w:lang w:eastAsia="en-US"/>
              </w:rPr>
              <w:t>%</w:t>
            </w:r>
          </w:p>
        </w:tc>
        <w:tc>
          <w:tcPr>
            <w:tcW w:w="1701" w:type="dxa"/>
            <w:shd w:val="clear" w:color="auto" w:fill="auto"/>
          </w:tcPr>
          <w:p w:rsidR="00481F94" w:rsidRPr="00F04A15" w:rsidRDefault="00481F94" w:rsidP="007B45CD">
            <w:pPr>
              <w:jc w:val="center"/>
              <w:rPr>
                <w:sz w:val="20"/>
                <w:szCs w:val="20"/>
                <w:lang w:eastAsia="en-US"/>
              </w:rPr>
            </w:pPr>
            <w:r w:rsidRPr="00F04A15">
              <w:rPr>
                <w:sz w:val="20"/>
                <w:szCs w:val="20"/>
                <w:lang w:eastAsia="en-US"/>
              </w:rPr>
              <w:t>0.64</w:t>
            </w:r>
            <w:r w:rsidR="007B45CD" w:rsidRPr="00F04A15">
              <w:rPr>
                <w:sz w:val="20"/>
                <w:szCs w:val="20"/>
                <w:lang w:eastAsia="en-US"/>
              </w:rPr>
              <w:t xml:space="preserve">% </w:t>
            </w:r>
            <w:r w:rsidRPr="00F04A15">
              <w:rPr>
                <w:sz w:val="20"/>
                <w:szCs w:val="20"/>
                <w:lang w:eastAsia="en-US"/>
              </w:rPr>
              <w:t>-</w:t>
            </w:r>
            <w:r w:rsidR="007B45CD" w:rsidRPr="00F04A15">
              <w:rPr>
                <w:sz w:val="20"/>
                <w:szCs w:val="20"/>
                <w:lang w:eastAsia="en-US"/>
              </w:rPr>
              <w:t xml:space="preserve"> </w:t>
            </w:r>
            <w:r w:rsidRPr="00F04A15">
              <w:rPr>
                <w:sz w:val="20"/>
                <w:szCs w:val="20"/>
                <w:lang w:eastAsia="en-US"/>
              </w:rPr>
              <w:t>6.29</w:t>
            </w:r>
            <w:r w:rsidR="007B45CD" w:rsidRPr="00F04A15">
              <w:rPr>
                <w:sz w:val="20"/>
                <w:szCs w:val="20"/>
                <w:lang w:eastAsia="en-US"/>
              </w:rPr>
              <w:t>%</w:t>
            </w:r>
          </w:p>
        </w:tc>
      </w:tr>
      <w:tr w:rsidR="00481F94" w:rsidRPr="00F04A15" w:rsidTr="004234DD">
        <w:tc>
          <w:tcPr>
            <w:tcW w:w="2660" w:type="dxa"/>
            <w:shd w:val="clear" w:color="auto" w:fill="auto"/>
          </w:tcPr>
          <w:p w:rsidR="00481F94" w:rsidRPr="00F04A15" w:rsidRDefault="00481F94" w:rsidP="00481F94">
            <w:pPr>
              <w:rPr>
                <w:sz w:val="20"/>
                <w:szCs w:val="20"/>
                <w:lang w:eastAsia="en-US"/>
              </w:rPr>
            </w:pPr>
            <w:r w:rsidRPr="00F04A15">
              <w:rPr>
                <w:sz w:val="20"/>
                <w:szCs w:val="20"/>
                <w:lang w:eastAsia="en-US"/>
              </w:rPr>
              <w:t>Middle income countries</w:t>
            </w:r>
          </w:p>
        </w:tc>
        <w:tc>
          <w:tcPr>
            <w:tcW w:w="1701" w:type="dxa"/>
            <w:shd w:val="clear" w:color="auto" w:fill="auto"/>
          </w:tcPr>
          <w:p w:rsidR="00481F94" w:rsidRPr="00F04A15" w:rsidRDefault="00481F94" w:rsidP="007B45CD">
            <w:pPr>
              <w:jc w:val="center"/>
              <w:rPr>
                <w:sz w:val="20"/>
                <w:szCs w:val="20"/>
                <w:lang w:eastAsia="en-US"/>
              </w:rPr>
            </w:pPr>
            <w:r w:rsidRPr="00F04A15">
              <w:rPr>
                <w:sz w:val="20"/>
                <w:szCs w:val="20"/>
                <w:lang w:eastAsia="en-US"/>
              </w:rPr>
              <w:t>0.54</w:t>
            </w:r>
            <w:r w:rsidR="007B45CD" w:rsidRPr="00F04A15">
              <w:rPr>
                <w:sz w:val="20"/>
                <w:szCs w:val="20"/>
                <w:lang w:eastAsia="en-US"/>
              </w:rPr>
              <w:t xml:space="preserve">% </w:t>
            </w:r>
            <w:r w:rsidRPr="00F04A15">
              <w:rPr>
                <w:sz w:val="20"/>
                <w:szCs w:val="20"/>
                <w:lang w:eastAsia="en-US"/>
              </w:rPr>
              <w:t>-</w:t>
            </w:r>
            <w:r w:rsidR="007B45CD" w:rsidRPr="00F04A15">
              <w:rPr>
                <w:sz w:val="20"/>
                <w:szCs w:val="20"/>
                <w:lang w:eastAsia="en-US"/>
              </w:rPr>
              <w:t xml:space="preserve"> </w:t>
            </w:r>
            <w:r w:rsidRPr="00F04A15">
              <w:rPr>
                <w:sz w:val="20"/>
                <w:szCs w:val="20"/>
                <w:lang w:eastAsia="en-US"/>
              </w:rPr>
              <w:t>2.60</w:t>
            </w:r>
            <w:r w:rsidR="007B45CD" w:rsidRPr="00F04A15">
              <w:rPr>
                <w:sz w:val="20"/>
                <w:szCs w:val="20"/>
                <w:lang w:eastAsia="en-US"/>
              </w:rPr>
              <w:t>%</w:t>
            </w:r>
          </w:p>
        </w:tc>
        <w:tc>
          <w:tcPr>
            <w:tcW w:w="1701" w:type="dxa"/>
            <w:shd w:val="clear" w:color="auto" w:fill="auto"/>
          </w:tcPr>
          <w:p w:rsidR="00481F94" w:rsidRPr="00F04A15" w:rsidRDefault="00481F94" w:rsidP="007B45CD">
            <w:pPr>
              <w:jc w:val="center"/>
              <w:rPr>
                <w:sz w:val="20"/>
                <w:szCs w:val="20"/>
                <w:lang w:eastAsia="en-US"/>
              </w:rPr>
            </w:pPr>
            <w:r w:rsidRPr="00F04A15">
              <w:rPr>
                <w:sz w:val="20"/>
                <w:szCs w:val="20"/>
                <w:lang w:eastAsia="en-US"/>
              </w:rPr>
              <w:t>0.11</w:t>
            </w:r>
            <w:r w:rsidR="007B45CD" w:rsidRPr="00F04A15">
              <w:rPr>
                <w:sz w:val="20"/>
                <w:szCs w:val="20"/>
                <w:lang w:eastAsia="en-US"/>
              </w:rPr>
              <w:t xml:space="preserve">% </w:t>
            </w:r>
            <w:r w:rsidRPr="00F04A15">
              <w:rPr>
                <w:sz w:val="20"/>
                <w:szCs w:val="20"/>
                <w:lang w:eastAsia="en-US"/>
              </w:rPr>
              <w:t>-</w:t>
            </w:r>
            <w:r w:rsidR="007B45CD" w:rsidRPr="00F04A15">
              <w:rPr>
                <w:sz w:val="20"/>
                <w:szCs w:val="20"/>
                <w:lang w:eastAsia="en-US"/>
              </w:rPr>
              <w:t xml:space="preserve"> </w:t>
            </w:r>
            <w:r w:rsidRPr="00F04A15">
              <w:rPr>
                <w:sz w:val="20"/>
                <w:szCs w:val="20"/>
                <w:lang w:eastAsia="en-US"/>
              </w:rPr>
              <w:t>0.89</w:t>
            </w:r>
            <w:r w:rsidR="007B45CD" w:rsidRPr="00F04A15">
              <w:rPr>
                <w:sz w:val="20"/>
                <w:szCs w:val="20"/>
                <w:lang w:eastAsia="en-US"/>
              </w:rPr>
              <w:t>%</w:t>
            </w:r>
          </w:p>
        </w:tc>
      </w:tr>
      <w:tr w:rsidR="00481F94" w:rsidRPr="00F04A15" w:rsidTr="004234DD">
        <w:tc>
          <w:tcPr>
            <w:tcW w:w="2660" w:type="dxa"/>
            <w:shd w:val="clear" w:color="auto" w:fill="auto"/>
          </w:tcPr>
          <w:p w:rsidR="00481F94" w:rsidRPr="00F04A15" w:rsidRDefault="00817637" w:rsidP="00481F94">
            <w:pPr>
              <w:rPr>
                <w:sz w:val="20"/>
                <w:szCs w:val="20"/>
                <w:lang w:eastAsia="en-US"/>
              </w:rPr>
            </w:pPr>
            <w:r w:rsidRPr="00F04A15">
              <w:rPr>
                <w:sz w:val="20"/>
                <w:szCs w:val="20"/>
                <w:lang w:eastAsia="en-US"/>
              </w:rPr>
              <w:t>High income countries</w:t>
            </w:r>
          </w:p>
        </w:tc>
        <w:tc>
          <w:tcPr>
            <w:tcW w:w="1701" w:type="dxa"/>
            <w:shd w:val="clear" w:color="auto" w:fill="auto"/>
          </w:tcPr>
          <w:p w:rsidR="00481F94" w:rsidRPr="00F04A15" w:rsidRDefault="00817637" w:rsidP="000E0EF7">
            <w:pPr>
              <w:jc w:val="center"/>
              <w:rPr>
                <w:sz w:val="20"/>
                <w:szCs w:val="20"/>
                <w:lang w:eastAsia="en-US"/>
              </w:rPr>
            </w:pPr>
            <w:r w:rsidRPr="00F04A15">
              <w:rPr>
                <w:sz w:val="20"/>
                <w:szCs w:val="20"/>
                <w:lang w:eastAsia="en-US"/>
              </w:rPr>
              <w:t>0.35% - 1.20%</w:t>
            </w:r>
          </w:p>
        </w:tc>
        <w:tc>
          <w:tcPr>
            <w:tcW w:w="1701" w:type="dxa"/>
            <w:shd w:val="clear" w:color="auto" w:fill="auto"/>
          </w:tcPr>
          <w:p w:rsidR="00481F94" w:rsidRPr="00F04A15" w:rsidRDefault="00817637" w:rsidP="00817637">
            <w:pPr>
              <w:jc w:val="center"/>
              <w:rPr>
                <w:sz w:val="20"/>
                <w:szCs w:val="20"/>
                <w:lang w:eastAsia="en-US"/>
              </w:rPr>
            </w:pPr>
            <w:r w:rsidRPr="00F04A15">
              <w:rPr>
                <w:sz w:val="20"/>
                <w:szCs w:val="20"/>
                <w:lang w:eastAsia="en-US"/>
              </w:rPr>
              <w:t>-</w:t>
            </w:r>
          </w:p>
        </w:tc>
      </w:tr>
    </w:tbl>
    <w:p w:rsidR="00D1048B" w:rsidRDefault="00817637" w:rsidP="00161EB7">
      <w:pPr>
        <w:rPr>
          <w:sz w:val="20"/>
          <w:szCs w:val="20"/>
          <w:lang w:eastAsia="en-US"/>
        </w:rPr>
      </w:pPr>
      <w:r w:rsidRPr="00A76740">
        <w:rPr>
          <w:sz w:val="20"/>
          <w:szCs w:val="20"/>
          <w:lang w:eastAsia="en-US"/>
        </w:rPr>
        <w:t>Sources: Cashman and</w:t>
      </w:r>
      <w:r w:rsidR="00A3302B" w:rsidRPr="00A76740">
        <w:rPr>
          <w:sz w:val="20"/>
          <w:szCs w:val="20"/>
          <w:lang w:eastAsia="en-US"/>
        </w:rPr>
        <w:t xml:space="preserve"> Ashley</w:t>
      </w:r>
      <w:r w:rsidRPr="00A76740">
        <w:rPr>
          <w:sz w:val="20"/>
          <w:szCs w:val="20"/>
          <w:lang w:eastAsia="en-US"/>
        </w:rPr>
        <w:t xml:space="preserve"> 2008, Hall and Lobina 2008</w:t>
      </w:r>
    </w:p>
    <w:p w:rsidR="00CD626F" w:rsidRDefault="00CD626F" w:rsidP="00CD626F">
      <w:pPr>
        <w:pStyle w:val="Heading7"/>
      </w:pPr>
      <w:bookmarkStart w:id="30" w:name="_Toc318886712"/>
      <w:r>
        <w:t>Costs of meeting MDGs in 10 years with household water and sanitation connections</w:t>
      </w:r>
      <w:bookmarkEnd w:id="30"/>
    </w:p>
    <w:p w:rsidR="00CD626F" w:rsidRDefault="00CD626F" w:rsidP="00CD626F">
      <w:pPr>
        <w:rPr>
          <w:lang w:eastAsia="en-US"/>
        </w:rPr>
      </w:pPr>
      <w:r>
        <w:rPr>
          <w:lang w:eastAsia="en-US"/>
        </w:rPr>
        <w:t>2006 GDP and prices; annual cost</w:t>
      </w:r>
      <w:r w:rsidR="00A3302B">
        <w:rPr>
          <w:lang w:eastAsia="en-US"/>
        </w:rPr>
        <w:t xml:space="preserve"> </w:t>
      </w:r>
      <w:r>
        <w:rPr>
          <w:lang w:eastAsia="en-US"/>
        </w:rPr>
        <w:t>= total cost/10, assuming 10 year programme, no borrowing.</w:t>
      </w:r>
    </w:p>
    <w:p w:rsidR="00A3302B" w:rsidRPr="00E57B30" w:rsidRDefault="00A3302B" w:rsidP="00CD626F">
      <w:pPr>
        <w:rPr>
          <w:lang w:eastAsia="en-US"/>
        </w:rPr>
      </w:pPr>
      <w:r>
        <w:rPr>
          <w:lang w:eastAsia="en-US"/>
        </w:rPr>
        <w:t>L=lower income, ML=lower middle income, MU=upper middle income</w:t>
      </w:r>
    </w:p>
    <w:tbl>
      <w:tblPr>
        <w:tblW w:w="73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1080"/>
        <w:gridCol w:w="1863"/>
        <w:gridCol w:w="2268"/>
      </w:tblGrid>
      <w:tr w:rsidR="00CD626F" w:rsidRPr="00485569" w:rsidTr="00A3302B">
        <w:trPr>
          <w:trHeight w:val="582"/>
        </w:trPr>
        <w:tc>
          <w:tcPr>
            <w:tcW w:w="2175" w:type="dxa"/>
            <w:shd w:val="clear" w:color="auto" w:fill="auto"/>
            <w:vAlign w:val="bottom"/>
          </w:tcPr>
          <w:p w:rsidR="00CD626F" w:rsidRPr="00F04A15" w:rsidRDefault="00CD626F" w:rsidP="00CD626F">
            <w:pPr>
              <w:rPr>
                <w:rFonts w:cs="Arial"/>
                <w:sz w:val="20"/>
                <w:szCs w:val="20"/>
              </w:rPr>
            </w:pPr>
          </w:p>
        </w:tc>
        <w:tc>
          <w:tcPr>
            <w:tcW w:w="1080" w:type="dxa"/>
            <w:shd w:val="clear" w:color="auto" w:fill="auto"/>
            <w:vAlign w:val="bottom"/>
          </w:tcPr>
          <w:p w:rsidR="00CD626F" w:rsidRPr="00F04A15" w:rsidRDefault="00A3302B" w:rsidP="00A3302B">
            <w:pPr>
              <w:rPr>
                <w:rFonts w:cs="Arial"/>
                <w:sz w:val="20"/>
                <w:szCs w:val="20"/>
              </w:rPr>
            </w:pPr>
            <w:r>
              <w:rPr>
                <w:rFonts w:cs="Arial"/>
                <w:sz w:val="20"/>
                <w:szCs w:val="20"/>
              </w:rPr>
              <w:t>I</w:t>
            </w:r>
            <w:r w:rsidR="00CD626F" w:rsidRPr="00F04A15">
              <w:rPr>
                <w:rFonts w:cs="Arial"/>
                <w:sz w:val="20"/>
                <w:szCs w:val="20"/>
              </w:rPr>
              <w:t>ncome group</w:t>
            </w:r>
          </w:p>
        </w:tc>
        <w:tc>
          <w:tcPr>
            <w:tcW w:w="1863" w:type="dxa"/>
            <w:shd w:val="clear" w:color="auto" w:fill="auto"/>
            <w:vAlign w:val="bottom"/>
          </w:tcPr>
          <w:p w:rsidR="00CD626F" w:rsidRPr="00F04A15" w:rsidRDefault="00CD626F" w:rsidP="00CD626F">
            <w:pPr>
              <w:rPr>
                <w:rFonts w:cs="Arial"/>
                <w:sz w:val="20"/>
                <w:szCs w:val="20"/>
              </w:rPr>
            </w:pPr>
            <w:r w:rsidRPr="00F04A15">
              <w:rPr>
                <w:rFonts w:cs="Arial"/>
                <w:sz w:val="20"/>
                <w:szCs w:val="20"/>
              </w:rPr>
              <w:t>Annual cost $m.</w:t>
            </w:r>
          </w:p>
        </w:tc>
        <w:tc>
          <w:tcPr>
            <w:tcW w:w="2268" w:type="dxa"/>
            <w:shd w:val="clear" w:color="auto" w:fill="auto"/>
            <w:vAlign w:val="bottom"/>
          </w:tcPr>
          <w:p w:rsidR="00CD626F" w:rsidRPr="00F04A15" w:rsidRDefault="00CD626F" w:rsidP="00CD626F">
            <w:pPr>
              <w:rPr>
                <w:rFonts w:cs="Arial"/>
                <w:sz w:val="20"/>
                <w:szCs w:val="20"/>
              </w:rPr>
            </w:pPr>
            <w:r w:rsidRPr="00F04A15">
              <w:rPr>
                <w:rFonts w:cs="Arial"/>
                <w:sz w:val="20"/>
                <w:szCs w:val="20"/>
              </w:rPr>
              <w:t>Annual cost as %GDP</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China</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ML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7878</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0.30</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India</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5764</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0.64</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Indonesia</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ML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2291</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0.73</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Brazil</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ML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1881</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0.21</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Nigeria</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1364</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1.48</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Philippines</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ML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1069</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0.89</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Pakistan</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1000</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0.82</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Bangladesh</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855</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1.22</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Iran</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ML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790</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0.38</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Congo DR</w:t>
            </w:r>
          </w:p>
        </w:tc>
        <w:tc>
          <w:tcPr>
            <w:tcW w:w="1080" w:type="dxa"/>
            <w:shd w:val="clear" w:color="auto" w:fill="auto"/>
            <w:noWrap/>
            <w:vAlign w:val="bottom"/>
          </w:tcPr>
          <w:p w:rsidR="00CD626F" w:rsidRPr="00F04A15" w:rsidRDefault="00CD626F" w:rsidP="00CD626F">
            <w:pPr>
              <w:rPr>
                <w:rFonts w:cs="Arial"/>
                <w:sz w:val="20"/>
                <w:szCs w:val="20"/>
              </w:rPr>
            </w:pPr>
            <w:r w:rsidRPr="00F04A15">
              <w:rPr>
                <w:rFonts w:cs="Arial"/>
                <w:sz w:val="20"/>
                <w:szCs w:val="20"/>
              </w:rPr>
              <w:t>L</w:t>
            </w: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485</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6.29</w:t>
            </w:r>
          </w:p>
        </w:tc>
      </w:tr>
      <w:tr w:rsidR="00CD626F" w:rsidRPr="00485569" w:rsidTr="00CD626F">
        <w:trPr>
          <w:trHeight w:val="255"/>
        </w:trPr>
        <w:tc>
          <w:tcPr>
            <w:tcW w:w="2175" w:type="dxa"/>
            <w:shd w:val="clear" w:color="auto" w:fill="auto"/>
            <w:noWrap/>
            <w:vAlign w:val="bottom"/>
          </w:tcPr>
          <w:p w:rsidR="00CD626F" w:rsidRPr="00F04A15" w:rsidRDefault="00CD626F" w:rsidP="00CD626F">
            <w:pPr>
              <w:rPr>
                <w:rFonts w:cs="Arial"/>
                <w:sz w:val="20"/>
                <w:szCs w:val="20"/>
              </w:rPr>
            </w:pPr>
          </w:p>
        </w:tc>
        <w:tc>
          <w:tcPr>
            <w:tcW w:w="1080" w:type="dxa"/>
            <w:shd w:val="clear" w:color="auto" w:fill="auto"/>
            <w:noWrap/>
            <w:vAlign w:val="bottom"/>
          </w:tcPr>
          <w:p w:rsidR="00CD626F" w:rsidRPr="00F04A15" w:rsidRDefault="00CD626F" w:rsidP="00CD626F">
            <w:pPr>
              <w:rPr>
                <w:rFonts w:cs="Arial"/>
                <w:sz w:val="20"/>
                <w:szCs w:val="20"/>
              </w:rPr>
            </w:pPr>
          </w:p>
        </w:tc>
        <w:tc>
          <w:tcPr>
            <w:tcW w:w="1863" w:type="dxa"/>
            <w:shd w:val="clear" w:color="auto" w:fill="auto"/>
            <w:noWrap/>
            <w:vAlign w:val="bottom"/>
          </w:tcPr>
          <w:p w:rsidR="00CD626F" w:rsidRPr="00F04A15" w:rsidRDefault="00CD626F" w:rsidP="00CD626F">
            <w:pPr>
              <w:jc w:val="right"/>
              <w:rPr>
                <w:rFonts w:cs="Arial"/>
                <w:sz w:val="20"/>
                <w:szCs w:val="20"/>
              </w:rPr>
            </w:pP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as % of global GDP</w:t>
            </w:r>
          </w:p>
        </w:tc>
      </w:tr>
      <w:tr w:rsidR="00CD626F" w:rsidRPr="00485569" w:rsidTr="00CD626F">
        <w:trPr>
          <w:trHeight w:val="255"/>
        </w:trPr>
        <w:tc>
          <w:tcPr>
            <w:tcW w:w="2175" w:type="dxa"/>
            <w:shd w:val="clear" w:color="auto" w:fill="auto"/>
            <w:noWrap/>
            <w:vAlign w:val="bottom"/>
          </w:tcPr>
          <w:p w:rsidR="00CD626F" w:rsidRPr="00F04A15" w:rsidRDefault="00F04A15" w:rsidP="00A3302B">
            <w:pPr>
              <w:rPr>
                <w:rFonts w:cs="Arial"/>
                <w:sz w:val="20"/>
                <w:szCs w:val="20"/>
              </w:rPr>
            </w:pPr>
            <w:r w:rsidRPr="00F04A15">
              <w:rPr>
                <w:rFonts w:cs="Arial"/>
                <w:sz w:val="20"/>
                <w:szCs w:val="20"/>
              </w:rPr>
              <w:t>All developing countries</w:t>
            </w:r>
          </w:p>
        </w:tc>
        <w:tc>
          <w:tcPr>
            <w:tcW w:w="1080" w:type="dxa"/>
            <w:shd w:val="clear" w:color="auto" w:fill="auto"/>
            <w:noWrap/>
            <w:vAlign w:val="bottom"/>
          </w:tcPr>
          <w:p w:rsidR="00CD626F" w:rsidRPr="00F04A15" w:rsidRDefault="00CD626F" w:rsidP="00CD626F">
            <w:pPr>
              <w:rPr>
                <w:rFonts w:cs="Arial"/>
                <w:sz w:val="20"/>
                <w:szCs w:val="20"/>
              </w:rPr>
            </w:pPr>
          </w:p>
        </w:tc>
        <w:tc>
          <w:tcPr>
            <w:tcW w:w="1863"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34900</w:t>
            </w:r>
          </w:p>
        </w:tc>
        <w:tc>
          <w:tcPr>
            <w:tcW w:w="2268" w:type="dxa"/>
            <w:shd w:val="clear" w:color="auto" w:fill="auto"/>
            <w:noWrap/>
            <w:vAlign w:val="bottom"/>
          </w:tcPr>
          <w:p w:rsidR="00CD626F" w:rsidRPr="00F04A15" w:rsidRDefault="00CD626F" w:rsidP="00CD626F">
            <w:pPr>
              <w:jc w:val="right"/>
              <w:rPr>
                <w:rFonts w:cs="Arial"/>
                <w:sz w:val="20"/>
                <w:szCs w:val="20"/>
              </w:rPr>
            </w:pPr>
            <w:r w:rsidRPr="00F04A15">
              <w:rPr>
                <w:rFonts w:cs="Arial"/>
                <w:sz w:val="20"/>
                <w:szCs w:val="20"/>
              </w:rPr>
              <w:t>0.08%</w:t>
            </w:r>
          </w:p>
        </w:tc>
      </w:tr>
    </w:tbl>
    <w:p w:rsidR="00CD626F" w:rsidRPr="00A76740" w:rsidRDefault="00CD626F" w:rsidP="00CD626F">
      <w:pPr>
        <w:rPr>
          <w:sz w:val="20"/>
          <w:szCs w:val="20"/>
        </w:rPr>
      </w:pPr>
      <w:r w:rsidRPr="00A76740">
        <w:rPr>
          <w:sz w:val="20"/>
          <w:szCs w:val="20"/>
        </w:rPr>
        <w:t xml:space="preserve">Source: Hall and Lobina 2008 </w:t>
      </w:r>
    </w:p>
    <w:p w:rsidR="00CD626F" w:rsidRDefault="00CD626F" w:rsidP="00CD626F"/>
    <w:p w:rsidR="009024C6" w:rsidRDefault="00C15A03" w:rsidP="00161EB7">
      <w:r>
        <w:t>The</w:t>
      </w:r>
      <w:r w:rsidR="00E57870">
        <w:t xml:space="preserve"> affordability of this can be assessed using various criteria. Judged in the context </w:t>
      </w:r>
      <w:r>
        <w:t>of economic growth</w:t>
      </w:r>
      <w:r w:rsidR="00E57870">
        <w:t xml:space="preserve">, it is a relatively small proportion of annual expected growth rates, and so does not even require cutbacks in existing consumer or public spending. </w:t>
      </w:r>
      <w:r w:rsidR="00F57FAF">
        <w:t xml:space="preserve">As noted above, sub-Saharan African countries are expected to grow at a rate of 4% per annum or more, even after the economic crisis; </w:t>
      </w:r>
      <w:r w:rsidR="009024C6">
        <w:t xml:space="preserve">Latin American countries at a similar rate; and Asian countries at around 7% per annum. </w:t>
      </w:r>
      <w:r w:rsidR="00F57FAF">
        <w:t>China</w:t>
      </w:r>
      <w:r w:rsidR="009024C6">
        <w:t xml:space="preserve">, </w:t>
      </w:r>
      <w:r w:rsidR="00F57FAF">
        <w:t xml:space="preserve">India </w:t>
      </w:r>
      <w:r w:rsidR="009024C6">
        <w:t xml:space="preserve">and Brazil </w:t>
      </w:r>
      <w:r w:rsidR="00F57FAF">
        <w:t>are already achieving growth rates of nearly 10%</w:t>
      </w:r>
      <w:r w:rsidR="009024C6">
        <w:t xml:space="preserve"> in 2010</w:t>
      </w:r>
      <w:r w:rsidR="00F57FAF">
        <w:t>.</w:t>
      </w:r>
      <w:r w:rsidR="00481131">
        <w:t xml:space="preserve">  </w:t>
      </w:r>
      <w:r w:rsidR="009024C6">
        <w:t xml:space="preserve">The cost of completing household connections for water and sewerage in 10 years can thus be met by using less than a quarter of annual growth, in nearly all countries. This still leaves ample room for investment in other infrastructure such as electricity, as well as continued growth of consumer spending. </w:t>
      </w:r>
    </w:p>
    <w:p w:rsidR="009024C6" w:rsidRDefault="009024C6" w:rsidP="00161EB7"/>
    <w:p w:rsidR="008350A7" w:rsidRDefault="00E57870" w:rsidP="00161EB7">
      <w:r>
        <w:t xml:space="preserve">Judged against the history of national investment in infrastructure, it is not an unreasonable level. </w:t>
      </w:r>
      <w:r w:rsidR="008350A7" w:rsidRPr="008350A7">
        <w:t>The average level of public investment in developing countries as a whole on all infrastructure has varied between 7% and 10% of Gross National Income (GNI) over the last 35 years, and is generally considered to be too low.</w:t>
      </w:r>
      <w:r w:rsidR="008350A7" w:rsidRPr="008350A7">
        <w:rPr>
          <w:lang w:eastAsia="en-US"/>
        </w:rPr>
        <w:t xml:space="preserve"> </w:t>
      </w:r>
      <w:r w:rsidR="008350A7">
        <w:rPr>
          <w:lang w:eastAsia="en-US"/>
        </w:rPr>
        <w:t xml:space="preserve">Spending less than 1% on new investment in water and sanitation is not therefore an excessive burden. </w:t>
      </w:r>
      <w:r w:rsidR="008350A7" w:rsidRPr="008350A7">
        <w:rPr>
          <w:vertAlign w:val="superscript"/>
        </w:rPr>
        <w:endnoteReference w:id="42"/>
      </w:r>
      <w:r w:rsidR="008350A7" w:rsidRPr="008350A7">
        <w:t xml:space="preserve"> </w:t>
      </w:r>
    </w:p>
    <w:p w:rsidR="008350A7" w:rsidRDefault="008350A7" w:rsidP="00161EB7"/>
    <w:p w:rsidR="00C15A03" w:rsidRDefault="00353A2B" w:rsidP="00161EB7">
      <w:r w:rsidRPr="00353A2B">
        <w:t>For India, the</w:t>
      </w:r>
      <w:r w:rsidR="00435083">
        <w:t xml:space="preserve"> data from the Indian Planning C</w:t>
      </w:r>
      <w:r w:rsidRPr="00353A2B">
        <w:t>ommission shows t</w:t>
      </w:r>
      <w:r w:rsidR="00435083">
        <w:t xml:space="preserve">hat over the period 2007-2012, </w:t>
      </w:r>
      <w:r w:rsidRPr="00353A2B">
        <w:t>actual investment in water and sanitation infrastruc</w:t>
      </w:r>
      <w:r w:rsidR="008350A7">
        <w:t xml:space="preserve">ture has averaged 0.41% of GDP. </w:t>
      </w:r>
      <w:r w:rsidRPr="00353A2B">
        <w:t>Investment in all infrastructure in India has averaged 7.5% of GDP during that period, with the public sector financing nearly two-thirds of that, nearly 5% of GDP.</w:t>
      </w:r>
      <w:r w:rsidRPr="00353A2B">
        <w:rPr>
          <w:vertAlign w:val="superscript"/>
        </w:rPr>
        <w:endnoteReference w:id="43"/>
      </w:r>
      <w:r>
        <w:t xml:space="preserve"> </w:t>
      </w:r>
      <w:r w:rsidR="00E06B7E">
        <w:t xml:space="preserve"> </w:t>
      </w:r>
      <w:r w:rsidR="009024C6">
        <w:t xml:space="preserve">There </w:t>
      </w:r>
      <w:r w:rsidR="003F744E">
        <w:t>is evidence</w:t>
      </w:r>
      <w:r w:rsidR="009024C6">
        <w:t xml:space="preserve"> from national budgets that China and Brazil are already making the necessary levels of investment.</w:t>
      </w:r>
      <w:r w:rsidR="009024C6">
        <w:rPr>
          <w:rStyle w:val="EndnoteReference"/>
        </w:rPr>
        <w:endnoteReference w:id="44"/>
      </w:r>
      <w:r w:rsidR="00116D05">
        <w:t xml:space="preserve"> </w:t>
      </w:r>
      <w:r w:rsidR="00E57870">
        <w:rPr>
          <w:lang w:eastAsia="en-US"/>
        </w:rPr>
        <w:t xml:space="preserve"> </w:t>
      </w:r>
      <w:r w:rsidR="00E57870">
        <w:t xml:space="preserve">In terms of actual practice, it is clear from the latest JMP report that many countries are in fact already investing the necessary amount to achieve full household connections (see next section). </w:t>
      </w:r>
      <w:r w:rsidR="00435083">
        <w:t xml:space="preserve"> </w:t>
      </w:r>
      <w:r w:rsidR="00CD626F">
        <w:t xml:space="preserve">As the review of investment sources makes clear, this investment is being funded from public finance, not private capital. </w:t>
      </w:r>
    </w:p>
    <w:p w:rsidR="00E57870" w:rsidRDefault="00E57870" w:rsidP="00161EB7"/>
    <w:p w:rsidR="00CD626F" w:rsidRDefault="00481131" w:rsidP="00161EB7">
      <w:r>
        <w:t xml:space="preserve">The requisite levels are </w:t>
      </w:r>
      <w:r w:rsidR="00E57870">
        <w:t xml:space="preserve">thus </w:t>
      </w:r>
      <w:r w:rsidR="00223B4D">
        <w:t xml:space="preserve">not only affordable, </w:t>
      </w:r>
      <w:r>
        <w:t xml:space="preserve">they are affordable </w:t>
      </w:r>
      <w:r w:rsidR="009024C6">
        <w:t xml:space="preserve">for </w:t>
      </w:r>
      <w:r w:rsidR="00604392">
        <w:t xml:space="preserve">the great majority of </w:t>
      </w:r>
      <w:r w:rsidR="009024C6">
        <w:t xml:space="preserve">countries </w:t>
      </w:r>
      <w:r w:rsidR="00CD626F" w:rsidRPr="00CD626F">
        <w:rPr>
          <w:i/>
        </w:rPr>
        <w:t xml:space="preserve">out of national economic resources </w:t>
      </w:r>
      <w:r w:rsidRPr="00CD626F">
        <w:rPr>
          <w:i/>
        </w:rPr>
        <w:t xml:space="preserve">alone, </w:t>
      </w:r>
      <w:r w:rsidR="009024C6" w:rsidRPr="00CD626F">
        <w:rPr>
          <w:i/>
        </w:rPr>
        <w:t xml:space="preserve">without need for government borrowing, and </w:t>
      </w:r>
      <w:r w:rsidRPr="00CD626F">
        <w:rPr>
          <w:i/>
        </w:rPr>
        <w:t>even if there were no assistance from donors at all</w:t>
      </w:r>
      <w:r w:rsidR="00470656" w:rsidRPr="00CD626F">
        <w:rPr>
          <w:i/>
        </w:rPr>
        <w:t xml:space="preserve">. </w:t>
      </w:r>
      <w:r w:rsidR="00470656">
        <w:t xml:space="preserve"> </w:t>
      </w:r>
    </w:p>
    <w:p w:rsidR="00CD626F" w:rsidRDefault="00CD626F" w:rsidP="00161EB7"/>
    <w:p w:rsidR="00B85FE3" w:rsidRDefault="00CD626F" w:rsidP="00161EB7">
      <w:r>
        <w:t>There remains a clear role for aid in those few countries where the costs exceed 1% of GDP per annum. The table shows what would be needed if</w:t>
      </w:r>
      <w:r w:rsidR="00B85FE3">
        <w:t xml:space="preserve"> aid </w:t>
      </w:r>
      <w:r>
        <w:t>i</w:t>
      </w:r>
      <w:r w:rsidR="00B85FE3">
        <w:t>s focussed so that it covers costs in countries where the investment needed exceeds 1% of GDP, then the annual total aid required would be around $2.2 billion per annum</w:t>
      </w:r>
      <w:r w:rsidR="003113E6">
        <w:t xml:space="preserve">. This is less </w:t>
      </w:r>
      <w:r w:rsidR="00470656">
        <w:t>than half current aid on water and sanitation, and the equivalent of only about $6.50 per person per annum in high income countries</w:t>
      </w:r>
      <w:r w:rsidR="003F744E">
        <w:t xml:space="preserve"> (Table 9)</w:t>
      </w:r>
      <w:r w:rsidR="00470656">
        <w:t>.</w:t>
      </w:r>
      <w:r w:rsidR="00B85FE3">
        <w:t xml:space="preserve"> </w:t>
      </w:r>
      <w:r w:rsidR="00470656">
        <w:rPr>
          <w:rStyle w:val="EndnoteReference"/>
        </w:rPr>
        <w:endnoteReference w:id="45"/>
      </w:r>
    </w:p>
    <w:p w:rsidR="00B85FE3" w:rsidRDefault="00B85FE3" w:rsidP="00B85FE3">
      <w:pPr>
        <w:pStyle w:val="Heading7"/>
      </w:pPr>
      <w:bookmarkStart w:id="31" w:name="_Toc318886713"/>
      <w:r>
        <w:t xml:space="preserve">Level of aid needed </w:t>
      </w:r>
      <w:r w:rsidR="00C71BE4">
        <w:t xml:space="preserve">for household water and sewerage connections </w:t>
      </w:r>
      <w:r>
        <w:t>to cover countries with annual costs of over 1% of GDP</w:t>
      </w:r>
      <w:bookmarkEnd w:id="31"/>
    </w:p>
    <w:tbl>
      <w:tblPr>
        <w:tblW w:w="781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01"/>
        <w:gridCol w:w="1843"/>
        <w:gridCol w:w="2268"/>
      </w:tblGrid>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Country</w:t>
            </w:r>
          </w:p>
        </w:tc>
        <w:tc>
          <w:tcPr>
            <w:tcW w:w="1843" w:type="dxa"/>
            <w:vAlign w:val="bottom"/>
          </w:tcPr>
          <w:p w:rsidR="00B85FE3" w:rsidRPr="00A3302B" w:rsidRDefault="00B85FE3" w:rsidP="00B85FE3">
            <w:pPr>
              <w:rPr>
                <w:sz w:val="20"/>
                <w:szCs w:val="20"/>
              </w:rPr>
            </w:pPr>
            <w:r w:rsidRPr="00A3302B">
              <w:rPr>
                <w:sz w:val="20"/>
                <w:szCs w:val="20"/>
              </w:rPr>
              <w:t>Annual cost as %GDP</w:t>
            </w:r>
          </w:p>
        </w:tc>
        <w:tc>
          <w:tcPr>
            <w:tcW w:w="2268" w:type="dxa"/>
            <w:shd w:val="clear" w:color="auto" w:fill="auto"/>
            <w:noWrap/>
            <w:vAlign w:val="bottom"/>
          </w:tcPr>
          <w:p w:rsidR="00B85FE3" w:rsidRPr="00A3302B" w:rsidRDefault="00B85FE3" w:rsidP="00B85FE3">
            <w:pPr>
              <w:rPr>
                <w:sz w:val="20"/>
                <w:szCs w:val="20"/>
              </w:rPr>
            </w:pPr>
            <w:r w:rsidRPr="00A3302B">
              <w:rPr>
                <w:sz w:val="20"/>
                <w:szCs w:val="20"/>
              </w:rPr>
              <w:t>Aid needed to cover spending &gt;1% of GDP ($m.)</w:t>
            </w:r>
          </w:p>
        </w:tc>
      </w:tr>
      <w:tr w:rsidR="00B85FE3" w:rsidRPr="00A3302B" w:rsidTr="00B85FE3">
        <w:trPr>
          <w:trHeight w:val="255"/>
        </w:trPr>
        <w:tc>
          <w:tcPr>
            <w:tcW w:w="3701" w:type="dxa"/>
            <w:vAlign w:val="bottom"/>
          </w:tcPr>
          <w:p w:rsidR="00B85FE3" w:rsidRPr="00A3302B" w:rsidRDefault="00B85FE3" w:rsidP="00B85FE3">
            <w:pPr>
              <w:rPr>
                <w:sz w:val="20"/>
                <w:szCs w:val="20"/>
              </w:rPr>
            </w:pPr>
          </w:p>
        </w:tc>
        <w:tc>
          <w:tcPr>
            <w:tcW w:w="1843" w:type="dxa"/>
            <w:vAlign w:val="bottom"/>
          </w:tcPr>
          <w:p w:rsidR="00B85FE3" w:rsidRPr="00A3302B" w:rsidRDefault="00B85FE3" w:rsidP="00B85FE3">
            <w:pPr>
              <w:jc w:val="right"/>
              <w:rPr>
                <w:sz w:val="20"/>
                <w:szCs w:val="20"/>
              </w:rPr>
            </w:pPr>
          </w:p>
        </w:tc>
        <w:tc>
          <w:tcPr>
            <w:tcW w:w="2268" w:type="dxa"/>
            <w:shd w:val="clear" w:color="auto" w:fill="auto"/>
            <w:noWrap/>
            <w:vAlign w:val="bottom"/>
          </w:tcPr>
          <w:p w:rsidR="00B85FE3" w:rsidRPr="00A3302B" w:rsidRDefault="00B85FE3" w:rsidP="00B85FE3">
            <w:pPr>
              <w:jc w:val="right"/>
              <w:rPr>
                <w:sz w:val="20"/>
                <w:szCs w:val="20"/>
              </w:rPr>
            </w:pPr>
          </w:p>
        </w:tc>
      </w:tr>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Nigeria</w:t>
            </w:r>
          </w:p>
        </w:tc>
        <w:tc>
          <w:tcPr>
            <w:tcW w:w="1843" w:type="dxa"/>
            <w:vAlign w:val="bottom"/>
          </w:tcPr>
          <w:p w:rsidR="00B85FE3" w:rsidRPr="00A3302B" w:rsidRDefault="00B85FE3" w:rsidP="00B85FE3">
            <w:pPr>
              <w:jc w:val="right"/>
              <w:rPr>
                <w:sz w:val="20"/>
                <w:szCs w:val="20"/>
              </w:rPr>
            </w:pPr>
            <w:r w:rsidRPr="00A3302B">
              <w:rPr>
                <w:sz w:val="20"/>
                <w:szCs w:val="20"/>
              </w:rPr>
              <w:t>1.48</w:t>
            </w:r>
          </w:p>
        </w:tc>
        <w:tc>
          <w:tcPr>
            <w:tcW w:w="2268" w:type="dxa"/>
            <w:shd w:val="clear" w:color="auto" w:fill="auto"/>
            <w:noWrap/>
            <w:vAlign w:val="bottom"/>
          </w:tcPr>
          <w:p w:rsidR="00B85FE3" w:rsidRPr="00A3302B" w:rsidRDefault="00B85FE3" w:rsidP="00B85FE3">
            <w:pPr>
              <w:jc w:val="right"/>
              <w:rPr>
                <w:sz w:val="20"/>
                <w:szCs w:val="20"/>
              </w:rPr>
            </w:pPr>
            <w:r w:rsidRPr="00A3302B">
              <w:rPr>
                <w:sz w:val="20"/>
                <w:szCs w:val="20"/>
              </w:rPr>
              <w:t>440</w:t>
            </w:r>
          </w:p>
        </w:tc>
      </w:tr>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Bangladesh</w:t>
            </w:r>
          </w:p>
        </w:tc>
        <w:tc>
          <w:tcPr>
            <w:tcW w:w="1843" w:type="dxa"/>
            <w:vAlign w:val="bottom"/>
          </w:tcPr>
          <w:p w:rsidR="00B85FE3" w:rsidRPr="00A3302B" w:rsidRDefault="00B85FE3" w:rsidP="00B85FE3">
            <w:pPr>
              <w:jc w:val="right"/>
              <w:rPr>
                <w:sz w:val="20"/>
                <w:szCs w:val="20"/>
              </w:rPr>
            </w:pPr>
            <w:r w:rsidRPr="00A3302B">
              <w:rPr>
                <w:sz w:val="20"/>
                <w:szCs w:val="20"/>
              </w:rPr>
              <w:t>1.22</w:t>
            </w:r>
          </w:p>
        </w:tc>
        <w:tc>
          <w:tcPr>
            <w:tcW w:w="2268" w:type="dxa"/>
            <w:shd w:val="clear" w:color="auto" w:fill="auto"/>
            <w:noWrap/>
            <w:vAlign w:val="bottom"/>
          </w:tcPr>
          <w:p w:rsidR="00B85FE3" w:rsidRPr="00A3302B" w:rsidRDefault="00B85FE3" w:rsidP="00B85FE3">
            <w:pPr>
              <w:jc w:val="right"/>
              <w:rPr>
                <w:sz w:val="20"/>
                <w:szCs w:val="20"/>
              </w:rPr>
            </w:pPr>
            <w:r w:rsidRPr="00A3302B">
              <w:rPr>
                <w:sz w:val="20"/>
                <w:szCs w:val="20"/>
              </w:rPr>
              <w:t>156</w:t>
            </w:r>
          </w:p>
        </w:tc>
      </w:tr>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Congo DR</w:t>
            </w:r>
          </w:p>
        </w:tc>
        <w:tc>
          <w:tcPr>
            <w:tcW w:w="1843" w:type="dxa"/>
            <w:vAlign w:val="bottom"/>
          </w:tcPr>
          <w:p w:rsidR="00B85FE3" w:rsidRPr="00A3302B" w:rsidRDefault="00B85FE3" w:rsidP="00B85FE3">
            <w:pPr>
              <w:jc w:val="right"/>
              <w:rPr>
                <w:sz w:val="20"/>
                <w:szCs w:val="20"/>
              </w:rPr>
            </w:pPr>
            <w:r w:rsidRPr="00A3302B">
              <w:rPr>
                <w:sz w:val="20"/>
                <w:szCs w:val="20"/>
              </w:rPr>
              <w:t>6.29</w:t>
            </w:r>
          </w:p>
        </w:tc>
        <w:tc>
          <w:tcPr>
            <w:tcW w:w="2268" w:type="dxa"/>
            <w:shd w:val="clear" w:color="auto" w:fill="auto"/>
            <w:noWrap/>
            <w:vAlign w:val="bottom"/>
          </w:tcPr>
          <w:p w:rsidR="00B85FE3" w:rsidRPr="00A3302B" w:rsidRDefault="00B85FE3" w:rsidP="00B85FE3">
            <w:pPr>
              <w:jc w:val="right"/>
              <w:rPr>
                <w:sz w:val="20"/>
                <w:szCs w:val="20"/>
              </w:rPr>
            </w:pPr>
            <w:r w:rsidRPr="00A3302B">
              <w:rPr>
                <w:sz w:val="20"/>
                <w:szCs w:val="20"/>
              </w:rPr>
              <w:t>408</w:t>
            </w:r>
          </w:p>
        </w:tc>
      </w:tr>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Sudan</w:t>
            </w:r>
          </w:p>
        </w:tc>
        <w:tc>
          <w:tcPr>
            <w:tcW w:w="1843" w:type="dxa"/>
            <w:vAlign w:val="bottom"/>
          </w:tcPr>
          <w:p w:rsidR="00B85FE3" w:rsidRPr="00A3302B" w:rsidRDefault="00B85FE3" w:rsidP="00B85FE3">
            <w:pPr>
              <w:jc w:val="right"/>
              <w:rPr>
                <w:sz w:val="20"/>
                <w:szCs w:val="20"/>
              </w:rPr>
            </w:pPr>
            <w:r w:rsidRPr="00A3302B">
              <w:rPr>
                <w:sz w:val="20"/>
                <w:szCs w:val="20"/>
              </w:rPr>
              <w:t>1.18</w:t>
            </w:r>
          </w:p>
        </w:tc>
        <w:tc>
          <w:tcPr>
            <w:tcW w:w="2268" w:type="dxa"/>
            <w:shd w:val="clear" w:color="auto" w:fill="auto"/>
            <w:noWrap/>
            <w:vAlign w:val="bottom"/>
          </w:tcPr>
          <w:p w:rsidR="00B85FE3" w:rsidRPr="00A3302B" w:rsidRDefault="00B85FE3" w:rsidP="00B85FE3">
            <w:pPr>
              <w:jc w:val="right"/>
              <w:rPr>
                <w:sz w:val="20"/>
                <w:szCs w:val="20"/>
              </w:rPr>
            </w:pPr>
            <w:r w:rsidRPr="00A3302B">
              <w:rPr>
                <w:sz w:val="20"/>
                <w:szCs w:val="20"/>
              </w:rPr>
              <w:t>53</w:t>
            </w:r>
          </w:p>
        </w:tc>
      </w:tr>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Ethiopia</w:t>
            </w:r>
          </w:p>
        </w:tc>
        <w:tc>
          <w:tcPr>
            <w:tcW w:w="1843" w:type="dxa"/>
            <w:vAlign w:val="bottom"/>
          </w:tcPr>
          <w:p w:rsidR="00B85FE3" w:rsidRPr="00A3302B" w:rsidRDefault="00B85FE3" w:rsidP="00B85FE3">
            <w:pPr>
              <w:jc w:val="right"/>
              <w:rPr>
                <w:sz w:val="20"/>
                <w:szCs w:val="20"/>
              </w:rPr>
            </w:pPr>
            <w:r w:rsidRPr="00A3302B">
              <w:rPr>
                <w:sz w:val="20"/>
                <w:szCs w:val="20"/>
              </w:rPr>
              <w:t>2.37</w:t>
            </w:r>
          </w:p>
        </w:tc>
        <w:tc>
          <w:tcPr>
            <w:tcW w:w="2268" w:type="dxa"/>
            <w:shd w:val="clear" w:color="auto" w:fill="auto"/>
            <w:noWrap/>
            <w:vAlign w:val="bottom"/>
          </w:tcPr>
          <w:p w:rsidR="00B85FE3" w:rsidRPr="00A3302B" w:rsidRDefault="00B85FE3" w:rsidP="00B85FE3">
            <w:pPr>
              <w:jc w:val="right"/>
              <w:rPr>
                <w:sz w:val="20"/>
                <w:szCs w:val="20"/>
              </w:rPr>
            </w:pPr>
            <w:r w:rsidRPr="00A3302B">
              <w:rPr>
                <w:sz w:val="20"/>
                <w:szCs w:val="20"/>
              </w:rPr>
              <w:t>177</w:t>
            </w:r>
          </w:p>
        </w:tc>
      </w:tr>
      <w:tr w:rsidR="00B85FE3" w:rsidRPr="00A3302B" w:rsidTr="00B85FE3">
        <w:trPr>
          <w:trHeight w:val="255"/>
        </w:trPr>
        <w:tc>
          <w:tcPr>
            <w:tcW w:w="3701" w:type="dxa"/>
            <w:vAlign w:val="bottom"/>
          </w:tcPr>
          <w:p w:rsidR="00B85FE3" w:rsidRPr="00A3302B" w:rsidRDefault="003113E6" w:rsidP="00B85FE3">
            <w:pPr>
              <w:rPr>
                <w:sz w:val="20"/>
                <w:szCs w:val="20"/>
              </w:rPr>
            </w:pPr>
            <w:r w:rsidRPr="00A3302B">
              <w:rPr>
                <w:sz w:val="20"/>
                <w:szCs w:val="20"/>
              </w:rPr>
              <w:t xml:space="preserve">Other developing countries </w:t>
            </w:r>
          </w:p>
        </w:tc>
        <w:tc>
          <w:tcPr>
            <w:tcW w:w="1843" w:type="dxa"/>
            <w:vAlign w:val="bottom"/>
          </w:tcPr>
          <w:p w:rsidR="00B85FE3" w:rsidRPr="00A3302B" w:rsidRDefault="003113E6" w:rsidP="00B85FE3">
            <w:pPr>
              <w:jc w:val="right"/>
              <w:rPr>
                <w:sz w:val="20"/>
                <w:szCs w:val="20"/>
              </w:rPr>
            </w:pPr>
            <w:r w:rsidRPr="00A3302B">
              <w:rPr>
                <w:sz w:val="20"/>
                <w:szCs w:val="20"/>
              </w:rPr>
              <w:t>&gt;1.0</w:t>
            </w:r>
          </w:p>
        </w:tc>
        <w:tc>
          <w:tcPr>
            <w:tcW w:w="2268" w:type="dxa"/>
            <w:shd w:val="clear" w:color="auto" w:fill="auto"/>
            <w:noWrap/>
            <w:vAlign w:val="bottom"/>
          </w:tcPr>
          <w:p w:rsidR="00B85FE3" w:rsidRPr="00A3302B" w:rsidRDefault="003113E6" w:rsidP="00B85FE3">
            <w:pPr>
              <w:jc w:val="right"/>
              <w:rPr>
                <w:sz w:val="20"/>
                <w:szCs w:val="20"/>
              </w:rPr>
            </w:pPr>
            <w:r w:rsidRPr="00A3302B">
              <w:rPr>
                <w:sz w:val="20"/>
                <w:szCs w:val="20"/>
              </w:rPr>
              <w:t>1002</w:t>
            </w:r>
          </w:p>
        </w:tc>
      </w:tr>
      <w:tr w:rsidR="003113E6" w:rsidRPr="00A3302B" w:rsidTr="00B85FE3">
        <w:trPr>
          <w:trHeight w:val="255"/>
        </w:trPr>
        <w:tc>
          <w:tcPr>
            <w:tcW w:w="3701" w:type="dxa"/>
            <w:vAlign w:val="bottom"/>
          </w:tcPr>
          <w:p w:rsidR="003113E6" w:rsidRPr="00A3302B" w:rsidRDefault="003113E6" w:rsidP="00B85FE3">
            <w:pPr>
              <w:rPr>
                <w:sz w:val="20"/>
                <w:szCs w:val="20"/>
              </w:rPr>
            </w:pPr>
          </w:p>
        </w:tc>
        <w:tc>
          <w:tcPr>
            <w:tcW w:w="1843" w:type="dxa"/>
            <w:vAlign w:val="bottom"/>
          </w:tcPr>
          <w:p w:rsidR="003113E6" w:rsidRPr="00A3302B" w:rsidRDefault="003113E6" w:rsidP="00B85FE3">
            <w:pPr>
              <w:jc w:val="right"/>
              <w:rPr>
                <w:sz w:val="20"/>
                <w:szCs w:val="20"/>
              </w:rPr>
            </w:pPr>
          </w:p>
        </w:tc>
        <w:tc>
          <w:tcPr>
            <w:tcW w:w="2268" w:type="dxa"/>
            <w:shd w:val="clear" w:color="auto" w:fill="auto"/>
            <w:noWrap/>
            <w:vAlign w:val="bottom"/>
          </w:tcPr>
          <w:p w:rsidR="003113E6" w:rsidRPr="00A3302B" w:rsidRDefault="003113E6" w:rsidP="00B85FE3">
            <w:pPr>
              <w:jc w:val="right"/>
              <w:rPr>
                <w:sz w:val="20"/>
                <w:szCs w:val="20"/>
              </w:rPr>
            </w:pPr>
          </w:p>
        </w:tc>
      </w:tr>
      <w:tr w:rsidR="00B85FE3" w:rsidRPr="00A3302B" w:rsidTr="00B85FE3">
        <w:trPr>
          <w:trHeight w:val="255"/>
        </w:trPr>
        <w:tc>
          <w:tcPr>
            <w:tcW w:w="3701" w:type="dxa"/>
            <w:vAlign w:val="bottom"/>
          </w:tcPr>
          <w:p w:rsidR="00B85FE3" w:rsidRPr="00A3302B" w:rsidRDefault="00B85FE3" w:rsidP="00B85FE3">
            <w:pPr>
              <w:rPr>
                <w:sz w:val="20"/>
                <w:szCs w:val="20"/>
              </w:rPr>
            </w:pPr>
            <w:r w:rsidRPr="00A3302B">
              <w:rPr>
                <w:sz w:val="20"/>
                <w:szCs w:val="20"/>
              </w:rPr>
              <w:t>TOTAL for all developing countries</w:t>
            </w:r>
          </w:p>
        </w:tc>
        <w:tc>
          <w:tcPr>
            <w:tcW w:w="1843" w:type="dxa"/>
            <w:vAlign w:val="bottom"/>
          </w:tcPr>
          <w:p w:rsidR="00B85FE3" w:rsidRPr="00A3302B" w:rsidRDefault="00B85FE3" w:rsidP="00B85FE3">
            <w:pPr>
              <w:jc w:val="right"/>
              <w:rPr>
                <w:sz w:val="20"/>
                <w:szCs w:val="20"/>
              </w:rPr>
            </w:pPr>
          </w:p>
        </w:tc>
        <w:tc>
          <w:tcPr>
            <w:tcW w:w="2268" w:type="dxa"/>
            <w:shd w:val="clear" w:color="auto" w:fill="auto"/>
            <w:noWrap/>
            <w:vAlign w:val="bottom"/>
          </w:tcPr>
          <w:p w:rsidR="00B85FE3" w:rsidRPr="00A3302B" w:rsidRDefault="00B85FE3" w:rsidP="00B85FE3">
            <w:pPr>
              <w:jc w:val="right"/>
              <w:rPr>
                <w:sz w:val="20"/>
                <w:szCs w:val="20"/>
              </w:rPr>
            </w:pPr>
            <w:r w:rsidRPr="00A3302B">
              <w:rPr>
                <w:sz w:val="20"/>
                <w:szCs w:val="20"/>
              </w:rPr>
              <w:t>2236</w:t>
            </w:r>
          </w:p>
        </w:tc>
      </w:tr>
    </w:tbl>
    <w:p w:rsidR="00B85FE3" w:rsidRPr="00A76740" w:rsidRDefault="00B85FE3" w:rsidP="00161EB7">
      <w:pPr>
        <w:rPr>
          <w:sz w:val="20"/>
          <w:szCs w:val="20"/>
        </w:rPr>
      </w:pPr>
      <w:r w:rsidRPr="00A76740">
        <w:rPr>
          <w:sz w:val="20"/>
          <w:szCs w:val="20"/>
        </w:rPr>
        <w:t>Source: Hall and Lobina 2008</w:t>
      </w:r>
    </w:p>
    <w:p w:rsidR="00240D84" w:rsidRDefault="00240D84" w:rsidP="00240D84">
      <w:pPr>
        <w:pStyle w:val="Heading1"/>
      </w:pPr>
      <w:bookmarkStart w:id="32" w:name="_Toc318886714"/>
      <w:r>
        <w:t>Connections, not improvements</w:t>
      </w:r>
      <w:bookmarkEnd w:id="32"/>
    </w:p>
    <w:p w:rsidR="00FF20E9" w:rsidRDefault="0015626D" w:rsidP="00FF20E9">
      <w:r>
        <w:t xml:space="preserve">The Millennium Development Goals (MDG) set targets for water and sanitation in </w:t>
      </w:r>
      <w:r w:rsidR="000F4A0C">
        <w:t>developing countries, to be achieved by 2015. Remarkably, the MDG for drinking water has already been achieved</w:t>
      </w:r>
      <w:r w:rsidR="00FF20E9">
        <w:t>, 5 years ahead of target. B</w:t>
      </w:r>
      <w:r w:rsidR="000F4A0C">
        <w:t>y 2010, only 11% of the world’s population were using ‘unimproved’ water sources</w:t>
      </w:r>
      <w:r w:rsidR="00FF20E9">
        <w:t xml:space="preserve">, compared with the MDG target of less than 12%. </w:t>
      </w:r>
    </w:p>
    <w:p w:rsidR="00FF20E9" w:rsidRDefault="00FF20E9" w:rsidP="00FF20E9"/>
    <w:p w:rsidR="00FF20E9" w:rsidRDefault="000F4A0C" w:rsidP="00FF20E9">
      <w:pPr>
        <w:rPr>
          <w:szCs w:val="22"/>
          <w:lang w:eastAsia="en-US"/>
        </w:rPr>
      </w:pPr>
      <w:r>
        <w:t xml:space="preserve">Although the MDGs were expressed only in terms of ‘improved’ sources, </w:t>
      </w:r>
      <w:r w:rsidR="0015626D">
        <w:t xml:space="preserve">it is </w:t>
      </w:r>
      <w:r>
        <w:t xml:space="preserve">also </w:t>
      </w:r>
      <w:r w:rsidR="0015626D">
        <w:t xml:space="preserve">clear that developing countries themselves are </w:t>
      </w:r>
      <w:r>
        <w:t xml:space="preserve">mainly </w:t>
      </w:r>
      <w:r w:rsidR="0015626D">
        <w:t xml:space="preserve">seeking and achieving household connections. In the last 20 years, </w:t>
      </w:r>
      <w:r w:rsidR="005C4DDA">
        <w:t>two-thirds</w:t>
      </w:r>
      <w:r>
        <w:t xml:space="preserve"> </w:t>
      </w:r>
      <w:r w:rsidR="00AC5EA8">
        <w:t>of the advances in water systems in developing countries consist</w:t>
      </w:r>
      <w:r>
        <w:t>ed</w:t>
      </w:r>
      <w:r w:rsidR="00AC5EA8">
        <w:t xml:space="preserve"> of </w:t>
      </w:r>
      <w:r>
        <w:t xml:space="preserve">new </w:t>
      </w:r>
      <w:r w:rsidR="00AC5EA8">
        <w:t xml:space="preserve">household connections, rather than ‘improved sources’. </w:t>
      </w:r>
      <w:r>
        <w:t xml:space="preserve">Between 1990 and 2010, a period of 20 years, </w:t>
      </w:r>
      <w:r>
        <w:rPr>
          <w:szCs w:val="22"/>
        </w:rPr>
        <w:t>more than 1</w:t>
      </w:r>
      <w:r w:rsidRPr="00CA0BE2">
        <w:rPr>
          <w:szCs w:val="22"/>
        </w:rPr>
        <w:t>.2</w:t>
      </w:r>
      <w:r w:rsidR="00FF20E9">
        <w:rPr>
          <w:szCs w:val="22"/>
        </w:rPr>
        <w:t>6</w:t>
      </w:r>
      <w:r>
        <w:rPr>
          <w:szCs w:val="22"/>
        </w:rPr>
        <w:t xml:space="preserve"> </w:t>
      </w:r>
      <w:r w:rsidRPr="00CA0BE2">
        <w:rPr>
          <w:szCs w:val="22"/>
        </w:rPr>
        <w:t>billion people worldwide gained access to a piped connectio</w:t>
      </w:r>
      <w:r w:rsidR="00FF20E9">
        <w:rPr>
          <w:szCs w:val="22"/>
        </w:rPr>
        <w:t xml:space="preserve">n on </w:t>
      </w:r>
      <w:r w:rsidR="00D71F5E">
        <w:rPr>
          <w:szCs w:val="22"/>
        </w:rPr>
        <w:t xml:space="preserve">the </w:t>
      </w:r>
      <w:r w:rsidR="00FF20E9">
        <w:rPr>
          <w:szCs w:val="22"/>
        </w:rPr>
        <w:t>premise</w:t>
      </w:r>
      <w:r w:rsidR="00D71F5E">
        <w:rPr>
          <w:szCs w:val="22"/>
        </w:rPr>
        <w:t>s</w:t>
      </w:r>
      <w:r w:rsidR="00FF20E9">
        <w:rPr>
          <w:szCs w:val="22"/>
        </w:rPr>
        <w:t xml:space="preserve">, equivalent to the combined populations of all OECD countries, including all of Europe, </w:t>
      </w:r>
      <w:r w:rsidR="00F44833">
        <w:rPr>
          <w:szCs w:val="22"/>
        </w:rPr>
        <w:t>North America</w:t>
      </w:r>
      <w:r w:rsidR="00FF20E9">
        <w:rPr>
          <w:szCs w:val="22"/>
        </w:rPr>
        <w:t xml:space="preserve">, Japan and Korea. </w:t>
      </w:r>
      <w:r w:rsidR="005C4DDA">
        <w:rPr>
          <w:szCs w:val="22"/>
        </w:rPr>
        <w:t xml:space="preserve">This is an astonishing achievement in such a short period. </w:t>
      </w:r>
      <w:r w:rsidR="004848BC">
        <w:rPr>
          <w:szCs w:val="22"/>
          <w:lang w:eastAsia="en-US"/>
        </w:rPr>
        <w:t>Developing countries have also provided ‘improved’ sanitation for an extra 1.6 billion people, covering 56% of the population in all. This falls short of the MDG target of 75%, and there is no data on household sewerage connections as opposed to ‘improved’.</w:t>
      </w:r>
      <w:r w:rsidR="003524C4">
        <w:rPr>
          <w:rStyle w:val="EndnoteReference"/>
          <w:szCs w:val="22"/>
        </w:rPr>
        <w:endnoteReference w:id="46"/>
      </w:r>
      <w:r w:rsidR="00FF20E9">
        <w:rPr>
          <w:szCs w:val="22"/>
        </w:rPr>
        <w:t xml:space="preserve"> </w:t>
      </w:r>
      <w:r w:rsidR="00FF20E9">
        <w:rPr>
          <w:rStyle w:val="FootnoteReference"/>
          <w:szCs w:val="22"/>
          <w:lang w:eastAsia="en-US"/>
        </w:rPr>
        <w:footnoteReference w:id="1"/>
      </w:r>
      <w:r w:rsidR="00FF20E9">
        <w:rPr>
          <w:szCs w:val="22"/>
          <w:lang w:eastAsia="en-US"/>
        </w:rPr>
        <w:t xml:space="preserve"> </w:t>
      </w:r>
    </w:p>
    <w:p w:rsidR="00486E8F" w:rsidRDefault="000E2742" w:rsidP="000E2742">
      <w:pPr>
        <w:pStyle w:val="Heading7"/>
      </w:pPr>
      <w:bookmarkStart w:id="33" w:name="_Toc318886715"/>
      <w:r>
        <w:t xml:space="preserve">Household piped </w:t>
      </w:r>
      <w:r w:rsidR="00D71F5E">
        <w:t xml:space="preserve">water </w:t>
      </w:r>
      <w:r>
        <w:t>connections and MDGs: developing regions</w:t>
      </w:r>
      <w:bookmarkEnd w:id="33"/>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1441"/>
        <w:gridCol w:w="1189"/>
        <w:gridCol w:w="1399"/>
        <w:gridCol w:w="1399"/>
        <w:gridCol w:w="1478"/>
        <w:gridCol w:w="1478"/>
      </w:tblGrid>
      <w:tr w:rsidR="000E2742" w:rsidRPr="00485569" w:rsidTr="00485569">
        <w:tc>
          <w:tcPr>
            <w:tcW w:w="1219" w:type="dxa"/>
          </w:tcPr>
          <w:p w:rsidR="000E2742" w:rsidRPr="00485569" w:rsidRDefault="000E2742" w:rsidP="00240D84">
            <w:pPr>
              <w:rPr>
                <w:sz w:val="18"/>
                <w:szCs w:val="18"/>
              </w:rPr>
            </w:pPr>
            <w:r w:rsidRPr="00485569">
              <w:rPr>
                <w:sz w:val="18"/>
                <w:szCs w:val="18"/>
              </w:rPr>
              <w:t>year</w:t>
            </w:r>
          </w:p>
        </w:tc>
        <w:tc>
          <w:tcPr>
            <w:tcW w:w="1441" w:type="dxa"/>
          </w:tcPr>
          <w:p w:rsidR="000E2742" w:rsidRPr="00485569" w:rsidRDefault="000E2742" w:rsidP="000E2742">
            <w:pPr>
              <w:rPr>
                <w:sz w:val="18"/>
                <w:szCs w:val="18"/>
              </w:rPr>
            </w:pPr>
            <w:r w:rsidRPr="00485569">
              <w:rPr>
                <w:sz w:val="18"/>
                <w:szCs w:val="18"/>
              </w:rPr>
              <w:t>Population with household piped connection</w:t>
            </w:r>
          </w:p>
        </w:tc>
        <w:tc>
          <w:tcPr>
            <w:tcW w:w="1189" w:type="dxa"/>
          </w:tcPr>
          <w:p w:rsidR="000E2742" w:rsidRPr="00485569" w:rsidRDefault="000E2742" w:rsidP="00240D84">
            <w:pPr>
              <w:rPr>
                <w:sz w:val="18"/>
                <w:szCs w:val="18"/>
              </w:rPr>
            </w:pPr>
          </w:p>
        </w:tc>
        <w:tc>
          <w:tcPr>
            <w:tcW w:w="1399" w:type="dxa"/>
          </w:tcPr>
          <w:p w:rsidR="000E2742" w:rsidRPr="00485569" w:rsidRDefault="000E2742" w:rsidP="000E2742">
            <w:pPr>
              <w:rPr>
                <w:sz w:val="18"/>
                <w:szCs w:val="18"/>
              </w:rPr>
            </w:pPr>
            <w:r w:rsidRPr="00485569">
              <w:rPr>
                <w:sz w:val="18"/>
                <w:szCs w:val="18"/>
              </w:rPr>
              <w:t>Population with ‘improved’ water source</w:t>
            </w:r>
          </w:p>
        </w:tc>
        <w:tc>
          <w:tcPr>
            <w:tcW w:w="1399" w:type="dxa"/>
          </w:tcPr>
          <w:p w:rsidR="000E2742" w:rsidRPr="00485569" w:rsidRDefault="000E2742" w:rsidP="000E2742">
            <w:pPr>
              <w:rPr>
                <w:sz w:val="18"/>
                <w:szCs w:val="18"/>
              </w:rPr>
            </w:pPr>
          </w:p>
        </w:tc>
        <w:tc>
          <w:tcPr>
            <w:tcW w:w="1478" w:type="dxa"/>
          </w:tcPr>
          <w:p w:rsidR="000E2742" w:rsidRPr="00485569" w:rsidRDefault="000E2742" w:rsidP="000E2742">
            <w:pPr>
              <w:rPr>
                <w:sz w:val="18"/>
                <w:szCs w:val="18"/>
              </w:rPr>
            </w:pPr>
            <w:r w:rsidRPr="00485569">
              <w:rPr>
                <w:sz w:val="18"/>
                <w:szCs w:val="18"/>
              </w:rPr>
              <w:t>Population with ‘improved’ sanitation</w:t>
            </w:r>
          </w:p>
        </w:tc>
        <w:tc>
          <w:tcPr>
            <w:tcW w:w="1478" w:type="dxa"/>
          </w:tcPr>
          <w:p w:rsidR="000E2742" w:rsidRPr="00485569" w:rsidRDefault="000E2742" w:rsidP="00240D84">
            <w:pPr>
              <w:rPr>
                <w:sz w:val="18"/>
                <w:szCs w:val="18"/>
              </w:rPr>
            </w:pPr>
          </w:p>
        </w:tc>
      </w:tr>
      <w:tr w:rsidR="00D71F5E" w:rsidRPr="00485569" w:rsidTr="00485569">
        <w:tc>
          <w:tcPr>
            <w:tcW w:w="1219" w:type="dxa"/>
          </w:tcPr>
          <w:p w:rsidR="00D71F5E" w:rsidRPr="00485569" w:rsidRDefault="00D71F5E" w:rsidP="00240D84">
            <w:pPr>
              <w:rPr>
                <w:sz w:val="18"/>
                <w:szCs w:val="18"/>
              </w:rPr>
            </w:pPr>
          </w:p>
        </w:tc>
        <w:tc>
          <w:tcPr>
            <w:tcW w:w="1441" w:type="dxa"/>
          </w:tcPr>
          <w:p w:rsidR="00D71F5E" w:rsidRPr="00485569" w:rsidRDefault="00D71F5E" w:rsidP="00485569">
            <w:pPr>
              <w:jc w:val="right"/>
              <w:rPr>
                <w:sz w:val="18"/>
                <w:szCs w:val="18"/>
              </w:rPr>
            </w:pPr>
            <w:r w:rsidRPr="00485569">
              <w:rPr>
                <w:sz w:val="18"/>
                <w:szCs w:val="18"/>
              </w:rPr>
              <w:t>%</w:t>
            </w:r>
          </w:p>
        </w:tc>
        <w:tc>
          <w:tcPr>
            <w:tcW w:w="1189" w:type="dxa"/>
          </w:tcPr>
          <w:p w:rsidR="00D71F5E" w:rsidRPr="00485569" w:rsidRDefault="00D71F5E" w:rsidP="00485569">
            <w:pPr>
              <w:jc w:val="right"/>
              <w:rPr>
                <w:sz w:val="18"/>
                <w:szCs w:val="18"/>
              </w:rPr>
            </w:pPr>
            <w:r w:rsidRPr="00485569">
              <w:rPr>
                <w:sz w:val="18"/>
                <w:szCs w:val="18"/>
              </w:rPr>
              <w:t>Millions</w:t>
            </w:r>
          </w:p>
        </w:tc>
        <w:tc>
          <w:tcPr>
            <w:tcW w:w="1399" w:type="dxa"/>
          </w:tcPr>
          <w:p w:rsidR="00D71F5E" w:rsidRPr="00485569" w:rsidRDefault="00D71F5E" w:rsidP="00485569">
            <w:pPr>
              <w:jc w:val="right"/>
              <w:rPr>
                <w:sz w:val="18"/>
                <w:szCs w:val="18"/>
              </w:rPr>
            </w:pPr>
            <w:r w:rsidRPr="00485569">
              <w:rPr>
                <w:sz w:val="18"/>
                <w:szCs w:val="18"/>
              </w:rPr>
              <w:t>%</w:t>
            </w:r>
          </w:p>
        </w:tc>
        <w:tc>
          <w:tcPr>
            <w:tcW w:w="1399" w:type="dxa"/>
          </w:tcPr>
          <w:p w:rsidR="00D71F5E" w:rsidRPr="00485569" w:rsidRDefault="00D71F5E" w:rsidP="00485569">
            <w:pPr>
              <w:jc w:val="right"/>
              <w:rPr>
                <w:sz w:val="18"/>
                <w:szCs w:val="18"/>
              </w:rPr>
            </w:pPr>
            <w:r w:rsidRPr="00485569">
              <w:rPr>
                <w:sz w:val="18"/>
                <w:szCs w:val="18"/>
              </w:rPr>
              <w:t>Millions</w:t>
            </w:r>
          </w:p>
        </w:tc>
        <w:tc>
          <w:tcPr>
            <w:tcW w:w="1478" w:type="dxa"/>
          </w:tcPr>
          <w:p w:rsidR="00D71F5E" w:rsidRPr="00485569" w:rsidRDefault="00D71F5E" w:rsidP="00485569">
            <w:pPr>
              <w:jc w:val="right"/>
              <w:rPr>
                <w:sz w:val="18"/>
                <w:szCs w:val="18"/>
              </w:rPr>
            </w:pPr>
            <w:r w:rsidRPr="00485569">
              <w:rPr>
                <w:sz w:val="18"/>
                <w:szCs w:val="18"/>
              </w:rPr>
              <w:t>%</w:t>
            </w:r>
          </w:p>
        </w:tc>
        <w:tc>
          <w:tcPr>
            <w:tcW w:w="1478" w:type="dxa"/>
          </w:tcPr>
          <w:p w:rsidR="00D71F5E" w:rsidRPr="00485569" w:rsidRDefault="00D71F5E" w:rsidP="00485569">
            <w:pPr>
              <w:jc w:val="right"/>
              <w:rPr>
                <w:sz w:val="18"/>
                <w:szCs w:val="18"/>
              </w:rPr>
            </w:pPr>
            <w:r w:rsidRPr="00485569">
              <w:rPr>
                <w:sz w:val="18"/>
                <w:szCs w:val="18"/>
              </w:rPr>
              <w:t>Millions</w:t>
            </w:r>
          </w:p>
        </w:tc>
      </w:tr>
      <w:tr w:rsidR="000E2742" w:rsidRPr="00485569" w:rsidTr="00485569">
        <w:tc>
          <w:tcPr>
            <w:tcW w:w="1219" w:type="dxa"/>
          </w:tcPr>
          <w:p w:rsidR="000E2742" w:rsidRPr="00485569" w:rsidRDefault="000E2742" w:rsidP="00240D84">
            <w:pPr>
              <w:rPr>
                <w:sz w:val="18"/>
                <w:szCs w:val="18"/>
              </w:rPr>
            </w:pPr>
            <w:r w:rsidRPr="00485569">
              <w:rPr>
                <w:sz w:val="18"/>
                <w:szCs w:val="18"/>
              </w:rPr>
              <w:t>1990</w:t>
            </w:r>
          </w:p>
        </w:tc>
        <w:tc>
          <w:tcPr>
            <w:tcW w:w="1441" w:type="dxa"/>
            <w:vAlign w:val="bottom"/>
          </w:tcPr>
          <w:p w:rsidR="000E2742" w:rsidRPr="00485569" w:rsidRDefault="000E2742" w:rsidP="00485569">
            <w:pPr>
              <w:jc w:val="right"/>
              <w:rPr>
                <w:sz w:val="18"/>
                <w:szCs w:val="18"/>
              </w:rPr>
            </w:pPr>
            <w:r w:rsidRPr="00485569">
              <w:rPr>
                <w:sz w:val="18"/>
                <w:szCs w:val="18"/>
              </w:rPr>
              <w:t xml:space="preserve"> </w:t>
            </w:r>
            <w:r w:rsidRPr="00485569">
              <w:rPr>
                <w:bCs/>
                <w:color w:val="000000"/>
                <w:sz w:val="18"/>
                <w:szCs w:val="18"/>
              </w:rPr>
              <w:t xml:space="preserve">32 </w:t>
            </w:r>
            <w:r w:rsidRPr="00485569">
              <w:rPr>
                <w:sz w:val="18"/>
                <w:szCs w:val="18"/>
              </w:rPr>
              <w:t xml:space="preserve"> </w:t>
            </w:r>
          </w:p>
        </w:tc>
        <w:tc>
          <w:tcPr>
            <w:tcW w:w="1189" w:type="dxa"/>
            <w:vAlign w:val="bottom"/>
          </w:tcPr>
          <w:p w:rsidR="000E2742" w:rsidRPr="00485569" w:rsidRDefault="000E2742" w:rsidP="00485569">
            <w:pPr>
              <w:jc w:val="right"/>
              <w:rPr>
                <w:color w:val="000000"/>
                <w:sz w:val="18"/>
                <w:szCs w:val="18"/>
              </w:rPr>
            </w:pPr>
            <w:r w:rsidRPr="00485569">
              <w:rPr>
                <w:color w:val="000000"/>
                <w:sz w:val="18"/>
                <w:szCs w:val="18"/>
              </w:rPr>
              <w:t>1,324</w:t>
            </w:r>
          </w:p>
        </w:tc>
        <w:tc>
          <w:tcPr>
            <w:tcW w:w="1399" w:type="dxa"/>
            <w:vAlign w:val="bottom"/>
          </w:tcPr>
          <w:p w:rsidR="000E2742" w:rsidRPr="00485569" w:rsidRDefault="000E2742" w:rsidP="00485569">
            <w:pPr>
              <w:jc w:val="right"/>
              <w:rPr>
                <w:color w:val="000000"/>
                <w:sz w:val="18"/>
                <w:szCs w:val="18"/>
              </w:rPr>
            </w:pPr>
            <w:r w:rsidRPr="00485569">
              <w:rPr>
                <w:color w:val="000000"/>
                <w:sz w:val="18"/>
                <w:szCs w:val="18"/>
              </w:rPr>
              <w:t>70</w:t>
            </w:r>
          </w:p>
        </w:tc>
        <w:tc>
          <w:tcPr>
            <w:tcW w:w="1399" w:type="dxa"/>
            <w:vAlign w:val="bottom"/>
          </w:tcPr>
          <w:p w:rsidR="000E2742" w:rsidRPr="00485569" w:rsidRDefault="000E2742" w:rsidP="00485569">
            <w:pPr>
              <w:jc w:val="right"/>
              <w:rPr>
                <w:color w:val="000000"/>
                <w:sz w:val="18"/>
                <w:szCs w:val="18"/>
              </w:rPr>
            </w:pPr>
            <w:r w:rsidRPr="00485569">
              <w:rPr>
                <w:color w:val="000000"/>
                <w:sz w:val="18"/>
                <w:szCs w:val="18"/>
              </w:rPr>
              <w:t>2,896</w:t>
            </w:r>
          </w:p>
        </w:tc>
        <w:tc>
          <w:tcPr>
            <w:tcW w:w="1478" w:type="dxa"/>
            <w:vAlign w:val="bottom"/>
          </w:tcPr>
          <w:p w:rsidR="000E2742" w:rsidRPr="00485569" w:rsidRDefault="000E2742" w:rsidP="00485569">
            <w:pPr>
              <w:jc w:val="right"/>
              <w:rPr>
                <w:sz w:val="18"/>
                <w:szCs w:val="18"/>
              </w:rPr>
            </w:pPr>
            <w:r w:rsidRPr="00485569">
              <w:rPr>
                <w:sz w:val="18"/>
                <w:szCs w:val="18"/>
              </w:rPr>
              <w:t xml:space="preserve"> </w:t>
            </w:r>
            <w:r w:rsidRPr="00485569">
              <w:rPr>
                <w:bCs/>
                <w:color w:val="000000"/>
                <w:sz w:val="18"/>
                <w:szCs w:val="18"/>
              </w:rPr>
              <w:t xml:space="preserve">36 </w:t>
            </w:r>
            <w:r w:rsidRPr="00485569">
              <w:rPr>
                <w:sz w:val="18"/>
                <w:szCs w:val="18"/>
              </w:rPr>
              <w:t xml:space="preserve"> </w:t>
            </w:r>
          </w:p>
        </w:tc>
        <w:tc>
          <w:tcPr>
            <w:tcW w:w="1478" w:type="dxa"/>
            <w:vAlign w:val="bottom"/>
          </w:tcPr>
          <w:p w:rsidR="000E2742" w:rsidRPr="00485569" w:rsidRDefault="000E2742" w:rsidP="00485569">
            <w:pPr>
              <w:jc w:val="right"/>
              <w:rPr>
                <w:color w:val="000000"/>
                <w:sz w:val="18"/>
                <w:szCs w:val="18"/>
              </w:rPr>
            </w:pPr>
            <w:r w:rsidRPr="00485569">
              <w:rPr>
                <w:color w:val="000000"/>
                <w:sz w:val="18"/>
                <w:szCs w:val="18"/>
              </w:rPr>
              <w:t>1,489</w:t>
            </w:r>
          </w:p>
        </w:tc>
      </w:tr>
      <w:tr w:rsidR="000E2742" w:rsidRPr="00485569" w:rsidTr="00485569">
        <w:tc>
          <w:tcPr>
            <w:tcW w:w="1219" w:type="dxa"/>
          </w:tcPr>
          <w:p w:rsidR="000E2742" w:rsidRPr="00485569" w:rsidRDefault="000E2742" w:rsidP="00240D84">
            <w:pPr>
              <w:rPr>
                <w:sz w:val="18"/>
                <w:szCs w:val="18"/>
              </w:rPr>
            </w:pPr>
            <w:r w:rsidRPr="00485569">
              <w:rPr>
                <w:sz w:val="18"/>
                <w:szCs w:val="18"/>
              </w:rPr>
              <w:t>2010</w:t>
            </w:r>
          </w:p>
        </w:tc>
        <w:tc>
          <w:tcPr>
            <w:tcW w:w="1441" w:type="dxa"/>
            <w:vAlign w:val="bottom"/>
          </w:tcPr>
          <w:p w:rsidR="000E2742" w:rsidRPr="00485569" w:rsidRDefault="000E2742" w:rsidP="00485569">
            <w:pPr>
              <w:jc w:val="right"/>
              <w:rPr>
                <w:sz w:val="18"/>
                <w:szCs w:val="18"/>
              </w:rPr>
            </w:pPr>
            <w:r w:rsidRPr="00485569">
              <w:rPr>
                <w:sz w:val="18"/>
                <w:szCs w:val="18"/>
              </w:rPr>
              <w:t xml:space="preserve"> </w:t>
            </w:r>
            <w:r w:rsidRPr="00485569">
              <w:rPr>
                <w:bCs/>
                <w:color w:val="000000"/>
                <w:sz w:val="18"/>
                <w:szCs w:val="18"/>
              </w:rPr>
              <w:t xml:space="preserve">46 </w:t>
            </w:r>
            <w:r w:rsidRPr="00485569">
              <w:rPr>
                <w:sz w:val="18"/>
                <w:szCs w:val="18"/>
              </w:rPr>
              <w:t xml:space="preserve"> </w:t>
            </w:r>
          </w:p>
        </w:tc>
        <w:tc>
          <w:tcPr>
            <w:tcW w:w="1189" w:type="dxa"/>
            <w:vAlign w:val="bottom"/>
          </w:tcPr>
          <w:p w:rsidR="000E2742" w:rsidRPr="00485569" w:rsidRDefault="000E2742" w:rsidP="00485569">
            <w:pPr>
              <w:jc w:val="right"/>
              <w:rPr>
                <w:color w:val="000000"/>
                <w:sz w:val="18"/>
                <w:szCs w:val="18"/>
              </w:rPr>
            </w:pPr>
            <w:r w:rsidRPr="00485569">
              <w:rPr>
                <w:color w:val="000000"/>
                <w:sz w:val="18"/>
                <w:szCs w:val="18"/>
              </w:rPr>
              <w:t>2,589</w:t>
            </w:r>
          </w:p>
        </w:tc>
        <w:tc>
          <w:tcPr>
            <w:tcW w:w="1399" w:type="dxa"/>
            <w:vAlign w:val="bottom"/>
          </w:tcPr>
          <w:p w:rsidR="000E2742" w:rsidRPr="00485569" w:rsidRDefault="000E2742" w:rsidP="00485569">
            <w:pPr>
              <w:jc w:val="right"/>
              <w:rPr>
                <w:color w:val="000000"/>
                <w:sz w:val="18"/>
                <w:szCs w:val="18"/>
              </w:rPr>
            </w:pPr>
            <w:r w:rsidRPr="00485569">
              <w:rPr>
                <w:color w:val="000000"/>
                <w:sz w:val="18"/>
                <w:szCs w:val="18"/>
              </w:rPr>
              <w:t>86</w:t>
            </w:r>
          </w:p>
        </w:tc>
        <w:tc>
          <w:tcPr>
            <w:tcW w:w="1399" w:type="dxa"/>
            <w:vAlign w:val="bottom"/>
          </w:tcPr>
          <w:p w:rsidR="000E2742" w:rsidRPr="00485569" w:rsidRDefault="000E2742" w:rsidP="00485569">
            <w:pPr>
              <w:jc w:val="right"/>
              <w:rPr>
                <w:color w:val="000000"/>
                <w:sz w:val="18"/>
                <w:szCs w:val="18"/>
              </w:rPr>
            </w:pPr>
            <w:r w:rsidRPr="00485569">
              <w:rPr>
                <w:color w:val="000000"/>
                <w:sz w:val="18"/>
                <w:szCs w:val="18"/>
              </w:rPr>
              <w:t>4,840</w:t>
            </w:r>
          </w:p>
        </w:tc>
        <w:tc>
          <w:tcPr>
            <w:tcW w:w="1478" w:type="dxa"/>
            <w:vAlign w:val="bottom"/>
          </w:tcPr>
          <w:p w:rsidR="000E2742" w:rsidRPr="00485569" w:rsidRDefault="000E2742" w:rsidP="00485569">
            <w:pPr>
              <w:jc w:val="right"/>
              <w:rPr>
                <w:sz w:val="18"/>
                <w:szCs w:val="18"/>
              </w:rPr>
            </w:pPr>
            <w:r w:rsidRPr="00485569">
              <w:rPr>
                <w:sz w:val="18"/>
                <w:szCs w:val="18"/>
              </w:rPr>
              <w:t xml:space="preserve"> </w:t>
            </w:r>
            <w:r w:rsidRPr="00485569">
              <w:rPr>
                <w:bCs/>
                <w:color w:val="000000"/>
                <w:sz w:val="18"/>
                <w:szCs w:val="18"/>
              </w:rPr>
              <w:t xml:space="preserve">56 </w:t>
            </w:r>
            <w:r w:rsidRPr="00485569">
              <w:rPr>
                <w:sz w:val="18"/>
                <w:szCs w:val="18"/>
              </w:rPr>
              <w:t xml:space="preserve"> </w:t>
            </w:r>
          </w:p>
        </w:tc>
        <w:tc>
          <w:tcPr>
            <w:tcW w:w="1478" w:type="dxa"/>
            <w:vAlign w:val="bottom"/>
          </w:tcPr>
          <w:p w:rsidR="000E2742" w:rsidRPr="00485569" w:rsidRDefault="000E2742" w:rsidP="00485569">
            <w:pPr>
              <w:jc w:val="right"/>
              <w:rPr>
                <w:color w:val="000000"/>
                <w:sz w:val="18"/>
                <w:szCs w:val="18"/>
              </w:rPr>
            </w:pPr>
            <w:r w:rsidRPr="00485569">
              <w:rPr>
                <w:color w:val="000000"/>
                <w:sz w:val="18"/>
                <w:szCs w:val="18"/>
              </w:rPr>
              <w:t>3,152</w:t>
            </w:r>
          </w:p>
        </w:tc>
      </w:tr>
      <w:tr w:rsidR="000E2742" w:rsidRPr="00485569" w:rsidTr="00485569">
        <w:tc>
          <w:tcPr>
            <w:tcW w:w="1219" w:type="dxa"/>
          </w:tcPr>
          <w:p w:rsidR="000E2742" w:rsidRPr="00485569" w:rsidRDefault="000E2742" w:rsidP="000E2742">
            <w:pPr>
              <w:rPr>
                <w:sz w:val="18"/>
                <w:szCs w:val="18"/>
              </w:rPr>
            </w:pPr>
            <w:r w:rsidRPr="00485569">
              <w:rPr>
                <w:sz w:val="18"/>
                <w:szCs w:val="18"/>
              </w:rPr>
              <w:t>Change (nos)</w:t>
            </w:r>
          </w:p>
        </w:tc>
        <w:tc>
          <w:tcPr>
            <w:tcW w:w="1441" w:type="dxa"/>
            <w:vAlign w:val="bottom"/>
          </w:tcPr>
          <w:p w:rsidR="000E2742" w:rsidRPr="00485569" w:rsidRDefault="000E2742" w:rsidP="00485569">
            <w:pPr>
              <w:jc w:val="right"/>
              <w:rPr>
                <w:color w:val="000000"/>
                <w:sz w:val="18"/>
                <w:szCs w:val="18"/>
              </w:rPr>
            </w:pPr>
          </w:p>
        </w:tc>
        <w:tc>
          <w:tcPr>
            <w:tcW w:w="1189" w:type="dxa"/>
            <w:vAlign w:val="bottom"/>
          </w:tcPr>
          <w:p w:rsidR="000E2742" w:rsidRPr="00485569" w:rsidRDefault="000E2742" w:rsidP="00485569">
            <w:pPr>
              <w:jc w:val="right"/>
              <w:rPr>
                <w:color w:val="000000"/>
                <w:sz w:val="18"/>
                <w:szCs w:val="18"/>
              </w:rPr>
            </w:pPr>
            <w:r w:rsidRPr="00485569">
              <w:rPr>
                <w:color w:val="000000"/>
                <w:sz w:val="18"/>
                <w:szCs w:val="18"/>
              </w:rPr>
              <w:t>1,265</w:t>
            </w:r>
          </w:p>
        </w:tc>
        <w:tc>
          <w:tcPr>
            <w:tcW w:w="1399" w:type="dxa"/>
            <w:vAlign w:val="bottom"/>
          </w:tcPr>
          <w:p w:rsidR="000E2742" w:rsidRPr="00485569" w:rsidRDefault="000E2742" w:rsidP="00485569">
            <w:pPr>
              <w:jc w:val="right"/>
              <w:rPr>
                <w:color w:val="000000"/>
                <w:sz w:val="18"/>
                <w:szCs w:val="18"/>
              </w:rPr>
            </w:pPr>
          </w:p>
        </w:tc>
        <w:tc>
          <w:tcPr>
            <w:tcW w:w="1399" w:type="dxa"/>
            <w:vAlign w:val="bottom"/>
          </w:tcPr>
          <w:p w:rsidR="000E2742" w:rsidRPr="00485569" w:rsidRDefault="000E2742" w:rsidP="00485569">
            <w:pPr>
              <w:jc w:val="right"/>
              <w:rPr>
                <w:color w:val="000000"/>
                <w:sz w:val="18"/>
                <w:szCs w:val="18"/>
              </w:rPr>
            </w:pPr>
            <w:r w:rsidRPr="00485569">
              <w:rPr>
                <w:color w:val="000000"/>
                <w:sz w:val="18"/>
                <w:szCs w:val="18"/>
              </w:rPr>
              <w:t>1,944</w:t>
            </w:r>
          </w:p>
        </w:tc>
        <w:tc>
          <w:tcPr>
            <w:tcW w:w="1478" w:type="dxa"/>
            <w:vAlign w:val="bottom"/>
          </w:tcPr>
          <w:p w:rsidR="000E2742" w:rsidRPr="00485569" w:rsidRDefault="000E2742" w:rsidP="00485569">
            <w:pPr>
              <w:jc w:val="right"/>
              <w:rPr>
                <w:color w:val="000000"/>
                <w:sz w:val="18"/>
                <w:szCs w:val="18"/>
              </w:rPr>
            </w:pPr>
          </w:p>
        </w:tc>
        <w:tc>
          <w:tcPr>
            <w:tcW w:w="1478" w:type="dxa"/>
            <w:vAlign w:val="bottom"/>
          </w:tcPr>
          <w:p w:rsidR="000E2742" w:rsidRPr="00485569" w:rsidRDefault="000E2742" w:rsidP="00485569">
            <w:pPr>
              <w:jc w:val="right"/>
              <w:rPr>
                <w:color w:val="000000"/>
                <w:sz w:val="18"/>
                <w:szCs w:val="18"/>
              </w:rPr>
            </w:pPr>
            <w:r w:rsidRPr="00485569">
              <w:rPr>
                <w:color w:val="000000"/>
                <w:sz w:val="18"/>
                <w:szCs w:val="18"/>
              </w:rPr>
              <w:t>1,662</w:t>
            </w:r>
          </w:p>
        </w:tc>
      </w:tr>
      <w:tr w:rsidR="000E2742" w:rsidRPr="00485569" w:rsidTr="00485569">
        <w:tc>
          <w:tcPr>
            <w:tcW w:w="1219" w:type="dxa"/>
          </w:tcPr>
          <w:p w:rsidR="000E2742" w:rsidRPr="00485569" w:rsidRDefault="000E2742" w:rsidP="00240D84">
            <w:pPr>
              <w:rPr>
                <w:sz w:val="18"/>
                <w:szCs w:val="18"/>
              </w:rPr>
            </w:pPr>
            <w:r w:rsidRPr="00485569">
              <w:rPr>
                <w:sz w:val="18"/>
                <w:szCs w:val="18"/>
              </w:rPr>
              <w:t>Change %</w:t>
            </w:r>
          </w:p>
        </w:tc>
        <w:tc>
          <w:tcPr>
            <w:tcW w:w="1441" w:type="dxa"/>
            <w:vAlign w:val="bottom"/>
          </w:tcPr>
          <w:p w:rsidR="000E2742" w:rsidRPr="00485569" w:rsidRDefault="000E2742" w:rsidP="00485569">
            <w:pPr>
              <w:jc w:val="right"/>
              <w:rPr>
                <w:color w:val="000000"/>
                <w:sz w:val="18"/>
                <w:szCs w:val="18"/>
              </w:rPr>
            </w:pPr>
          </w:p>
        </w:tc>
        <w:tc>
          <w:tcPr>
            <w:tcW w:w="1189" w:type="dxa"/>
            <w:vAlign w:val="bottom"/>
          </w:tcPr>
          <w:p w:rsidR="000E2742" w:rsidRPr="00485569" w:rsidRDefault="000E2742" w:rsidP="00485569">
            <w:pPr>
              <w:jc w:val="right"/>
              <w:rPr>
                <w:color w:val="000000"/>
                <w:sz w:val="18"/>
                <w:szCs w:val="18"/>
              </w:rPr>
            </w:pPr>
            <w:r w:rsidRPr="00485569">
              <w:rPr>
                <w:color w:val="000000"/>
                <w:sz w:val="18"/>
                <w:szCs w:val="18"/>
              </w:rPr>
              <w:t>96</w:t>
            </w:r>
          </w:p>
        </w:tc>
        <w:tc>
          <w:tcPr>
            <w:tcW w:w="1399" w:type="dxa"/>
            <w:vAlign w:val="bottom"/>
          </w:tcPr>
          <w:p w:rsidR="000E2742" w:rsidRPr="00485569" w:rsidRDefault="000E2742" w:rsidP="00485569">
            <w:pPr>
              <w:jc w:val="right"/>
              <w:rPr>
                <w:color w:val="000000"/>
                <w:sz w:val="18"/>
                <w:szCs w:val="18"/>
              </w:rPr>
            </w:pPr>
          </w:p>
        </w:tc>
        <w:tc>
          <w:tcPr>
            <w:tcW w:w="1399" w:type="dxa"/>
            <w:vAlign w:val="bottom"/>
          </w:tcPr>
          <w:p w:rsidR="000E2742" w:rsidRPr="00485569" w:rsidRDefault="000E2742" w:rsidP="00485569">
            <w:pPr>
              <w:jc w:val="right"/>
              <w:rPr>
                <w:color w:val="000000"/>
                <w:sz w:val="18"/>
                <w:szCs w:val="18"/>
              </w:rPr>
            </w:pPr>
            <w:r w:rsidRPr="00485569">
              <w:rPr>
                <w:color w:val="000000"/>
                <w:sz w:val="18"/>
                <w:szCs w:val="18"/>
              </w:rPr>
              <w:t>67</w:t>
            </w:r>
          </w:p>
        </w:tc>
        <w:tc>
          <w:tcPr>
            <w:tcW w:w="1478" w:type="dxa"/>
            <w:vAlign w:val="bottom"/>
          </w:tcPr>
          <w:p w:rsidR="000E2742" w:rsidRPr="00485569" w:rsidRDefault="000E2742" w:rsidP="00485569">
            <w:pPr>
              <w:jc w:val="right"/>
              <w:rPr>
                <w:color w:val="000000"/>
                <w:sz w:val="18"/>
                <w:szCs w:val="18"/>
              </w:rPr>
            </w:pPr>
          </w:p>
        </w:tc>
        <w:tc>
          <w:tcPr>
            <w:tcW w:w="1478" w:type="dxa"/>
            <w:vAlign w:val="bottom"/>
          </w:tcPr>
          <w:p w:rsidR="000E2742" w:rsidRPr="00485569" w:rsidRDefault="000E2742" w:rsidP="00485569">
            <w:pPr>
              <w:jc w:val="right"/>
              <w:rPr>
                <w:color w:val="000000"/>
                <w:sz w:val="18"/>
                <w:szCs w:val="18"/>
              </w:rPr>
            </w:pPr>
            <w:r w:rsidRPr="00485569">
              <w:rPr>
                <w:color w:val="000000"/>
                <w:sz w:val="18"/>
                <w:szCs w:val="18"/>
              </w:rPr>
              <w:t>112</w:t>
            </w:r>
          </w:p>
        </w:tc>
      </w:tr>
    </w:tbl>
    <w:p w:rsidR="000E2742" w:rsidRPr="00A76740" w:rsidRDefault="00D71F5E" w:rsidP="00240D84">
      <w:pPr>
        <w:rPr>
          <w:sz w:val="20"/>
          <w:szCs w:val="20"/>
        </w:rPr>
      </w:pPr>
      <w:r w:rsidRPr="00A76740">
        <w:rPr>
          <w:sz w:val="20"/>
          <w:szCs w:val="20"/>
        </w:rPr>
        <w:t>Source: JMP Progress on Drinking Water and Sanitation: 2012 Update</w:t>
      </w:r>
      <w:r w:rsidRPr="00A76740">
        <w:rPr>
          <w:rStyle w:val="EndnoteReference"/>
          <w:sz w:val="20"/>
          <w:szCs w:val="20"/>
        </w:rPr>
        <w:endnoteReference w:id="47"/>
      </w:r>
    </w:p>
    <w:p w:rsidR="000E2742" w:rsidRDefault="000E2742" w:rsidP="00240D84"/>
    <w:p w:rsidR="00D04526" w:rsidRDefault="0015626D" w:rsidP="00725BCC">
      <w:pPr>
        <w:rPr>
          <w:szCs w:val="22"/>
        </w:rPr>
      </w:pPr>
      <w:r w:rsidRPr="005C3250">
        <w:rPr>
          <w:szCs w:val="22"/>
        </w:rPr>
        <w:t xml:space="preserve">There are regional differences. </w:t>
      </w:r>
      <w:r w:rsidR="00240D84" w:rsidRPr="005C3250">
        <w:rPr>
          <w:szCs w:val="22"/>
        </w:rPr>
        <w:t>In Eastern Asia</w:t>
      </w:r>
      <w:r w:rsidRPr="005C3250">
        <w:rPr>
          <w:szCs w:val="22"/>
        </w:rPr>
        <w:t xml:space="preserve"> (overwhelmingly China)</w:t>
      </w:r>
      <w:r w:rsidR="00240D84" w:rsidRPr="005C3250">
        <w:rPr>
          <w:szCs w:val="22"/>
        </w:rPr>
        <w:t>, Latin America</w:t>
      </w:r>
      <w:r w:rsidR="00245E41">
        <w:rPr>
          <w:szCs w:val="22"/>
        </w:rPr>
        <w:t xml:space="preserve">, West Asia </w:t>
      </w:r>
      <w:r w:rsidR="00240D84" w:rsidRPr="005C3250">
        <w:rPr>
          <w:szCs w:val="22"/>
        </w:rPr>
        <w:t xml:space="preserve">and North Africa progress was exclusively the result of increases in piped </w:t>
      </w:r>
      <w:r w:rsidR="00C71BE4">
        <w:rPr>
          <w:szCs w:val="22"/>
        </w:rPr>
        <w:t xml:space="preserve">water </w:t>
      </w:r>
      <w:r w:rsidR="00240D84" w:rsidRPr="005C3250">
        <w:rPr>
          <w:szCs w:val="22"/>
        </w:rPr>
        <w:t>connections</w:t>
      </w:r>
      <w:r w:rsidR="00725BCC" w:rsidRPr="005C3250">
        <w:rPr>
          <w:szCs w:val="22"/>
        </w:rPr>
        <w:t xml:space="preserve"> </w:t>
      </w:r>
      <w:r w:rsidR="00240D84" w:rsidRPr="005C3250">
        <w:rPr>
          <w:szCs w:val="22"/>
        </w:rPr>
        <w:t>on premises</w:t>
      </w:r>
      <w:r w:rsidR="00725BCC" w:rsidRPr="005C3250">
        <w:rPr>
          <w:szCs w:val="22"/>
        </w:rPr>
        <w:t>, while t</w:t>
      </w:r>
      <w:r w:rsidR="00240D84" w:rsidRPr="005C3250">
        <w:rPr>
          <w:szCs w:val="22"/>
        </w:rPr>
        <w:t xml:space="preserve">he number of people </w:t>
      </w:r>
      <w:r w:rsidR="00725BCC" w:rsidRPr="005C3250">
        <w:rPr>
          <w:szCs w:val="22"/>
        </w:rPr>
        <w:t>with an ‘</w:t>
      </w:r>
      <w:r w:rsidR="00240D84" w:rsidRPr="005C3250">
        <w:rPr>
          <w:szCs w:val="22"/>
        </w:rPr>
        <w:t>improved</w:t>
      </w:r>
      <w:r w:rsidR="00725BCC" w:rsidRPr="005C3250">
        <w:rPr>
          <w:szCs w:val="22"/>
        </w:rPr>
        <w:t>’</w:t>
      </w:r>
      <w:r w:rsidR="00240D84" w:rsidRPr="005C3250">
        <w:rPr>
          <w:szCs w:val="22"/>
        </w:rPr>
        <w:t xml:space="preserve"> source</w:t>
      </w:r>
      <w:r w:rsidR="00725BCC" w:rsidRPr="005C3250">
        <w:rPr>
          <w:szCs w:val="22"/>
        </w:rPr>
        <w:t xml:space="preserve"> </w:t>
      </w:r>
      <w:r w:rsidR="00240D84" w:rsidRPr="005C3250">
        <w:rPr>
          <w:szCs w:val="22"/>
        </w:rPr>
        <w:t>actually declined</w:t>
      </w:r>
      <w:r w:rsidR="00725BCC" w:rsidRPr="005C3250">
        <w:rPr>
          <w:szCs w:val="22"/>
        </w:rPr>
        <w:t xml:space="preserve"> by 93</w:t>
      </w:r>
      <w:r w:rsidR="00240D84" w:rsidRPr="005C3250">
        <w:rPr>
          <w:szCs w:val="22"/>
        </w:rPr>
        <w:t xml:space="preserve"> million</w:t>
      </w:r>
      <w:r w:rsidR="003F744E">
        <w:rPr>
          <w:szCs w:val="22"/>
        </w:rPr>
        <w:t xml:space="preserve"> (Chart </w:t>
      </w:r>
      <w:r w:rsidR="00D71F5E">
        <w:rPr>
          <w:szCs w:val="22"/>
        </w:rPr>
        <w:t>D</w:t>
      </w:r>
      <w:r w:rsidR="003F744E">
        <w:rPr>
          <w:szCs w:val="22"/>
        </w:rPr>
        <w:t>)</w:t>
      </w:r>
      <w:r w:rsidR="00240D84" w:rsidRPr="005C3250">
        <w:rPr>
          <w:szCs w:val="22"/>
        </w:rPr>
        <w:t>.</w:t>
      </w:r>
      <w:r w:rsidR="00725BCC" w:rsidRPr="005C3250">
        <w:rPr>
          <w:szCs w:val="22"/>
        </w:rPr>
        <w:t xml:space="preserve"> </w:t>
      </w:r>
      <w:r w:rsidR="00D04526">
        <w:rPr>
          <w:szCs w:val="22"/>
        </w:rPr>
        <w:t xml:space="preserve"> </w:t>
      </w:r>
      <w:r w:rsidR="00245E41">
        <w:rPr>
          <w:szCs w:val="22"/>
        </w:rPr>
        <w:t>In these regions, the percentage of the entire population with piped household water connections is already close to the level of 92% in high income countries.  The corresponding connec</w:t>
      </w:r>
      <w:r w:rsidR="00076348">
        <w:rPr>
          <w:szCs w:val="22"/>
        </w:rPr>
        <w:t>tion rate is 70% in China and 83</w:t>
      </w:r>
      <w:r w:rsidR="00245E41">
        <w:rPr>
          <w:szCs w:val="22"/>
        </w:rPr>
        <w:t>-8</w:t>
      </w:r>
      <w:r w:rsidR="00076348">
        <w:rPr>
          <w:szCs w:val="22"/>
        </w:rPr>
        <w:t>6</w:t>
      </w:r>
      <w:r w:rsidR="00245E41">
        <w:rPr>
          <w:szCs w:val="22"/>
        </w:rPr>
        <w:t xml:space="preserve">% in Latin America, West Asia and North Africa. </w:t>
      </w:r>
      <w:r w:rsidR="00D04526">
        <w:rPr>
          <w:szCs w:val="22"/>
        </w:rPr>
        <w:t xml:space="preserve"> The level of piped household </w:t>
      </w:r>
      <w:r w:rsidR="00C71BE4">
        <w:rPr>
          <w:szCs w:val="22"/>
        </w:rPr>
        <w:t xml:space="preserve">water </w:t>
      </w:r>
      <w:r w:rsidR="00D04526">
        <w:rPr>
          <w:szCs w:val="22"/>
        </w:rPr>
        <w:t>connections in Latin America, at 86%, is virtually identical to that of Canada, at 87%: Brazil (92%), and Chile (93%) are doing better than Canada.</w:t>
      </w:r>
    </w:p>
    <w:p w:rsidR="00E06B7E" w:rsidRDefault="00E06B7E" w:rsidP="00725BCC">
      <w:pPr>
        <w:rPr>
          <w:szCs w:val="22"/>
        </w:rPr>
      </w:pPr>
    </w:p>
    <w:p w:rsidR="00240D84" w:rsidRPr="005C3250" w:rsidRDefault="00D04526" w:rsidP="00725BCC">
      <w:pPr>
        <w:rPr>
          <w:szCs w:val="22"/>
          <w:lang w:eastAsia="en-US"/>
        </w:rPr>
      </w:pPr>
      <w:r>
        <w:rPr>
          <w:szCs w:val="22"/>
        </w:rPr>
        <w:t>T</w:t>
      </w:r>
      <w:r w:rsidR="00725BCC" w:rsidRPr="005C3250">
        <w:rPr>
          <w:szCs w:val="22"/>
        </w:rPr>
        <w:t xml:space="preserve">here is </w:t>
      </w:r>
      <w:r w:rsidR="005C4DDA">
        <w:rPr>
          <w:szCs w:val="22"/>
        </w:rPr>
        <w:t xml:space="preserve">also </w:t>
      </w:r>
      <w:r w:rsidR="00725BCC" w:rsidRPr="005C3250">
        <w:rPr>
          <w:szCs w:val="22"/>
        </w:rPr>
        <w:t xml:space="preserve">a predictable difference between urban and rural areas. Overall, </w:t>
      </w:r>
      <w:r w:rsidR="00240D84" w:rsidRPr="005C3250">
        <w:rPr>
          <w:szCs w:val="22"/>
        </w:rPr>
        <w:t xml:space="preserve">73% of the urban population </w:t>
      </w:r>
      <w:r w:rsidR="00725BCC" w:rsidRPr="005C3250">
        <w:rPr>
          <w:szCs w:val="22"/>
        </w:rPr>
        <w:t xml:space="preserve">of developing countries </w:t>
      </w:r>
      <w:r w:rsidR="00A76740">
        <w:rPr>
          <w:szCs w:val="22"/>
        </w:rPr>
        <w:t xml:space="preserve">now </w:t>
      </w:r>
      <w:r w:rsidR="00725BCC" w:rsidRPr="005C3250">
        <w:rPr>
          <w:szCs w:val="22"/>
        </w:rPr>
        <w:t>gets</w:t>
      </w:r>
      <w:r w:rsidR="00240D84" w:rsidRPr="005C3250">
        <w:rPr>
          <w:szCs w:val="22"/>
        </w:rPr>
        <w:t xml:space="preserve"> piped water from a household connection, </w:t>
      </w:r>
      <w:r w:rsidR="00725BCC" w:rsidRPr="005C3250">
        <w:rPr>
          <w:szCs w:val="22"/>
        </w:rPr>
        <w:t>compared with</w:t>
      </w:r>
      <w:r w:rsidR="00240D84" w:rsidRPr="005C3250">
        <w:rPr>
          <w:szCs w:val="22"/>
        </w:rPr>
        <w:t xml:space="preserve"> </w:t>
      </w:r>
      <w:r w:rsidR="005C4DDA">
        <w:rPr>
          <w:szCs w:val="22"/>
        </w:rPr>
        <w:t>24</w:t>
      </w:r>
      <w:r w:rsidR="00240D84" w:rsidRPr="005C3250">
        <w:rPr>
          <w:szCs w:val="22"/>
        </w:rPr>
        <w:t>% of rural inhabitants</w:t>
      </w:r>
      <w:r w:rsidR="00725BCC" w:rsidRPr="005C3250">
        <w:rPr>
          <w:szCs w:val="22"/>
        </w:rPr>
        <w:t>. In this too there is a regional disparity: i</w:t>
      </w:r>
      <w:r w:rsidR="00240D84" w:rsidRPr="005C3250">
        <w:rPr>
          <w:szCs w:val="22"/>
        </w:rPr>
        <w:t xml:space="preserve">n Sub-Saharan Africa, </w:t>
      </w:r>
      <w:r w:rsidR="00725BCC" w:rsidRPr="005C3250">
        <w:rPr>
          <w:szCs w:val="22"/>
        </w:rPr>
        <w:t>3</w:t>
      </w:r>
      <w:r w:rsidR="005C4DDA">
        <w:rPr>
          <w:szCs w:val="22"/>
        </w:rPr>
        <w:t>4</w:t>
      </w:r>
      <w:r w:rsidR="00725BCC" w:rsidRPr="005C3250">
        <w:rPr>
          <w:szCs w:val="22"/>
        </w:rPr>
        <w:t xml:space="preserve">% of urban population have piped connections, compared with only </w:t>
      </w:r>
      <w:r w:rsidR="00240D84" w:rsidRPr="005C3250">
        <w:rPr>
          <w:szCs w:val="22"/>
        </w:rPr>
        <w:t>5% of the rural population</w:t>
      </w:r>
      <w:r w:rsidR="00725BCC" w:rsidRPr="005C3250">
        <w:rPr>
          <w:szCs w:val="22"/>
        </w:rPr>
        <w:t>.</w:t>
      </w:r>
      <w:r w:rsidR="003113E6" w:rsidRPr="005C3250">
        <w:rPr>
          <w:rStyle w:val="EndnoteReference"/>
          <w:szCs w:val="22"/>
        </w:rPr>
        <w:endnoteReference w:id="48"/>
      </w:r>
      <w:r w:rsidR="003113E6" w:rsidRPr="005C3250">
        <w:rPr>
          <w:szCs w:val="22"/>
          <w:lang w:eastAsia="en-US"/>
        </w:rPr>
        <w:t xml:space="preserve">  </w:t>
      </w:r>
    </w:p>
    <w:p w:rsidR="000E2742" w:rsidRDefault="000E2742" w:rsidP="00725BCC">
      <w:pPr>
        <w:rPr>
          <w:szCs w:val="22"/>
          <w:lang w:eastAsia="en-US"/>
        </w:rPr>
      </w:pPr>
    </w:p>
    <w:p w:rsidR="00F04A15" w:rsidRPr="005C3250" w:rsidRDefault="00A3302B" w:rsidP="00725BCC">
      <w:pPr>
        <w:rPr>
          <w:szCs w:val="22"/>
          <w:lang w:eastAsia="en-US"/>
        </w:rPr>
      </w:pPr>
      <w:r w:rsidRPr="005C3250">
        <w:rPr>
          <w:szCs w:val="22"/>
          <w:lang w:eastAsia="en-US"/>
        </w:rPr>
        <w:t>Various factors may explain the regional differences</w:t>
      </w:r>
      <w:r w:rsidR="00520EAA" w:rsidRPr="005C3250">
        <w:rPr>
          <w:szCs w:val="22"/>
          <w:lang w:eastAsia="en-US"/>
        </w:rPr>
        <w:t xml:space="preserve">, most obviously the lower level of GDP per capita in </w:t>
      </w:r>
      <w:r w:rsidR="00F44833">
        <w:rPr>
          <w:szCs w:val="22"/>
          <w:lang w:eastAsia="en-US"/>
        </w:rPr>
        <w:t>South Asia</w:t>
      </w:r>
      <w:r w:rsidR="00520EAA" w:rsidRPr="005C3250">
        <w:rPr>
          <w:szCs w:val="22"/>
          <w:lang w:eastAsia="en-US"/>
        </w:rPr>
        <w:t xml:space="preserve"> and sub-Saharan Africa</w:t>
      </w:r>
      <w:r w:rsidRPr="005C3250">
        <w:rPr>
          <w:szCs w:val="22"/>
          <w:lang w:eastAsia="en-US"/>
        </w:rPr>
        <w:t xml:space="preserve">. </w:t>
      </w:r>
      <w:r w:rsidR="00520EAA" w:rsidRPr="005C3250">
        <w:rPr>
          <w:szCs w:val="22"/>
          <w:lang w:eastAsia="en-US"/>
        </w:rPr>
        <w:t xml:space="preserve">This suggests that affordability at the national level is a constraint. It also suggests that the activities of </w:t>
      </w:r>
      <w:r w:rsidR="002A1F6D" w:rsidRPr="005C3250">
        <w:rPr>
          <w:szCs w:val="22"/>
          <w:lang w:eastAsia="en-US"/>
        </w:rPr>
        <w:t>donors and development banks have</w:t>
      </w:r>
      <w:r w:rsidR="00520EAA" w:rsidRPr="005C3250">
        <w:rPr>
          <w:szCs w:val="22"/>
          <w:lang w:eastAsia="en-US"/>
        </w:rPr>
        <w:t>, at the very least, failed to improve the position of poorer countries in these regions, an</w:t>
      </w:r>
      <w:r w:rsidR="002A1F6D" w:rsidRPr="005C3250">
        <w:rPr>
          <w:szCs w:val="22"/>
          <w:lang w:eastAsia="en-US"/>
        </w:rPr>
        <w:t>d that this may be due to the  inappropriateness of the financing model they have advocated over the previous 20 years.</w:t>
      </w:r>
    </w:p>
    <w:p w:rsidR="00D71F5E" w:rsidRDefault="00D71F5E" w:rsidP="00725BCC">
      <w:pPr>
        <w:rPr>
          <w:szCs w:val="22"/>
          <w:lang w:eastAsia="en-US"/>
        </w:rPr>
      </w:pPr>
    </w:p>
    <w:p w:rsidR="00E06B7E" w:rsidRDefault="00E06B7E" w:rsidP="00725BCC">
      <w:pPr>
        <w:rPr>
          <w:szCs w:val="22"/>
          <w:lang w:eastAsia="en-US"/>
        </w:rPr>
      </w:pPr>
    </w:p>
    <w:p w:rsidR="00E06B7E" w:rsidRPr="005C3250" w:rsidRDefault="00E06B7E" w:rsidP="00725BCC">
      <w:pPr>
        <w:rPr>
          <w:szCs w:val="22"/>
          <w:lang w:eastAsia="en-US"/>
        </w:rPr>
      </w:pPr>
    </w:p>
    <w:p w:rsidR="00240D84" w:rsidRDefault="003113E6" w:rsidP="00240D84">
      <w:pPr>
        <w:pStyle w:val="Heading8"/>
      </w:pPr>
      <w:bookmarkStart w:id="34" w:name="_Toc318886716"/>
      <w:r>
        <w:t xml:space="preserve">Population gaining </w:t>
      </w:r>
      <w:r w:rsidR="00240D84">
        <w:t xml:space="preserve">piped household connections </w:t>
      </w:r>
      <w:r>
        <w:t>or ‘improved’ sources 1990</w:t>
      </w:r>
      <w:r w:rsidR="00D8002E">
        <w:t>-2008</w:t>
      </w:r>
      <w:bookmarkEnd w:id="34"/>
    </w:p>
    <w:p w:rsidR="00733E65" w:rsidRDefault="00BF329C" w:rsidP="003113E6">
      <w:pPr>
        <w:jc w:val="center"/>
        <w:rPr>
          <w:szCs w:val="22"/>
        </w:rPr>
      </w:pPr>
      <w:r>
        <w:rPr>
          <w:noProof/>
          <w:szCs w:val="22"/>
        </w:rPr>
        <w:drawing>
          <wp:inline distT="0" distB="0" distL="0" distR="0">
            <wp:extent cx="4165600" cy="3442970"/>
            <wp:effectExtent l="0" t="0" r="635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5600" cy="3442970"/>
                    </a:xfrm>
                    <a:prstGeom prst="rect">
                      <a:avLst/>
                    </a:prstGeom>
                    <a:noFill/>
                    <a:ln>
                      <a:noFill/>
                    </a:ln>
                  </pic:spPr>
                </pic:pic>
              </a:graphicData>
            </a:graphic>
          </wp:inline>
        </w:drawing>
      </w:r>
    </w:p>
    <w:p w:rsidR="00097BDC" w:rsidRPr="00A76740" w:rsidRDefault="003113E6" w:rsidP="00161EB7">
      <w:pPr>
        <w:rPr>
          <w:sz w:val="18"/>
          <w:szCs w:val="18"/>
        </w:rPr>
      </w:pPr>
      <w:r w:rsidRPr="00A76740">
        <w:rPr>
          <w:sz w:val="18"/>
          <w:szCs w:val="18"/>
          <w:lang w:eastAsia="en-US"/>
        </w:rPr>
        <w:t xml:space="preserve">Source:  JMP 2010 </w:t>
      </w:r>
      <w:r w:rsidRPr="00A76740">
        <w:rPr>
          <w:sz w:val="18"/>
          <w:szCs w:val="18"/>
        </w:rPr>
        <w:t>Progress on Sanitation and Drinking-water: 2010 Update WHO/UNICEF</w:t>
      </w:r>
      <w:r w:rsidRPr="00A76740">
        <w:rPr>
          <w:rStyle w:val="EndnoteReference"/>
          <w:sz w:val="18"/>
          <w:szCs w:val="18"/>
        </w:rPr>
        <w:endnoteReference w:id="49"/>
      </w:r>
      <w:r w:rsidRPr="00A76740">
        <w:rPr>
          <w:sz w:val="18"/>
          <w:szCs w:val="18"/>
          <w:lang w:eastAsia="en-US"/>
        </w:rPr>
        <w:t xml:space="preserve">  </w:t>
      </w:r>
      <w:r w:rsidRPr="00A76740">
        <w:rPr>
          <w:sz w:val="18"/>
          <w:szCs w:val="18"/>
        </w:rPr>
        <w:t xml:space="preserve"> </w:t>
      </w:r>
    </w:p>
    <w:p w:rsidR="00DB6ECF" w:rsidRDefault="00161EB7" w:rsidP="00161EB7">
      <w:pPr>
        <w:pStyle w:val="Heading1"/>
      </w:pPr>
      <w:bookmarkStart w:id="35" w:name="_Toc318886717"/>
      <w:r>
        <w:t>Discussion and conclusions</w:t>
      </w:r>
      <w:bookmarkEnd w:id="35"/>
    </w:p>
    <w:p w:rsidR="00D83FD7" w:rsidRDefault="00A529F1" w:rsidP="00A529F1">
      <w:pPr>
        <w:pStyle w:val="Heading2"/>
      </w:pPr>
      <w:bookmarkStart w:id="36" w:name="_Toc318886718"/>
      <w:r>
        <w:t>Divergence from reality</w:t>
      </w:r>
      <w:bookmarkEnd w:id="36"/>
    </w:p>
    <w:p w:rsidR="00A529F1" w:rsidRDefault="00A529F1" w:rsidP="00A529F1">
      <w:pPr>
        <w:rPr>
          <w:lang w:eastAsia="en-US"/>
        </w:rPr>
      </w:pPr>
      <w:r>
        <w:rPr>
          <w:lang w:eastAsia="en-US"/>
        </w:rPr>
        <w:t xml:space="preserve">The preceding sections have set out recent evidence on the sources of finance for investment, the implications of the crisis for future finance, the affordability of MDG targets and household connections, and the actual trends in access and household connections.  This evidence shows a different picture from that presented by reports from the </w:t>
      </w:r>
      <w:r w:rsidR="00F64715">
        <w:rPr>
          <w:lang w:eastAsia="en-US"/>
        </w:rPr>
        <w:t>major international institutions</w:t>
      </w:r>
      <w:r>
        <w:rPr>
          <w:lang w:eastAsia="en-US"/>
        </w:rPr>
        <w:t xml:space="preserve">. Investment is taking place – but financed by national public finance, not private investors, nor mainly by aid. The impact of </w:t>
      </w:r>
      <w:r w:rsidR="00A32A8F">
        <w:rPr>
          <w:lang w:eastAsia="en-US"/>
        </w:rPr>
        <w:t>and response</w:t>
      </w:r>
      <w:r>
        <w:rPr>
          <w:lang w:eastAsia="en-US"/>
        </w:rPr>
        <w:t xml:space="preserve"> to the crisis </w:t>
      </w:r>
      <w:r w:rsidR="006F51D9">
        <w:rPr>
          <w:lang w:eastAsia="en-US"/>
        </w:rPr>
        <w:t xml:space="preserve">is likely to reinforce this pattern, with national tax revenues able to grow along with southern economies, while northern aid and corporate investment is threatened. The cost </w:t>
      </w:r>
      <w:r w:rsidR="00A32A8F">
        <w:rPr>
          <w:lang w:eastAsia="en-US"/>
        </w:rPr>
        <w:t>of MDG</w:t>
      </w:r>
      <w:r w:rsidR="006F51D9">
        <w:rPr>
          <w:lang w:eastAsia="en-US"/>
        </w:rPr>
        <w:t xml:space="preserve"> targets is affordable for the great majority of developing countries, as long as this is done through </w:t>
      </w:r>
      <w:r w:rsidR="00A32A8F">
        <w:rPr>
          <w:lang w:eastAsia="en-US"/>
        </w:rPr>
        <w:t>taxation not</w:t>
      </w:r>
      <w:r w:rsidR="006F51D9">
        <w:rPr>
          <w:lang w:eastAsia="en-US"/>
        </w:rPr>
        <w:t xml:space="preserve"> user charges.  The MDGs are in fact being met, at least in water, and mainly through household connections, not ‘improved’ sources.</w:t>
      </w:r>
    </w:p>
    <w:p w:rsidR="00A529F1" w:rsidRDefault="00A529F1" w:rsidP="00A529F1">
      <w:pPr>
        <w:rPr>
          <w:lang w:eastAsia="en-US"/>
        </w:rPr>
      </w:pPr>
    </w:p>
    <w:p w:rsidR="00C72621" w:rsidRDefault="006F51D9" w:rsidP="00A529F1">
      <w:pPr>
        <w:rPr>
          <w:lang w:eastAsia="en-US"/>
        </w:rPr>
      </w:pPr>
      <w:r>
        <w:rPr>
          <w:lang w:eastAsia="en-US"/>
        </w:rPr>
        <w:t>This reality contrast</w:t>
      </w:r>
      <w:r w:rsidR="00A32A8F">
        <w:rPr>
          <w:lang w:eastAsia="en-US"/>
        </w:rPr>
        <w:t>s</w:t>
      </w:r>
      <w:r>
        <w:rPr>
          <w:lang w:eastAsia="en-US"/>
        </w:rPr>
        <w:t xml:space="preserve"> sharply with the view presented by the great majority of official inte</w:t>
      </w:r>
      <w:r w:rsidR="00015241">
        <w:rPr>
          <w:lang w:eastAsia="en-US"/>
        </w:rPr>
        <w:t>rnational donor publications</w:t>
      </w:r>
      <w:r w:rsidR="00F64715">
        <w:rPr>
          <w:lang w:eastAsia="en-US"/>
        </w:rPr>
        <w:t xml:space="preserve">. For example, </w:t>
      </w:r>
      <w:r w:rsidR="00C72621">
        <w:rPr>
          <w:lang w:eastAsia="en-US"/>
        </w:rPr>
        <w:t xml:space="preserve">the </w:t>
      </w:r>
      <w:r w:rsidR="00F64715">
        <w:rPr>
          <w:lang w:eastAsia="en-US"/>
        </w:rPr>
        <w:t xml:space="preserve">2010 </w:t>
      </w:r>
      <w:r w:rsidR="0057457B">
        <w:rPr>
          <w:lang w:eastAsia="en-US"/>
        </w:rPr>
        <w:t xml:space="preserve">OECD paper </w:t>
      </w:r>
      <w:r w:rsidR="00C72621">
        <w:rPr>
          <w:lang w:eastAsia="en-US"/>
        </w:rPr>
        <w:t xml:space="preserve">on ‘innovative financing mechanisms’ </w:t>
      </w:r>
      <w:r w:rsidR="00F64715">
        <w:rPr>
          <w:lang w:eastAsia="en-US"/>
        </w:rPr>
        <w:t xml:space="preserve">asserts that: </w:t>
      </w:r>
      <w:r w:rsidR="0057457B">
        <w:rPr>
          <w:lang w:eastAsia="en-US"/>
        </w:rPr>
        <w:t>‘</w:t>
      </w:r>
      <w:r w:rsidR="0057457B" w:rsidRPr="0057457B">
        <w:rPr>
          <w:lang w:eastAsia="en-US"/>
        </w:rPr>
        <w:t>the water and</w:t>
      </w:r>
      <w:r w:rsidR="0057457B">
        <w:rPr>
          <w:lang w:eastAsia="en-US"/>
        </w:rPr>
        <w:t xml:space="preserve"> </w:t>
      </w:r>
      <w:r w:rsidR="0057457B" w:rsidRPr="0057457B">
        <w:rPr>
          <w:lang w:eastAsia="en-US"/>
        </w:rPr>
        <w:t>sanitation sector is seriously under-financed in many countries, leading to the</w:t>
      </w:r>
      <w:r w:rsidR="0057457B">
        <w:rPr>
          <w:lang w:eastAsia="en-US"/>
        </w:rPr>
        <w:t xml:space="preserve"> </w:t>
      </w:r>
      <w:r w:rsidR="0057457B" w:rsidRPr="0057457B">
        <w:rPr>
          <w:lang w:eastAsia="en-US"/>
        </w:rPr>
        <w:t>deterioration and potential collapse of the infrastructure</w:t>
      </w:r>
      <w:r w:rsidR="0057457B">
        <w:rPr>
          <w:lang w:eastAsia="en-US"/>
        </w:rPr>
        <w:t>’.</w:t>
      </w:r>
      <w:r w:rsidR="00F64715">
        <w:rPr>
          <w:rStyle w:val="EndnoteReference"/>
          <w:lang w:eastAsia="en-US"/>
        </w:rPr>
        <w:endnoteReference w:id="50"/>
      </w:r>
      <w:r w:rsidR="00F64715">
        <w:rPr>
          <w:lang w:eastAsia="en-US"/>
        </w:rPr>
        <w:t xml:space="preserve"> </w:t>
      </w:r>
      <w:r w:rsidR="0045389C">
        <w:rPr>
          <w:lang w:eastAsia="en-US"/>
        </w:rPr>
        <w:t xml:space="preserve"> </w:t>
      </w:r>
      <w:r w:rsidR="00F64715">
        <w:rPr>
          <w:lang w:eastAsia="en-US"/>
        </w:rPr>
        <w:t xml:space="preserve">But as the latest JMP report makes clear, the MDGs for water will be met, and with a much higher level of household connections than envisaged by the MDGs themselves.  The infrastructure, far from collapsing, is being extended faster and on a larger scale than envisaged by international recommendations.  </w:t>
      </w:r>
    </w:p>
    <w:p w:rsidR="00C72621" w:rsidRDefault="00C72621" w:rsidP="00F64715">
      <w:pPr>
        <w:rPr>
          <w:lang w:eastAsia="en-US"/>
        </w:rPr>
      </w:pPr>
    </w:p>
    <w:p w:rsidR="00D83FD7" w:rsidRDefault="00F64715" w:rsidP="0089241A">
      <w:pPr>
        <w:rPr>
          <w:lang w:eastAsia="en-US"/>
        </w:rPr>
      </w:pPr>
      <w:r>
        <w:rPr>
          <w:lang w:eastAsia="en-US"/>
        </w:rPr>
        <w:t>The OECD paper follows this wildly incorrect statement with the advice that ‘</w:t>
      </w:r>
      <w:r w:rsidRPr="00F64715">
        <w:rPr>
          <w:lang w:eastAsia="en-US"/>
        </w:rPr>
        <w:t>in</w:t>
      </w:r>
      <w:r>
        <w:rPr>
          <w:lang w:eastAsia="en-US"/>
        </w:rPr>
        <w:t xml:space="preserve"> </w:t>
      </w:r>
      <w:r w:rsidRPr="00F64715">
        <w:rPr>
          <w:lang w:eastAsia="en-US"/>
        </w:rPr>
        <w:t>the long-run, structural reforms are needed to improve the sector’s revenue</w:t>
      </w:r>
      <w:r>
        <w:rPr>
          <w:lang w:eastAsia="en-US"/>
        </w:rPr>
        <w:t xml:space="preserve"> </w:t>
      </w:r>
      <w:r w:rsidRPr="00F64715">
        <w:rPr>
          <w:lang w:eastAsia="en-US"/>
        </w:rPr>
        <w:t>generation</w:t>
      </w:r>
      <w:r>
        <w:rPr>
          <w:lang w:eastAsia="en-US"/>
        </w:rPr>
        <w:t xml:space="preserve"> </w:t>
      </w:r>
      <w:r w:rsidRPr="00F64715">
        <w:rPr>
          <w:lang w:eastAsia="en-US"/>
        </w:rPr>
        <w:t xml:space="preserve">potential so as to </w:t>
      </w:r>
      <w:r w:rsidRPr="00F64715">
        <w:rPr>
          <w:i/>
          <w:iCs/>
          <w:lang w:eastAsia="en-US"/>
        </w:rPr>
        <w:t xml:space="preserve">fill </w:t>
      </w:r>
      <w:r w:rsidRPr="00F64715">
        <w:rPr>
          <w:lang w:eastAsia="en-US"/>
        </w:rPr>
        <w:t>the financing gap.</w:t>
      </w:r>
      <w:r>
        <w:rPr>
          <w:lang w:eastAsia="en-US"/>
        </w:rPr>
        <w:t xml:space="preserve"> </w:t>
      </w:r>
      <w:r w:rsidRPr="00F64715">
        <w:rPr>
          <w:lang w:eastAsia="en-US"/>
        </w:rPr>
        <w:t>In the short to medium</w:t>
      </w:r>
      <w:r>
        <w:rPr>
          <w:lang w:eastAsia="en-US"/>
        </w:rPr>
        <w:t xml:space="preserve"> </w:t>
      </w:r>
      <w:r w:rsidRPr="00F64715">
        <w:rPr>
          <w:lang w:eastAsia="en-US"/>
        </w:rPr>
        <w:t>term, access to repayable finance (such as loans, bonds and equity) will be</w:t>
      </w:r>
      <w:r>
        <w:rPr>
          <w:lang w:eastAsia="en-US"/>
        </w:rPr>
        <w:t xml:space="preserve"> </w:t>
      </w:r>
      <w:r w:rsidRPr="00F64715">
        <w:rPr>
          <w:lang w:eastAsia="en-US"/>
        </w:rPr>
        <w:t xml:space="preserve">critical so as to </w:t>
      </w:r>
      <w:r w:rsidRPr="00F64715">
        <w:rPr>
          <w:i/>
          <w:iCs/>
          <w:lang w:eastAsia="en-US"/>
        </w:rPr>
        <w:t xml:space="preserve">bridge </w:t>
      </w:r>
      <w:r w:rsidRPr="00F64715">
        <w:rPr>
          <w:lang w:eastAsia="en-US"/>
        </w:rPr>
        <w:t>the financing gap</w:t>
      </w:r>
      <w:r w:rsidR="00C72621">
        <w:rPr>
          <w:lang w:eastAsia="en-US"/>
        </w:rPr>
        <w:t>…</w:t>
      </w:r>
      <w:r w:rsidR="00C72621" w:rsidRPr="00C72621">
        <w:rPr>
          <w:rFonts w:ascii="TimesNewRomanPSMT" w:hAnsi="TimesNewRomanPSMT" w:cs="TimesNewRomanPSMT"/>
          <w:sz w:val="21"/>
          <w:szCs w:val="21"/>
        </w:rPr>
        <w:t xml:space="preserve"> </w:t>
      </w:r>
      <w:r w:rsidR="00C72621" w:rsidRPr="00C72621">
        <w:rPr>
          <w:lang w:eastAsia="en-US"/>
        </w:rPr>
        <w:t>innovation is required so as to increase the attractiveness of the</w:t>
      </w:r>
      <w:r w:rsidR="00C72621">
        <w:rPr>
          <w:lang w:eastAsia="en-US"/>
        </w:rPr>
        <w:t xml:space="preserve"> </w:t>
      </w:r>
      <w:r w:rsidR="00C72621" w:rsidRPr="00C72621">
        <w:rPr>
          <w:lang w:eastAsia="en-US"/>
        </w:rPr>
        <w:t>sector to providers of repayable finance, particularly those bringing private</w:t>
      </w:r>
      <w:r w:rsidR="00C72621">
        <w:rPr>
          <w:lang w:eastAsia="en-US"/>
        </w:rPr>
        <w:t xml:space="preserve"> </w:t>
      </w:r>
      <w:r w:rsidR="00C72621" w:rsidRPr="00C72621">
        <w:rPr>
          <w:lang w:eastAsia="en-US"/>
        </w:rPr>
        <w:t>sector funds</w:t>
      </w:r>
      <w:r w:rsidRPr="00F64715">
        <w:rPr>
          <w:lang w:eastAsia="en-US"/>
        </w:rPr>
        <w:t>.</w:t>
      </w:r>
      <w:r>
        <w:rPr>
          <w:lang w:eastAsia="en-US"/>
        </w:rPr>
        <w:t>’</w:t>
      </w:r>
      <w:r w:rsidR="008A7715" w:rsidRPr="008A7715">
        <w:rPr>
          <w:rStyle w:val="EndnoteReference"/>
          <w:lang w:eastAsia="en-US"/>
        </w:rPr>
        <w:t xml:space="preserve"> </w:t>
      </w:r>
      <w:r w:rsidR="008A7715">
        <w:rPr>
          <w:rStyle w:val="EndnoteReference"/>
          <w:lang w:eastAsia="en-US"/>
        </w:rPr>
        <w:endnoteReference w:id="51"/>
      </w:r>
      <w:r w:rsidR="008A7715">
        <w:rPr>
          <w:lang w:eastAsia="en-US"/>
        </w:rPr>
        <w:t xml:space="preserve"> </w:t>
      </w:r>
      <w:r w:rsidR="000E12DF">
        <w:rPr>
          <w:lang w:eastAsia="en-US"/>
        </w:rPr>
        <w:t xml:space="preserve"> </w:t>
      </w:r>
      <w:r>
        <w:rPr>
          <w:lang w:eastAsia="en-US"/>
        </w:rPr>
        <w:t xml:space="preserve">But there is not a </w:t>
      </w:r>
      <w:r w:rsidR="00C72621">
        <w:rPr>
          <w:lang w:eastAsia="en-US"/>
        </w:rPr>
        <w:t xml:space="preserve">great </w:t>
      </w:r>
      <w:r>
        <w:rPr>
          <w:lang w:eastAsia="en-US"/>
        </w:rPr>
        <w:t>financing gap: infrastructure is being built – by national governments, using public finance</w:t>
      </w:r>
      <w:r w:rsidR="00604392">
        <w:rPr>
          <w:lang w:eastAsia="en-US"/>
        </w:rPr>
        <w:t>. G</w:t>
      </w:r>
      <w:r w:rsidR="00C72621">
        <w:rPr>
          <w:lang w:eastAsia="en-US"/>
        </w:rPr>
        <w:t>rowth rates mean that adequate economic resources will be available to build more, using public finance</w:t>
      </w:r>
      <w:r w:rsidR="00604392">
        <w:rPr>
          <w:lang w:eastAsia="en-US"/>
        </w:rPr>
        <w:t xml:space="preserve">, and there is a definable ‘gap’ in the poorest countries which could be filled by aid – but not, certainly, by private capital in search of an attractive return.  </w:t>
      </w:r>
      <w:r w:rsidR="00C72621">
        <w:rPr>
          <w:lang w:eastAsia="en-US"/>
        </w:rPr>
        <w:t xml:space="preserve">History confirms that very little investment in water and sanitation has ever been financed this way.  </w:t>
      </w:r>
      <w:r w:rsidR="00604392">
        <w:rPr>
          <w:lang w:eastAsia="en-US"/>
        </w:rPr>
        <w:t>The OECD advice is therefore dangerously misleading.</w:t>
      </w:r>
      <w:r w:rsidR="00EC4FDE">
        <w:rPr>
          <w:lang w:eastAsia="en-US"/>
        </w:rPr>
        <w:t xml:space="preserve">  </w:t>
      </w:r>
      <w:r w:rsidR="00C72621">
        <w:rPr>
          <w:lang w:eastAsia="en-US"/>
        </w:rPr>
        <w:t>The OECD paper goes on</w:t>
      </w:r>
      <w:r w:rsidR="00076348">
        <w:rPr>
          <w:lang w:eastAsia="en-US"/>
        </w:rPr>
        <w:t xml:space="preserve"> </w:t>
      </w:r>
      <w:r w:rsidR="00C72621">
        <w:rPr>
          <w:lang w:eastAsia="en-US"/>
        </w:rPr>
        <w:t xml:space="preserve">to admit that </w:t>
      </w:r>
      <w:r w:rsidR="00604392">
        <w:rPr>
          <w:lang w:eastAsia="en-US"/>
        </w:rPr>
        <w:t>‘</w:t>
      </w:r>
      <w:r w:rsidR="00604392" w:rsidRPr="00604392">
        <w:rPr>
          <w:lang w:eastAsia="en-US"/>
        </w:rPr>
        <w:t>public financing has come back to the fore as a significant</w:t>
      </w:r>
      <w:r w:rsidR="00116D05">
        <w:rPr>
          <w:lang w:eastAsia="en-US"/>
        </w:rPr>
        <w:t xml:space="preserve"> </w:t>
      </w:r>
      <w:r w:rsidR="00604392" w:rsidRPr="00604392">
        <w:rPr>
          <w:lang w:eastAsia="en-US"/>
        </w:rPr>
        <w:t>source of investment</w:t>
      </w:r>
      <w:r w:rsidR="0089241A">
        <w:rPr>
          <w:lang w:eastAsia="en-US"/>
        </w:rPr>
        <w:t>’, but even then offers the policy advice that ‘</w:t>
      </w:r>
      <w:r w:rsidR="0089241A" w:rsidRPr="0089241A">
        <w:rPr>
          <w:lang w:eastAsia="en-US"/>
        </w:rPr>
        <w:t>it will be important to evaluate how</w:t>
      </w:r>
      <w:r w:rsidR="00EC4FDE">
        <w:rPr>
          <w:lang w:eastAsia="en-US"/>
        </w:rPr>
        <w:t xml:space="preserve"> </w:t>
      </w:r>
      <w:r w:rsidR="0089241A" w:rsidRPr="0089241A">
        <w:rPr>
          <w:lang w:eastAsia="en-US"/>
        </w:rPr>
        <w:t>public financing can be used in an optimal manner so as to leverage repayable</w:t>
      </w:r>
      <w:r w:rsidR="0089241A">
        <w:rPr>
          <w:lang w:eastAsia="en-US"/>
        </w:rPr>
        <w:t xml:space="preserve"> </w:t>
      </w:r>
      <w:r w:rsidR="0089241A" w:rsidRPr="0089241A">
        <w:rPr>
          <w:lang w:eastAsia="en-US"/>
        </w:rPr>
        <w:t>finance from the market</w:t>
      </w:r>
      <w:r w:rsidR="0089241A">
        <w:rPr>
          <w:lang w:eastAsia="en-US"/>
        </w:rPr>
        <w:t>’</w:t>
      </w:r>
      <w:r w:rsidR="008A7715">
        <w:rPr>
          <w:lang w:eastAsia="en-US"/>
        </w:rPr>
        <w:t>.</w:t>
      </w:r>
      <w:r w:rsidR="008A7715">
        <w:rPr>
          <w:rStyle w:val="EndnoteReference"/>
          <w:lang w:eastAsia="en-US"/>
        </w:rPr>
        <w:endnoteReference w:id="52"/>
      </w:r>
      <w:r w:rsidR="008A7715">
        <w:rPr>
          <w:lang w:eastAsia="en-US"/>
        </w:rPr>
        <w:t xml:space="preserve"> </w:t>
      </w:r>
      <w:r w:rsidR="00076348">
        <w:rPr>
          <w:lang w:eastAsia="en-US"/>
        </w:rPr>
        <w:t xml:space="preserve"> </w:t>
      </w:r>
    </w:p>
    <w:p w:rsidR="00435690" w:rsidRDefault="00435690" w:rsidP="00E3576B">
      <w:pPr>
        <w:rPr>
          <w:lang w:eastAsia="en-US"/>
        </w:rPr>
      </w:pPr>
    </w:p>
    <w:p w:rsidR="00776337" w:rsidRPr="0089241A" w:rsidRDefault="0089241A" w:rsidP="0089241A">
      <w:r>
        <w:t xml:space="preserve">The calculations set out above on affordability challenge the common donor view that developing countries are economically unable to develop the service themselves without aid and FDI from the north. For example, the </w:t>
      </w:r>
      <w:r w:rsidR="00604392" w:rsidRPr="00604392">
        <w:t>World Water Development Report</w:t>
      </w:r>
      <w:r w:rsidR="00604392">
        <w:t xml:space="preserve"> </w:t>
      </w:r>
      <w:r w:rsidR="007D4784">
        <w:t xml:space="preserve">2006 </w:t>
      </w:r>
      <w:r>
        <w:t xml:space="preserve">claimed that </w:t>
      </w:r>
      <w:r w:rsidRPr="0089241A">
        <w:t>“In</w:t>
      </w:r>
      <w:r>
        <w:t xml:space="preserve"> </w:t>
      </w:r>
      <w:r w:rsidRPr="0089241A">
        <w:t xml:space="preserve"> many nations, at least in the next five to ten years, it  will not be possible for the </w:t>
      </w:r>
      <w:r w:rsidR="00076348">
        <w:t xml:space="preserve">provision deficiencies in most </w:t>
      </w:r>
      <w:r w:rsidRPr="0089241A">
        <w:t>urban areas to be addressed by the conventional model of a (public or private) water utility extending piped water supplies and sewers to individual households.”</w:t>
      </w:r>
      <w:r w:rsidR="00E3576B" w:rsidRPr="0089241A">
        <w:rPr>
          <w:vertAlign w:val="superscript"/>
        </w:rPr>
        <w:endnoteReference w:id="53"/>
      </w:r>
      <w:r>
        <w:t xml:space="preserve"> This has turned out to be wrong: the JMP evidence shows not only the scale and pace of new investments, but also that household connections are central.  The WWDR </w:t>
      </w:r>
      <w:r w:rsidR="00E3576B">
        <w:t>also</w:t>
      </w:r>
      <w:r>
        <w:t xml:space="preserve"> </w:t>
      </w:r>
      <w:r w:rsidR="00E3576B">
        <w:t xml:space="preserve">made the Malthusian claim that: </w:t>
      </w:r>
      <w:r w:rsidRPr="0089241A">
        <w:rPr>
          <w:iCs/>
        </w:rPr>
        <w:t>“population growth and burgeoning water demand have convinced most policymakers that the cost of water system development will increasingly have to be met by users”</w:t>
      </w:r>
      <w:r w:rsidR="008A7715">
        <w:rPr>
          <w:iCs/>
        </w:rPr>
        <w:t>,</w:t>
      </w:r>
      <w:r>
        <w:rPr>
          <w:iCs/>
        </w:rPr>
        <w:t xml:space="preserve"> </w:t>
      </w:r>
      <w:r w:rsidR="008A7715" w:rsidRPr="0089241A">
        <w:rPr>
          <w:vertAlign w:val="superscript"/>
        </w:rPr>
        <w:endnoteReference w:id="54"/>
      </w:r>
      <w:r w:rsidR="008A7715">
        <w:t xml:space="preserve"> </w:t>
      </w:r>
      <w:r w:rsidR="00E3576B">
        <w:rPr>
          <w:iCs/>
        </w:rPr>
        <w:t xml:space="preserve"> but these policy-makers were wrong: even in Africa, nearly all the investment in the water sector is being financed from taxation, either national or indirectly via aid. </w:t>
      </w:r>
      <w:r>
        <w:t xml:space="preserve">Even in Kampala, Uganda, where the water service is run </w:t>
      </w:r>
      <w:r w:rsidR="00E3576B">
        <w:t>as a commercial venture and is held up as a model, the company relies on government finance from tax revenues for any new investment.</w:t>
      </w:r>
      <w:r w:rsidR="00E3576B">
        <w:rPr>
          <w:rStyle w:val="EndnoteReference"/>
        </w:rPr>
        <w:endnoteReference w:id="55"/>
      </w:r>
      <w:r w:rsidR="00B94AD6">
        <w:t xml:space="preserve"> </w:t>
      </w:r>
    </w:p>
    <w:p w:rsidR="00604392" w:rsidRDefault="00604392" w:rsidP="00604392"/>
    <w:p w:rsidR="00F538AB" w:rsidRDefault="00776337" w:rsidP="00604392">
      <w:r>
        <w:t>The framework used by donors and international institutions is now sharply different from</w:t>
      </w:r>
      <w:r w:rsidR="00015241">
        <w:t xml:space="preserve"> </w:t>
      </w:r>
      <w:r>
        <w:t xml:space="preserve">the reality of water and sanitation services in developing countries.  </w:t>
      </w:r>
      <w:r w:rsidR="00015241">
        <w:t xml:space="preserve">The key features of this divergence are set out diagrammatically in chart </w:t>
      </w:r>
      <w:r w:rsidR="001E7A9A">
        <w:t>D</w:t>
      </w:r>
      <w:r w:rsidR="00015241">
        <w:t>.</w:t>
      </w:r>
      <w:r w:rsidR="008A7715">
        <w:t xml:space="preserve"> </w:t>
      </w:r>
      <w:r w:rsidR="00015241">
        <w:t xml:space="preserve"> While the development of water and sanitation services is actually based on public finance, the </w:t>
      </w:r>
      <w:r w:rsidR="00966636">
        <w:t>World Bank/donor model</w:t>
      </w:r>
      <w:r w:rsidR="00015241">
        <w:t xml:space="preserve"> continues to focus repeatedly on private investment and a role for private finance. The overwhelming majority of operators are public sector, while the donors focus on operating and pricing techniques for private, or commercialised, companies. Household connections to piped water and sewerage are considered too expensive, while developing countries use them as the main way forward. Finally, the </w:t>
      </w:r>
      <w:r w:rsidR="00966636">
        <w:t>World Bank/donor model</w:t>
      </w:r>
      <w:r w:rsidR="00015241">
        <w:t xml:space="preserve"> sees policy as led by international donors, whilst in practice many national governments are developing their own policies as independent countries – reflecting the reality that they are also providing the great majority of the finance, as well as a more fundamentally democratic approach.</w:t>
      </w:r>
    </w:p>
    <w:p w:rsidR="00435690" w:rsidRDefault="00435690" w:rsidP="00435690">
      <w:pPr>
        <w:pStyle w:val="Heading8"/>
      </w:pPr>
      <w:bookmarkStart w:id="37" w:name="_Toc318886719"/>
      <w:r>
        <w:t>Two models</w:t>
      </w:r>
      <w:r w:rsidR="00670811">
        <w:t>: donor/private/improved vs. National/public/household connections</w:t>
      </w:r>
      <w:bookmarkEnd w:id="37"/>
    </w:p>
    <w:tbl>
      <w:tblPr>
        <w:tblW w:w="7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13"/>
        <w:gridCol w:w="325"/>
        <w:gridCol w:w="2081"/>
        <w:gridCol w:w="851"/>
        <w:gridCol w:w="2835"/>
      </w:tblGrid>
      <w:tr w:rsidR="00670811" w:rsidRPr="00485569" w:rsidTr="0045389C">
        <w:trPr>
          <w:trHeight w:val="658"/>
        </w:trPr>
        <w:tc>
          <w:tcPr>
            <w:tcW w:w="1813" w:type="dxa"/>
            <w:shd w:val="clear" w:color="auto" w:fill="FFFF00"/>
          </w:tcPr>
          <w:p w:rsidR="00670811" w:rsidRPr="0045389C" w:rsidRDefault="00670811" w:rsidP="00435690">
            <w:pPr>
              <w:rPr>
                <w:rFonts w:cs="Calibri"/>
                <w:b/>
                <w:sz w:val="20"/>
                <w:szCs w:val="20"/>
              </w:rPr>
            </w:pPr>
          </w:p>
        </w:tc>
        <w:tc>
          <w:tcPr>
            <w:tcW w:w="325" w:type="dxa"/>
            <w:shd w:val="clear" w:color="auto" w:fill="auto"/>
          </w:tcPr>
          <w:p w:rsidR="00670811" w:rsidRPr="0045389C" w:rsidRDefault="00670811" w:rsidP="00670811">
            <w:pPr>
              <w:rPr>
                <w:rFonts w:cs="Calibri"/>
                <w:b/>
                <w:sz w:val="20"/>
                <w:szCs w:val="20"/>
              </w:rPr>
            </w:pPr>
          </w:p>
        </w:tc>
        <w:tc>
          <w:tcPr>
            <w:tcW w:w="2081" w:type="dxa"/>
            <w:shd w:val="clear" w:color="auto" w:fill="A5C26C"/>
          </w:tcPr>
          <w:p w:rsidR="00670811" w:rsidRPr="0045389C" w:rsidRDefault="00966636" w:rsidP="00FD1AE1">
            <w:pPr>
              <w:jc w:val="center"/>
              <w:rPr>
                <w:rFonts w:cs="Calibri"/>
                <w:b/>
                <w:sz w:val="20"/>
                <w:szCs w:val="20"/>
              </w:rPr>
            </w:pPr>
            <w:r w:rsidRPr="0045389C">
              <w:rPr>
                <w:rFonts w:cs="Calibri"/>
                <w:b/>
                <w:sz w:val="20"/>
                <w:szCs w:val="20"/>
              </w:rPr>
              <w:t>WORLD BANK/DONOR MODEL</w:t>
            </w:r>
          </w:p>
          <w:p w:rsidR="00670811" w:rsidRPr="0045389C" w:rsidRDefault="00670811" w:rsidP="00FD1AE1">
            <w:pPr>
              <w:jc w:val="center"/>
              <w:rPr>
                <w:rFonts w:cs="Calibri"/>
                <w:b/>
                <w:sz w:val="20"/>
                <w:szCs w:val="20"/>
              </w:rPr>
            </w:pPr>
          </w:p>
        </w:tc>
        <w:tc>
          <w:tcPr>
            <w:tcW w:w="851" w:type="dxa"/>
          </w:tcPr>
          <w:p w:rsidR="00670811" w:rsidRPr="0045389C" w:rsidRDefault="00670811" w:rsidP="00FD1AE1">
            <w:pPr>
              <w:jc w:val="center"/>
              <w:rPr>
                <w:rFonts w:cs="Calibri"/>
                <w:b/>
                <w:sz w:val="20"/>
                <w:szCs w:val="20"/>
              </w:rPr>
            </w:pPr>
          </w:p>
        </w:tc>
        <w:tc>
          <w:tcPr>
            <w:tcW w:w="2835" w:type="dxa"/>
            <w:shd w:val="clear" w:color="auto" w:fill="61D6FF"/>
          </w:tcPr>
          <w:p w:rsidR="00670811" w:rsidRPr="0045389C" w:rsidRDefault="00670811" w:rsidP="00FD1AE1">
            <w:pPr>
              <w:jc w:val="center"/>
              <w:rPr>
                <w:rFonts w:cs="Calibri"/>
                <w:b/>
                <w:sz w:val="20"/>
                <w:szCs w:val="20"/>
              </w:rPr>
            </w:pPr>
            <w:r w:rsidRPr="0045389C">
              <w:rPr>
                <w:rFonts w:cs="Calibri"/>
                <w:b/>
                <w:sz w:val="20"/>
                <w:szCs w:val="20"/>
              </w:rPr>
              <w:t>NATIONAL MODEL</w:t>
            </w:r>
          </w:p>
          <w:p w:rsidR="00670811" w:rsidRPr="0045389C" w:rsidRDefault="00670811" w:rsidP="00FD1AE1">
            <w:pPr>
              <w:jc w:val="center"/>
              <w:rPr>
                <w:rFonts w:cs="Calibri"/>
                <w:b/>
                <w:sz w:val="20"/>
                <w:szCs w:val="20"/>
              </w:rPr>
            </w:pPr>
          </w:p>
        </w:tc>
      </w:tr>
      <w:tr w:rsidR="00670811" w:rsidRPr="00485569" w:rsidTr="0045389C">
        <w:trPr>
          <w:trHeight w:val="165"/>
        </w:trPr>
        <w:tc>
          <w:tcPr>
            <w:tcW w:w="1813" w:type="dxa"/>
            <w:shd w:val="clear" w:color="auto" w:fill="auto"/>
          </w:tcPr>
          <w:p w:rsidR="00670811" w:rsidRPr="0045389C" w:rsidRDefault="00670811" w:rsidP="00435690">
            <w:pPr>
              <w:rPr>
                <w:rFonts w:cs="Calibri"/>
                <w:b/>
                <w:sz w:val="20"/>
                <w:szCs w:val="20"/>
              </w:rPr>
            </w:pP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uto"/>
          </w:tcPr>
          <w:p w:rsidR="00670811" w:rsidRPr="0045389C" w:rsidRDefault="00670811" w:rsidP="00FD1AE1">
            <w:pPr>
              <w:jc w:val="center"/>
              <w:rPr>
                <w:rFonts w:cs="Calibri"/>
                <w:sz w:val="20"/>
                <w:szCs w:val="20"/>
              </w:rPr>
            </w:pPr>
          </w:p>
        </w:tc>
        <w:tc>
          <w:tcPr>
            <w:tcW w:w="851" w:type="dxa"/>
            <w:shd w:val="clear" w:color="auto" w:fill="auto"/>
          </w:tcPr>
          <w:p w:rsidR="00670811" w:rsidRPr="0045389C" w:rsidRDefault="00670811" w:rsidP="00FD1AE1">
            <w:pPr>
              <w:jc w:val="center"/>
              <w:rPr>
                <w:rFonts w:cs="Calibri"/>
                <w:sz w:val="20"/>
                <w:szCs w:val="20"/>
              </w:rPr>
            </w:pPr>
          </w:p>
        </w:tc>
        <w:tc>
          <w:tcPr>
            <w:tcW w:w="2835" w:type="dxa"/>
            <w:shd w:val="clear" w:color="auto" w:fill="auto"/>
          </w:tcPr>
          <w:p w:rsidR="00670811" w:rsidRPr="0045389C" w:rsidRDefault="00670811" w:rsidP="00FD1AE1">
            <w:pPr>
              <w:jc w:val="center"/>
              <w:rPr>
                <w:rFonts w:cs="Calibri"/>
                <w:sz w:val="20"/>
                <w:szCs w:val="20"/>
              </w:rPr>
            </w:pPr>
          </w:p>
        </w:tc>
      </w:tr>
      <w:tr w:rsidR="00670811" w:rsidRPr="00485569" w:rsidTr="0045389C">
        <w:trPr>
          <w:trHeight w:val="385"/>
        </w:trPr>
        <w:tc>
          <w:tcPr>
            <w:tcW w:w="1813" w:type="dxa"/>
            <w:shd w:val="clear" w:color="auto" w:fill="FFFF00"/>
          </w:tcPr>
          <w:p w:rsidR="00670811" w:rsidRPr="0045389C" w:rsidRDefault="00670811" w:rsidP="00435690">
            <w:pPr>
              <w:rPr>
                <w:rFonts w:cs="Calibri"/>
                <w:b/>
                <w:sz w:val="20"/>
                <w:szCs w:val="20"/>
              </w:rPr>
            </w:pPr>
            <w:r w:rsidRPr="0045389C">
              <w:rPr>
                <w:rFonts w:cs="Calibri"/>
                <w:b/>
                <w:sz w:val="20"/>
                <w:szCs w:val="20"/>
              </w:rPr>
              <w:t>Finance</w:t>
            </w: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5C26C"/>
          </w:tcPr>
          <w:p w:rsidR="00670811" w:rsidRPr="0045389C" w:rsidRDefault="00670811" w:rsidP="00FD1AE1">
            <w:pPr>
              <w:jc w:val="center"/>
              <w:rPr>
                <w:rFonts w:cs="Calibri"/>
                <w:sz w:val="20"/>
                <w:szCs w:val="20"/>
              </w:rPr>
            </w:pPr>
            <w:r w:rsidRPr="0045389C">
              <w:rPr>
                <w:rFonts w:cs="Calibri"/>
                <w:sz w:val="20"/>
                <w:szCs w:val="20"/>
              </w:rPr>
              <w:t>Private + aid</w:t>
            </w:r>
          </w:p>
        </w:tc>
        <w:tc>
          <w:tcPr>
            <w:tcW w:w="851" w:type="dxa"/>
          </w:tcPr>
          <w:p w:rsidR="00670811" w:rsidRPr="0045389C" w:rsidRDefault="00670811" w:rsidP="00FD1AE1">
            <w:pPr>
              <w:jc w:val="center"/>
              <w:rPr>
                <w:rFonts w:cs="Calibri"/>
                <w:sz w:val="20"/>
                <w:szCs w:val="20"/>
              </w:rPr>
            </w:pPr>
          </w:p>
        </w:tc>
        <w:tc>
          <w:tcPr>
            <w:tcW w:w="2835" w:type="dxa"/>
            <w:shd w:val="clear" w:color="auto" w:fill="61D6FF"/>
          </w:tcPr>
          <w:p w:rsidR="00670811" w:rsidRPr="0045389C" w:rsidRDefault="0045389C" w:rsidP="0045389C">
            <w:pPr>
              <w:jc w:val="center"/>
              <w:rPr>
                <w:rFonts w:cs="Calibri"/>
                <w:sz w:val="20"/>
                <w:szCs w:val="20"/>
              </w:rPr>
            </w:pPr>
            <w:r w:rsidRPr="0045389C">
              <w:rPr>
                <w:rFonts w:cs="Calibri"/>
                <w:sz w:val="20"/>
                <w:szCs w:val="20"/>
              </w:rPr>
              <w:t>Public + aid</w:t>
            </w:r>
          </w:p>
        </w:tc>
      </w:tr>
      <w:tr w:rsidR="00670811" w:rsidRPr="00485569" w:rsidTr="0045389C">
        <w:trPr>
          <w:trHeight w:val="165"/>
        </w:trPr>
        <w:tc>
          <w:tcPr>
            <w:tcW w:w="1813" w:type="dxa"/>
            <w:shd w:val="clear" w:color="auto" w:fill="auto"/>
          </w:tcPr>
          <w:p w:rsidR="00670811" w:rsidRPr="0045389C" w:rsidRDefault="00670811" w:rsidP="00435690">
            <w:pPr>
              <w:rPr>
                <w:rFonts w:cs="Calibri"/>
                <w:b/>
                <w:sz w:val="20"/>
                <w:szCs w:val="20"/>
              </w:rPr>
            </w:pP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uto"/>
          </w:tcPr>
          <w:p w:rsidR="00670811" w:rsidRPr="0045389C" w:rsidRDefault="00670811" w:rsidP="00FD1AE1">
            <w:pPr>
              <w:jc w:val="center"/>
              <w:rPr>
                <w:rFonts w:cs="Calibri"/>
                <w:sz w:val="20"/>
                <w:szCs w:val="20"/>
              </w:rPr>
            </w:pPr>
          </w:p>
        </w:tc>
        <w:tc>
          <w:tcPr>
            <w:tcW w:w="851" w:type="dxa"/>
            <w:shd w:val="clear" w:color="auto" w:fill="auto"/>
          </w:tcPr>
          <w:p w:rsidR="00670811" w:rsidRPr="0045389C" w:rsidRDefault="00670811" w:rsidP="00FD1AE1">
            <w:pPr>
              <w:jc w:val="center"/>
              <w:rPr>
                <w:rFonts w:cs="Calibri"/>
                <w:sz w:val="20"/>
                <w:szCs w:val="20"/>
              </w:rPr>
            </w:pPr>
          </w:p>
        </w:tc>
        <w:tc>
          <w:tcPr>
            <w:tcW w:w="2835" w:type="dxa"/>
            <w:shd w:val="clear" w:color="auto" w:fill="auto"/>
          </w:tcPr>
          <w:p w:rsidR="00670811" w:rsidRPr="0045389C" w:rsidRDefault="00670811" w:rsidP="00FD1AE1">
            <w:pPr>
              <w:jc w:val="center"/>
              <w:rPr>
                <w:rFonts w:cs="Calibri"/>
                <w:sz w:val="20"/>
                <w:szCs w:val="20"/>
              </w:rPr>
            </w:pPr>
          </w:p>
        </w:tc>
      </w:tr>
      <w:tr w:rsidR="00670811" w:rsidRPr="00485569" w:rsidTr="0045389C">
        <w:trPr>
          <w:trHeight w:val="331"/>
        </w:trPr>
        <w:tc>
          <w:tcPr>
            <w:tcW w:w="1813" w:type="dxa"/>
            <w:shd w:val="clear" w:color="auto" w:fill="FFFF00"/>
          </w:tcPr>
          <w:p w:rsidR="00670811" w:rsidRPr="0045389C" w:rsidRDefault="00670811" w:rsidP="00435690">
            <w:pPr>
              <w:rPr>
                <w:rFonts w:cs="Calibri"/>
                <w:b/>
                <w:sz w:val="20"/>
                <w:szCs w:val="20"/>
              </w:rPr>
            </w:pPr>
            <w:r w:rsidRPr="0045389C">
              <w:rPr>
                <w:rFonts w:cs="Calibri"/>
                <w:b/>
                <w:sz w:val="20"/>
                <w:szCs w:val="20"/>
              </w:rPr>
              <w:t>Operation</w:t>
            </w: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5C26C"/>
          </w:tcPr>
          <w:p w:rsidR="00670811" w:rsidRPr="0045389C" w:rsidRDefault="00670811" w:rsidP="00FD1AE1">
            <w:pPr>
              <w:jc w:val="center"/>
              <w:rPr>
                <w:rFonts w:cs="Calibri"/>
                <w:sz w:val="20"/>
                <w:szCs w:val="20"/>
              </w:rPr>
            </w:pPr>
            <w:r w:rsidRPr="0045389C">
              <w:rPr>
                <w:rFonts w:cs="Calibri"/>
                <w:sz w:val="20"/>
                <w:szCs w:val="20"/>
              </w:rPr>
              <w:t>Private</w:t>
            </w:r>
          </w:p>
        </w:tc>
        <w:tc>
          <w:tcPr>
            <w:tcW w:w="851" w:type="dxa"/>
          </w:tcPr>
          <w:p w:rsidR="00670811" w:rsidRPr="0045389C" w:rsidRDefault="00670811" w:rsidP="00FD1AE1">
            <w:pPr>
              <w:jc w:val="center"/>
              <w:rPr>
                <w:rFonts w:cs="Calibri"/>
                <w:sz w:val="20"/>
                <w:szCs w:val="20"/>
              </w:rPr>
            </w:pPr>
          </w:p>
        </w:tc>
        <w:tc>
          <w:tcPr>
            <w:tcW w:w="2835" w:type="dxa"/>
            <w:shd w:val="clear" w:color="auto" w:fill="61D6FF"/>
          </w:tcPr>
          <w:p w:rsidR="00670811" w:rsidRPr="0045389C" w:rsidRDefault="0045389C" w:rsidP="0045389C">
            <w:pPr>
              <w:jc w:val="center"/>
              <w:rPr>
                <w:rFonts w:cs="Calibri"/>
                <w:sz w:val="20"/>
                <w:szCs w:val="20"/>
              </w:rPr>
            </w:pPr>
            <w:r w:rsidRPr="0045389C">
              <w:rPr>
                <w:rFonts w:cs="Calibri"/>
                <w:sz w:val="20"/>
                <w:szCs w:val="20"/>
              </w:rPr>
              <w:t>Public</w:t>
            </w:r>
          </w:p>
        </w:tc>
      </w:tr>
      <w:tr w:rsidR="00670811" w:rsidRPr="00485569" w:rsidTr="0045389C">
        <w:trPr>
          <w:trHeight w:val="161"/>
        </w:trPr>
        <w:tc>
          <w:tcPr>
            <w:tcW w:w="1813" w:type="dxa"/>
            <w:shd w:val="clear" w:color="auto" w:fill="auto"/>
          </w:tcPr>
          <w:p w:rsidR="00670811" w:rsidRPr="0045389C" w:rsidRDefault="00670811" w:rsidP="00435690">
            <w:pPr>
              <w:rPr>
                <w:rFonts w:cs="Calibri"/>
                <w:b/>
                <w:sz w:val="20"/>
                <w:szCs w:val="20"/>
              </w:rPr>
            </w:pP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uto"/>
          </w:tcPr>
          <w:p w:rsidR="00670811" w:rsidRPr="0045389C" w:rsidRDefault="00670811" w:rsidP="00FD1AE1">
            <w:pPr>
              <w:jc w:val="center"/>
              <w:rPr>
                <w:rFonts w:cs="Calibri"/>
                <w:sz w:val="20"/>
                <w:szCs w:val="20"/>
              </w:rPr>
            </w:pPr>
          </w:p>
        </w:tc>
        <w:tc>
          <w:tcPr>
            <w:tcW w:w="851" w:type="dxa"/>
            <w:shd w:val="clear" w:color="auto" w:fill="auto"/>
          </w:tcPr>
          <w:p w:rsidR="00670811" w:rsidRPr="0045389C" w:rsidRDefault="00670811" w:rsidP="00FD1AE1">
            <w:pPr>
              <w:jc w:val="center"/>
              <w:rPr>
                <w:rFonts w:cs="Calibri"/>
                <w:sz w:val="20"/>
                <w:szCs w:val="20"/>
              </w:rPr>
            </w:pPr>
          </w:p>
        </w:tc>
        <w:tc>
          <w:tcPr>
            <w:tcW w:w="2835" w:type="dxa"/>
            <w:shd w:val="clear" w:color="auto" w:fill="auto"/>
          </w:tcPr>
          <w:p w:rsidR="00670811" w:rsidRPr="0045389C" w:rsidRDefault="00670811" w:rsidP="00FD1AE1">
            <w:pPr>
              <w:jc w:val="center"/>
              <w:rPr>
                <w:rFonts w:cs="Calibri"/>
                <w:sz w:val="20"/>
                <w:szCs w:val="20"/>
              </w:rPr>
            </w:pPr>
          </w:p>
        </w:tc>
      </w:tr>
      <w:tr w:rsidR="00670811" w:rsidRPr="00485569" w:rsidTr="0045389C">
        <w:trPr>
          <w:trHeight w:val="331"/>
        </w:trPr>
        <w:tc>
          <w:tcPr>
            <w:tcW w:w="1813" w:type="dxa"/>
            <w:shd w:val="clear" w:color="auto" w:fill="FFFF00"/>
          </w:tcPr>
          <w:p w:rsidR="00670811" w:rsidRPr="0045389C" w:rsidRDefault="00670811" w:rsidP="00435690">
            <w:pPr>
              <w:rPr>
                <w:rFonts w:cs="Calibri"/>
                <w:b/>
                <w:sz w:val="20"/>
                <w:szCs w:val="20"/>
              </w:rPr>
            </w:pPr>
            <w:r w:rsidRPr="0045389C">
              <w:rPr>
                <w:rFonts w:cs="Calibri"/>
                <w:b/>
                <w:sz w:val="20"/>
                <w:szCs w:val="20"/>
              </w:rPr>
              <w:t>Access type</w:t>
            </w: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5C26C"/>
          </w:tcPr>
          <w:p w:rsidR="00670811" w:rsidRPr="0045389C" w:rsidRDefault="00670811" w:rsidP="00FD1AE1">
            <w:pPr>
              <w:jc w:val="center"/>
              <w:rPr>
                <w:rFonts w:cs="Calibri"/>
                <w:sz w:val="20"/>
                <w:szCs w:val="20"/>
              </w:rPr>
            </w:pPr>
            <w:r w:rsidRPr="0045389C">
              <w:rPr>
                <w:rFonts w:cs="Calibri"/>
                <w:sz w:val="20"/>
                <w:szCs w:val="20"/>
              </w:rPr>
              <w:t>Improved</w:t>
            </w:r>
          </w:p>
        </w:tc>
        <w:tc>
          <w:tcPr>
            <w:tcW w:w="851" w:type="dxa"/>
          </w:tcPr>
          <w:p w:rsidR="00670811" w:rsidRPr="0045389C" w:rsidRDefault="00670811" w:rsidP="00FD1AE1">
            <w:pPr>
              <w:jc w:val="center"/>
              <w:rPr>
                <w:rFonts w:cs="Calibri"/>
                <w:sz w:val="20"/>
                <w:szCs w:val="20"/>
              </w:rPr>
            </w:pPr>
          </w:p>
        </w:tc>
        <w:tc>
          <w:tcPr>
            <w:tcW w:w="2835" w:type="dxa"/>
            <w:shd w:val="clear" w:color="auto" w:fill="61D6FF"/>
          </w:tcPr>
          <w:p w:rsidR="00670811" w:rsidRPr="0045389C" w:rsidRDefault="0045389C" w:rsidP="0045389C">
            <w:pPr>
              <w:jc w:val="center"/>
              <w:rPr>
                <w:rFonts w:cs="Calibri"/>
                <w:sz w:val="20"/>
                <w:szCs w:val="20"/>
              </w:rPr>
            </w:pPr>
            <w:r w:rsidRPr="0045389C">
              <w:rPr>
                <w:rFonts w:cs="Calibri"/>
                <w:sz w:val="20"/>
                <w:szCs w:val="20"/>
              </w:rPr>
              <w:t>Household connection</w:t>
            </w:r>
          </w:p>
        </w:tc>
      </w:tr>
      <w:tr w:rsidR="00670811" w:rsidRPr="00485569" w:rsidTr="0045389C">
        <w:trPr>
          <w:trHeight w:val="165"/>
        </w:trPr>
        <w:tc>
          <w:tcPr>
            <w:tcW w:w="1813" w:type="dxa"/>
            <w:shd w:val="clear" w:color="auto" w:fill="auto"/>
          </w:tcPr>
          <w:p w:rsidR="00670811" w:rsidRPr="0045389C" w:rsidRDefault="00670811" w:rsidP="00435690">
            <w:pPr>
              <w:rPr>
                <w:rFonts w:cs="Calibri"/>
                <w:b/>
                <w:sz w:val="20"/>
                <w:szCs w:val="20"/>
              </w:rPr>
            </w:pPr>
          </w:p>
        </w:tc>
        <w:tc>
          <w:tcPr>
            <w:tcW w:w="325" w:type="dxa"/>
            <w:shd w:val="clear" w:color="auto" w:fill="auto"/>
          </w:tcPr>
          <w:p w:rsidR="00670811" w:rsidRPr="0045389C" w:rsidRDefault="00670811" w:rsidP="00670811">
            <w:pPr>
              <w:rPr>
                <w:rFonts w:cs="Calibri"/>
                <w:sz w:val="20"/>
                <w:szCs w:val="20"/>
              </w:rPr>
            </w:pPr>
          </w:p>
        </w:tc>
        <w:tc>
          <w:tcPr>
            <w:tcW w:w="2081" w:type="dxa"/>
            <w:shd w:val="clear" w:color="auto" w:fill="auto"/>
          </w:tcPr>
          <w:p w:rsidR="00670811" w:rsidRPr="0045389C" w:rsidRDefault="00670811" w:rsidP="00FD1AE1">
            <w:pPr>
              <w:jc w:val="center"/>
              <w:rPr>
                <w:rFonts w:cs="Calibri"/>
                <w:sz w:val="20"/>
                <w:szCs w:val="20"/>
              </w:rPr>
            </w:pPr>
          </w:p>
        </w:tc>
        <w:tc>
          <w:tcPr>
            <w:tcW w:w="851" w:type="dxa"/>
            <w:shd w:val="clear" w:color="auto" w:fill="auto"/>
          </w:tcPr>
          <w:p w:rsidR="00670811" w:rsidRPr="0045389C" w:rsidRDefault="00670811" w:rsidP="00FD1AE1">
            <w:pPr>
              <w:jc w:val="center"/>
              <w:rPr>
                <w:rFonts w:cs="Calibri"/>
                <w:sz w:val="20"/>
                <w:szCs w:val="20"/>
              </w:rPr>
            </w:pPr>
          </w:p>
        </w:tc>
        <w:tc>
          <w:tcPr>
            <w:tcW w:w="2835" w:type="dxa"/>
            <w:shd w:val="clear" w:color="auto" w:fill="auto"/>
          </w:tcPr>
          <w:p w:rsidR="00670811" w:rsidRPr="0045389C" w:rsidRDefault="00670811" w:rsidP="00FD1AE1">
            <w:pPr>
              <w:jc w:val="center"/>
              <w:rPr>
                <w:rFonts w:cs="Calibri"/>
                <w:sz w:val="20"/>
                <w:szCs w:val="20"/>
              </w:rPr>
            </w:pPr>
          </w:p>
        </w:tc>
      </w:tr>
      <w:tr w:rsidR="00670811" w:rsidRPr="00485569" w:rsidTr="0045389C">
        <w:trPr>
          <w:trHeight w:val="331"/>
        </w:trPr>
        <w:tc>
          <w:tcPr>
            <w:tcW w:w="1813" w:type="dxa"/>
            <w:tcBorders>
              <w:bottom w:val="single" w:sz="6" w:space="0" w:color="auto"/>
            </w:tcBorders>
            <w:shd w:val="clear" w:color="auto" w:fill="FFFF00"/>
          </w:tcPr>
          <w:p w:rsidR="00670811" w:rsidRPr="0045389C" w:rsidRDefault="00670811" w:rsidP="00435690">
            <w:pPr>
              <w:rPr>
                <w:rFonts w:cs="Calibri"/>
                <w:b/>
                <w:sz w:val="20"/>
                <w:szCs w:val="20"/>
              </w:rPr>
            </w:pPr>
            <w:r w:rsidRPr="0045389C">
              <w:rPr>
                <w:rFonts w:cs="Calibri"/>
                <w:b/>
                <w:sz w:val="20"/>
                <w:szCs w:val="20"/>
              </w:rPr>
              <w:t>Leading role</w:t>
            </w:r>
          </w:p>
        </w:tc>
        <w:tc>
          <w:tcPr>
            <w:tcW w:w="325" w:type="dxa"/>
            <w:tcBorders>
              <w:bottom w:val="single" w:sz="6" w:space="0" w:color="auto"/>
            </w:tcBorders>
            <w:shd w:val="clear" w:color="auto" w:fill="auto"/>
          </w:tcPr>
          <w:p w:rsidR="00670811" w:rsidRPr="0045389C" w:rsidRDefault="00670811" w:rsidP="00670811">
            <w:pPr>
              <w:rPr>
                <w:rFonts w:cs="Calibri"/>
                <w:sz w:val="20"/>
                <w:szCs w:val="20"/>
              </w:rPr>
            </w:pPr>
          </w:p>
        </w:tc>
        <w:tc>
          <w:tcPr>
            <w:tcW w:w="2081" w:type="dxa"/>
            <w:tcBorders>
              <w:bottom w:val="single" w:sz="6" w:space="0" w:color="auto"/>
            </w:tcBorders>
            <w:shd w:val="clear" w:color="auto" w:fill="A5C26C"/>
          </w:tcPr>
          <w:p w:rsidR="00670811" w:rsidRPr="0045389C" w:rsidRDefault="00670811" w:rsidP="00FD1AE1">
            <w:pPr>
              <w:jc w:val="center"/>
              <w:rPr>
                <w:rFonts w:cs="Calibri"/>
                <w:sz w:val="20"/>
                <w:szCs w:val="20"/>
              </w:rPr>
            </w:pPr>
            <w:r w:rsidRPr="0045389C">
              <w:rPr>
                <w:rFonts w:cs="Calibri"/>
                <w:sz w:val="20"/>
                <w:szCs w:val="20"/>
              </w:rPr>
              <w:t>Donors, banks</w:t>
            </w:r>
            <w:r w:rsidR="003810DB" w:rsidRPr="0045389C">
              <w:rPr>
                <w:rFonts w:cs="Calibri"/>
                <w:sz w:val="20"/>
                <w:szCs w:val="20"/>
              </w:rPr>
              <w:t>, companies</w:t>
            </w:r>
          </w:p>
        </w:tc>
        <w:tc>
          <w:tcPr>
            <w:tcW w:w="851" w:type="dxa"/>
            <w:tcBorders>
              <w:bottom w:val="single" w:sz="6" w:space="0" w:color="auto"/>
            </w:tcBorders>
          </w:tcPr>
          <w:p w:rsidR="00670811" w:rsidRPr="0045389C" w:rsidRDefault="00670811" w:rsidP="00FD1AE1">
            <w:pPr>
              <w:jc w:val="center"/>
              <w:rPr>
                <w:rFonts w:cs="Calibri"/>
                <w:sz w:val="20"/>
                <w:szCs w:val="20"/>
              </w:rPr>
            </w:pPr>
          </w:p>
        </w:tc>
        <w:tc>
          <w:tcPr>
            <w:tcW w:w="2835" w:type="dxa"/>
            <w:tcBorders>
              <w:bottom w:val="single" w:sz="6" w:space="0" w:color="auto"/>
            </w:tcBorders>
            <w:shd w:val="clear" w:color="auto" w:fill="61D6FF"/>
          </w:tcPr>
          <w:p w:rsidR="00670811" w:rsidRPr="0045389C" w:rsidRDefault="0045389C" w:rsidP="0045389C">
            <w:pPr>
              <w:jc w:val="center"/>
              <w:rPr>
                <w:rFonts w:cs="Calibri"/>
                <w:sz w:val="20"/>
                <w:szCs w:val="20"/>
              </w:rPr>
            </w:pPr>
            <w:r w:rsidRPr="0045389C">
              <w:rPr>
                <w:rFonts w:cs="Calibri"/>
                <w:sz w:val="20"/>
                <w:szCs w:val="20"/>
              </w:rPr>
              <w:t>National governments</w:t>
            </w:r>
          </w:p>
        </w:tc>
      </w:tr>
      <w:tr w:rsidR="00F538AB" w:rsidRPr="00485569" w:rsidTr="0045389C">
        <w:trPr>
          <w:trHeight w:val="161"/>
        </w:trPr>
        <w:tc>
          <w:tcPr>
            <w:tcW w:w="1813" w:type="dxa"/>
            <w:tcBorders>
              <w:top w:val="single" w:sz="6" w:space="0" w:color="auto"/>
              <w:bottom w:val="single" w:sz="6" w:space="0" w:color="auto"/>
            </w:tcBorders>
            <w:shd w:val="clear" w:color="auto" w:fill="auto"/>
          </w:tcPr>
          <w:p w:rsidR="00F538AB" w:rsidRPr="0045389C" w:rsidRDefault="00F538AB" w:rsidP="00435690">
            <w:pPr>
              <w:rPr>
                <w:rFonts w:cs="Calibri"/>
                <w:b/>
                <w:sz w:val="20"/>
                <w:szCs w:val="20"/>
              </w:rPr>
            </w:pPr>
          </w:p>
        </w:tc>
        <w:tc>
          <w:tcPr>
            <w:tcW w:w="325" w:type="dxa"/>
            <w:tcBorders>
              <w:top w:val="single" w:sz="6" w:space="0" w:color="auto"/>
              <w:bottom w:val="single" w:sz="6" w:space="0" w:color="auto"/>
            </w:tcBorders>
            <w:shd w:val="clear" w:color="auto" w:fill="auto"/>
          </w:tcPr>
          <w:p w:rsidR="00F538AB" w:rsidRPr="0045389C" w:rsidRDefault="00F538AB" w:rsidP="00670811">
            <w:pPr>
              <w:rPr>
                <w:rFonts w:cs="Calibri"/>
                <w:sz w:val="20"/>
                <w:szCs w:val="20"/>
              </w:rPr>
            </w:pPr>
          </w:p>
        </w:tc>
        <w:tc>
          <w:tcPr>
            <w:tcW w:w="2081" w:type="dxa"/>
            <w:tcBorders>
              <w:top w:val="single" w:sz="6" w:space="0" w:color="auto"/>
              <w:bottom w:val="single" w:sz="6" w:space="0" w:color="auto"/>
            </w:tcBorders>
            <w:shd w:val="clear" w:color="auto" w:fill="auto"/>
          </w:tcPr>
          <w:p w:rsidR="00F538AB" w:rsidRPr="0045389C" w:rsidRDefault="00F538AB" w:rsidP="00FD1AE1">
            <w:pPr>
              <w:jc w:val="center"/>
              <w:rPr>
                <w:rFonts w:cs="Calibri"/>
                <w:sz w:val="20"/>
                <w:szCs w:val="20"/>
              </w:rPr>
            </w:pPr>
          </w:p>
        </w:tc>
        <w:tc>
          <w:tcPr>
            <w:tcW w:w="851" w:type="dxa"/>
            <w:tcBorders>
              <w:top w:val="single" w:sz="6" w:space="0" w:color="auto"/>
              <w:bottom w:val="single" w:sz="6" w:space="0" w:color="auto"/>
            </w:tcBorders>
            <w:shd w:val="clear" w:color="auto" w:fill="auto"/>
          </w:tcPr>
          <w:p w:rsidR="00F538AB" w:rsidRPr="0045389C" w:rsidRDefault="00F538AB" w:rsidP="00FD1AE1">
            <w:pPr>
              <w:jc w:val="center"/>
              <w:rPr>
                <w:rFonts w:cs="Calibri"/>
                <w:sz w:val="20"/>
                <w:szCs w:val="20"/>
              </w:rPr>
            </w:pPr>
          </w:p>
        </w:tc>
        <w:tc>
          <w:tcPr>
            <w:tcW w:w="2835" w:type="dxa"/>
            <w:tcBorders>
              <w:top w:val="single" w:sz="6" w:space="0" w:color="auto"/>
              <w:bottom w:val="single" w:sz="6" w:space="0" w:color="auto"/>
            </w:tcBorders>
            <w:shd w:val="clear" w:color="auto" w:fill="auto"/>
          </w:tcPr>
          <w:p w:rsidR="00F538AB" w:rsidRPr="0045389C" w:rsidRDefault="00F538AB" w:rsidP="00FD1AE1">
            <w:pPr>
              <w:jc w:val="center"/>
              <w:rPr>
                <w:rFonts w:cs="Calibri"/>
                <w:sz w:val="20"/>
                <w:szCs w:val="20"/>
              </w:rPr>
            </w:pPr>
          </w:p>
        </w:tc>
      </w:tr>
      <w:tr w:rsidR="00F538AB" w:rsidRPr="00485569" w:rsidTr="0045389C">
        <w:trPr>
          <w:trHeight w:val="370"/>
        </w:trPr>
        <w:tc>
          <w:tcPr>
            <w:tcW w:w="1813" w:type="dxa"/>
            <w:tcBorders>
              <w:top w:val="single" w:sz="6" w:space="0" w:color="auto"/>
            </w:tcBorders>
            <w:shd w:val="clear" w:color="auto" w:fill="FFFF00"/>
          </w:tcPr>
          <w:p w:rsidR="00F538AB" w:rsidRPr="0045389C" w:rsidRDefault="00F538AB" w:rsidP="00435690">
            <w:pPr>
              <w:rPr>
                <w:rFonts w:cs="Calibri"/>
                <w:b/>
                <w:sz w:val="20"/>
                <w:szCs w:val="20"/>
              </w:rPr>
            </w:pPr>
            <w:r w:rsidRPr="0045389C">
              <w:rPr>
                <w:rFonts w:cs="Calibri"/>
                <w:b/>
                <w:sz w:val="20"/>
                <w:szCs w:val="20"/>
              </w:rPr>
              <w:t>Location</w:t>
            </w:r>
            <w:r w:rsidR="00C71BE4" w:rsidRPr="0045389C">
              <w:rPr>
                <w:rFonts w:cs="Calibri"/>
                <w:b/>
                <w:sz w:val="20"/>
                <w:szCs w:val="20"/>
              </w:rPr>
              <w:t xml:space="preserve"> focus</w:t>
            </w:r>
          </w:p>
        </w:tc>
        <w:tc>
          <w:tcPr>
            <w:tcW w:w="325" w:type="dxa"/>
            <w:tcBorders>
              <w:top w:val="single" w:sz="6" w:space="0" w:color="auto"/>
            </w:tcBorders>
            <w:shd w:val="clear" w:color="auto" w:fill="auto"/>
          </w:tcPr>
          <w:p w:rsidR="00F538AB" w:rsidRPr="0045389C" w:rsidRDefault="00F538AB" w:rsidP="00670811">
            <w:pPr>
              <w:rPr>
                <w:rFonts w:cs="Calibri"/>
                <w:sz w:val="20"/>
                <w:szCs w:val="20"/>
              </w:rPr>
            </w:pPr>
          </w:p>
        </w:tc>
        <w:tc>
          <w:tcPr>
            <w:tcW w:w="2081" w:type="dxa"/>
            <w:tcBorders>
              <w:top w:val="single" w:sz="6" w:space="0" w:color="auto"/>
            </w:tcBorders>
            <w:shd w:val="clear" w:color="auto" w:fill="A5C26C"/>
          </w:tcPr>
          <w:p w:rsidR="00F538AB" w:rsidRPr="0045389C" w:rsidRDefault="00F538AB" w:rsidP="003810DB">
            <w:pPr>
              <w:jc w:val="center"/>
              <w:rPr>
                <w:rFonts w:cs="Calibri"/>
                <w:sz w:val="20"/>
                <w:szCs w:val="20"/>
              </w:rPr>
            </w:pPr>
            <w:r w:rsidRPr="0045389C">
              <w:rPr>
                <w:rFonts w:cs="Calibri"/>
                <w:sz w:val="20"/>
                <w:szCs w:val="20"/>
              </w:rPr>
              <w:t xml:space="preserve">Rural </w:t>
            </w:r>
          </w:p>
        </w:tc>
        <w:tc>
          <w:tcPr>
            <w:tcW w:w="851" w:type="dxa"/>
            <w:tcBorders>
              <w:top w:val="single" w:sz="6" w:space="0" w:color="auto"/>
            </w:tcBorders>
          </w:tcPr>
          <w:p w:rsidR="00F538AB" w:rsidRPr="0045389C" w:rsidRDefault="00F538AB" w:rsidP="00FD1AE1">
            <w:pPr>
              <w:jc w:val="center"/>
              <w:rPr>
                <w:rFonts w:cs="Calibri"/>
                <w:sz w:val="20"/>
                <w:szCs w:val="20"/>
              </w:rPr>
            </w:pPr>
          </w:p>
        </w:tc>
        <w:tc>
          <w:tcPr>
            <w:tcW w:w="2835" w:type="dxa"/>
            <w:tcBorders>
              <w:top w:val="single" w:sz="6" w:space="0" w:color="auto"/>
            </w:tcBorders>
            <w:shd w:val="clear" w:color="auto" w:fill="61D6FF"/>
          </w:tcPr>
          <w:p w:rsidR="00F538AB" w:rsidRPr="0045389C" w:rsidRDefault="0045389C" w:rsidP="0045389C">
            <w:pPr>
              <w:jc w:val="center"/>
              <w:rPr>
                <w:rFonts w:cs="Calibri"/>
                <w:sz w:val="20"/>
                <w:szCs w:val="20"/>
              </w:rPr>
            </w:pPr>
            <w:r w:rsidRPr="0045389C">
              <w:rPr>
                <w:rFonts w:cs="Calibri"/>
                <w:sz w:val="20"/>
                <w:szCs w:val="20"/>
              </w:rPr>
              <w:t>Urban</w:t>
            </w:r>
          </w:p>
        </w:tc>
      </w:tr>
    </w:tbl>
    <w:p w:rsidR="00435690" w:rsidRDefault="00435690" w:rsidP="00435690"/>
    <w:p w:rsidR="00BB7068" w:rsidRDefault="00BB7068" w:rsidP="00BB7068">
      <w:pPr>
        <w:pStyle w:val="Heading2"/>
      </w:pPr>
      <w:bookmarkStart w:id="38" w:name="_Toc318886720"/>
      <w:r>
        <w:t>A national framework</w:t>
      </w:r>
      <w:bookmarkEnd w:id="38"/>
    </w:p>
    <w:p w:rsidR="00575828" w:rsidRDefault="00686ED5" w:rsidP="00BB7068">
      <w:pPr>
        <w:rPr>
          <w:lang w:eastAsia="en-US"/>
        </w:rPr>
      </w:pPr>
      <w:r>
        <w:rPr>
          <w:lang w:eastAsia="en-US"/>
        </w:rPr>
        <w:t xml:space="preserve">This national framework corresponds with a new – or revived – view of the role of the state in development. It is already very clear in </w:t>
      </w:r>
      <w:r w:rsidR="0015299B">
        <w:rPr>
          <w:lang w:eastAsia="en-US"/>
        </w:rPr>
        <w:t>L</w:t>
      </w:r>
      <w:r>
        <w:rPr>
          <w:lang w:eastAsia="en-US"/>
        </w:rPr>
        <w:t xml:space="preserve">atin American countries, India, China and other Asian countries, where the role of the state in investing in infrastructure is explicitly recognised as a central element in development and economic growth. It is now also being articulated in Africa, by leading politicians and officials, in terms which include an explicit rejection of the role of donors and the role of the market, in favour of a restored strong role for the state. </w:t>
      </w:r>
    </w:p>
    <w:p w:rsidR="00575828" w:rsidRDefault="00575828" w:rsidP="00BB7068">
      <w:pPr>
        <w:rPr>
          <w:lang w:eastAsia="en-US"/>
        </w:rPr>
      </w:pPr>
    </w:p>
    <w:p w:rsidR="00BB7068" w:rsidRDefault="00F37E90" w:rsidP="00BB7068">
      <w:pPr>
        <w:rPr>
          <w:lang w:eastAsia="en-US"/>
        </w:rPr>
      </w:pPr>
      <w:r>
        <w:rPr>
          <w:lang w:eastAsia="en-US"/>
        </w:rPr>
        <w:t>Two examples of this</w:t>
      </w:r>
      <w:r w:rsidR="002A622C">
        <w:rPr>
          <w:lang w:eastAsia="en-US"/>
        </w:rPr>
        <w:t xml:space="preserve"> are </w:t>
      </w:r>
      <w:r w:rsidR="00575828">
        <w:rPr>
          <w:lang w:eastAsia="en-US"/>
        </w:rPr>
        <w:t xml:space="preserve">worth quoting. </w:t>
      </w:r>
    </w:p>
    <w:p w:rsidR="00575828" w:rsidRDefault="00575828" w:rsidP="00BB7068">
      <w:pPr>
        <w:rPr>
          <w:lang w:eastAsia="en-US"/>
        </w:rPr>
      </w:pPr>
    </w:p>
    <w:p w:rsidR="00575828" w:rsidRDefault="00BB7068" w:rsidP="00BB7068">
      <w:pPr>
        <w:rPr>
          <w:lang w:eastAsia="en-US"/>
        </w:rPr>
      </w:pPr>
      <w:r>
        <w:rPr>
          <w:lang w:eastAsia="en-US"/>
        </w:rPr>
        <w:t>President Museveni of Uganda articulated a</w:t>
      </w:r>
      <w:r w:rsidR="00575828">
        <w:rPr>
          <w:lang w:eastAsia="en-US"/>
        </w:rPr>
        <w:t>n</w:t>
      </w:r>
      <w:r>
        <w:rPr>
          <w:lang w:eastAsia="en-US"/>
        </w:rPr>
        <w:t xml:space="preserve"> emphasis on national decisions, public finance, and relegation of the role of donors</w:t>
      </w:r>
      <w:r w:rsidR="00575828">
        <w:rPr>
          <w:lang w:eastAsia="en-US"/>
        </w:rPr>
        <w:t xml:space="preserve">, in a speech to the meeting of the </w:t>
      </w:r>
      <w:r w:rsidR="000D0CB0">
        <w:rPr>
          <w:lang w:eastAsia="en-US"/>
        </w:rPr>
        <w:t>Organization of African Unity (</w:t>
      </w:r>
      <w:r w:rsidR="00575828">
        <w:rPr>
          <w:lang w:eastAsia="en-US"/>
        </w:rPr>
        <w:t>OAU</w:t>
      </w:r>
      <w:r w:rsidR="000D0CB0">
        <w:rPr>
          <w:lang w:eastAsia="en-US"/>
        </w:rPr>
        <w:t>)</w:t>
      </w:r>
      <w:r w:rsidR="00575828">
        <w:rPr>
          <w:lang w:eastAsia="en-US"/>
        </w:rPr>
        <w:t xml:space="preserve"> in July 2010:</w:t>
      </w:r>
    </w:p>
    <w:p w:rsidR="00575828" w:rsidRDefault="00575828" w:rsidP="00BB7068">
      <w:pPr>
        <w:rPr>
          <w:lang w:eastAsia="en-US"/>
        </w:rPr>
      </w:pPr>
    </w:p>
    <w:p w:rsidR="00BB7068" w:rsidRDefault="00BB7068" w:rsidP="00575828">
      <w:pPr>
        <w:ind w:left="720"/>
        <w:rPr>
          <w:lang w:eastAsia="en-US"/>
        </w:rPr>
      </w:pPr>
      <w:r>
        <w:rPr>
          <w:lang w:eastAsia="en-US"/>
        </w:rPr>
        <w:t xml:space="preserve"> “</w:t>
      </w:r>
      <w:r w:rsidRPr="00BB7068">
        <w:rPr>
          <w:lang w:eastAsia="en-US"/>
        </w:rPr>
        <w:t>Our countries will not have the necessary money without adequate tax collections</w:t>
      </w:r>
      <w:r>
        <w:rPr>
          <w:lang w:eastAsia="en-US"/>
        </w:rPr>
        <w:t>…</w:t>
      </w:r>
      <w:r w:rsidRPr="00BB7068">
        <w:t xml:space="preserve"> </w:t>
      </w:r>
      <w:r w:rsidRPr="00BB7068">
        <w:rPr>
          <w:lang w:eastAsia="en-US"/>
        </w:rPr>
        <w:t xml:space="preserve">One cause of failure to develop infrastructure in Uganda was depending on foreign borrowing or grants.  The foreign lending Agencies either do not know or do not care to find out the magnitude of needs Africa has.  </w:t>
      </w:r>
      <w:r>
        <w:rPr>
          <w:lang w:eastAsia="en-US"/>
        </w:rPr>
        <w:t>…</w:t>
      </w:r>
      <w:r w:rsidRPr="00BB7068">
        <w:rPr>
          <w:lang w:eastAsia="en-US"/>
        </w:rPr>
        <w:t xml:space="preserve">.  During the time I have been in Government, I have discovered that depending on external funding for infrastructure development (grants and loans) is very dangerous.  </w:t>
      </w:r>
      <w:r>
        <w:rPr>
          <w:lang w:eastAsia="en-US"/>
        </w:rPr>
        <w:t>…</w:t>
      </w:r>
      <w:r w:rsidRPr="00BB7068">
        <w:rPr>
          <w:lang w:eastAsia="en-US"/>
        </w:rPr>
        <w:t>.  The money begged for or borrowed from outside is too little, very unreliable and too slow in coming to be able to help us in dealing with infrastructure.</w:t>
      </w:r>
      <w:r>
        <w:rPr>
          <w:lang w:eastAsia="en-US"/>
        </w:rPr>
        <w:t>”</w:t>
      </w:r>
      <w:r>
        <w:rPr>
          <w:rStyle w:val="EndnoteReference"/>
          <w:lang w:eastAsia="en-US"/>
        </w:rPr>
        <w:endnoteReference w:id="56"/>
      </w:r>
    </w:p>
    <w:p w:rsidR="00575828" w:rsidRDefault="00575828" w:rsidP="00575828">
      <w:pPr>
        <w:rPr>
          <w:lang w:eastAsia="en-US"/>
        </w:rPr>
      </w:pPr>
    </w:p>
    <w:p w:rsidR="00575828" w:rsidRPr="00575828" w:rsidRDefault="00575828" w:rsidP="00575828">
      <w:pPr>
        <w:rPr>
          <w:lang w:eastAsia="en-US"/>
        </w:rPr>
      </w:pPr>
      <w:r w:rsidRPr="00575828">
        <w:rPr>
          <w:bCs/>
          <w:lang w:eastAsia="en-US"/>
        </w:rPr>
        <w:t>Louis Kasekende</w:t>
      </w:r>
      <w:r>
        <w:rPr>
          <w:bCs/>
          <w:lang w:eastAsia="en-US"/>
        </w:rPr>
        <w:t xml:space="preserve">, </w:t>
      </w:r>
      <w:r w:rsidRPr="00575828">
        <w:rPr>
          <w:lang w:eastAsia="en-US"/>
        </w:rPr>
        <w:t>Chief Economist</w:t>
      </w:r>
      <w:r>
        <w:rPr>
          <w:lang w:eastAsia="en-US"/>
        </w:rPr>
        <w:t xml:space="preserve"> of the </w:t>
      </w:r>
      <w:r w:rsidRPr="00575828">
        <w:rPr>
          <w:lang w:eastAsia="en-US"/>
        </w:rPr>
        <w:t xml:space="preserve">African Development Bank Group, </w:t>
      </w:r>
      <w:r>
        <w:rPr>
          <w:lang w:eastAsia="en-US"/>
        </w:rPr>
        <w:t>made a deeper presentation of the issues at a conference in</w:t>
      </w:r>
      <w:r w:rsidR="0045389C">
        <w:rPr>
          <w:lang w:eastAsia="en-US"/>
        </w:rPr>
        <w:t xml:space="preserve"> August 2009.</w:t>
      </w:r>
      <w:r>
        <w:rPr>
          <w:rStyle w:val="EndnoteReference"/>
          <w:lang w:eastAsia="en-US"/>
        </w:rPr>
        <w:endnoteReference w:id="57"/>
      </w:r>
    </w:p>
    <w:p w:rsidR="00575828" w:rsidRDefault="00575828" w:rsidP="00575828">
      <w:pPr>
        <w:rPr>
          <w:lang w:eastAsia="en-US"/>
        </w:rPr>
      </w:pPr>
    </w:p>
    <w:p w:rsidR="00575828" w:rsidRPr="00245E41" w:rsidRDefault="00575828" w:rsidP="00575828">
      <w:pPr>
        <w:ind w:left="720"/>
        <w:rPr>
          <w:lang w:eastAsia="en-US"/>
        </w:rPr>
      </w:pPr>
      <w:r w:rsidRPr="00245E41">
        <w:rPr>
          <w:lang w:eastAsia="en-US"/>
        </w:rPr>
        <w:t>“</w:t>
      </w:r>
      <w:r w:rsidR="00151642" w:rsidRPr="00245E41">
        <w:rPr>
          <w:lang w:eastAsia="en-US"/>
        </w:rPr>
        <w:t>…</w:t>
      </w:r>
      <w:r w:rsidRPr="00245E41">
        <w:rPr>
          <w:lang w:eastAsia="en-US"/>
        </w:rPr>
        <w:t>the crisis should be grasped as a turning point in the development path of developing countries, particularly here in Africa. In order to overcome the continent’s structural constraints and reduce its external dependence, it is necessary to reconsider the role of the state. The market only works through incremental changes and small steps. However, developing countries need to stimulate investments by socializing risk, in order to achieve long-term structural transformation….</w:t>
      </w:r>
      <w:r w:rsidR="00D1048B">
        <w:rPr>
          <w:lang w:eastAsia="en-US"/>
        </w:rPr>
        <w:t xml:space="preserve"> </w:t>
      </w:r>
      <w:r w:rsidRPr="00245E41">
        <w:rPr>
          <w:rFonts w:cs="BookmanOldStyle"/>
          <w:szCs w:val="22"/>
        </w:rPr>
        <w:t>macroeconomic policies across the developing world during the last several decades have been strongly influenced by the recommendations of the international finance institutions and bilateral aid donors who, in turn, were heavily influenced by the neoclassical school......  As argued by several scholars, the reforms based on this approach have largely failed to develop the private sector as the driving force for development. I thus want to table for your consideration the need for a marked change in the approach to macroeconomic policies across the developing world and for one that recognizes that government has a vital role to play in restructuring the economy and in creating the conditions for a ‘take-off’ into sustained growth......  Since economic development is about societal transformation, and not simply a technical economic problem to be left to economists, then governments must also act to ensure that the costs and benefits of adjustment are distributed in an equitable and socially acceptable manner.”</w:t>
      </w:r>
      <w:r w:rsidRPr="00245E41">
        <w:rPr>
          <w:rStyle w:val="EndnoteReference"/>
          <w:lang w:eastAsia="en-US"/>
        </w:rPr>
        <w:t xml:space="preserve"> </w:t>
      </w:r>
      <w:r w:rsidRPr="00245E41">
        <w:rPr>
          <w:rStyle w:val="EndnoteReference"/>
          <w:lang w:eastAsia="en-US"/>
        </w:rPr>
        <w:endnoteReference w:id="58"/>
      </w:r>
    </w:p>
    <w:p w:rsidR="00575828" w:rsidRDefault="00575828" w:rsidP="00575828">
      <w:pPr>
        <w:rPr>
          <w:lang w:eastAsia="en-US"/>
        </w:rPr>
      </w:pPr>
    </w:p>
    <w:p w:rsidR="00575828" w:rsidRDefault="002A622C" w:rsidP="002A622C">
      <w:pPr>
        <w:pStyle w:val="Heading2"/>
      </w:pPr>
      <w:bookmarkStart w:id="39" w:name="_Toc318886721"/>
      <w:r>
        <w:t>Policy conclusions</w:t>
      </w:r>
      <w:bookmarkEnd w:id="39"/>
    </w:p>
    <w:p w:rsidR="00D83FD7" w:rsidRPr="00D83FD7" w:rsidRDefault="00575828" w:rsidP="00D83FD7">
      <w:r>
        <w:t xml:space="preserve">Finally, some policy conclusions may be drawn for both developing countries and donors. </w:t>
      </w:r>
      <w:r w:rsidR="00D83FD7" w:rsidRPr="00D83FD7">
        <w:t xml:space="preserve">Developing countries should continue to plan for development of household water and sewerage connections. The important financial issue is to ensure that sufficient taxes are raised to finance the programme. Attempts to finance it through user charges recovering costs, or attempts to involve the private sector in investment, are likely to be expensive irrelevances that will slow down achievements. Countries such as Indonesia and Philippines need to develop major public </w:t>
      </w:r>
      <w:r w:rsidR="00BB7068">
        <w:t xml:space="preserve">infrastructure </w:t>
      </w:r>
      <w:r w:rsidR="00D83FD7" w:rsidRPr="00D83FD7">
        <w:t>spending programmes.</w:t>
      </w:r>
    </w:p>
    <w:p w:rsidR="00D83FD7" w:rsidRPr="00D83FD7" w:rsidRDefault="00D83FD7" w:rsidP="00D83FD7"/>
    <w:p w:rsidR="00D83FD7" w:rsidRPr="00D83FD7" w:rsidRDefault="00D83FD7" w:rsidP="00D83FD7">
      <w:r w:rsidRPr="00D83FD7">
        <w:t xml:space="preserve">Donors should stop </w:t>
      </w:r>
      <w:r w:rsidR="00076348">
        <w:t>encouraging countries to try to</w:t>
      </w:r>
      <w:r w:rsidRPr="00D83FD7">
        <w:t xml:space="preserve"> finance development of sewerage systems through cost recovery from users, and stop encouraging countries to believe that the private sector will make any significant contribution to investment in sanitation. They should instead </w:t>
      </w:r>
      <w:r w:rsidR="00BB7068">
        <w:t xml:space="preserve">help </w:t>
      </w:r>
      <w:r w:rsidRPr="00D83FD7">
        <w:t>countries to build the taxation capacity needed to finance this investment</w:t>
      </w:r>
      <w:r w:rsidR="00BB7068">
        <w:t>, and f</w:t>
      </w:r>
      <w:r w:rsidRPr="00D83FD7">
        <w:t xml:space="preserve">ocus aid on the countries in greatest need of assistance, in particular African countries, led by the Democratic Republic of Congo. </w:t>
      </w:r>
    </w:p>
    <w:p w:rsidR="00733E65" w:rsidRPr="00733E65" w:rsidRDefault="001E26F1" w:rsidP="00733E65">
      <w:pPr>
        <w:rPr>
          <w:lang w:eastAsia="en-US"/>
        </w:rPr>
      </w:pPr>
      <w:r>
        <w:t xml:space="preserve"> </w:t>
      </w:r>
    </w:p>
    <w:p w:rsidR="00410A9C" w:rsidRDefault="00EB34E4" w:rsidP="00C83669">
      <w:pPr>
        <w:pStyle w:val="Heading1"/>
      </w:pPr>
      <w:bookmarkStart w:id="40" w:name="_Toc318886722"/>
      <w:r>
        <w:t>Bibliography</w:t>
      </w:r>
      <w:bookmarkEnd w:id="40"/>
    </w:p>
    <w:p w:rsidR="002A622C" w:rsidRPr="00076348" w:rsidRDefault="002A622C" w:rsidP="00A4432F">
      <w:pPr>
        <w:pStyle w:val="EndnoteText"/>
        <w:rPr>
          <w:rFonts w:cs="Calibri"/>
          <w:sz w:val="18"/>
          <w:szCs w:val="18"/>
        </w:rPr>
      </w:pPr>
      <w:r w:rsidRPr="00076348">
        <w:rPr>
          <w:rFonts w:cs="Calibri"/>
          <w:sz w:val="18"/>
          <w:szCs w:val="18"/>
        </w:rPr>
        <w:t xml:space="preserve">Barraqué, Bernard (2007) 'Small Communes, Centralisation, and Delegation to Private Companies: The French Experience', Journal of Comparative Social Welfare, 23:2, 121 – 130  </w:t>
      </w:r>
      <w:hyperlink r:id="rId20" w:history="1">
        <w:r w:rsidRPr="00076348">
          <w:rPr>
            <w:rStyle w:val="Hyperlink"/>
            <w:rFonts w:cs="Calibri"/>
            <w:sz w:val="18"/>
            <w:szCs w:val="18"/>
          </w:rPr>
          <w:t>http://pdfserve.informaworld.com/297693_751311873_781353829.pdf</w:t>
        </w:r>
      </w:hyperlink>
    </w:p>
    <w:p w:rsidR="002A622C" w:rsidRPr="00076348" w:rsidRDefault="002A622C" w:rsidP="00A4432F">
      <w:pPr>
        <w:pStyle w:val="EndnoteText"/>
        <w:rPr>
          <w:rFonts w:cs="Calibri"/>
          <w:sz w:val="18"/>
          <w:szCs w:val="18"/>
        </w:rPr>
      </w:pPr>
    </w:p>
    <w:p w:rsidR="002A622C" w:rsidRPr="00076348" w:rsidRDefault="002A622C" w:rsidP="00A4432F">
      <w:pPr>
        <w:pStyle w:val="EndnoteText"/>
        <w:rPr>
          <w:rFonts w:cs="Calibri"/>
          <w:sz w:val="18"/>
          <w:szCs w:val="18"/>
        </w:rPr>
      </w:pPr>
      <w:r w:rsidRPr="00076348">
        <w:rPr>
          <w:rFonts w:cs="Calibri"/>
          <w:bCs/>
          <w:iCs/>
          <w:sz w:val="18"/>
          <w:szCs w:val="18"/>
        </w:rPr>
        <w:t>Briceño-Garmendia C., Antonio Estache, Nemat Shafik</w:t>
      </w:r>
      <w:r w:rsidR="00076348" w:rsidRPr="00076348">
        <w:rPr>
          <w:rFonts w:cs="Calibri"/>
          <w:bCs/>
          <w:iCs/>
          <w:sz w:val="18"/>
          <w:szCs w:val="18"/>
        </w:rPr>
        <w:t>.</w:t>
      </w:r>
      <w:r w:rsidRPr="00076348">
        <w:rPr>
          <w:rFonts w:cs="Calibri"/>
          <w:bCs/>
          <w:iCs/>
          <w:sz w:val="18"/>
          <w:szCs w:val="18"/>
        </w:rPr>
        <w:t xml:space="preserve"> Infrastructure Services in Developing Countries:</w:t>
      </w:r>
      <w:r w:rsidR="00076348">
        <w:rPr>
          <w:rFonts w:cs="Calibri"/>
          <w:bCs/>
          <w:iCs/>
          <w:sz w:val="18"/>
          <w:szCs w:val="18"/>
        </w:rPr>
        <w:t xml:space="preserve"> </w:t>
      </w:r>
      <w:r w:rsidRPr="00076348">
        <w:rPr>
          <w:rFonts w:cs="Calibri"/>
          <w:bCs/>
          <w:iCs/>
          <w:sz w:val="18"/>
          <w:szCs w:val="18"/>
        </w:rPr>
        <w:t xml:space="preserve">Access, Quality, Costs and Policy Reform. </w:t>
      </w:r>
      <w:r w:rsidRPr="00076348">
        <w:rPr>
          <w:rFonts w:cs="Calibri"/>
          <w:iCs/>
          <w:sz w:val="18"/>
          <w:szCs w:val="18"/>
        </w:rPr>
        <w:t>INFVP World Bank Policy Research Working Paper 3468, December 2004</w:t>
      </w:r>
    </w:p>
    <w:p w:rsidR="002A622C" w:rsidRPr="00076348" w:rsidRDefault="002A622C" w:rsidP="00A4432F">
      <w:pPr>
        <w:pStyle w:val="EndnoteText"/>
        <w:rPr>
          <w:rFonts w:cs="Calibri"/>
          <w:sz w:val="18"/>
          <w:szCs w:val="18"/>
        </w:rPr>
      </w:pPr>
    </w:p>
    <w:p w:rsidR="002A622C" w:rsidRPr="00076348" w:rsidRDefault="002A622C" w:rsidP="00A4432F">
      <w:pPr>
        <w:pStyle w:val="EndnoteText"/>
        <w:rPr>
          <w:rFonts w:cs="Calibri"/>
          <w:sz w:val="18"/>
          <w:szCs w:val="18"/>
        </w:rPr>
      </w:pPr>
      <w:r w:rsidRPr="00076348">
        <w:rPr>
          <w:rFonts w:cs="Calibri"/>
          <w:sz w:val="18"/>
          <w:szCs w:val="18"/>
        </w:rPr>
        <w:t>Chatterton I. and Olga Susana Puerto 2006 ‘</w:t>
      </w:r>
      <w:r w:rsidRPr="00076348">
        <w:rPr>
          <w:rFonts w:cs="Calibri"/>
          <w:bCs/>
          <w:sz w:val="18"/>
          <w:szCs w:val="18"/>
        </w:rPr>
        <w:t xml:space="preserve">Estimation of infrastructure investment needs in the </w:t>
      </w:r>
      <w:r w:rsidR="00F44833" w:rsidRPr="00076348">
        <w:rPr>
          <w:rFonts w:cs="Calibri"/>
          <w:bCs/>
          <w:sz w:val="18"/>
          <w:szCs w:val="18"/>
        </w:rPr>
        <w:t>South Asia</w:t>
      </w:r>
      <w:r w:rsidR="00076348">
        <w:rPr>
          <w:rFonts w:cs="Calibri"/>
          <w:bCs/>
          <w:sz w:val="18"/>
          <w:szCs w:val="18"/>
        </w:rPr>
        <w:t xml:space="preserve"> region </w:t>
      </w:r>
      <w:hyperlink r:id="rId21" w:history="1">
        <w:r w:rsidRPr="00076348">
          <w:rPr>
            <w:rStyle w:val="Hyperlink"/>
            <w:rFonts w:cs="Calibri"/>
            <w:sz w:val="18"/>
            <w:szCs w:val="18"/>
          </w:rPr>
          <w:t>http://www1.fidic.org/resources/representation/statistics/invest-needs-asia-Inf_Investment_Needs_IC_version4.pdf</w:t>
        </w:r>
      </w:hyperlink>
    </w:p>
    <w:p w:rsidR="002A622C" w:rsidRPr="00076348" w:rsidRDefault="002A622C" w:rsidP="00A4432F">
      <w:pPr>
        <w:pStyle w:val="EndnoteText"/>
        <w:rPr>
          <w:rFonts w:cs="Calibri"/>
          <w:sz w:val="18"/>
          <w:szCs w:val="18"/>
        </w:rPr>
      </w:pPr>
    </w:p>
    <w:p w:rsidR="002A622C" w:rsidRPr="00076348" w:rsidRDefault="002A622C" w:rsidP="00A4432F">
      <w:pPr>
        <w:rPr>
          <w:rFonts w:cs="Calibri"/>
          <w:sz w:val="18"/>
          <w:szCs w:val="18"/>
        </w:rPr>
      </w:pPr>
      <w:r w:rsidRPr="00076348">
        <w:rPr>
          <w:rFonts w:cs="Calibri"/>
          <w:sz w:val="18"/>
          <w:szCs w:val="18"/>
        </w:rPr>
        <w:t xml:space="preserve">Clarke Annez P. Urban Infrastructure Finance From Private Operators: What Have We Learned From Recent Experience? World Bank Policy Research Working Paper 4045, November 2006 </w:t>
      </w:r>
      <w:hyperlink r:id="rId22" w:history="1">
        <w:r w:rsidRPr="00076348">
          <w:rPr>
            <w:rStyle w:val="Hyperlink"/>
            <w:rFonts w:cs="Calibri"/>
            <w:sz w:val="18"/>
            <w:szCs w:val="18"/>
          </w:rPr>
          <w:t>http://go.worldbank.org/N7HA8M3E20</w:t>
        </w:r>
      </w:hyperlink>
      <w:r w:rsidRP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autoSpaceDE w:val="0"/>
        <w:autoSpaceDN w:val="0"/>
        <w:adjustRightInd w:val="0"/>
        <w:rPr>
          <w:rFonts w:cs="Calibri"/>
          <w:bCs/>
          <w:sz w:val="18"/>
          <w:szCs w:val="18"/>
        </w:rPr>
      </w:pPr>
      <w:r w:rsidRPr="00076348">
        <w:rPr>
          <w:rFonts w:cs="Calibri"/>
          <w:bCs/>
          <w:sz w:val="18"/>
          <w:szCs w:val="18"/>
        </w:rPr>
        <w:t>Costain</w:t>
      </w:r>
      <w:r w:rsidRPr="00076348">
        <w:rPr>
          <w:rFonts w:cs="Calibri"/>
          <w:sz w:val="18"/>
          <w:szCs w:val="18"/>
        </w:rPr>
        <w:t xml:space="preserve"> C. 2010 The Economics of Sanitation Initiative (ESI) </w:t>
      </w:r>
      <w:r w:rsidRPr="00076348">
        <w:rPr>
          <w:rFonts w:cs="Calibri"/>
          <w:bCs/>
          <w:sz w:val="18"/>
          <w:szCs w:val="18"/>
        </w:rPr>
        <w:t xml:space="preserve">India Impact Study </w:t>
      </w:r>
      <w:r w:rsidRPr="00076348">
        <w:rPr>
          <w:rFonts w:cs="Calibri"/>
          <w:sz w:val="18"/>
          <w:szCs w:val="18"/>
        </w:rPr>
        <w:t xml:space="preserve">Summary of Findings </w:t>
      </w:r>
    </w:p>
    <w:p w:rsidR="002A622C" w:rsidRPr="00076348" w:rsidRDefault="002A622C" w:rsidP="00A4432F">
      <w:pPr>
        <w:autoSpaceDE w:val="0"/>
        <w:autoSpaceDN w:val="0"/>
        <w:adjustRightInd w:val="0"/>
        <w:rPr>
          <w:rFonts w:cs="Calibri"/>
          <w:bCs/>
          <w:sz w:val="18"/>
          <w:szCs w:val="18"/>
        </w:rPr>
      </w:pPr>
    </w:p>
    <w:p w:rsidR="002A622C" w:rsidRPr="00076348" w:rsidRDefault="002A622C" w:rsidP="00A4432F">
      <w:pPr>
        <w:pStyle w:val="EndnoteText"/>
        <w:rPr>
          <w:rFonts w:cs="Calibri"/>
          <w:sz w:val="18"/>
          <w:szCs w:val="18"/>
        </w:rPr>
      </w:pPr>
      <w:r w:rsidRPr="00076348">
        <w:rPr>
          <w:rFonts w:cs="Calibri"/>
          <w:sz w:val="18"/>
          <w:szCs w:val="18"/>
        </w:rPr>
        <w:t xml:space="preserve">Foss-Mollan K. 2001 Hard Water: Politics and Water Supply in Milwaukee, 1870-1995. Purdue University Press 2001  </w:t>
      </w:r>
    </w:p>
    <w:p w:rsidR="002A622C" w:rsidRPr="00076348" w:rsidRDefault="002A622C" w:rsidP="00A4432F">
      <w:pPr>
        <w:pStyle w:val="EndnoteText"/>
        <w:rPr>
          <w:rFonts w:cs="Calibri"/>
          <w:sz w:val="18"/>
          <w:szCs w:val="18"/>
        </w:rPr>
      </w:pPr>
    </w:p>
    <w:p w:rsidR="002A622C" w:rsidRPr="00076348" w:rsidRDefault="002A622C" w:rsidP="00A4432F">
      <w:pPr>
        <w:rPr>
          <w:rFonts w:cs="Calibri"/>
          <w:sz w:val="18"/>
          <w:szCs w:val="18"/>
        </w:rPr>
      </w:pPr>
      <w:r w:rsidRPr="00076348">
        <w:rPr>
          <w:rFonts w:cs="Calibri"/>
          <w:sz w:val="18"/>
          <w:szCs w:val="18"/>
          <w:lang w:val="sv-SE"/>
        </w:rPr>
        <w:t xml:space="preserve">Gassner K., Alexander Popov, and Nataliya Pushak. </w:t>
      </w:r>
      <w:r w:rsidR="00076348" w:rsidRPr="00076348">
        <w:rPr>
          <w:rFonts w:cs="Calibri"/>
          <w:sz w:val="18"/>
          <w:szCs w:val="18"/>
        </w:rPr>
        <w:t>2009</w:t>
      </w:r>
      <w:r w:rsidRPr="00076348">
        <w:rPr>
          <w:rFonts w:cs="Calibri"/>
          <w:sz w:val="18"/>
          <w:szCs w:val="18"/>
        </w:rPr>
        <w:t>.</w:t>
      </w:r>
      <w:r w:rsidR="00076348" w:rsidRPr="00076348">
        <w:rPr>
          <w:rFonts w:cs="Calibri"/>
          <w:sz w:val="18"/>
          <w:szCs w:val="18"/>
        </w:rPr>
        <w:t xml:space="preserve"> </w:t>
      </w:r>
      <w:r w:rsidRPr="00076348">
        <w:rPr>
          <w:rFonts w:cs="Calibri"/>
          <w:sz w:val="18"/>
          <w:szCs w:val="18"/>
        </w:rPr>
        <w:t xml:space="preserve">Does private sector participation improve performance in electricity and water distribution? PPIAF Trends and policy options; no. 6. p.49 </w:t>
      </w:r>
      <w:hyperlink r:id="rId23" w:history="1">
        <w:r w:rsidRPr="00076348">
          <w:rPr>
            <w:rStyle w:val="Hyperlink"/>
            <w:rFonts w:cs="Calibri"/>
            <w:sz w:val="18"/>
            <w:szCs w:val="18"/>
          </w:rPr>
          <w:t>http://www.ppiaf.org/documents/trends_and_policy/PSP_water_electricity.pdf</w:t>
        </w:r>
      </w:hyperlink>
      <w:r w:rsid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pStyle w:val="EndnoteText"/>
        <w:rPr>
          <w:rFonts w:cs="Calibri"/>
          <w:sz w:val="18"/>
          <w:szCs w:val="18"/>
        </w:rPr>
      </w:pPr>
      <w:r w:rsidRPr="00076348">
        <w:rPr>
          <w:rFonts w:cs="Calibri"/>
          <w:sz w:val="18"/>
          <w:szCs w:val="18"/>
        </w:rPr>
        <w:t xml:space="preserve">Grey D. and C. W. Sadoff 2007 Sink or Swim? Water security for growth and development/ Water Policy 9 (2007) 545–571 </w:t>
      </w:r>
      <w:hyperlink r:id="rId24" w:history="1">
        <w:r w:rsidRPr="00076348">
          <w:rPr>
            <w:rStyle w:val="Hyperlink"/>
            <w:rFonts w:cs="Calibri"/>
            <w:sz w:val="18"/>
            <w:szCs w:val="18"/>
          </w:rPr>
          <w:t>http://doi:10.2166/wp.2007.021</w:t>
        </w:r>
      </w:hyperlink>
      <w:r w:rsidRPr="00076348">
        <w:rPr>
          <w:rFonts w:cs="Calibri"/>
          <w:sz w:val="18"/>
          <w:szCs w:val="18"/>
        </w:rPr>
        <w:t xml:space="preserve">   </w:t>
      </w:r>
    </w:p>
    <w:p w:rsidR="008C0974" w:rsidRPr="00076348" w:rsidRDefault="008C0974" w:rsidP="00A4432F">
      <w:pPr>
        <w:pStyle w:val="EndnoteText"/>
        <w:rPr>
          <w:rFonts w:cs="Calibri"/>
          <w:sz w:val="18"/>
          <w:szCs w:val="18"/>
        </w:rPr>
      </w:pPr>
    </w:p>
    <w:p w:rsidR="0084627D" w:rsidRPr="00076348" w:rsidRDefault="0084627D" w:rsidP="00A4432F">
      <w:pPr>
        <w:pStyle w:val="EndnoteText"/>
        <w:rPr>
          <w:rFonts w:cs="Calibri"/>
          <w:sz w:val="18"/>
          <w:szCs w:val="18"/>
        </w:rPr>
      </w:pPr>
      <w:r w:rsidRPr="00076348">
        <w:rPr>
          <w:rFonts w:cs="Calibri"/>
          <w:sz w:val="18"/>
          <w:szCs w:val="18"/>
        </w:rPr>
        <w:t xml:space="preserve">Günther I. and Fink G.  2011 Water and Sanitation to Reduce Child Mortality The Impact and Cost of Water and Sanitation Infrastructure World Bank  Policy Research Working Paper 5618 </w:t>
      </w:r>
      <w:hyperlink r:id="rId25" w:history="1">
        <w:r w:rsidRPr="00076348">
          <w:rPr>
            <w:rStyle w:val="Hyperlink"/>
            <w:rFonts w:cs="Calibri"/>
            <w:sz w:val="18"/>
            <w:szCs w:val="18"/>
          </w:rPr>
          <w:t>http://www-wds.worldbank.org/servlet/WDSContentServer/WDSP/IB/2011/03/30/000158349_20110330154747/Rendered/PDF/WPS5618.pdf</w:t>
        </w:r>
      </w:hyperlink>
    </w:p>
    <w:p w:rsidR="0084627D" w:rsidRPr="00076348" w:rsidRDefault="0084627D" w:rsidP="00A4432F">
      <w:pPr>
        <w:pStyle w:val="EndnoteText"/>
        <w:rPr>
          <w:rFonts w:cs="Calibri"/>
          <w:sz w:val="18"/>
          <w:szCs w:val="18"/>
        </w:rPr>
      </w:pPr>
    </w:p>
    <w:p w:rsidR="008C0974" w:rsidRPr="00076348" w:rsidRDefault="008C0974" w:rsidP="00A4432F">
      <w:pPr>
        <w:pStyle w:val="EndnoteText"/>
        <w:rPr>
          <w:rFonts w:cs="Calibri"/>
          <w:sz w:val="18"/>
          <w:szCs w:val="18"/>
        </w:rPr>
      </w:pPr>
      <w:r w:rsidRPr="00076348">
        <w:rPr>
          <w:rFonts w:cs="Calibri"/>
          <w:sz w:val="18"/>
          <w:szCs w:val="18"/>
        </w:rPr>
        <w:t xml:space="preserve">Günter I and Fink G. 2010 Water, Sanitation and Children's Health: Evidence from 172 DHS Surveys </w:t>
      </w:r>
      <w:r w:rsidRPr="00076348">
        <w:rPr>
          <w:rFonts w:cs="Calibri"/>
          <w:bCs/>
          <w:sz w:val="18"/>
          <w:szCs w:val="18"/>
        </w:rPr>
        <w:t>WPS5275</w:t>
      </w:r>
      <w:r w:rsidRPr="00076348">
        <w:rPr>
          <w:rFonts w:cs="Calibri"/>
          <w:sz w:val="18"/>
          <w:szCs w:val="18"/>
        </w:rPr>
        <w:t xml:space="preserve"> Policy Research Working Paper 5275  </w:t>
      </w:r>
      <w:hyperlink r:id="rId26" w:history="1">
        <w:r w:rsidR="0084627D" w:rsidRPr="00076348">
          <w:rPr>
            <w:rStyle w:val="Hyperlink"/>
            <w:rFonts w:cs="Calibri"/>
            <w:sz w:val="18"/>
            <w:szCs w:val="18"/>
          </w:rPr>
          <w:t>http://www-wds.worldbank.org/external/default/WDSContentServer/IW3P/IB/2010/04/19/000158349_20100419124219/Rendered/INDEX/WPS5275.txt</w:t>
        </w:r>
      </w:hyperlink>
      <w:r w:rsidR="0084627D" w:rsidRPr="00076348">
        <w:rPr>
          <w:rFonts w:cs="Calibri"/>
          <w:sz w:val="18"/>
          <w:szCs w:val="18"/>
        </w:rPr>
        <w:t xml:space="preserve"> </w:t>
      </w:r>
    </w:p>
    <w:p w:rsidR="002A622C" w:rsidRPr="00076348" w:rsidRDefault="002A622C" w:rsidP="00A4432F">
      <w:pPr>
        <w:pStyle w:val="EndnoteText"/>
        <w:rPr>
          <w:rFonts w:cs="Calibri"/>
          <w:sz w:val="18"/>
          <w:szCs w:val="18"/>
        </w:rPr>
      </w:pPr>
    </w:p>
    <w:p w:rsidR="002A622C" w:rsidRPr="00076348" w:rsidRDefault="002A622C" w:rsidP="00A4432F">
      <w:pPr>
        <w:rPr>
          <w:rFonts w:cs="Calibri"/>
          <w:sz w:val="18"/>
          <w:szCs w:val="18"/>
        </w:rPr>
      </w:pPr>
      <w:r w:rsidRPr="00076348">
        <w:rPr>
          <w:rFonts w:cs="Calibri"/>
          <w:sz w:val="18"/>
          <w:szCs w:val="18"/>
        </w:rPr>
        <w:t xml:space="preserve">Hall D. and Emanuele Lobina 2008 Water in Europe PSIRU </w:t>
      </w:r>
      <w:hyperlink r:id="rId27" w:history="1">
        <w:r w:rsidRPr="00076348">
          <w:rPr>
            <w:rStyle w:val="Hyperlink"/>
            <w:rFonts w:cs="Calibri"/>
            <w:sz w:val="18"/>
            <w:szCs w:val="18"/>
          </w:rPr>
          <w:t>www.psiru.org/reports/2008-01-W-EU.doc</w:t>
        </w:r>
      </w:hyperlink>
      <w:r w:rsidRP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rPr>
          <w:rFonts w:cs="Calibri"/>
          <w:sz w:val="18"/>
          <w:szCs w:val="18"/>
        </w:rPr>
      </w:pPr>
      <w:r w:rsidRPr="00076348">
        <w:rPr>
          <w:rFonts w:cs="Calibri"/>
          <w:sz w:val="18"/>
          <w:szCs w:val="18"/>
        </w:rPr>
        <w:t xml:space="preserve">Hall D. and Lobina E. 2006 Pipe Dreams PSIRU </w:t>
      </w:r>
      <w:hyperlink r:id="rId28" w:history="1">
        <w:r w:rsidRPr="00076348">
          <w:rPr>
            <w:rStyle w:val="Hyperlink"/>
            <w:rFonts w:cs="Calibri"/>
            <w:sz w:val="18"/>
            <w:szCs w:val="18"/>
          </w:rPr>
          <w:t>http://www.psiru.org/reports/2006-03-W-investment.pdf</w:t>
        </w:r>
      </w:hyperlink>
      <w:r w:rsid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rPr>
          <w:rFonts w:cs="Calibri"/>
          <w:sz w:val="18"/>
          <w:szCs w:val="18"/>
        </w:rPr>
      </w:pPr>
      <w:r w:rsidRPr="00076348">
        <w:rPr>
          <w:rFonts w:cs="Calibri"/>
          <w:sz w:val="18"/>
          <w:szCs w:val="18"/>
        </w:rPr>
        <w:t>Hall D. and Lobina E. 2008 Sewerage Works</w:t>
      </w:r>
      <w:r w:rsidR="00076348" w:rsidRPr="00076348">
        <w:rPr>
          <w:rFonts w:cs="Calibri"/>
          <w:sz w:val="18"/>
          <w:szCs w:val="18"/>
        </w:rPr>
        <w:t xml:space="preserve"> </w:t>
      </w:r>
      <w:r w:rsidRPr="00076348">
        <w:rPr>
          <w:rFonts w:cs="Calibri"/>
          <w:sz w:val="18"/>
          <w:szCs w:val="18"/>
        </w:rPr>
        <w:t xml:space="preserve"> </w:t>
      </w:r>
      <w:hyperlink r:id="rId29" w:history="1">
        <w:r w:rsidRPr="00076348">
          <w:rPr>
            <w:rStyle w:val="Hyperlink"/>
            <w:rFonts w:cs="Calibri"/>
            <w:sz w:val="18"/>
            <w:szCs w:val="18"/>
          </w:rPr>
          <w:t>http://www.psiru.org/reports/2008-03-W-sewers.pdf</w:t>
        </w:r>
      </w:hyperlink>
      <w:r w:rsid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rPr>
          <w:rFonts w:cs="Calibri"/>
          <w:sz w:val="18"/>
          <w:szCs w:val="18"/>
        </w:rPr>
      </w:pPr>
      <w:r w:rsidRPr="00076348">
        <w:rPr>
          <w:rFonts w:cs="Calibri"/>
          <w:sz w:val="18"/>
          <w:szCs w:val="18"/>
        </w:rPr>
        <w:t xml:space="preserve">Hall D. et al. 2005 Public Resistance to privatisation in Water and Electricity Development in Practice, Volume 15, Numbers 3 &amp; 4, June 2005   </w:t>
      </w:r>
      <w:hyperlink r:id="rId30" w:history="1">
        <w:r w:rsidRPr="00076348">
          <w:rPr>
            <w:rStyle w:val="Hyperlink"/>
            <w:rFonts w:cs="Calibri"/>
            <w:sz w:val="18"/>
            <w:szCs w:val="18"/>
          </w:rPr>
          <w:t>http://www.psiru.org/reports/2005-06-W-E-resist.pdf</w:t>
        </w:r>
      </w:hyperlink>
      <w:r w:rsid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rPr>
          <w:rFonts w:cs="Calibri"/>
          <w:sz w:val="18"/>
          <w:szCs w:val="18"/>
        </w:rPr>
      </w:pPr>
      <w:r w:rsidRPr="00076348">
        <w:rPr>
          <w:rFonts w:cs="Calibri"/>
          <w:sz w:val="18"/>
          <w:szCs w:val="18"/>
        </w:rPr>
        <w:t xml:space="preserve">IMF 2008 World Economic Outlook Update 06 November 2008 </w:t>
      </w:r>
      <w:hyperlink r:id="rId31" w:history="1">
        <w:r w:rsidRPr="00076348">
          <w:rPr>
            <w:rStyle w:val="Hyperlink"/>
            <w:rFonts w:cs="Calibri"/>
            <w:sz w:val="18"/>
            <w:szCs w:val="18"/>
          </w:rPr>
          <w:t>http://www.imf.org/external/pubs/ft/weo/2008/update/03/index.htm</w:t>
        </w:r>
      </w:hyperlink>
    </w:p>
    <w:p w:rsidR="002A622C" w:rsidRPr="00076348" w:rsidRDefault="002A622C" w:rsidP="00A4432F">
      <w:pPr>
        <w:rPr>
          <w:rFonts w:cs="Calibri"/>
          <w:sz w:val="18"/>
          <w:szCs w:val="18"/>
        </w:rPr>
      </w:pPr>
    </w:p>
    <w:p w:rsidR="002A622C" w:rsidRPr="00076348" w:rsidRDefault="002A622C" w:rsidP="00A4432F">
      <w:pPr>
        <w:autoSpaceDE w:val="0"/>
        <w:autoSpaceDN w:val="0"/>
        <w:adjustRightInd w:val="0"/>
        <w:rPr>
          <w:rFonts w:cs="Calibri"/>
          <w:sz w:val="18"/>
          <w:szCs w:val="18"/>
        </w:rPr>
      </w:pPr>
      <w:r w:rsidRPr="00076348">
        <w:rPr>
          <w:rFonts w:cs="Calibri"/>
          <w:sz w:val="18"/>
          <w:szCs w:val="18"/>
        </w:rPr>
        <w:t>IMF 2010a Sub-Saharan Africa Back to High Growth.</w:t>
      </w:r>
      <w:r w:rsidRPr="00076348">
        <w:rPr>
          <w:rFonts w:cs="Calibri"/>
          <w:sz w:val="18"/>
          <w:szCs w:val="18"/>
          <w:lang w:eastAsia="en-US"/>
        </w:rPr>
        <w:t xml:space="preserve"> </w:t>
      </w:r>
      <w:r w:rsidRPr="00076348">
        <w:rPr>
          <w:rFonts w:cs="Calibri"/>
          <w:sz w:val="18"/>
          <w:szCs w:val="18"/>
        </w:rPr>
        <w:t>IMF Regional Economic Outlook</w:t>
      </w:r>
      <w:r w:rsidRPr="00076348">
        <w:rPr>
          <w:rFonts w:cs="Calibri"/>
          <w:sz w:val="18"/>
          <w:szCs w:val="18"/>
          <w:lang w:eastAsia="en-US"/>
        </w:rPr>
        <w:t xml:space="preserve"> April 2010  </w:t>
      </w:r>
      <w:hyperlink r:id="rId32" w:history="1">
        <w:r w:rsidRPr="00076348">
          <w:rPr>
            <w:rStyle w:val="Hyperlink"/>
            <w:rFonts w:cs="Calibri"/>
            <w:sz w:val="18"/>
            <w:szCs w:val="18"/>
            <w:lang w:eastAsia="en-US"/>
          </w:rPr>
          <w:t>http://www.imf.org/external/pubs/ft/reo/2010/AFR/eng/sreo0410ch2.pdf</w:t>
        </w:r>
      </w:hyperlink>
    </w:p>
    <w:p w:rsidR="002A622C" w:rsidRPr="00076348" w:rsidRDefault="002A622C" w:rsidP="00A4432F">
      <w:pPr>
        <w:autoSpaceDE w:val="0"/>
        <w:autoSpaceDN w:val="0"/>
        <w:adjustRightInd w:val="0"/>
        <w:rPr>
          <w:rFonts w:cs="Calibri"/>
          <w:sz w:val="18"/>
          <w:szCs w:val="18"/>
        </w:rPr>
      </w:pPr>
    </w:p>
    <w:p w:rsidR="002A622C" w:rsidRPr="00076348" w:rsidRDefault="002A622C" w:rsidP="00A4432F">
      <w:pPr>
        <w:rPr>
          <w:rFonts w:cs="Calibri"/>
          <w:sz w:val="18"/>
          <w:szCs w:val="18"/>
        </w:rPr>
      </w:pPr>
      <w:r w:rsidRPr="00076348">
        <w:rPr>
          <w:rFonts w:cs="Calibri"/>
          <w:sz w:val="18"/>
          <w:szCs w:val="18"/>
          <w:lang w:eastAsia="en-US"/>
        </w:rPr>
        <w:t xml:space="preserve">IMF 2010b </w:t>
      </w:r>
      <w:r w:rsidRPr="00076348">
        <w:rPr>
          <w:rFonts w:cs="Calibri"/>
          <w:sz w:val="18"/>
          <w:szCs w:val="18"/>
        </w:rPr>
        <w:t>World Economic Outlook</w:t>
      </w:r>
      <w:r w:rsidRPr="00076348">
        <w:rPr>
          <w:rFonts w:cs="Calibri"/>
          <w:sz w:val="18"/>
          <w:szCs w:val="18"/>
          <w:lang w:eastAsia="en-US"/>
        </w:rPr>
        <w:t xml:space="preserve">: Rebalancing growth </w:t>
      </w:r>
      <w:hyperlink r:id="rId33" w:history="1">
        <w:r w:rsidRPr="00076348">
          <w:rPr>
            <w:rStyle w:val="Hyperlink"/>
            <w:rFonts w:cs="Calibri"/>
            <w:sz w:val="18"/>
            <w:szCs w:val="18"/>
            <w:lang w:eastAsia="en-US"/>
          </w:rPr>
          <w:t>http://www.imf.org/external/pubs/ft/weo/2010/01/index.htm</w:t>
        </w:r>
      </w:hyperlink>
      <w:r w:rsidRPr="00076348">
        <w:rPr>
          <w:rFonts w:cs="Calibri"/>
          <w:sz w:val="18"/>
          <w:szCs w:val="18"/>
          <w:lang w:eastAsia="en-US"/>
        </w:rPr>
        <w:t xml:space="preserve"> </w:t>
      </w:r>
    </w:p>
    <w:p w:rsidR="002A622C" w:rsidRPr="00076348" w:rsidRDefault="002A622C" w:rsidP="00A4432F">
      <w:pPr>
        <w:rPr>
          <w:rFonts w:cs="Calibri"/>
          <w:sz w:val="18"/>
          <w:szCs w:val="18"/>
        </w:rPr>
      </w:pPr>
    </w:p>
    <w:p w:rsidR="002A622C" w:rsidRPr="00076348" w:rsidRDefault="002A622C" w:rsidP="00A4432F">
      <w:pPr>
        <w:pStyle w:val="EndnoteText"/>
        <w:rPr>
          <w:rFonts w:cs="Calibri"/>
          <w:sz w:val="18"/>
          <w:szCs w:val="18"/>
        </w:rPr>
      </w:pPr>
      <w:r w:rsidRPr="00076348">
        <w:rPr>
          <w:rFonts w:cs="Calibri"/>
          <w:sz w:val="18"/>
          <w:szCs w:val="18"/>
        </w:rPr>
        <w:t xml:space="preserve">IMF WEO 2010: Rebalancing growth </w:t>
      </w:r>
      <w:hyperlink r:id="rId34" w:history="1">
        <w:r w:rsidRPr="00076348">
          <w:rPr>
            <w:rStyle w:val="Hyperlink"/>
            <w:rFonts w:cs="Calibri"/>
            <w:sz w:val="18"/>
            <w:szCs w:val="18"/>
          </w:rPr>
          <w:t>http://www.imf.org/external/pubs/ft/weo/2010/01/index.htm</w:t>
        </w:r>
      </w:hyperlink>
    </w:p>
    <w:p w:rsidR="002A622C" w:rsidRDefault="002A622C" w:rsidP="00A4432F">
      <w:pPr>
        <w:pStyle w:val="EndnoteText"/>
        <w:rPr>
          <w:rFonts w:cs="Calibri"/>
          <w:sz w:val="18"/>
          <w:szCs w:val="18"/>
        </w:rPr>
      </w:pPr>
    </w:p>
    <w:p w:rsidR="00BC542A" w:rsidRPr="00BC542A" w:rsidRDefault="00BC542A" w:rsidP="00BC542A">
      <w:pPr>
        <w:pStyle w:val="EndnoteText"/>
        <w:rPr>
          <w:rFonts w:cs="Calibri"/>
          <w:sz w:val="18"/>
          <w:szCs w:val="18"/>
        </w:rPr>
      </w:pPr>
      <w:r w:rsidRPr="00BC542A">
        <w:rPr>
          <w:rFonts w:cs="Calibri"/>
          <w:sz w:val="18"/>
          <w:szCs w:val="18"/>
        </w:rPr>
        <w:t xml:space="preserve">Jimenez A. and Perez-Foguet A. 2009 International Investments in the Water Sector International Journal of Water Resources Development Vol. 25, Iss. 1, 2009 </w:t>
      </w:r>
      <w:hyperlink r:id="rId35" w:history="1">
        <w:r>
          <w:rPr>
            <w:rStyle w:val="Hyperlink"/>
            <w:rFonts w:cs="Calibri"/>
            <w:sz w:val="18"/>
            <w:szCs w:val="18"/>
          </w:rPr>
          <w:t>http://www.tandfonline.com/doi/abs/10.1080/07900620802573759</w:t>
        </w:r>
      </w:hyperlink>
    </w:p>
    <w:p w:rsidR="00BC542A" w:rsidRPr="00076348" w:rsidRDefault="00BC542A" w:rsidP="00A4432F">
      <w:pPr>
        <w:pStyle w:val="EndnoteText"/>
        <w:rPr>
          <w:rFonts w:cs="Calibri"/>
          <w:sz w:val="18"/>
          <w:szCs w:val="18"/>
        </w:rPr>
      </w:pPr>
    </w:p>
    <w:p w:rsidR="002A622C" w:rsidRPr="00076348" w:rsidRDefault="002A622C" w:rsidP="00A4432F">
      <w:pPr>
        <w:rPr>
          <w:rFonts w:cs="Calibri"/>
          <w:sz w:val="18"/>
          <w:szCs w:val="18"/>
        </w:rPr>
      </w:pPr>
      <w:r w:rsidRPr="00076348">
        <w:rPr>
          <w:rFonts w:cs="Calibri"/>
          <w:sz w:val="18"/>
          <w:szCs w:val="18"/>
          <w:lang w:eastAsia="en-US"/>
        </w:rPr>
        <w:t xml:space="preserve">JMP 2010 </w:t>
      </w:r>
      <w:r w:rsidRPr="00076348">
        <w:rPr>
          <w:rFonts w:cs="Calibri"/>
          <w:sz w:val="18"/>
          <w:szCs w:val="18"/>
        </w:rPr>
        <w:t xml:space="preserve">Progress on Sanitation and Drinking-water: 2010 Update WHO/UNICEF Joint Monitoring Programme for Water Supply and Sanitation </w:t>
      </w:r>
      <w:hyperlink r:id="rId36" w:history="1">
        <w:r w:rsidRPr="00076348">
          <w:rPr>
            <w:rStyle w:val="Hyperlink"/>
            <w:rFonts w:cs="Calibri"/>
            <w:color w:val="0070C0"/>
            <w:sz w:val="18"/>
            <w:szCs w:val="18"/>
          </w:rPr>
          <w:t>http://www.wssinfo.org/</w:t>
        </w:r>
      </w:hyperlink>
      <w:r w:rsidRP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rPr>
          <w:rFonts w:cs="Calibri"/>
          <w:sz w:val="18"/>
          <w:szCs w:val="18"/>
        </w:rPr>
      </w:pPr>
      <w:r w:rsidRPr="00076348">
        <w:rPr>
          <w:rFonts w:cs="Calibri"/>
          <w:sz w:val="18"/>
          <w:szCs w:val="18"/>
        </w:rPr>
        <w:t xml:space="preserve">Marin P. 2009 Public-Private Partnerships For Urban Water Utilities: A Review Of Experiences In Developing Countries. World Bank/PPIAF   </w:t>
      </w:r>
      <w:hyperlink r:id="rId37" w:history="1">
        <w:r w:rsidRPr="00076348">
          <w:rPr>
            <w:rStyle w:val="Hyperlink"/>
            <w:rFonts w:cs="Calibri"/>
            <w:sz w:val="18"/>
            <w:szCs w:val="18"/>
          </w:rPr>
          <w:t>http://siteresources.worldbank.org/EXTWAT/Resources/4602122-1213366294492/5106220-1234469721549/3.5_Water_PPP2.pdf</w:t>
        </w:r>
      </w:hyperlink>
      <w:r w:rsidRPr="00076348">
        <w:rPr>
          <w:rFonts w:cs="Calibri"/>
          <w:sz w:val="18"/>
          <w:szCs w:val="18"/>
        </w:rPr>
        <w:t xml:space="preserve">  </w:t>
      </w:r>
    </w:p>
    <w:p w:rsidR="002A622C" w:rsidRPr="00076348" w:rsidRDefault="002A622C" w:rsidP="00A4432F">
      <w:pPr>
        <w:rPr>
          <w:rFonts w:cs="Calibri"/>
          <w:sz w:val="18"/>
          <w:szCs w:val="18"/>
        </w:rPr>
      </w:pPr>
    </w:p>
    <w:p w:rsidR="002A622C" w:rsidRPr="00076348" w:rsidRDefault="002A622C" w:rsidP="00A4432F">
      <w:pPr>
        <w:pStyle w:val="EndnoteText"/>
        <w:rPr>
          <w:rFonts w:cs="Calibri"/>
          <w:sz w:val="18"/>
          <w:szCs w:val="18"/>
        </w:rPr>
      </w:pPr>
      <w:r w:rsidRPr="00076348">
        <w:rPr>
          <w:rFonts w:cs="Calibri"/>
          <w:sz w:val="18"/>
          <w:szCs w:val="18"/>
        </w:rPr>
        <w:t xml:space="preserve">Massarutto, A., V. Paccagnan, and E. Linares (2008), </w:t>
      </w:r>
      <w:r w:rsidRPr="00076348">
        <w:rPr>
          <w:rStyle w:val="title0"/>
          <w:rFonts w:cs="Calibri"/>
          <w:sz w:val="18"/>
          <w:szCs w:val="18"/>
        </w:rPr>
        <w:t>Private management and public finance in the Italian water industry: A marriage of convenience?</w:t>
      </w:r>
      <w:r w:rsidRPr="00076348">
        <w:rPr>
          <w:rFonts w:cs="Calibri"/>
          <w:sz w:val="18"/>
          <w:szCs w:val="18"/>
        </w:rPr>
        <w:t xml:space="preserve">, </w:t>
      </w:r>
      <w:r w:rsidRPr="00076348">
        <w:rPr>
          <w:rStyle w:val="ital"/>
          <w:rFonts w:cs="Calibri"/>
          <w:i/>
          <w:iCs/>
          <w:sz w:val="18"/>
          <w:szCs w:val="18"/>
        </w:rPr>
        <w:t>Water Resour. Res.</w:t>
      </w:r>
      <w:r w:rsidRPr="00076348">
        <w:rPr>
          <w:rFonts w:cs="Calibri"/>
          <w:sz w:val="18"/>
          <w:szCs w:val="18"/>
        </w:rPr>
        <w:t xml:space="preserve">, </w:t>
      </w:r>
      <w:r w:rsidRPr="00076348">
        <w:rPr>
          <w:rStyle w:val="ital"/>
          <w:rFonts w:cs="Calibri"/>
          <w:sz w:val="18"/>
          <w:szCs w:val="18"/>
        </w:rPr>
        <w:t>44</w:t>
      </w:r>
      <w:r w:rsidRPr="00076348">
        <w:rPr>
          <w:rFonts w:cs="Calibri"/>
          <w:sz w:val="18"/>
          <w:szCs w:val="18"/>
        </w:rPr>
        <w:t xml:space="preserve">, W12425, doi:10.1029/2007WR006443.   </w:t>
      </w:r>
      <w:hyperlink r:id="rId38" w:history="1">
        <w:r w:rsidRPr="00076348">
          <w:rPr>
            <w:rStyle w:val="Hyperlink"/>
            <w:rFonts w:cs="Calibri"/>
            <w:sz w:val="18"/>
            <w:szCs w:val="18"/>
          </w:rPr>
          <w:t>http://www.agu.org/journals/ABS/2008/2007WR006443.shtml</w:t>
        </w:r>
      </w:hyperlink>
    </w:p>
    <w:p w:rsidR="002A622C" w:rsidRPr="00076348" w:rsidRDefault="002A622C" w:rsidP="00A4432F">
      <w:pPr>
        <w:pStyle w:val="EndnoteText"/>
        <w:rPr>
          <w:rFonts w:cs="Calibri"/>
          <w:sz w:val="18"/>
          <w:szCs w:val="18"/>
        </w:rPr>
      </w:pPr>
    </w:p>
    <w:p w:rsidR="002A622C" w:rsidRPr="00076348" w:rsidRDefault="002A622C" w:rsidP="00A4432F">
      <w:pPr>
        <w:pStyle w:val="EndnoteText"/>
        <w:rPr>
          <w:rFonts w:cs="Calibri"/>
          <w:sz w:val="18"/>
          <w:szCs w:val="18"/>
        </w:rPr>
      </w:pPr>
      <w:r w:rsidRPr="00076348">
        <w:rPr>
          <w:rFonts w:cs="Calibri"/>
          <w:sz w:val="18"/>
          <w:szCs w:val="18"/>
        </w:rPr>
        <w:t>McKinsey</w:t>
      </w:r>
      <w:r w:rsidR="00076348" w:rsidRPr="00076348">
        <w:rPr>
          <w:rFonts w:cs="Calibri"/>
          <w:sz w:val="18"/>
          <w:szCs w:val="18"/>
        </w:rPr>
        <w:t xml:space="preserve"> &amp; Co.,</w:t>
      </w:r>
      <w:r w:rsidRPr="00076348">
        <w:rPr>
          <w:rFonts w:cs="Calibri"/>
          <w:sz w:val="18"/>
          <w:szCs w:val="18"/>
        </w:rPr>
        <w:t xml:space="preserve"> 2009 Charting Our Water Future - </w:t>
      </w:r>
      <w:r w:rsidRPr="00076348">
        <w:rPr>
          <w:rFonts w:cs="Calibri"/>
          <w:bCs/>
          <w:sz w:val="18"/>
          <w:szCs w:val="18"/>
        </w:rPr>
        <w:t xml:space="preserve">Economic frameworks to inform decision-making. P.98 </w:t>
      </w:r>
      <w:hyperlink r:id="rId39" w:history="1">
        <w:r w:rsidRPr="00076348">
          <w:rPr>
            <w:rStyle w:val="Hyperlink"/>
            <w:rFonts w:cs="Calibri"/>
            <w:bCs/>
            <w:sz w:val="18"/>
            <w:szCs w:val="18"/>
          </w:rPr>
          <w:t>http://www.mckinsey.com/App_Media/Reports/Water/Charting_Our_Water_Future_Full_Report_001.pdf</w:t>
        </w:r>
      </w:hyperlink>
      <w:r w:rsidRPr="00076348">
        <w:rPr>
          <w:rFonts w:cs="Calibri"/>
          <w:bCs/>
          <w:sz w:val="18"/>
          <w:szCs w:val="18"/>
        </w:rPr>
        <w:t xml:space="preserve"> </w:t>
      </w:r>
    </w:p>
    <w:p w:rsidR="002A622C" w:rsidRPr="00076348" w:rsidRDefault="002A622C" w:rsidP="00A4432F">
      <w:pPr>
        <w:pStyle w:val="EndnoteText"/>
        <w:rPr>
          <w:rFonts w:cs="Calibri"/>
          <w:sz w:val="18"/>
          <w:szCs w:val="18"/>
        </w:rPr>
      </w:pPr>
    </w:p>
    <w:p w:rsidR="002A622C" w:rsidRPr="00076348" w:rsidRDefault="002A622C" w:rsidP="00A4432F">
      <w:pPr>
        <w:pStyle w:val="EndnoteText"/>
        <w:rPr>
          <w:rFonts w:cs="Calibri"/>
          <w:sz w:val="18"/>
          <w:szCs w:val="18"/>
        </w:rPr>
      </w:pPr>
      <w:r w:rsidRPr="00076348">
        <w:rPr>
          <w:rFonts w:cs="Calibri"/>
          <w:sz w:val="18"/>
          <w:szCs w:val="18"/>
        </w:rPr>
        <w:t>Melosi, M.V. 2000 The Sanitary City. Urban Infrastructure in America from the Colonial Times to the Present. The John Hopkins University Press.</w:t>
      </w:r>
    </w:p>
    <w:p w:rsidR="002A622C" w:rsidRPr="00076348" w:rsidRDefault="002A622C" w:rsidP="00A4432F">
      <w:pPr>
        <w:pStyle w:val="EndnoteText"/>
        <w:rPr>
          <w:rFonts w:cs="Calibri"/>
          <w:sz w:val="18"/>
          <w:szCs w:val="18"/>
        </w:rPr>
      </w:pPr>
    </w:p>
    <w:p w:rsidR="003E1F56" w:rsidRPr="00076348" w:rsidRDefault="002A622C" w:rsidP="000E12DF">
      <w:pPr>
        <w:rPr>
          <w:rFonts w:cs="Calibri"/>
          <w:sz w:val="18"/>
          <w:szCs w:val="18"/>
          <w:lang w:eastAsia="en-US"/>
        </w:rPr>
      </w:pPr>
      <w:r w:rsidRPr="00076348">
        <w:rPr>
          <w:rFonts w:cs="Calibri"/>
          <w:sz w:val="18"/>
          <w:szCs w:val="18"/>
          <w:lang w:eastAsia="en-US"/>
        </w:rPr>
        <w:t>OECD 2010</w:t>
      </w:r>
      <w:r w:rsidR="003E1F56" w:rsidRPr="00076348">
        <w:rPr>
          <w:rFonts w:cs="Calibri"/>
          <w:sz w:val="18"/>
          <w:szCs w:val="18"/>
          <w:lang w:eastAsia="en-US"/>
        </w:rPr>
        <w:t>a</w:t>
      </w:r>
      <w:r w:rsidRPr="00076348">
        <w:rPr>
          <w:rFonts w:cs="Calibri"/>
          <w:sz w:val="18"/>
          <w:szCs w:val="18"/>
          <w:lang w:eastAsia="en-US"/>
        </w:rPr>
        <w:t xml:space="preserve"> African Economic Outlook 2010   </w:t>
      </w:r>
      <w:hyperlink r:id="rId40" w:history="1">
        <w:r w:rsidRPr="00076348">
          <w:rPr>
            <w:rStyle w:val="Hyperlink"/>
            <w:rFonts w:cs="Calibri"/>
            <w:sz w:val="18"/>
            <w:szCs w:val="18"/>
            <w:lang w:eastAsia="en-US"/>
          </w:rPr>
          <w:t>http://www.africaneconomicoutlook.org/en/data-statistics/</w:t>
        </w:r>
      </w:hyperlink>
    </w:p>
    <w:p w:rsidR="003E1F56" w:rsidRPr="00076348" w:rsidRDefault="003E1F56" w:rsidP="000E12DF">
      <w:pPr>
        <w:rPr>
          <w:rFonts w:cs="Calibri"/>
          <w:sz w:val="18"/>
          <w:szCs w:val="18"/>
          <w:lang w:eastAsia="en-US"/>
        </w:rPr>
      </w:pPr>
    </w:p>
    <w:p w:rsidR="003E1F56" w:rsidRPr="00076348" w:rsidRDefault="002A622C" w:rsidP="000E12DF">
      <w:pPr>
        <w:rPr>
          <w:rFonts w:cs="Calibri"/>
          <w:sz w:val="18"/>
          <w:szCs w:val="18"/>
        </w:rPr>
      </w:pPr>
      <w:r w:rsidRPr="00076348">
        <w:rPr>
          <w:rFonts w:cs="Calibri"/>
          <w:sz w:val="18"/>
          <w:szCs w:val="18"/>
          <w:lang w:eastAsia="en-US"/>
        </w:rPr>
        <w:t>OECD 2010</w:t>
      </w:r>
      <w:r w:rsidR="003E1F56" w:rsidRPr="00076348">
        <w:rPr>
          <w:rFonts w:cs="Calibri"/>
          <w:sz w:val="18"/>
          <w:szCs w:val="18"/>
          <w:lang w:eastAsia="en-US"/>
        </w:rPr>
        <w:t>b</w:t>
      </w:r>
      <w:r w:rsidRPr="00076348">
        <w:rPr>
          <w:rFonts w:cs="Calibri"/>
          <w:sz w:val="18"/>
          <w:szCs w:val="18"/>
          <w:lang w:eastAsia="en-US"/>
        </w:rPr>
        <w:t xml:space="preserve"> DAC statistics  </w:t>
      </w:r>
      <w:r w:rsidR="003E1F56" w:rsidRPr="00076348">
        <w:rPr>
          <w:rFonts w:cs="Calibri"/>
          <w:sz w:val="18"/>
          <w:szCs w:val="18"/>
          <w:lang w:eastAsia="en-US"/>
        </w:rPr>
        <w:t xml:space="preserve"> </w:t>
      </w:r>
      <w:r w:rsidR="000E12DF" w:rsidRPr="00076348">
        <w:rPr>
          <w:rFonts w:cs="Calibri"/>
          <w:sz w:val="18"/>
          <w:szCs w:val="18"/>
          <w:lang w:eastAsia="en-US"/>
        </w:rPr>
        <w:t>http://</w:t>
      </w:r>
      <w:hyperlink r:id="rId41" w:history="1">
        <w:r w:rsidR="000E12DF" w:rsidRPr="00076348">
          <w:rPr>
            <w:rFonts w:cs="Calibri"/>
            <w:sz w:val="18"/>
            <w:szCs w:val="18"/>
          </w:rPr>
          <w:t>www.oecd.org/dac/stats/data</w:t>
        </w:r>
      </w:hyperlink>
      <w:r w:rsidR="000E12DF" w:rsidRPr="00076348">
        <w:rPr>
          <w:rFonts w:cs="Calibri"/>
          <w:sz w:val="18"/>
          <w:szCs w:val="18"/>
        </w:rPr>
        <w:t xml:space="preserve">     </w:t>
      </w:r>
    </w:p>
    <w:p w:rsidR="000E12DF" w:rsidRPr="00076348" w:rsidRDefault="000E12DF" w:rsidP="000E12DF">
      <w:pPr>
        <w:rPr>
          <w:rFonts w:cs="Calibri"/>
          <w:sz w:val="18"/>
          <w:szCs w:val="18"/>
        </w:rPr>
      </w:pPr>
    </w:p>
    <w:p w:rsidR="003E1F56" w:rsidRPr="00076348" w:rsidRDefault="003E1F56" w:rsidP="00A4432F">
      <w:pPr>
        <w:rPr>
          <w:rFonts w:cs="Calibri"/>
          <w:sz w:val="18"/>
          <w:szCs w:val="18"/>
          <w:lang w:eastAsia="en-US"/>
        </w:rPr>
      </w:pPr>
      <w:r w:rsidRPr="00076348">
        <w:rPr>
          <w:rFonts w:cs="Calibri"/>
          <w:sz w:val="18"/>
          <w:szCs w:val="18"/>
        </w:rPr>
        <w:t>OECD 2010c Innovative Financing Mechanisms for the Water Sector</w:t>
      </w:r>
      <w:r w:rsidR="000E12DF" w:rsidRPr="00076348">
        <w:rPr>
          <w:rFonts w:cs="Calibri"/>
          <w:sz w:val="18"/>
          <w:szCs w:val="18"/>
        </w:rPr>
        <w:t xml:space="preserve"> http://www.oecd-ilibrary.org/environment/innovative-financing-mechanisms-for-the-water-sector_9789264083660-en</w:t>
      </w:r>
    </w:p>
    <w:p w:rsidR="002A622C" w:rsidRPr="00076348" w:rsidRDefault="002A622C" w:rsidP="00A4432F">
      <w:pPr>
        <w:rPr>
          <w:rFonts w:cs="Calibri"/>
          <w:sz w:val="18"/>
          <w:szCs w:val="18"/>
          <w:lang w:eastAsia="en-US"/>
        </w:rPr>
      </w:pPr>
    </w:p>
    <w:p w:rsidR="002A622C" w:rsidRPr="00076348" w:rsidRDefault="002A622C" w:rsidP="00A4432F">
      <w:pPr>
        <w:pStyle w:val="EndnoteText"/>
        <w:rPr>
          <w:rFonts w:cs="Calibri"/>
          <w:sz w:val="18"/>
          <w:szCs w:val="18"/>
          <w:lang w:val="fr-FR"/>
        </w:rPr>
      </w:pPr>
      <w:r w:rsidRPr="00076348">
        <w:rPr>
          <w:rFonts w:cs="Calibri"/>
          <w:sz w:val="18"/>
          <w:szCs w:val="18"/>
        </w:rPr>
        <w:t xml:space="preserve">Petri S. Juuti &amp; Tapio S. Katko (eds), Water, Time and European Cities: History matters for the Futures 2005. </w:t>
      </w:r>
      <w:hyperlink r:id="rId42" w:history="1">
        <w:r w:rsidRPr="00076348">
          <w:rPr>
            <w:rStyle w:val="Hyperlink"/>
            <w:rFonts w:cs="Calibri"/>
            <w:sz w:val="18"/>
            <w:szCs w:val="18"/>
            <w:lang w:val="fr-FR"/>
          </w:rPr>
          <w:t>http://www.watertime.net/Docs/WP3/WTEC.pdf</w:t>
        </w:r>
      </w:hyperlink>
      <w:r w:rsidR="00076348" w:rsidRPr="00076348">
        <w:rPr>
          <w:rFonts w:cs="Calibri"/>
          <w:sz w:val="18"/>
          <w:szCs w:val="18"/>
          <w:lang w:val="fr-FR"/>
        </w:rPr>
        <w:t xml:space="preserve"> </w:t>
      </w:r>
    </w:p>
    <w:p w:rsidR="002A622C" w:rsidRPr="00076348" w:rsidRDefault="002A622C" w:rsidP="00A4432F">
      <w:pPr>
        <w:pStyle w:val="EndnoteText"/>
        <w:rPr>
          <w:rFonts w:cs="Calibri"/>
          <w:sz w:val="18"/>
          <w:szCs w:val="18"/>
          <w:lang w:val="fr-FR"/>
        </w:rPr>
      </w:pPr>
    </w:p>
    <w:p w:rsidR="002A622C" w:rsidRPr="00076348" w:rsidRDefault="002A622C" w:rsidP="00A4432F">
      <w:pPr>
        <w:rPr>
          <w:rFonts w:cs="Calibri"/>
          <w:sz w:val="18"/>
          <w:szCs w:val="18"/>
          <w:lang w:eastAsia="en-US"/>
        </w:rPr>
      </w:pPr>
      <w:r w:rsidRPr="00076348">
        <w:rPr>
          <w:rFonts w:cs="Calibri"/>
          <w:sz w:val="18"/>
          <w:szCs w:val="18"/>
          <w:lang w:val="fr-FR" w:eastAsia="en-US"/>
        </w:rPr>
        <w:t xml:space="preserve">Pezon, Christelle. </w:t>
      </w:r>
      <w:r w:rsidRPr="00076348">
        <w:rPr>
          <w:rFonts w:cs="Calibri"/>
          <w:sz w:val="18"/>
          <w:szCs w:val="18"/>
          <w:lang w:eastAsia="en-US"/>
        </w:rPr>
        <w:t xml:space="preserve">2009 </w:t>
      </w:r>
      <w:hyperlink r:id="rId43" w:history="1">
        <w:r w:rsidRPr="00076348">
          <w:rPr>
            <w:rStyle w:val="Hyperlink"/>
            <w:rFonts w:cs="Calibri"/>
            <w:bCs/>
            <w:sz w:val="18"/>
            <w:szCs w:val="18"/>
            <w:lang w:eastAsia="en-US"/>
          </w:rPr>
          <w:t>Decentralization and Delegation of Water and Sanitation Services in France</w:t>
        </w:r>
      </w:hyperlink>
      <w:r w:rsidR="00076348" w:rsidRPr="00076348">
        <w:rPr>
          <w:rFonts w:cs="Calibri"/>
          <w:sz w:val="18"/>
          <w:szCs w:val="18"/>
          <w:lang w:eastAsia="en-US"/>
        </w:rPr>
        <w:t>,</w:t>
      </w:r>
      <w:r w:rsidRPr="00076348">
        <w:rPr>
          <w:rFonts w:cs="Calibri"/>
          <w:sz w:val="18"/>
          <w:szCs w:val="18"/>
          <w:lang w:eastAsia="en-US"/>
        </w:rPr>
        <w:t xml:space="preserve"> In Water and sanitation services: public policy and management edited by José Esteban Castro, Léo Heller Earthscan</w:t>
      </w:r>
    </w:p>
    <w:p w:rsidR="002A622C" w:rsidRPr="00076348" w:rsidRDefault="002A622C" w:rsidP="00A4432F">
      <w:pPr>
        <w:rPr>
          <w:rFonts w:cs="Calibri"/>
          <w:sz w:val="18"/>
          <w:szCs w:val="18"/>
          <w:lang w:eastAsia="en-US"/>
        </w:rPr>
      </w:pPr>
    </w:p>
    <w:p w:rsidR="002A622C" w:rsidRPr="00076348" w:rsidRDefault="002A622C" w:rsidP="00A4432F">
      <w:pPr>
        <w:pStyle w:val="EndnoteText"/>
        <w:rPr>
          <w:rFonts w:cs="Calibri"/>
          <w:sz w:val="18"/>
          <w:szCs w:val="18"/>
        </w:rPr>
      </w:pPr>
      <w:r w:rsidRPr="00076348">
        <w:rPr>
          <w:rFonts w:cs="Calibri"/>
          <w:sz w:val="18"/>
          <w:szCs w:val="18"/>
        </w:rPr>
        <w:t xml:space="preserve">Pharasi S. and C.A. Kennedy (2002) Reflections On The Financial History Of Toronto’s Urban Water Infrastructure Department of Civil Engineering, University of Toronto, Ontario, Canada Congrès annuel de la Société canadienne de génie civil  Annual Conference of the Canadian Society for Civil Engineering </w:t>
      </w:r>
      <w:r w:rsidR="00C71BE4" w:rsidRPr="00076348">
        <w:rPr>
          <w:rFonts w:cs="Calibri"/>
          <w:sz w:val="18"/>
          <w:szCs w:val="18"/>
        </w:rPr>
        <w:t>Montréal, Québec, Canada 5-8 juin 2002 / June 5-8, 2002</w:t>
      </w:r>
      <w:r w:rsidR="00C71BE4">
        <w:rPr>
          <w:rFonts w:cs="Calibri"/>
          <w:sz w:val="18"/>
          <w:szCs w:val="18"/>
        </w:rPr>
        <w:t xml:space="preserve"> </w:t>
      </w:r>
      <w:hyperlink r:id="rId44" w:history="1">
        <w:r w:rsidR="00C71BE4" w:rsidRPr="00441720">
          <w:rPr>
            <w:rStyle w:val="Hyperlink"/>
            <w:rFonts w:cs="Calibri"/>
            <w:sz w:val="18"/>
            <w:szCs w:val="18"/>
          </w:rPr>
          <w:t>http://pedago.cegepoutaouais.qc.ca/media/0260309/0378334/SC</w:t>
        </w:r>
        <w:r w:rsidR="00C71BE4" w:rsidRPr="00441720">
          <w:rPr>
            <w:rStyle w:val="Hyperlink"/>
            <w:rFonts w:cs="Calibri"/>
            <w:sz w:val="18"/>
            <w:szCs w:val="18"/>
          </w:rPr>
          <w:t>G</w:t>
        </w:r>
        <w:r w:rsidR="00C71BE4" w:rsidRPr="00441720">
          <w:rPr>
            <w:rStyle w:val="Hyperlink"/>
            <w:rFonts w:cs="Calibri"/>
            <w:sz w:val="18"/>
            <w:szCs w:val="18"/>
          </w:rPr>
          <w:t>C-BON/Documents/GE062-PHARASI-Kennedy.pdf</w:t>
        </w:r>
      </w:hyperlink>
      <w:r w:rsidR="00C71BE4">
        <w:rPr>
          <w:rFonts w:cs="Calibri"/>
          <w:sz w:val="18"/>
          <w:szCs w:val="18"/>
        </w:rPr>
        <w:t xml:space="preserve"> </w:t>
      </w:r>
    </w:p>
    <w:p w:rsidR="002A622C" w:rsidRPr="00076348" w:rsidRDefault="002A622C" w:rsidP="00A4432F">
      <w:pPr>
        <w:pStyle w:val="EndnoteText"/>
        <w:rPr>
          <w:rFonts w:cs="Calibri"/>
          <w:sz w:val="18"/>
          <w:szCs w:val="18"/>
        </w:rPr>
      </w:pPr>
    </w:p>
    <w:p w:rsidR="002A622C" w:rsidRPr="00076348" w:rsidRDefault="002A622C" w:rsidP="002A622C">
      <w:pPr>
        <w:autoSpaceDE w:val="0"/>
        <w:autoSpaceDN w:val="0"/>
        <w:adjustRightInd w:val="0"/>
        <w:rPr>
          <w:rFonts w:cs="Calibri"/>
          <w:sz w:val="18"/>
          <w:szCs w:val="18"/>
        </w:rPr>
      </w:pPr>
      <w:r w:rsidRPr="00076348">
        <w:rPr>
          <w:rFonts w:cs="Calibri"/>
          <w:sz w:val="18"/>
          <w:szCs w:val="18"/>
        </w:rPr>
        <w:t>Regional Team Leader Water and Sanitation Program-</w:t>
      </w:r>
      <w:r w:rsidR="00F44833" w:rsidRPr="00076348">
        <w:rPr>
          <w:rFonts w:cs="Calibri"/>
          <w:sz w:val="18"/>
          <w:szCs w:val="18"/>
        </w:rPr>
        <w:t>South Asia</w:t>
      </w:r>
      <w:r w:rsidRPr="00076348">
        <w:rPr>
          <w:rFonts w:cs="Calibri"/>
          <w:sz w:val="18"/>
          <w:szCs w:val="18"/>
        </w:rPr>
        <w:t xml:space="preserve"> (WSP-SA) September 2010 </w:t>
      </w:r>
    </w:p>
    <w:p w:rsidR="002A622C" w:rsidRPr="00076348" w:rsidRDefault="002A622C" w:rsidP="00A4432F">
      <w:pPr>
        <w:pStyle w:val="Heading9"/>
        <w:numPr>
          <w:ilvl w:val="0"/>
          <w:numId w:val="0"/>
        </w:numPr>
        <w:rPr>
          <w:rFonts w:ascii="Calibri" w:hAnsi="Calibri" w:cs="Calibri"/>
          <w:sz w:val="18"/>
          <w:szCs w:val="18"/>
        </w:rPr>
      </w:pPr>
      <w:r w:rsidRPr="00076348">
        <w:rPr>
          <w:rFonts w:ascii="Calibri" w:hAnsi="Calibri" w:cs="Calibri"/>
          <w:b w:val="0"/>
          <w:sz w:val="18"/>
          <w:szCs w:val="18"/>
        </w:rPr>
        <w:t>UN WWDR 2006. Water – a shared responsibility. The UN World Water De</w:t>
      </w:r>
      <w:r w:rsidR="00EC4FDE" w:rsidRPr="00076348">
        <w:rPr>
          <w:rFonts w:ascii="Calibri" w:hAnsi="Calibri" w:cs="Calibri"/>
          <w:b w:val="0"/>
          <w:sz w:val="18"/>
          <w:szCs w:val="18"/>
        </w:rPr>
        <w:t xml:space="preserve">velopment Report 2. p.419. 2006 </w:t>
      </w:r>
      <w:hyperlink r:id="rId45" w:history="1">
        <w:r w:rsidRPr="00076348">
          <w:rPr>
            <w:rStyle w:val="Hyperlink"/>
            <w:rFonts w:ascii="Calibri" w:hAnsi="Calibri" w:cs="Calibri"/>
            <w:b w:val="0"/>
            <w:sz w:val="18"/>
            <w:szCs w:val="18"/>
          </w:rPr>
          <w:t>http://www.unesco.org/water/wwap/wwdr2/index.shtml</w:t>
        </w:r>
      </w:hyperlink>
    </w:p>
    <w:p w:rsidR="00EC4FDE" w:rsidRPr="00076348" w:rsidRDefault="00EC4FDE" w:rsidP="00A4432F">
      <w:pPr>
        <w:rPr>
          <w:rFonts w:cs="Calibri"/>
          <w:sz w:val="18"/>
          <w:szCs w:val="18"/>
          <w:lang w:eastAsia="en-US"/>
        </w:rPr>
      </w:pPr>
    </w:p>
    <w:p w:rsidR="002A622C" w:rsidRPr="00076348" w:rsidRDefault="002A622C" w:rsidP="00A4432F">
      <w:pPr>
        <w:rPr>
          <w:rFonts w:cs="Calibri"/>
          <w:sz w:val="18"/>
          <w:szCs w:val="18"/>
          <w:lang w:eastAsia="en-US"/>
        </w:rPr>
      </w:pPr>
      <w:r w:rsidRPr="00076348">
        <w:rPr>
          <w:rFonts w:cs="Calibri"/>
          <w:sz w:val="18"/>
          <w:szCs w:val="18"/>
          <w:lang w:eastAsia="en-US"/>
        </w:rPr>
        <w:t xml:space="preserve">UNCTAD 2008 World Investment Report  </w:t>
      </w:r>
      <w:hyperlink r:id="rId46" w:history="1">
        <w:r w:rsidRPr="00076348">
          <w:rPr>
            <w:rStyle w:val="Hyperlink"/>
            <w:rFonts w:cs="Calibri"/>
            <w:sz w:val="18"/>
            <w:szCs w:val="18"/>
            <w:lang w:eastAsia="en-US"/>
          </w:rPr>
          <w:t>http://www.unctad.org/en/docs/wir2008_en.pdf</w:t>
        </w:r>
      </w:hyperlink>
    </w:p>
    <w:p w:rsidR="002A622C" w:rsidRPr="00076348" w:rsidRDefault="002A622C" w:rsidP="00A4432F">
      <w:pPr>
        <w:rPr>
          <w:rFonts w:cs="Calibri"/>
          <w:sz w:val="18"/>
          <w:szCs w:val="18"/>
          <w:lang w:eastAsia="en-US"/>
        </w:rPr>
      </w:pPr>
    </w:p>
    <w:p w:rsidR="002A622C" w:rsidRPr="00076348" w:rsidRDefault="002A622C" w:rsidP="00A4432F">
      <w:pPr>
        <w:rPr>
          <w:rFonts w:cs="Calibri"/>
          <w:sz w:val="18"/>
          <w:szCs w:val="18"/>
          <w:lang w:eastAsia="en-US"/>
        </w:rPr>
      </w:pPr>
      <w:r w:rsidRPr="00076348">
        <w:rPr>
          <w:rFonts w:cs="Calibri"/>
          <w:sz w:val="18"/>
          <w:szCs w:val="18"/>
        </w:rPr>
        <w:t xml:space="preserve">UNCTAD 2010 South-South Cooperation: Africa and the New Forms of Development Partnership’ UNCTAD   Economic Development in Africa Report 2010 p. 72 </w:t>
      </w:r>
      <w:hyperlink r:id="rId47" w:history="1">
        <w:r w:rsidRPr="00076348">
          <w:rPr>
            <w:rStyle w:val="Hyperlink"/>
            <w:rFonts w:cs="Calibri"/>
            <w:sz w:val="18"/>
            <w:szCs w:val="18"/>
          </w:rPr>
          <w:t>http://www.unctad.org/Templates/WebFlyer.asp?intItemID=5491&amp;lang=1</w:t>
        </w:r>
      </w:hyperlink>
    </w:p>
    <w:p w:rsidR="002A622C" w:rsidRPr="00076348" w:rsidRDefault="002A622C" w:rsidP="00A4432F">
      <w:pPr>
        <w:rPr>
          <w:rFonts w:cs="Calibri"/>
          <w:sz w:val="18"/>
          <w:szCs w:val="18"/>
          <w:lang w:eastAsia="en-US"/>
        </w:rPr>
      </w:pPr>
    </w:p>
    <w:p w:rsidR="002A622C" w:rsidRPr="00076348" w:rsidRDefault="002A622C" w:rsidP="00A4432F">
      <w:pPr>
        <w:pStyle w:val="EndnoteText"/>
        <w:rPr>
          <w:rFonts w:cs="Calibri"/>
          <w:sz w:val="18"/>
          <w:szCs w:val="18"/>
        </w:rPr>
      </w:pPr>
      <w:r w:rsidRPr="00076348">
        <w:rPr>
          <w:rFonts w:cs="Calibri"/>
          <w:sz w:val="18"/>
          <w:szCs w:val="18"/>
        </w:rPr>
        <w:t xml:space="preserve">UNCTAD 2010 South-South Cooperation: Africa and the New Forms of Development Partnership’ UNCTAD   Economic Development in Africa Report 2010 </w:t>
      </w:r>
      <w:hyperlink r:id="rId48" w:history="1">
        <w:r w:rsidRPr="00076348">
          <w:rPr>
            <w:rStyle w:val="Hyperlink"/>
            <w:rFonts w:cs="Calibri"/>
            <w:sz w:val="18"/>
            <w:szCs w:val="18"/>
          </w:rPr>
          <w:t>http://www.unctad.org/Templates/WebFlyer.asp?intItemID=5491&amp;lang=1</w:t>
        </w:r>
      </w:hyperlink>
    </w:p>
    <w:p w:rsidR="002A622C" w:rsidRPr="00076348" w:rsidRDefault="002A622C" w:rsidP="00A4432F">
      <w:pPr>
        <w:pStyle w:val="EndnoteText"/>
        <w:rPr>
          <w:rFonts w:cs="Calibri"/>
          <w:sz w:val="18"/>
          <w:szCs w:val="18"/>
        </w:rPr>
      </w:pPr>
    </w:p>
    <w:p w:rsidR="002A622C" w:rsidRPr="00076348" w:rsidRDefault="002A622C" w:rsidP="00A4432F">
      <w:pPr>
        <w:rPr>
          <w:rFonts w:cs="Calibri"/>
          <w:sz w:val="18"/>
          <w:szCs w:val="18"/>
          <w:lang w:eastAsia="en-US"/>
        </w:rPr>
      </w:pPr>
      <w:r w:rsidRPr="00076348">
        <w:rPr>
          <w:rFonts w:cs="Calibri"/>
          <w:sz w:val="18"/>
          <w:szCs w:val="18"/>
        </w:rPr>
        <w:t xml:space="preserve">World Bank 2010 Global Economic Prospects 2010 p.5-6 </w:t>
      </w:r>
      <w:hyperlink r:id="rId49" w:history="1">
        <w:r w:rsidRPr="00076348">
          <w:rPr>
            <w:rStyle w:val="Hyperlink"/>
            <w:rFonts w:cs="Calibri"/>
            <w:sz w:val="18"/>
            <w:szCs w:val="18"/>
          </w:rPr>
          <w:t>http://siteresources.worldbank.org/INTGEP2010/Resources/FullReport-GEPSummer2010.pdf</w:t>
        </w:r>
      </w:hyperlink>
    </w:p>
    <w:p w:rsidR="002A622C" w:rsidRPr="00076348" w:rsidRDefault="002A622C" w:rsidP="00A4432F">
      <w:pPr>
        <w:rPr>
          <w:rFonts w:cs="Calibri"/>
          <w:sz w:val="18"/>
          <w:szCs w:val="18"/>
          <w:lang w:eastAsia="en-US"/>
        </w:rPr>
      </w:pPr>
    </w:p>
    <w:p w:rsidR="002A622C" w:rsidRPr="00076348" w:rsidRDefault="002A622C" w:rsidP="00A4432F">
      <w:pPr>
        <w:autoSpaceDE w:val="0"/>
        <w:rPr>
          <w:rFonts w:cs="Calibri"/>
          <w:sz w:val="18"/>
          <w:szCs w:val="18"/>
        </w:rPr>
      </w:pPr>
      <w:r w:rsidRPr="00076348">
        <w:rPr>
          <w:rFonts w:cs="Calibri"/>
          <w:sz w:val="18"/>
          <w:szCs w:val="18"/>
          <w:lang w:eastAsia="en-US"/>
        </w:rPr>
        <w:t xml:space="preserve">World Bank/AFD 2010 Africa’s Infrastructure 2010 </w:t>
      </w:r>
      <w:hyperlink r:id="rId50" w:history="1">
        <w:r w:rsidRPr="00076348">
          <w:rPr>
            <w:rStyle w:val="Hyperlink"/>
            <w:rFonts w:eastAsia="Minion-Regular" w:cs="Calibri"/>
            <w:sz w:val="18"/>
            <w:szCs w:val="18"/>
          </w:rPr>
          <w:t>http://www.infrastructureafrica.org/aicd/system/files/AIATT_Consolidated_smaller.pdf</w:t>
        </w:r>
      </w:hyperlink>
      <w:r w:rsidRPr="00076348">
        <w:rPr>
          <w:rFonts w:eastAsia="Minion-Regular" w:cs="Calibri"/>
          <w:sz w:val="18"/>
          <w:szCs w:val="18"/>
        </w:rPr>
        <w:t xml:space="preserve"> </w:t>
      </w:r>
      <w:r w:rsidR="00076348" w:rsidRPr="00076348">
        <w:rPr>
          <w:rFonts w:eastAsia="Minion-Regular" w:cs="Calibri"/>
          <w:sz w:val="18"/>
          <w:szCs w:val="18"/>
        </w:rPr>
        <w:t xml:space="preserve"> </w:t>
      </w:r>
      <w:r w:rsidRPr="00076348">
        <w:rPr>
          <w:rFonts w:cs="Calibri"/>
          <w:sz w:val="18"/>
          <w:szCs w:val="18"/>
        </w:rPr>
        <w:t xml:space="preserve">A range of material based on this is at </w:t>
      </w:r>
      <w:hyperlink r:id="rId51" w:history="1">
        <w:r w:rsidRPr="00076348">
          <w:rPr>
            <w:rStyle w:val="Hyperlink"/>
            <w:rFonts w:cs="Calibri"/>
            <w:sz w:val="18"/>
            <w:szCs w:val="18"/>
          </w:rPr>
          <w:t>http://go.worldbank.org/NGTDDHDDB0</w:t>
        </w:r>
      </w:hyperlink>
    </w:p>
    <w:p w:rsidR="00B1664F" w:rsidRDefault="00B1664F" w:rsidP="00A4432F">
      <w:pPr>
        <w:autoSpaceDE w:val="0"/>
        <w:rPr>
          <w:rFonts w:eastAsia="Minion-Regular"/>
          <w:sz w:val="20"/>
          <w:szCs w:val="20"/>
        </w:rPr>
      </w:pPr>
    </w:p>
    <w:p w:rsidR="002A622C" w:rsidRDefault="0045389C" w:rsidP="00A4432F">
      <w:pPr>
        <w:autoSpaceDE w:val="0"/>
        <w:rPr>
          <w:rFonts w:eastAsia="Minion-Regular"/>
          <w:sz w:val="20"/>
          <w:szCs w:val="20"/>
        </w:rPr>
      </w:pPr>
      <w:r>
        <w:rPr>
          <w:rFonts w:eastAsia="Minion-Regular"/>
          <w:sz w:val="20"/>
          <w:szCs w:val="20"/>
        </w:rPr>
        <w:br w:type="page"/>
      </w:r>
    </w:p>
    <w:p w:rsidR="00A91A03" w:rsidRDefault="00B1664F" w:rsidP="00B1664F">
      <w:pPr>
        <w:pStyle w:val="Heading1"/>
      </w:pPr>
      <w:bookmarkStart w:id="41" w:name="_Toc318886723"/>
      <w:r>
        <w:t xml:space="preserve">Annexe: </w:t>
      </w:r>
      <w:r w:rsidR="00575828">
        <w:t>Costs as percentage of GDP: details</w:t>
      </w:r>
      <w:r>
        <w:t xml:space="preserve"> of OECD and PSIRU estimates</w:t>
      </w:r>
      <w:bookmarkEnd w:id="41"/>
    </w:p>
    <w:p w:rsidR="00555FD6" w:rsidRDefault="00555FD6" w:rsidP="00555FD6">
      <w:pPr>
        <w:pStyle w:val="Heading7"/>
      </w:pPr>
      <w:bookmarkStart w:id="42" w:name="_Toc318886724"/>
      <w:r>
        <w:t>Cost of water and sanitation investment as % of GDP, OECD</w:t>
      </w:r>
      <w:bookmarkEnd w:id="42"/>
    </w:p>
    <w:p w:rsidR="00481F94" w:rsidRDefault="00BF329C" w:rsidP="00481F94">
      <w:r>
        <w:rPr>
          <w:noProof/>
        </w:rPr>
        <w:drawing>
          <wp:inline distT="0" distB="0" distL="0" distR="0">
            <wp:extent cx="6355715" cy="337566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55715" cy="3375660"/>
                    </a:xfrm>
                    <a:prstGeom prst="rect">
                      <a:avLst/>
                    </a:prstGeom>
                    <a:noFill/>
                    <a:ln>
                      <a:noFill/>
                    </a:ln>
                  </pic:spPr>
                </pic:pic>
              </a:graphicData>
            </a:graphic>
          </wp:inline>
        </w:drawing>
      </w:r>
    </w:p>
    <w:p w:rsidR="00481F94" w:rsidRDefault="00481F94" w:rsidP="00481F94"/>
    <w:p w:rsidR="00481F94" w:rsidRDefault="00481F94" w:rsidP="00481F94">
      <w:r>
        <w:t xml:space="preserve">Source: </w:t>
      </w:r>
      <w:r w:rsidRPr="00A941BD">
        <w:t>Adrian Cashman, Richard Ashley, (2008) "Costing the long-term demand for</w:t>
      </w:r>
      <w:r>
        <w:t xml:space="preserve"> water sector infrastructure", F</w:t>
      </w:r>
      <w:r w:rsidRPr="00A941BD">
        <w:t xml:space="preserve">oresight, Vol. 10 Iss: 3, pp.9 </w:t>
      </w:r>
      <w:r>
        <w:t>–</w:t>
      </w:r>
      <w:r w:rsidRPr="00A941BD">
        <w:t xml:space="preserve"> 26</w:t>
      </w:r>
      <w:r>
        <w:t xml:space="preserve"> </w:t>
      </w:r>
      <w:hyperlink r:id="rId53" w:history="1">
        <w:r w:rsidRPr="006C652A">
          <w:rPr>
            <w:rStyle w:val="Hyperlink"/>
          </w:rPr>
          <w:t>http://dx.doi.org/10.1108/14636680810883099</w:t>
        </w:r>
      </w:hyperlink>
    </w:p>
    <w:p w:rsidR="00481F94" w:rsidRDefault="0045389C" w:rsidP="00481F94">
      <w:r>
        <w:br w:type="page"/>
      </w:r>
    </w:p>
    <w:p w:rsidR="00A91A03" w:rsidRDefault="00E6732D" w:rsidP="00E6732D">
      <w:pPr>
        <w:pStyle w:val="Heading7"/>
      </w:pPr>
      <w:bookmarkStart w:id="43" w:name="_Toc318886725"/>
      <w:r>
        <w:t>Cost of household connections as % of GDP, PSIRU</w:t>
      </w:r>
      <w:bookmarkEnd w:id="43"/>
    </w:p>
    <w:tbl>
      <w:tblPr>
        <w:tblW w:w="4660" w:type="dxa"/>
        <w:tblInd w:w="93" w:type="dxa"/>
        <w:tblLook w:val="04A0" w:firstRow="1" w:lastRow="0" w:firstColumn="1" w:lastColumn="0" w:noHBand="0" w:noVBand="1"/>
      </w:tblPr>
      <w:tblGrid>
        <w:gridCol w:w="1560"/>
        <w:gridCol w:w="1420"/>
        <w:gridCol w:w="1680"/>
      </w:tblGrid>
      <w:tr w:rsidR="000E12DF" w:rsidRPr="00485569" w:rsidTr="00481F94">
        <w:trPr>
          <w:trHeight w:val="1020"/>
        </w:trPr>
        <w:tc>
          <w:tcPr>
            <w:tcW w:w="1560" w:type="dxa"/>
            <w:tcBorders>
              <w:top w:val="nil"/>
              <w:left w:val="nil"/>
              <w:bottom w:val="nil"/>
              <w:right w:val="nil"/>
            </w:tcBorders>
            <w:shd w:val="clear" w:color="auto" w:fill="auto"/>
            <w:vAlign w:val="center"/>
            <w:hideMark/>
          </w:tcPr>
          <w:p w:rsidR="000E12DF" w:rsidRPr="00481F94" w:rsidRDefault="000E12DF" w:rsidP="00481F94">
            <w:pPr>
              <w:rPr>
                <w:rFonts w:ascii="Arial" w:hAnsi="Arial" w:cs="Arial"/>
                <w:color w:val="000000"/>
                <w:sz w:val="20"/>
                <w:szCs w:val="20"/>
              </w:rPr>
            </w:pPr>
            <w:r w:rsidRPr="00481F94">
              <w:rPr>
                <w:rFonts w:ascii="Arial" w:hAnsi="Arial" w:cs="Arial"/>
                <w:color w:val="000000"/>
                <w:sz w:val="20"/>
                <w:szCs w:val="20"/>
              </w:rPr>
              <w:t>Country</w:t>
            </w:r>
          </w:p>
        </w:tc>
        <w:tc>
          <w:tcPr>
            <w:tcW w:w="1420" w:type="dxa"/>
            <w:tcBorders>
              <w:top w:val="nil"/>
              <w:left w:val="nil"/>
              <w:bottom w:val="nil"/>
              <w:right w:val="nil"/>
            </w:tcBorders>
            <w:shd w:val="clear" w:color="auto" w:fill="auto"/>
            <w:vAlign w:val="center"/>
            <w:hideMark/>
          </w:tcPr>
          <w:p w:rsidR="000E12DF" w:rsidRPr="00481F94" w:rsidRDefault="000E12DF" w:rsidP="00481F94">
            <w:pPr>
              <w:rPr>
                <w:rFonts w:ascii="Arial" w:hAnsi="Arial" w:cs="Arial"/>
                <w:color w:val="000000"/>
                <w:sz w:val="20"/>
                <w:szCs w:val="20"/>
              </w:rPr>
            </w:pPr>
            <w:r w:rsidRPr="00481F94">
              <w:rPr>
                <w:rFonts w:ascii="Arial" w:hAnsi="Arial" w:cs="Arial"/>
                <w:color w:val="000000"/>
                <w:sz w:val="20"/>
                <w:szCs w:val="20"/>
              </w:rPr>
              <w:t>Income group</w:t>
            </w:r>
          </w:p>
        </w:tc>
        <w:tc>
          <w:tcPr>
            <w:tcW w:w="1680" w:type="dxa"/>
            <w:tcBorders>
              <w:top w:val="nil"/>
              <w:left w:val="nil"/>
              <w:bottom w:val="nil"/>
              <w:right w:val="nil"/>
            </w:tcBorders>
            <w:shd w:val="clear" w:color="auto" w:fill="auto"/>
            <w:vAlign w:val="center"/>
            <w:hideMark/>
          </w:tcPr>
          <w:p w:rsidR="000E12DF" w:rsidRPr="00481F94" w:rsidRDefault="000E12DF" w:rsidP="00481F94">
            <w:pPr>
              <w:rPr>
                <w:rFonts w:ascii="Arial" w:hAnsi="Arial" w:cs="Arial"/>
                <w:color w:val="000000"/>
                <w:sz w:val="20"/>
                <w:szCs w:val="20"/>
              </w:rPr>
            </w:pPr>
            <w:r w:rsidRPr="00481F94">
              <w:rPr>
                <w:rFonts w:ascii="Arial" w:hAnsi="Arial" w:cs="Arial"/>
                <w:color w:val="000000"/>
                <w:sz w:val="20"/>
                <w:szCs w:val="20"/>
              </w:rPr>
              <w:t>% of GDP required for household connections</w:t>
            </w:r>
          </w:p>
        </w:tc>
      </w:tr>
      <w:tr w:rsidR="000E12DF" w:rsidRPr="00485569" w:rsidTr="00575828">
        <w:trPr>
          <w:trHeight w:val="300"/>
        </w:trPr>
        <w:tc>
          <w:tcPr>
            <w:tcW w:w="1560" w:type="dxa"/>
            <w:tcBorders>
              <w:top w:val="nil"/>
              <w:left w:val="nil"/>
              <w:bottom w:val="nil"/>
              <w:right w:val="nil"/>
            </w:tcBorders>
            <w:shd w:val="clear" w:color="auto" w:fill="auto"/>
            <w:noWrap/>
            <w:vAlign w:val="center"/>
          </w:tcPr>
          <w:p w:rsidR="000E12DF" w:rsidRPr="00481F94" w:rsidRDefault="000E12DF" w:rsidP="00575828">
            <w:pPr>
              <w:rPr>
                <w:rFonts w:ascii="Arial" w:hAnsi="Arial" w:cs="Arial"/>
                <w:color w:val="000000"/>
                <w:sz w:val="20"/>
                <w:szCs w:val="20"/>
              </w:rPr>
            </w:pPr>
          </w:p>
        </w:tc>
        <w:tc>
          <w:tcPr>
            <w:tcW w:w="1420" w:type="dxa"/>
            <w:tcBorders>
              <w:top w:val="nil"/>
              <w:left w:val="nil"/>
              <w:bottom w:val="nil"/>
              <w:right w:val="nil"/>
            </w:tcBorders>
            <w:shd w:val="clear" w:color="auto" w:fill="auto"/>
            <w:noWrap/>
            <w:vAlign w:val="center"/>
          </w:tcPr>
          <w:p w:rsidR="000E12DF" w:rsidRPr="00481F94" w:rsidRDefault="000E12DF" w:rsidP="00481F94">
            <w:pPr>
              <w:rPr>
                <w:rFonts w:ascii="Arial" w:hAnsi="Arial" w:cs="Arial"/>
                <w:color w:val="000000"/>
                <w:sz w:val="20"/>
                <w:szCs w:val="20"/>
              </w:rPr>
            </w:pPr>
          </w:p>
        </w:tc>
        <w:tc>
          <w:tcPr>
            <w:tcW w:w="1680" w:type="dxa"/>
            <w:tcBorders>
              <w:top w:val="nil"/>
              <w:left w:val="nil"/>
              <w:bottom w:val="nil"/>
              <w:right w:val="nil"/>
            </w:tcBorders>
            <w:shd w:val="clear" w:color="auto" w:fill="auto"/>
            <w:noWrap/>
            <w:vAlign w:val="center"/>
          </w:tcPr>
          <w:p w:rsidR="000E12DF" w:rsidRPr="00481F94" w:rsidRDefault="000E12DF" w:rsidP="00481F94">
            <w:pPr>
              <w:jc w:val="right"/>
              <w:rPr>
                <w:rFonts w:ascii="Arial" w:hAnsi="Arial" w:cs="Arial"/>
                <w:color w:val="000000"/>
                <w:sz w:val="20"/>
                <w:szCs w:val="20"/>
              </w:rPr>
            </w:pPr>
          </w:p>
        </w:tc>
      </w:tr>
    </w:tbl>
    <w:p w:rsidR="00EC4FDE" w:rsidRDefault="00EC4FDE" w:rsidP="00481F94">
      <w:pPr>
        <w:rPr>
          <w:rFonts w:ascii="Arial" w:hAnsi="Arial" w:cs="Arial"/>
          <w:color w:val="000000"/>
          <w:sz w:val="16"/>
          <w:szCs w:val="16"/>
        </w:rPr>
        <w:sectPr w:rsidR="00EC4FDE" w:rsidSect="00E06B7E">
          <w:footnotePr>
            <w:numFmt w:val="chicago"/>
          </w:footnotePr>
          <w:endnotePr>
            <w:numFmt w:val="decimal"/>
          </w:endnotePr>
          <w:type w:val="continuous"/>
          <w:pgSz w:w="11906" w:h="16838" w:code="9"/>
          <w:pgMar w:top="1134" w:right="1134" w:bottom="1134" w:left="1134" w:header="567" w:footer="567" w:gutter="0"/>
          <w:cols w:space="708"/>
          <w:titlePg/>
          <w:docGrid w:linePitch="360"/>
        </w:sectPr>
      </w:pPr>
    </w:p>
    <w:tbl>
      <w:tblPr>
        <w:tblW w:w="4660" w:type="dxa"/>
        <w:tblInd w:w="93" w:type="dxa"/>
        <w:tblLook w:val="04A0" w:firstRow="1" w:lastRow="0" w:firstColumn="1" w:lastColumn="0" w:noHBand="0" w:noVBand="1"/>
      </w:tblPr>
      <w:tblGrid>
        <w:gridCol w:w="1560"/>
        <w:gridCol w:w="1420"/>
        <w:gridCol w:w="1680"/>
      </w:tblGrid>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Afghanistan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1.82</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Angola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0.66</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Argentina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MU</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0.2</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Bangladesh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1.22</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Benin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1.68</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Bolivia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0.9</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Brazil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0.21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Burkina Faso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1.05</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Cambodia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0.94</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Chad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1.36</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China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Congo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1.17</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Congo DR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6.29</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Côte d'Ivoire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Cuba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Ecuador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0.27</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Egypt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0.33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Ethiopia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2.37</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Ghana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1.91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Guinea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1.85</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Haiti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2.3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India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0.64</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Indonesia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0.73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Iran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0.38</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Kenya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0.74</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Korea DPR</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Korea Rep</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H</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0.03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Madagascar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2.26</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Malawi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2.73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Malaysia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MU</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0.21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Mali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1.44</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Morocco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0.25</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Mozambique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2.34</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Myanmar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Nepal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1.3</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Nicaragua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0.95</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Niger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1.39</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Nigeria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1.48</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Pakistan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0.82</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Paraguay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0.77</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Peru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0.19</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Philippines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0.89</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Rwanda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1.7</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Senegal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1.02</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South Africa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MU</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0.11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Sri Lanka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0.18</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Sudan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1.18</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Tanzania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1.61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Thailand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0.2</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Togo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2.68</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Uganda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Venezuela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MU</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0.19</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Viet Nam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0.77</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Yemen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0.91</w:t>
            </w:r>
          </w:p>
        </w:tc>
      </w:tr>
      <w:tr w:rsidR="000E12DF" w:rsidRPr="00485569" w:rsidTr="00481F94">
        <w:trPr>
          <w:trHeight w:val="300"/>
        </w:trPr>
        <w:tc>
          <w:tcPr>
            <w:tcW w:w="156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 xml:space="preserve">Zambia </w:t>
            </w:r>
          </w:p>
        </w:tc>
        <w:tc>
          <w:tcPr>
            <w:tcW w:w="1420" w:type="dxa"/>
            <w:tcBorders>
              <w:top w:val="nil"/>
              <w:left w:val="nil"/>
              <w:bottom w:val="nil"/>
              <w:right w:val="nil"/>
            </w:tcBorders>
            <w:shd w:val="clear" w:color="auto" w:fill="auto"/>
            <w:noWrap/>
            <w:vAlign w:val="center"/>
            <w:hideMark/>
          </w:tcPr>
          <w:p w:rsidR="000E12DF" w:rsidRPr="00EC4FDE" w:rsidRDefault="000E12DF" w:rsidP="00EC4FDE">
            <w:pPr>
              <w:rPr>
                <w:rFonts w:ascii="Arial" w:hAnsi="Arial" w:cs="Arial"/>
                <w:color w:val="000000"/>
                <w:sz w:val="16"/>
                <w:szCs w:val="16"/>
              </w:rPr>
            </w:pPr>
            <w:r w:rsidRPr="00EC4FDE">
              <w:rPr>
                <w:rFonts w:ascii="Arial" w:hAnsi="Arial" w:cs="Arial"/>
                <w:color w:val="000000"/>
                <w:sz w:val="16"/>
                <w:szCs w:val="16"/>
              </w:rPr>
              <w:t>L</w:t>
            </w:r>
          </w:p>
        </w:tc>
        <w:tc>
          <w:tcPr>
            <w:tcW w:w="1680" w:type="dxa"/>
            <w:tcBorders>
              <w:top w:val="nil"/>
              <w:left w:val="nil"/>
              <w:bottom w:val="nil"/>
              <w:right w:val="nil"/>
            </w:tcBorders>
            <w:shd w:val="clear" w:color="auto" w:fill="auto"/>
            <w:noWrap/>
            <w:vAlign w:val="center"/>
            <w:hideMark/>
          </w:tcPr>
          <w:p w:rsidR="000E12DF" w:rsidRPr="00EC4FDE" w:rsidRDefault="000E12DF" w:rsidP="00EC4FDE">
            <w:pPr>
              <w:jc w:val="right"/>
              <w:rPr>
                <w:rFonts w:ascii="Arial" w:hAnsi="Arial" w:cs="Arial"/>
                <w:color w:val="000000"/>
                <w:sz w:val="16"/>
                <w:szCs w:val="16"/>
              </w:rPr>
            </w:pPr>
            <w:r w:rsidRPr="00EC4FDE">
              <w:rPr>
                <w:rFonts w:ascii="Arial" w:hAnsi="Arial" w:cs="Arial"/>
                <w:color w:val="000000"/>
                <w:sz w:val="16"/>
                <w:szCs w:val="16"/>
              </w:rPr>
              <w:t>0.88</w:t>
            </w:r>
          </w:p>
        </w:tc>
      </w:tr>
    </w:tbl>
    <w:p w:rsidR="00EC4FDE" w:rsidRDefault="00EC4FDE" w:rsidP="00A91A03">
      <w:pPr>
        <w:rPr>
          <w:lang w:eastAsia="en-US"/>
        </w:rPr>
        <w:sectPr w:rsidR="00EC4FDE" w:rsidSect="00EC4FDE">
          <w:endnotePr>
            <w:numFmt w:val="decimal"/>
          </w:endnotePr>
          <w:type w:val="continuous"/>
          <w:pgSz w:w="11906" w:h="16838" w:code="9"/>
          <w:pgMar w:top="1134" w:right="1134" w:bottom="1134" w:left="1134" w:header="567" w:footer="567" w:gutter="0"/>
          <w:cols w:num="2" w:space="708"/>
          <w:titlePg/>
          <w:docGrid w:linePitch="360"/>
        </w:sectPr>
      </w:pPr>
    </w:p>
    <w:p w:rsidR="00481F94" w:rsidRDefault="00481F94" w:rsidP="00A91A03">
      <w:pPr>
        <w:rPr>
          <w:lang w:eastAsia="en-US"/>
        </w:rPr>
      </w:pPr>
    </w:p>
    <w:p w:rsidR="00481F94" w:rsidRDefault="00481F94" w:rsidP="00A91A03">
      <w:pPr>
        <w:rPr>
          <w:lang w:eastAsia="en-US"/>
        </w:rPr>
      </w:pPr>
      <w:r>
        <w:rPr>
          <w:lang w:eastAsia="en-US"/>
        </w:rPr>
        <w:t>L=lower, MU=upper middle, ML=lower middle</w:t>
      </w:r>
    </w:p>
    <w:p w:rsidR="00481F94" w:rsidRDefault="00481F94" w:rsidP="00A91A03">
      <w:pPr>
        <w:rPr>
          <w:lang w:eastAsia="en-US"/>
        </w:rPr>
      </w:pPr>
      <w:r>
        <w:rPr>
          <w:lang w:eastAsia="en-US"/>
        </w:rPr>
        <w:t xml:space="preserve">Source: </w:t>
      </w:r>
      <w:r w:rsidR="00E6732D">
        <w:rPr>
          <w:lang w:eastAsia="en-US"/>
        </w:rPr>
        <w:t xml:space="preserve">Hall and Lobina 2008 Sewerage Works PSIRU </w:t>
      </w:r>
      <w:hyperlink r:id="rId54" w:history="1">
        <w:r w:rsidR="00E6732D" w:rsidRPr="00F814C6">
          <w:rPr>
            <w:rStyle w:val="Hyperlink"/>
            <w:lang w:eastAsia="en-US"/>
          </w:rPr>
          <w:t>www.psiru.org/reports/2008-03-W-Sewers.doc</w:t>
        </w:r>
      </w:hyperlink>
      <w:r w:rsidR="00E6732D">
        <w:rPr>
          <w:lang w:eastAsia="en-US"/>
        </w:rPr>
        <w:t xml:space="preserve"> </w:t>
      </w:r>
    </w:p>
    <w:p w:rsidR="00481F94" w:rsidRDefault="00555FD6" w:rsidP="00A91A03">
      <w:pPr>
        <w:rPr>
          <w:lang w:eastAsia="en-US"/>
        </w:rPr>
      </w:pPr>
      <w:r>
        <w:rPr>
          <w:lang w:eastAsia="en-US"/>
        </w:rPr>
        <w:br w:type="page"/>
      </w:r>
    </w:p>
    <w:p w:rsidR="00A91A03" w:rsidRPr="00536E7E" w:rsidRDefault="00EC4FDE" w:rsidP="00A91A03">
      <w:pPr>
        <w:pStyle w:val="Heading1"/>
      </w:pPr>
      <w:bookmarkStart w:id="44" w:name="_Toc318886726"/>
      <w:r>
        <w:t>N</w:t>
      </w:r>
      <w:r w:rsidR="00A91A03">
        <w:t>otes</w:t>
      </w:r>
      <w:bookmarkEnd w:id="44"/>
    </w:p>
    <w:sectPr w:rsidR="00A91A03" w:rsidRPr="00536E7E" w:rsidSect="00EC4FDE">
      <w:endnotePr>
        <w:numFmt w:val="decimal"/>
      </w:endnotePr>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589" w:rsidRDefault="004C6589">
      <w:r>
        <w:separator/>
      </w:r>
    </w:p>
  </w:endnote>
  <w:endnote w:type="continuationSeparator" w:id="0">
    <w:p w:rsidR="004C6589" w:rsidRDefault="004C6589">
      <w:r>
        <w:continuationSeparator/>
      </w:r>
    </w:p>
  </w:endnote>
  <w:endnote w:id="1">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Petri S. Juuti &amp; Tapio S. Katko (eds), Water, Time and European Cities: History matters for the Futures</w:t>
      </w:r>
    </w:p>
    <w:p w:rsidR="00266B97" w:rsidRPr="008A7715" w:rsidRDefault="00266B97" w:rsidP="00F37E90">
      <w:pPr>
        <w:pStyle w:val="EndnoteText"/>
        <w:rPr>
          <w:rFonts w:cs="Calibri"/>
          <w:sz w:val="18"/>
          <w:szCs w:val="18"/>
        </w:rPr>
      </w:pPr>
      <w:r w:rsidRPr="008A7715">
        <w:rPr>
          <w:rFonts w:cs="Calibri"/>
          <w:sz w:val="18"/>
          <w:szCs w:val="18"/>
        </w:rPr>
        <w:t xml:space="preserve">2005. </w:t>
      </w:r>
      <w:hyperlink r:id="rId1" w:history="1">
        <w:r w:rsidRPr="008A7715">
          <w:rPr>
            <w:rStyle w:val="Hyperlink"/>
            <w:rFonts w:cs="Calibri"/>
            <w:sz w:val="18"/>
            <w:szCs w:val="18"/>
          </w:rPr>
          <w:t>http://www.watertime.net/Docs/WP3/WTEC.pdf</w:t>
        </w:r>
      </w:hyperlink>
      <w:r w:rsidRPr="008A7715">
        <w:rPr>
          <w:rFonts w:cs="Calibri"/>
          <w:sz w:val="18"/>
          <w:szCs w:val="18"/>
        </w:rPr>
        <w:t xml:space="preserve"> ; Barraqué, Bernard (2007) 'Small Communes, Centralisation, and Delegation to Private Companies: The French Experience', Journal of Comparative Social Welfare, 23:2, 121 – 130  </w:t>
      </w:r>
      <w:hyperlink r:id="rId2" w:history="1">
        <w:r w:rsidRPr="008A7715">
          <w:rPr>
            <w:rStyle w:val="Hyperlink"/>
            <w:rFonts w:cs="Calibri"/>
            <w:sz w:val="18"/>
            <w:szCs w:val="18"/>
          </w:rPr>
          <w:t>http://pdfserve.informaworld.com/297693_751311873_781353829.pdf</w:t>
        </w:r>
      </w:hyperlink>
    </w:p>
  </w:endnote>
  <w:endnote w:id="2">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Kate Foss-Mollan. Hard Water: Politics and Water Supply in Milwaukee, 1870-1995. Purdue University</w:t>
      </w:r>
    </w:p>
    <w:p w:rsidR="00266B97" w:rsidRPr="008A7715" w:rsidRDefault="00266B97" w:rsidP="00F37E90">
      <w:pPr>
        <w:pStyle w:val="EndnoteText"/>
        <w:rPr>
          <w:rFonts w:cs="Calibri"/>
          <w:sz w:val="18"/>
          <w:szCs w:val="18"/>
        </w:rPr>
      </w:pPr>
      <w:r w:rsidRPr="008A7715">
        <w:rPr>
          <w:rFonts w:cs="Calibri"/>
          <w:sz w:val="18"/>
          <w:szCs w:val="18"/>
        </w:rPr>
        <w:t>Press 2001;  Melosi, M.V. 2000. The Sanitary City</w:t>
      </w:r>
      <w:r w:rsidR="008A7715">
        <w:rPr>
          <w:rFonts w:cs="Calibri"/>
          <w:sz w:val="18"/>
          <w:szCs w:val="18"/>
        </w:rPr>
        <w:t>,</w:t>
      </w:r>
      <w:r w:rsidRPr="008A7715">
        <w:rPr>
          <w:rFonts w:cs="Calibri"/>
          <w:sz w:val="18"/>
          <w:szCs w:val="18"/>
        </w:rPr>
        <w:t xml:space="preserve"> Urban Infrastructure in America from the Colonial Times to the</w:t>
      </w:r>
    </w:p>
    <w:p w:rsidR="00266B97" w:rsidRPr="008A7715" w:rsidRDefault="00266B97" w:rsidP="00F37E90">
      <w:pPr>
        <w:pStyle w:val="EndnoteText"/>
        <w:rPr>
          <w:rFonts w:cs="Calibri"/>
          <w:sz w:val="18"/>
          <w:szCs w:val="18"/>
        </w:rPr>
      </w:pPr>
      <w:r w:rsidRPr="008A7715">
        <w:rPr>
          <w:rFonts w:cs="Calibri"/>
          <w:sz w:val="18"/>
          <w:szCs w:val="18"/>
        </w:rPr>
        <w:t>Present. Th</w:t>
      </w:r>
      <w:r w:rsidR="0045389C">
        <w:rPr>
          <w:rFonts w:cs="Calibri"/>
          <w:sz w:val="18"/>
          <w:szCs w:val="18"/>
        </w:rPr>
        <w:t>e John Hopkins University Press</w:t>
      </w:r>
    </w:p>
  </w:endnote>
  <w:endnote w:id="3">
    <w:p w:rsidR="00266B97" w:rsidRPr="008A7715" w:rsidRDefault="00266B97" w:rsidP="001E2B21">
      <w:pPr>
        <w:rPr>
          <w:rFonts w:cs="Calibri"/>
          <w:sz w:val="18"/>
          <w:szCs w:val="18"/>
        </w:rPr>
      </w:pPr>
      <w:r w:rsidRPr="008A7715">
        <w:rPr>
          <w:rStyle w:val="EndnoteReference"/>
          <w:rFonts w:cs="Calibri"/>
          <w:sz w:val="18"/>
          <w:szCs w:val="18"/>
        </w:rPr>
        <w:endnoteRef/>
      </w:r>
      <w:r w:rsidRPr="008A7715">
        <w:rPr>
          <w:rFonts w:cs="Calibri"/>
          <w:sz w:val="18"/>
          <w:szCs w:val="18"/>
        </w:rPr>
        <w:t xml:space="preserve"> Pezon, Christelle. 2009 </w:t>
      </w:r>
      <w:hyperlink r:id="rId3" w:history="1">
        <w:r w:rsidRPr="008A7715">
          <w:rPr>
            <w:rStyle w:val="Hyperlink"/>
            <w:rFonts w:cs="Calibri"/>
            <w:bCs/>
            <w:sz w:val="18"/>
            <w:szCs w:val="18"/>
          </w:rPr>
          <w:t>Decentralization and Delegation of Water and Sanitation Services in France</w:t>
        </w:r>
      </w:hyperlink>
    </w:p>
    <w:p w:rsidR="00266B97" w:rsidRPr="008A7715" w:rsidRDefault="00266B97" w:rsidP="001E26F1">
      <w:pPr>
        <w:rPr>
          <w:rFonts w:cs="Calibri"/>
          <w:sz w:val="18"/>
          <w:szCs w:val="18"/>
        </w:rPr>
      </w:pPr>
      <w:r w:rsidRPr="008A7715">
        <w:rPr>
          <w:rFonts w:cs="Calibri"/>
          <w:sz w:val="18"/>
          <w:szCs w:val="18"/>
        </w:rPr>
        <w:t xml:space="preserve"> In Water and sanitation services: public policy and management edited bBy José Esteban Castro, Léo Heller Earthscan 2009 </w:t>
      </w:r>
    </w:p>
  </w:endnote>
  <w:endnote w:id="4">
    <w:p w:rsidR="00266B97" w:rsidRPr="008A7715" w:rsidRDefault="00266B97" w:rsidP="00F37E90">
      <w:pPr>
        <w:rPr>
          <w:rFonts w:cs="Calibri"/>
          <w:sz w:val="18"/>
          <w:szCs w:val="18"/>
        </w:rPr>
      </w:pPr>
      <w:r w:rsidRPr="008A7715">
        <w:rPr>
          <w:rStyle w:val="EndnoteReference"/>
          <w:rFonts w:cs="Calibri"/>
          <w:sz w:val="18"/>
          <w:szCs w:val="18"/>
        </w:rPr>
        <w:endnoteRef/>
      </w:r>
      <w:r w:rsidRPr="008A7715">
        <w:rPr>
          <w:rFonts w:cs="Calibri"/>
          <w:sz w:val="18"/>
          <w:szCs w:val="18"/>
        </w:rPr>
        <w:t xml:space="preserve">  David Hall and Emanuele Lobina 2008 Water in Europe PSIRU </w:t>
      </w:r>
      <w:hyperlink r:id="rId4" w:history="1">
        <w:r w:rsidRPr="008A7715">
          <w:rPr>
            <w:rStyle w:val="Hyperlink"/>
            <w:rFonts w:cs="Calibri"/>
            <w:sz w:val="18"/>
            <w:szCs w:val="18"/>
          </w:rPr>
          <w:t>www.psiru.org/reports/2008-01-W-EU.doc</w:t>
        </w:r>
      </w:hyperlink>
      <w:r w:rsidRPr="008A7715">
        <w:rPr>
          <w:rFonts w:cs="Calibri"/>
          <w:sz w:val="18"/>
          <w:szCs w:val="18"/>
        </w:rPr>
        <w:t xml:space="preserve"> </w:t>
      </w:r>
    </w:p>
  </w:endnote>
  <w:endnote w:id="5">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D. Grey and C. W. Sadoff 2007 Sink or Swim? Water security for growth and development/ Water Policy 9 (2007) 545–571 </w:t>
      </w:r>
      <w:hyperlink r:id="rId5" w:history="1">
        <w:r w:rsidRPr="008A7715">
          <w:rPr>
            <w:rStyle w:val="Hyperlink"/>
            <w:rFonts w:cs="Calibri"/>
            <w:sz w:val="18"/>
            <w:szCs w:val="18"/>
          </w:rPr>
          <w:t>http://doi:10.2166/wp.2007.021</w:t>
        </w:r>
      </w:hyperlink>
      <w:r w:rsidRPr="008A7715">
        <w:rPr>
          <w:rFonts w:cs="Calibri"/>
          <w:sz w:val="18"/>
          <w:szCs w:val="18"/>
        </w:rPr>
        <w:t xml:space="preserve">   </w:t>
      </w:r>
    </w:p>
  </w:endnote>
  <w:endnote w:id="6">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S. Pharasi and C.A. Kennedy (2002) Reflections On The Financial History Of Toronto’s Urban Water Infrastructure Department of Civil Engineering, University of Toronto, Ontario, Canada Congrès annuel de la Société canadienne de génie civil  Annual Conference of the Canadian Society for Civil Engineering </w:t>
      </w:r>
    </w:p>
    <w:p w:rsidR="00266B97" w:rsidRPr="008A7715" w:rsidRDefault="00266B97" w:rsidP="00F37E90">
      <w:pPr>
        <w:pStyle w:val="EndnoteText"/>
        <w:rPr>
          <w:rFonts w:cs="Calibri"/>
          <w:sz w:val="18"/>
          <w:szCs w:val="18"/>
          <w:lang w:val="fr-FR"/>
        </w:rPr>
      </w:pPr>
      <w:r w:rsidRPr="008A7715">
        <w:rPr>
          <w:rFonts w:cs="Calibri"/>
          <w:sz w:val="18"/>
          <w:szCs w:val="18"/>
          <w:lang w:val="fr-FR"/>
        </w:rPr>
        <w:t xml:space="preserve">Montréal, Québec, Canada 5-8 juin 2002 / June 5-8, 2002 </w:t>
      </w:r>
      <w:hyperlink r:id="rId6" w:history="1">
        <w:r w:rsidRPr="008A7715">
          <w:rPr>
            <w:rStyle w:val="Hyperlink"/>
            <w:rFonts w:cs="Calibri"/>
            <w:sz w:val="18"/>
            <w:szCs w:val="18"/>
            <w:lang w:val="fr-FR"/>
          </w:rPr>
          <w:t>http://pedago.cegepoutaouais.qc.ca/media/0358894/wps/en/contenu/doc/confgen/pdf/GE062-PHARASI-Kennedy.pdf</w:t>
        </w:r>
      </w:hyperlink>
      <w:r w:rsidRPr="008A7715">
        <w:rPr>
          <w:rFonts w:cs="Calibri"/>
          <w:sz w:val="18"/>
          <w:szCs w:val="18"/>
          <w:lang w:val="fr-FR"/>
        </w:rPr>
        <w:t xml:space="preserve"> </w:t>
      </w:r>
    </w:p>
  </w:endnote>
  <w:endnote w:id="7">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w:t>
      </w:r>
      <w:r w:rsidRPr="008A7715">
        <w:rPr>
          <w:rFonts w:cs="Calibri"/>
          <w:bCs/>
          <w:sz w:val="18"/>
          <w:szCs w:val="18"/>
        </w:rPr>
        <w:t xml:space="preserve">The Development of Water Supply and Sewage Infrastructure in Ontario, 1880-1990s: Legal and Institutional Aspects of Public Health and Environmental History A Background Paper for the Walkerton Inquiry February 2001 </w:t>
      </w:r>
      <w:hyperlink r:id="rId7" w:history="1">
        <w:r w:rsidRPr="008A7715">
          <w:rPr>
            <w:rStyle w:val="Hyperlink"/>
            <w:rFonts w:cs="Calibri"/>
            <w:bCs/>
            <w:sz w:val="18"/>
            <w:szCs w:val="18"/>
          </w:rPr>
          <w:t>http://tspacetest.library.utoronto.ca:8080/bitstream/1778/4019/1/10294043.pdf</w:t>
        </w:r>
      </w:hyperlink>
      <w:r w:rsidRPr="008A7715">
        <w:rPr>
          <w:rFonts w:cs="Calibri"/>
          <w:bCs/>
          <w:sz w:val="18"/>
          <w:szCs w:val="18"/>
        </w:rPr>
        <w:t xml:space="preserve"> </w:t>
      </w:r>
      <w:r w:rsidRPr="008A7715">
        <w:rPr>
          <w:rFonts w:cs="Calibri"/>
          <w:sz w:val="18"/>
          <w:szCs w:val="18"/>
        </w:rPr>
        <w:t xml:space="preserve">  </w:t>
      </w:r>
    </w:p>
  </w:endnote>
  <w:endnote w:id="8">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S. Pharasi and C.A. Kennedy (2002) Reflections On The Financial History Of Toronto’s Urban Water Infrastructure Department of Civil Engineering, University of Toronto, Ontario, Canada Congrès annuel de la Société canadienne de génie civil  Annual Conference of the Canadian Society for Civil Engineering Montréal, Québec, Canada 5-8 juin 2002 / June 5-8, 2002 </w:t>
      </w:r>
      <w:hyperlink r:id="rId8" w:history="1">
        <w:r w:rsidRPr="008A7715">
          <w:rPr>
            <w:rStyle w:val="Hyperlink"/>
            <w:rFonts w:cs="Calibri"/>
            <w:sz w:val="18"/>
            <w:szCs w:val="18"/>
          </w:rPr>
          <w:t>http://pedago.cegepoutaouais.qc.ca/media/0358894/wps/en/contenu/doc/confgen/pdf/GE062-PHARASI-Kennedy.pdf</w:t>
        </w:r>
      </w:hyperlink>
      <w:r w:rsidRPr="008A7715">
        <w:rPr>
          <w:rFonts w:cs="Calibri"/>
          <w:sz w:val="18"/>
          <w:szCs w:val="18"/>
        </w:rPr>
        <w:t xml:space="preserve"> </w:t>
      </w:r>
    </w:p>
  </w:endnote>
  <w:endnote w:id="9">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Massarutto, A., V. Paccagnan, and E. Linares (2008), </w:t>
      </w:r>
      <w:r w:rsidRPr="008A7715">
        <w:rPr>
          <w:rStyle w:val="title0"/>
          <w:rFonts w:cs="Calibri"/>
          <w:sz w:val="18"/>
          <w:szCs w:val="18"/>
        </w:rPr>
        <w:t>Private management and public finance in the Italian water industry: A marriage of convenience?</w:t>
      </w:r>
      <w:r w:rsidRPr="008A7715">
        <w:rPr>
          <w:rFonts w:cs="Calibri"/>
          <w:sz w:val="18"/>
          <w:szCs w:val="18"/>
        </w:rPr>
        <w:t xml:space="preserve">, </w:t>
      </w:r>
      <w:r w:rsidRPr="008A7715">
        <w:rPr>
          <w:rStyle w:val="ital"/>
          <w:rFonts w:cs="Calibri"/>
          <w:i/>
          <w:iCs/>
          <w:sz w:val="18"/>
          <w:szCs w:val="18"/>
        </w:rPr>
        <w:t>Water Resour. Res.</w:t>
      </w:r>
      <w:r w:rsidRPr="008A7715">
        <w:rPr>
          <w:rFonts w:cs="Calibri"/>
          <w:sz w:val="18"/>
          <w:szCs w:val="18"/>
        </w:rPr>
        <w:t xml:space="preserve">, </w:t>
      </w:r>
      <w:r w:rsidRPr="008A7715">
        <w:rPr>
          <w:rStyle w:val="ital"/>
          <w:rFonts w:cs="Calibri"/>
          <w:sz w:val="18"/>
          <w:szCs w:val="18"/>
        </w:rPr>
        <w:t>44</w:t>
      </w:r>
      <w:r w:rsidRPr="008A7715">
        <w:rPr>
          <w:rFonts w:cs="Calibri"/>
          <w:sz w:val="18"/>
          <w:szCs w:val="18"/>
        </w:rPr>
        <w:t xml:space="preserve">, W12425, doi:10.1029/2007WR006443.   </w:t>
      </w:r>
      <w:hyperlink r:id="rId9" w:history="1">
        <w:r w:rsidRPr="008A7715">
          <w:rPr>
            <w:rStyle w:val="Hyperlink"/>
            <w:rFonts w:cs="Calibri"/>
            <w:sz w:val="18"/>
            <w:szCs w:val="18"/>
          </w:rPr>
          <w:t>http://www.agu.org/journals/ABS/2008/2007WR006443.shtml</w:t>
        </w:r>
      </w:hyperlink>
    </w:p>
  </w:endnote>
  <w:endnote w:id="10">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There is a large literature on this subject, covering other infrastructure sectors as well as water.  </w:t>
      </w:r>
    </w:p>
  </w:endnote>
  <w:endnote w:id="11">
    <w:p w:rsidR="00266B97" w:rsidRPr="008A7715" w:rsidRDefault="00266B97" w:rsidP="00F37E90">
      <w:pPr>
        <w:rPr>
          <w:rFonts w:cs="Calibri"/>
          <w:sz w:val="18"/>
          <w:szCs w:val="18"/>
        </w:rPr>
      </w:pPr>
      <w:r w:rsidRPr="008A7715">
        <w:rPr>
          <w:rStyle w:val="EndnoteReference"/>
          <w:rFonts w:cs="Calibri"/>
          <w:sz w:val="18"/>
          <w:szCs w:val="18"/>
        </w:rPr>
        <w:endnoteRef/>
      </w:r>
      <w:r w:rsidRPr="008A7715">
        <w:rPr>
          <w:rFonts w:cs="Calibri"/>
          <w:sz w:val="18"/>
          <w:szCs w:val="18"/>
        </w:rPr>
        <w:t xml:space="preserve"> Patricia Clarke Annez. Urban Infrastructure Finance From Private Operators: What Have We Learned From Recent Experience? World Bank Policy Research Working Paper 4045, November 2006 </w:t>
      </w:r>
      <w:hyperlink r:id="rId10" w:history="1">
        <w:r w:rsidRPr="008A7715">
          <w:rPr>
            <w:rStyle w:val="Hyperlink"/>
            <w:rFonts w:cs="Calibri"/>
            <w:sz w:val="18"/>
            <w:szCs w:val="18"/>
          </w:rPr>
          <w:t>http://go.worldbank.org/N7HA8M3E20</w:t>
        </w:r>
      </w:hyperlink>
      <w:r w:rsidRPr="008A7715">
        <w:rPr>
          <w:rFonts w:cs="Calibri"/>
          <w:sz w:val="18"/>
          <w:szCs w:val="18"/>
        </w:rPr>
        <w:t xml:space="preserve"> </w:t>
      </w:r>
    </w:p>
  </w:endnote>
  <w:endnote w:id="12">
    <w:p w:rsidR="00266B97" w:rsidRPr="008A7715" w:rsidRDefault="00266B97" w:rsidP="00F37E90">
      <w:pPr>
        <w:rPr>
          <w:rFonts w:cs="Calibri"/>
          <w:sz w:val="18"/>
          <w:szCs w:val="18"/>
        </w:rPr>
      </w:pPr>
      <w:r w:rsidRPr="008A7715">
        <w:rPr>
          <w:rStyle w:val="EndnoteReference"/>
          <w:rFonts w:cs="Calibri"/>
          <w:sz w:val="18"/>
          <w:szCs w:val="18"/>
        </w:rPr>
        <w:endnoteRef/>
      </w:r>
      <w:r w:rsidRPr="008A7715">
        <w:rPr>
          <w:rFonts w:cs="Calibri"/>
          <w:sz w:val="18"/>
          <w:szCs w:val="18"/>
        </w:rPr>
        <w:t xml:space="preserve"> Philippe Marin 2009 Public-Private Partnerships For Urban Water Utilities: A Review Of Experiences In Developing Countries. World Bank/PPIAF   </w:t>
      </w:r>
      <w:hyperlink r:id="rId11" w:history="1">
        <w:r w:rsidRPr="008A7715">
          <w:rPr>
            <w:rStyle w:val="Hyperlink"/>
            <w:rFonts w:cs="Calibri"/>
            <w:sz w:val="18"/>
            <w:szCs w:val="18"/>
          </w:rPr>
          <w:t>http://siteresources.worldbank.org/EXTWAT/Resources/4602122-1213366294492/5106220-1234469721549/3.5_Water_PPP2.pdf</w:t>
        </w:r>
      </w:hyperlink>
      <w:r w:rsidRPr="008A7715">
        <w:rPr>
          <w:rFonts w:cs="Calibri"/>
          <w:sz w:val="18"/>
          <w:szCs w:val="18"/>
        </w:rPr>
        <w:t xml:space="preserve"> ; Hall D. et al. 2005 Public Resistance to privatisation in Water and Electricity Development in Practice, Volume 15, Numbers 3 &amp; 4, June 2005   </w:t>
      </w:r>
      <w:hyperlink r:id="rId12" w:history="1">
        <w:r w:rsidRPr="008A7715">
          <w:rPr>
            <w:rStyle w:val="Hyperlink"/>
            <w:rFonts w:cs="Calibri"/>
            <w:sz w:val="18"/>
            <w:szCs w:val="18"/>
          </w:rPr>
          <w:t>http://www.psiru.org/reports/2005-06-W-E-resist.pdf</w:t>
        </w:r>
      </w:hyperlink>
      <w:r w:rsidRPr="008A7715">
        <w:rPr>
          <w:rFonts w:cs="Calibri"/>
          <w:sz w:val="18"/>
          <w:szCs w:val="18"/>
        </w:rPr>
        <w:t xml:space="preserve"> ; </w:t>
      </w:r>
      <w:r w:rsidRPr="008A7715">
        <w:rPr>
          <w:rFonts w:cs="Calibri"/>
          <w:sz w:val="18"/>
          <w:szCs w:val="18"/>
          <w:lang w:val="sv-SE"/>
        </w:rPr>
        <w:t xml:space="preserve">Katharina Gassner, Alexander Popov, and Nataliya Pushak. </w:t>
      </w:r>
      <w:r w:rsidRPr="008A7715">
        <w:rPr>
          <w:rFonts w:cs="Calibri"/>
          <w:sz w:val="18"/>
          <w:szCs w:val="18"/>
        </w:rPr>
        <w:t xml:space="preserve">2009 .Does private sector participation improve performance in electricity and water distribution? PPIAF  Trends and policy options ; no. 6. p.49 </w:t>
      </w:r>
      <w:hyperlink r:id="rId13" w:history="1">
        <w:r w:rsidRPr="008A7715">
          <w:rPr>
            <w:rStyle w:val="Hyperlink"/>
            <w:rFonts w:cs="Calibri"/>
            <w:sz w:val="18"/>
            <w:szCs w:val="18"/>
          </w:rPr>
          <w:t>http://www.ppiaf.org/documents/trends_and_policy/PSP_water_electricity.pdf</w:t>
        </w:r>
      </w:hyperlink>
      <w:r w:rsidRPr="008A7715">
        <w:rPr>
          <w:rFonts w:cs="Calibri"/>
          <w:sz w:val="18"/>
          <w:szCs w:val="18"/>
        </w:rPr>
        <w:t xml:space="preserve"> ; Hall and Lobina 2006 Pipe Dream PSIRU : </w:t>
      </w:r>
      <w:hyperlink r:id="rId14" w:history="1">
        <w:r w:rsidRPr="008A7715">
          <w:rPr>
            <w:rStyle w:val="Hyperlink"/>
            <w:rFonts w:cs="Calibri"/>
            <w:sz w:val="18"/>
            <w:szCs w:val="18"/>
          </w:rPr>
          <w:t>http://www.psiru.org/reports/2006-03-W-investment.pdf</w:t>
        </w:r>
      </w:hyperlink>
      <w:r w:rsidRPr="008A7715">
        <w:rPr>
          <w:rFonts w:cs="Calibri"/>
          <w:sz w:val="18"/>
          <w:szCs w:val="18"/>
        </w:rPr>
        <w:t xml:space="preserve"> ); Hall and Lobina 2008 Sewerage Works: </w:t>
      </w:r>
      <w:hyperlink r:id="rId15" w:history="1">
        <w:r w:rsidRPr="008A7715">
          <w:rPr>
            <w:rStyle w:val="Hyperlink"/>
            <w:rFonts w:cs="Calibri"/>
            <w:sz w:val="18"/>
            <w:szCs w:val="18"/>
          </w:rPr>
          <w:t>http://www.psiru.org/reports/2008-03-W-sewers.pdf</w:t>
        </w:r>
      </w:hyperlink>
      <w:r w:rsidRPr="008A7715">
        <w:rPr>
          <w:rFonts w:cs="Calibri"/>
          <w:sz w:val="18"/>
          <w:szCs w:val="18"/>
        </w:rPr>
        <w:t xml:space="preserve"> ). </w:t>
      </w:r>
    </w:p>
  </w:endnote>
  <w:endnote w:id="13">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lang w:val="fr-FR"/>
        </w:rPr>
        <w:t xml:space="preserve">  Africa’s Infrastructure </w:t>
      </w:r>
      <w:hyperlink r:id="rId16" w:history="1">
        <w:r w:rsidRPr="008A7715">
          <w:rPr>
            <w:rStyle w:val="Hyperlink"/>
            <w:rFonts w:cs="Calibri"/>
            <w:sz w:val="18"/>
            <w:szCs w:val="18"/>
            <w:lang w:val="fr-FR"/>
          </w:rPr>
          <w:t>http://www.infrastructureafrica.org/aicd/system/files/AIATT_Consolidated_smaller.pdf</w:t>
        </w:r>
      </w:hyperlink>
      <w:r w:rsidRPr="008A7715">
        <w:rPr>
          <w:rFonts w:cs="Calibri"/>
          <w:sz w:val="18"/>
          <w:szCs w:val="18"/>
          <w:lang w:val="fr-FR"/>
        </w:rPr>
        <w:t xml:space="preserve"> . </w:t>
      </w:r>
      <w:r w:rsidRPr="008A7715">
        <w:rPr>
          <w:rFonts w:cs="Calibri"/>
          <w:sz w:val="18"/>
          <w:szCs w:val="18"/>
        </w:rPr>
        <w:t xml:space="preserve">A range of material based on this is at </w:t>
      </w:r>
      <w:hyperlink r:id="rId17" w:history="1">
        <w:r w:rsidRPr="008A7715">
          <w:rPr>
            <w:rStyle w:val="Hyperlink"/>
            <w:rFonts w:cs="Calibri"/>
            <w:sz w:val="18"/>
            <w:szCs w:val="18"/>
          </w:rPr>
          <w:t>http://go.worldbank.org/NGTDDHDDB0</w:t>
        </w:r>
      </w:hyperlink>
    </w:p>
  </w:endnote>
  <w:endnote w:id="14">
    <w:p w:rsidR="00266B97" w:rsidRPr="008A7715" w:rsidRDefault="00266B97">
      <w:pPr>
        <w:pStyle w:val="EndnoteText"/>
        <w:rPr>
          <w:sz w:val="18"/>
          <w:szCs w:val="18"/>
        </w:rPr>
      </w:pPr>
      <w:r w:rsidRPr="008A7715">
        <w:rPr>
          <w:rStyle w:val="EndnoteReference"/>
          <w:sz w:val="18"/>
          <w:szCs w:val="18"/>
        </w:rPr>
        <w:endnoteRef/>
      </w:r>
      <w:r w:rsidRPr="008A7715">
        <w:rPr>
          <w:sz w:val="18"/>
          <w:szCs w:val="18"/>
        </w:rPr>
        <w:t xml:space="preserve"> See p.329: “No reliable data exist on sanitation expenditures because individual households undertake so much of the expense. However, recent investment can be estimated from household surveys”.  These estimates of household spending are shown separately in table 16.6. However, in table 0.4 of the report, this estimate is combined with the $0.01billion attributable to PPI, under the generic heading ‘private’. In figure 2.1, this combined figure is presented in bar-charts as attributable to ‘private participation in infrastructure’, which is an error. </w:t>
      </w:r>
      <w:hyperlink r:id="rId18" w:history="1">
        <w:r w:rsidRPr="008A7715">
          <w:rPr>
            <w:rStyle w:val="Hyperlink"/>
            <w:sz w:val="18"/>
            <w:szCs w:val="18"/>
          </w:rPr>
          <w:t>http://www.infrastructureafrica.org/aicd/system/files/AIATT_Consolidated_smaller.pdf</w:t>
        </w:r>
      </w:hyperlink>
    </w:p>
  </w:endnote>
  <w:endnote w:id="15">
    <w:p w:rsidR="00266B97" w:rsidRPr="008A7715" w:rsidRDefault="00266B97">
      <w:pPr>
        <w:pStyle w:val="EndnoteText"/>
        <w:rPr>
          <w:sz w:val="18"/>
          <w:szCs w:val="18"/>
        </w:rPr>
      </w:pPr>
      <w:r w:rsidRPr="008A7715">
        <w:rPr>
          <w:rStyle w:val="EndnoteReference"/>
          <w:sz w:val="18"/>
          <w:szCs w:val="18"/>
        </w:rPr>
        <w:endnoteRef/>
      </w:r>
      <w:r w:rsidRPr="008A7715">
        <w:rPr>
          <w:sz w:val="18"/>
          <w:szCs w:val="18"/>
        </w:rPr>
        <w:t xml:space="preserve"> World Bank/AFD 2010 </w:t>
      </w:r>
      <w:r w:rsidRPr="008A7715">
        <w:rPr>
          <w:sz w:val="18"/>
          <w:szCs w:val="18"/>
          <w:lang w:val="fr-FR"/>
        </w:rPr>
        <w:t xml:space="preserve">Africa’s Infrastructure </w:t>
      </w:r>
      <w:r w:rsidRPr="008A7715">
        <w:rPr>
          <w:sz w:val="18"/>
          <w:szCs w:val="18"/>
        </w:rPr>
        <w:t xml:space="preserve">Table 16.6 </w:t>
      </w:r>
      <w:hyperlink r:id="rId19" w:history="1">
        <w:r w:rsidRPr="008A7715">
          <w:rPr>
            <w:rStyle w:val="Hyperlink"/>
            <w:sz w:val="18"/>
            <w:szCs w:val="18"/>
            <w:lang w:val="fr-FR"/>
          </w:rPr>
          <w:t>http://www.infrastructureafrica.org/aicd/system/files/AIATT_Consolidated_smaller.pdf</w:t>
        </w:r>
      </w:hyperlink>
    </w:p>
  </w:endnote>
  <w:endnote w:id="16">
    <w:p w:rsidR="00266B97" w:rsidRPr="008A7715" w:rsidRDefault="00266B97">
      <w:pPr>
        <w:pStyle w:val="EndnoteText"/>
        <w:rPr>
          <w:sz w:val="18"/>
          <w:szCs w:val="18"/>
        </w:rPr>
      </w:pPr>
      <w:r w:rsidRPr="008A7715">
        <w:rPr>
          <w:rStyle w:val="EndnoteReference"/>
          <w:sz w:val="18"/>
          <w:szCs w:val="18"/>
        </w:rPr>
        <w:endnoteRef/>
      </w:r>
      <w:r w:rsidRPr="008A7715">
        <w:rPr>
          <w:sz w:val="18"/>
          <w:szCs w:val="18"/>
        </w:rPr>
        <w:t xml:space="preserve"> World Bank/AFD 2010 </w:t>
      </w:r>
      <w:r w:rsidRPr="008A7715">
        <w:rPr>
          <w:sz w:val="18"/>
          <w:szCs w:val="18"/>
          <w:lang w:val="fr-FR"/>
        </w:rPr>
        <w:t xml:space="preserve">Africa’s Infrastructure </w:t>
      </w:r>
      <w:r w:rsidRPr="008A7715">
        <w:rPr>
          <w:sz w:val="18"/>
          <w:szCs w:val="18"/>
        </w:rPr>
        <w:t xml:space="preserve">p.8 </w:t>
      </w:r>
      <w:hyperlink r:id="rId20" w:history="1">
        <w:r w:rsidRPr="008A7715">
          <w:rPr>
            <w:rStyle w:val="Hyperlink"/>
            <w:sz w:val="18"/>
            <w:szCs w:val="18"/>
            <w:lang w:val="fr-FR"/>
          </w:rPr>
          <w:t>http://www.infrastructureafrica.org/aicd/system/files/AIATT_Consolidated_smaller.pdf</w:t>
        </w:r>
      </w:hyperlink>
      <w:r w:rsidRPr="008A7715">
        <w:rPr>
          <w:sz w:val="18"/>
          <w:szCs w:val="18"/>
          <w:lang w:val="fr-FR"/>
        </w:rPr>
        <w:t xml:space="preserve"> </w:t>
      </w:r>
    </w:p>
  </w:endnote>
  <w:endnote w:id="17">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Isabel Chatterton and Olga Susana Puerto 2006 ‘</w:t>
      </w:r>
      <w:r w:rsidRPr="008A7715">
        <w:rPr>
          <w:rFonts w:cs="Calibri"/>
          <w:bCs/>
          <w:sz w:val="18"/>
          <w:szCs w:val="18"/>
        </w:rPr>
        <w:t xml:space="preserve">Estimation of infrastructure investment needs in the south asia region’  </w:t>
      </w:r>
      <w:hyperlink r:id="rId21" w:history="1">
        <w:r w:rsidRPr="008A7715">
          <w:rPr>
            <w:rStyle w:val="Hyperlink"/>
            <w:rFonts w:cs="Calibri"/>
            <w:sz w:val="18"/>
            <w:szCs w:val="18"/>
          </w:rPr>
          <w:t>http://www1.fidic.org/resources/representation/statistics/invest-needs-asia-Inf_Investment_Needs_IC_version4.pdf</w:t>
        </w:r>
      </w:hyperlink>
    </w:p>
  </w:endnote>
  <w:endnote w:id="18">
    <w:p w:rsidR="00266B97" w:rsidRPr="008A7715" w:rsidRDefault="00266B97" w:rsidP="00353A2B">
      <w:pPr>
        <w:rPr>
          <w:rFonts w:cs="Calibri"/>
          <w:color w:val="000000"/>
          <w:sz w:val="18"/>
          <w:szCs w:val="18"/>
        </w:rPr>
      </w:pPr>
      <w:r w:rsidRPr="008A7715">
        <w:rPr>
          <w:rStyle w:val="EndnoteReference"/>
          <w:rFonts w:cs="Calibri"/>
          <w:sz w:val="18"/>
          <w:szCs w:val="18"/>
        </w:rPr>
        <w:endnoteRef/>
      </w:r>
      <w:r w:rsidRPr="008A7715">
        <w:rPr>
          <w:rFonts w:cs="Calibri"/>
          <w:sz w:val="18"/>
          <w:szCs w:val="18"/>
        </w:rPr>
        <w:t xml:space="preserve"> </w:t>
      </w:r>
      <w:hyperlink r:id="rId22" w:history="1">
        <w:r w:rsidRPr="008A7715">
          <w:rPr>
            <w:rStyle w:val="Hyperlink"/>
            <w:rFonts w:cs="Calibri"/>
            <w:sz w:val="18"/>
            <w:szCs w:val="18"/>
          </w:rPr>
          <w:t>http://planningcommission.</w:t>
        </w:r>
        <w:r w:rsidRPr="008A7715">
          <w:rPr>
            <w:rStyle w:val="Hyperlink"/>
            <w:rFonts w:cs="Calibri"/>
            <w:sz w:val="18"/>
            <w:szCs w:val="18"/>
          </w:rPr>
          <w:t>n</w:t>
        </w:r>
        <w:r w:rsidRPr="008A7715">
          <w:rPr>
            <w:rStyle w:val="Hyperlink"/>
            <w:rFonts w:cs="Calibri"/>
            <w:sz w:val="18"/>
            <w:szCs w:val="18"/>
          </w:rPr>
          <w:t>ic.in/aboutus/committee/strgrp</w:t>
        </w:r>
        <w:r w:rsidRPr="008A7715">
          <w:rPr>
            <w:rStyle w:val="Hyperlink"/>
            <w:rFonts w:cs="Calibri"/>
            <w:sz w:val="18"/>
            <w:szCs w:val="18"/>
          </w:rPr>
          <w:t>1</w:t>
        </w:r>
        <w:r w:rsidRPr="008A7715">
          <w:rPr>
            <w:rStyle w:val="Hyperlink"/>
            <w:rFonts w:cs="Calibri"/>
            <w:sz w:val="18"/>
            <w:szCs w:val="18"/>
          </w:rPr>
          <w:t>1/str11_hud1</w:t>
        </w:r>
        <w:r w:rsidRPr="008A7715">
          <w:rPr>
            <w:rStyle w:val="Hyperlink"/>
            <w:rFonts w:cs="Calibri"/>
            <w:sz w:val="18"/>
            <w:szCs w:val="18"/>
          </w:rPr>
          <w:t>.</w:t>
        </w:r>
        <w:r w:rsidRPr="008A7715">
          <w:rPr>
            <w:rStyle w:val="Hyperlink"/>
            <w:rFonts w:cs="Calibri"/>
            <w:sz w:val="18"/>
            <w:szCs w:val="18"/>
          </w:rPr>
          <w:t>pdf</w:t>
        </w:r>
      </w:hyperlink>
      <w:r w:rsidRPr="008A7715">
        <w:rPr>
          <w:rFonts w:cs="Calibri"/>
          <w:sz w:val="18"/>
          <w:szCs w:val="18"/>
        </w:rPr>
        <w:t>, p. 55-56</w:t>
      </w:r>
    </w:p>
  </w:endnote>
  <w:endnote w:id="19">
    <w:p w:rsidR="00266B97" w:rsidRPr="008A7715" w:rsidRDefault="00266B97">
      <w:pPr>
        <w:pStyle w:val="EndnoteText"/>
        <w:rPr>
          <w:rFonts w:cs="Calibri"/>
          <w:sz w:val="18"/>
          <w:szCs w:val="18"/>
        </w:rPr>
      </w:pPr>
      <w:r w:rsidRPr="008A7715">
        <w:rPr>
          <w:rStyle w:val="EndnoteReference"/>
          <w:sz w:val="18"/>
          <w:szCs w:val="18"/>
        </w:rPr>
        <w:endnoteRef/>
      </w:r>
      <w:r w:rsidRPr="008A7715">
        <w:rPr>
          <w:sz w:val="18"/>
          <w:szCs w:val="18"/>
        </w:rPr>
        <w:t xml:space="preserve"> </w:t>
      </w:r>
      <w:r w:rsidRPr="008A7715">
        <w:rPr>
          <w:rFonts w:cs="Calibri"/>
          <w:sz w:val="18"/>
          <w:szCs w:val="18"/>
        </w:rPr>
        <w:t xml:space="preserve">Jimenez A. and Perez-Foguet A. 2009 International Investments in the Water Sector International Journal of Water Resources Development Vol. 25, Iss. 1, 2009 </w:t>
      </w:r>
      <w:hyperlink r:id="rId23" w:history="1">
        <w:r w:rsidRPr="008A7715">
          <w:rPr>
            <w:rStyle w:val="Hyperlink"/>
            <w:rFonts w:cs="Calibri"/>
            <w:sz w:val="18"/>
            <w:szCs w:val="18"/>
          </w:rPr>
          <w:t>http://www.tandfonline.com/doi/abs/10.1080/07900620802573759</w:t>
        </w:r>
      </w:hyperlink>
    </w:p>
  </w:endnote>
  <w:endnote w:id="20">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w:t>
      </w:r>
      <w:r w:rsidRPr="008A7715">
        <w:rPr>
          <w:rFonts w:cs="Calibri"/>
          <w:bCs/>
          <w:iCs/>
          <w:sz w:val="18"/>
          <w:szCs w:val="18"/>
        </w:rPr>
        <w:t xml:space="preserve">Infrastructure Services in Developing Countries: Access, Quality, Costs and Policy Reform. Cecilia Briceño-Garmendia, Antonio Estache, Nemat Shafik </w:t>
      </w:r>
      <w:r w:rsidRPr="008A7715">
        <w:rPr>
          <w:rFonts w:cs="Calibri"/>
          <w:iCs/>
          <w:sz w:val="18"/>
          <w:szCs w:val="18"/>
        </w:rPr>
        <w:t>INFVP World Bank Policy Research Working Paper 3468, December 2004</w:t>
      </w:r>
    </w:p>
  </w:endnote>
  <w:endnote w:id="21">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IMF WEO 2010: Rebalancing growth </w:t>
      </w:r>
      <w:hyperlink r:id="rId24" w:history="1">
        <w:r w:rsidRPr="008A7715">
          <w:rPr>
            <w:rStyle w:val="Hyperlink"/>
            <w:rFonts w:cs="Calibri"/>
            <w:sz w:val="18"/>
            <w:szCs w:val="18"/>
          </w:rPr>
          <w:t>http://www.imf.org/external/pubs/ft/weo/2010/01/index.htm</w:t>
        </w:r>
      </w:hyperlink>
    </w:p>
  </w:endnote>
  <w:endnote w:id="22">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Global Economic Prospects 2010 p.5-6 </w:t>
      </w:r>
      <w:hyperlink r:id="rId25" w:history="1">
        <w:r w:rsidRPr="008A7715">
          <w:rPr>
            <w:rStyle w:val="Hyperlink"/>
            <w:rFonts w:cs="Calibri"/>
            <w:sz w:val="18"/>
            <w:szCs w:val="18"/>
          </w:rPr>
          <w:t>http://siteresources.worldbank.org/INTGEP2010/Resources/FullReport-GEPSummer2010.pdf</w:t>
        </w:r>
      </w:hyperlink>
    </w:p>
  </w:endnote>
  <w:endnote w:id="23">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Sub-Saharan Africa Back to High Growth. IMF Regional Economic Outlook April 2010  </w:t>
      </w:r>
      <w:hyperlink r:id="rId26" w:history="1">
        <w:r w:rsidRPr="008A7715">
          <w:rPr>
            <w:rStyle w:val="Hyperlink"/>
            <w:rFonts w:cs="Calibri"/>
            <w:sz w:val="18"/>
            <w:szCs w:val="18"/>
          </w:rPr>
          <w:t>http://www.imf.org/external/pubs/ft/reo/2010/AFR/eng/sreo0410ch2.pdf</w:t>
        </w:r>
      </w:hyperlink>
    </w:p>
  </w:endnote>
  <w:endnote w:id="24">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IMF estimates of spreads and interest rates for SSA countries May 2010 </w:t>
      </w:r>
      <w:hyperlink r:id="rId27" w:history="1">
        <w:r w:rsidRPr="008A7715">
          <w:rPr>
            <w:rStyle w:val="Hyperlink"/>
            <w:rFonts w:cs="Calibri"/>
            <w:sz w:val="18"/>
            <w:szCs w:val="18"/>
          </w:rPr>
          <w:t>http://www.imf.org/external/pubs/ft/wp/2010/wp10140.pdf</w:t>
        </w:r>
      </w:hyperlink>
    </w:p>
  </w:endnote>
  <w:endnote w:id="25">
    <w:p w:rsidR="00266B97" w:rsidRPr="008A7715" w:rsidRDefault="00266B97">
      <w:pPr>
        <w:pStyle w:val="EndnoteText"/>
        <w:rPr>
          <w:sz w:val="18"/>
          <w:szCs w:val="18"/>
        </w:rPr>
      </w:pPr>
      <w:r w:rsidRPr="008A7715">
        <w:rPr>
          <w:rStyle w:val="EndnoteReference"/>
          <w:sz w:val="18"/>
          <w:szCs w:val="18"/>
        </w:rPr>
        <w:endnoteRef/>
      </w:r>
      <w:r w:rsidRPr="008A7715">
        <w:rPr>
          <w:sz w:val="18"/>
          <w:szCs w:val="18"/>
        </w:rPr>
        <w:t xml:space="preserve"> </w:t>
      </w:r>
      <w:r w:rsidR="008A7715">
        <w:rPr>
          <w:sz w:val="18"/>
          <w:szCs w:val="18"/>
        </w:rPr>
        <w:t>IMF Regional economic outlook,</w:t>
      </w:r>
      <w:r w:rsidRPr="008A7715">
        <w:rPr>
          <w:sz w:val="18"/>
          <w:szCs w:val="18"/>
        </w:rPr>
        <w:t xml:space="preserve"> Sub-Saharan Africa 2011 </w:t>
      </w:r>
      <w:hyperlink r:id="rId28" w:history="1">
        <w:r w:rsidRPr="008A7715">
          <w:rPr>
            <w:rStyle w:val="Hyperlink"/>
            <w:sz w:val="18"/>
            <w:szCs w:val="18"/>
          </w:rPr>
          <w:t>http://www.imf.org/external/pubs/ft/reo/2011/afr/eng/sreo0411.pdf</w:t>
        </w:r>
      </w:hyperlink>
    </w:p>
  </w:endnote>
  <w:endnote w:id="26">
    <w:p w:rsidR="00266B97" w:rsidRPr="008A7715" w:rsidRDefault="00266B97" w:rsidP="00D172DF">
      <w:pPr>
        <w:pStyle w:val="EndnoteText"/>
        <w:rPr>
          <w:sz w:val="18"/>
          <w:szCs w:val="18"/>
        </w:rPr>
      </w:pPr>
      <w:r w:rsidRPr="008A7715">
        <w:rPr>
          <w:rStyle w:val="EndnoteReference"/>
          <w:sz w:val="18"/>
          <w:szCs w:val="18"/>
        </w:rPr>
        <w:endnoteRef/>
      </w:r>
      <w:r w:rsidRPr="008A7715">
        <w:rPr>
          <w:sz w:val="18"/>
          <w:szCs w:val="18"/>
        </w:rPr>
        <w:t xml:space="preserve"> IMF Regional economic outlook</w:t>
      </w:r>
      <w:r w:rsidR="008A7715">
        <w:rPr>
          <w:sz w:val="18"/>
          <w:szCs w:val="18"/>
        </w:rPr>
        <w:t>,</w:t>
      </w:r>
      <w:r w:rsidRPr="008A7715">
        <w:rPr>
          <w:sz w:val="18"/>
          <w:szCs w:val="18"/>
        </w:rPr>
        <w:t xml:space="preserve"> Sub-Saharan Africa 2011 </w:t>
      </w:r>
      <w:hyperlink r:id="rId29" w:history="1">
        <w:r w:rsidRPr="008A7715">
          <w:rPr>
            <w:rStyle w:val="Hyperlink"/>
            <w:sz w:val="18"/>
            <w:szCs w:val="18"/>
          </w:rPr>
          <w:t>http://www.imf.org/external/pubs/ft/reo/2011/afr/eng/sreo0411.pdf</w:t>
        </w:r>
      </w:hyperlink>
    </w:p>
  </w:endnote>
  <w:endnote w:id="27">
    <w:p w:rsidR="00266B97" w:rsidRPr="008A7715" w:rsidRDefault="00266B97">
      <w:pPr>
        <w:pStyle w:val="EndnoteText"/>
        <w:rPr>
          <w:sz w:val="18"/>
          <w:szCs w:val="18"/>
        </w:rPr>
      </w:pPr>
      <w:r w:rsidRPr="008A7715">
        <w:rPr>
          <w:rStyle w:val="EndnoteReference"/>
          <w:sz w:val="18"/>
          <w:szCs w:val="18"/>
        </w:rPr>
        <w:endnoteRef/>
      </w:r>
      <w:r w:rsidRPr="008A7715">
        <w:rPr>
          <w:sz w:val="18"/>
          <w:szCs w:val="18"/>
        </w:rPr>
        <w:t xml:space="preserve"> Query generated at </w:t>
      </w:r>
      <w:hyperlink r:id="rId30" w:history="1">
        <w:r w:rsidRPr="008A7715">
          <w:rPr>
            <w:rStyle w:val="Hyperlink"/>
            <w:sz w:val="16"/>
            <w:szCs w:val="16"/>
          </w:rPr>
          <w:t>http://stats.oecd.org/qwids/#?x=1&amp;y=6&amp;f=3:40,4:1,5:4,2:1,7:1&amp;q=3:51,40+4:1+5:4+2:1+7:1+1:2+6:2005,2006,2007,2008,2009,2010</w:t>
        </w:r>
      </w:hyperlink>
      <w:r w:rsidRPr="008A7715">
        <w:rPr>
          <w:sz w:val="18"/>
          <w:szCs w:val="18"/>
        </w:rPr>
        <w:t xml:space="preserve"> </w:t>
      </w:r>
    </w:p>
  </w:endnote>
  <w:endnote w:id="28">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Lum </w:t>
      </w:r>
      <w:r w:rsidRPr="008A7715">
        <w:rPr>
          <w:rFonts w:cs="Calibri"/>
          <w:i/>
          <w:iCs/>
          <w:sz w:val="18"/>
          <w:szCs w:val="18"/>
        </w:rPr>
        <w:t xml:space="preserve">et al. </w:t>
      </w:r>
      <w:r w:rsidRPr="008A7715">
        <w:rPr>
          <w:rFonts w:cs="Calibri"/>
          <w:sz w:val="18"/>
          <w:szCs w:val="18"/>
        </w:rPr>
        <w:t xml:space="preserve">(2009) quoted in ‘South-South Cooperation: Africa and the New Forms of Development Partnership’ UNCTAD   Economic Development in Africa Report 2010 </w:t>
      </w:r>
      <w:hyperlink r:id="rId31" w:history="1">
        <w:r w:rsidRPr="008A7715">
          <w:rPr>
            <w:rStyle w:val="Hyperlink"/>
            <w:rFonts w:cs="Calibri"/>
            <w:sz w:val="18"/>
            <w:szCs w:val="18"/>
          </w:rPr>
          <w:t>http://www.unctad.org/Templates/WebFlyer.asp?intItemID=5491&amp;lang=1</w:t>
        </w:r>
      </w:hyperlink>
    </w:p>
  </w:endnote>
  <w:endnote w:id="29">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South-South Cooperation: Africa and the New Forms of Development Partnership’ UNCTAD   Economic Development in Africa Report 2010 p. 72 </w:t>
      </w:r>
      <w:hyperlink r:id="rId32" w:history="1">
        <w:r w:rsidRPr="008A7715">
          <w:rPr>
            <w:rStyle w:val="Hyperlink"/>
            <w:rFonts w:cs="Calibri"/>
            <w:sz w:val="18"/>
            <w:szCs w:val="18"/>
          </w:rPr>
          <w:t>http://www.unctad.org/Templates/WebFlyer.asp?intItemID=5491&amp;lang=1</w:t>
        </w:r>
      </w:hyperlink>
    </w:p>
  </w:endnote>
  <w:endnote w:id="30">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South-South Cooperation: Africa and the New Forms of Development Partnership’ UNCTAD   Economic Development in Africa Report 2010 Table 6  </w:t>
      </w:r>
      <w:hyperlink r:id="rId33" w:history="1">
        <w:r w:rsidRPr="008A7715">
          <w:rPr>
            <w:rStyle w:val="Hyperlink"/>
            <w:rFonts w:cs="Calibri"/>
            <w:sz w:val="18"/>
            <w:szCs w:val="18"/>
          </w:rPr>
          <w:t>http://www.unctad.org/Templates/WebFlyer.asp?intItemID=5491&amp;lang=1</w:t>
        </w:r>
      </w:hyperlink>
    </w:p>
  </w:endnote>
  <w:endnote w:id="31">
    <w:p w:rsidR="00266B97" w:rsidRPr="008A7715" w:rsidRDefault="00266B97" w:rsidP="00D04526">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For this and other references see Hall and Lobina 2008, p.11</w:t>
      </w:r>
    </w:p>
  </w:endnote>
  <w:endnote w:id="32">
    <w:p w:rsidR="00266B97" w:rsidRPr="008A7715" w:rsidRDefault="00266B97" w:rsidP="00D1048B">
      <w:pPr>
        <w:autoSpaceDE w:val="0"/>
        <w:autoSpaceDN w:val="0"/>
        <w:adjustRightInd w:val="0"/>
        <w:rPr>
          <w:rFonts w:cs="Calibri"/>
          <w:sz w:val="18"/>
          <w:szCs w:val="18"/>
        </w:rPr>
      </w:pPr>
      <w:r w:rsidRPr="008A7715">
        <w:rPr>
          <w:rStyle w:val="EndnoteReference"/>
          <w:rFonts w:cs="Calibri"/>
          <w:sz w:val="18"/>
          <w:szCs w:val="18"/>
        </w:rPr>
        <w:endnoteRef/>
      </w:r>
      <w:r w:rsidRPr="008A7715">
        <w:rPr>
          <w:rFonts w:cs="Calibri"/>
          <w:sz w:val="18"/>
          <w:szCs w:val="18"/>
        </w:rPr>
        <w:t xml:space="preserve"> </w:t>
      </w:r>
      <w:r w:rsidRPr="008A7715">
        <w:rPr>
          <w:rFonts w:cs="Calibri"/>
          <w:iCs/>
          <w:sz w:val="18"/>
          <w:szCs w:val="18"/>
        </w:rPr>
        <w:t xml:space="preserve">Isabel Günther and Günther Fink 2010 </w:t>
      </w:r>
      <w:r w:rsidRPr="008A7715">
        <w:rPr>
          <w:rFonts w:cs="Calibri"/>
          <w:sz w:val="18"/>
          <w:szCs w:val="18"/>
        </w:rPr>
        <w:t xml:space="preserve">Water, Sanitation and Children’s Health Evidence from 172 DHS Surveys, </w:t>
      </w:r>
      <w:r w:rsidRPr="008A7715">
        <w:rPr>
          <w:rFonts w:cs="Calibri"/>
          <w:iCs/>
          <w:sz w:val="18"/>
          <w:szCs w:val="18"/>
        </w:rPr>
        <w:t xml:space="preserve">World Bank </w:t>
      </w:r>
      <w:r w:rsidRPr="008A7715">
        <w:rPr>
          <w:rFonts w:cs="Calibri"/>
          <w:sz w:val="18"/>
          <w:szCs w:val="18"/>
        </w:rPr>
        <w:t xml:space="preserve">Policy Research Working Paper 5275 ; Günther I. and Fink G.  2011 Water and Sanitation to Reduce Child Mortality The Impact and Cost of Water and Sanitation Infrastructure World Bank  Policy Research Working Paper 5618 </w:t>
      </w:r>
      <w:hyperlink r:id="rId34" w:history="1">
        <w:r w:rsidRPr="008A7715">
          <w:rPr>
            <w:rStyle w:val="Hyperlink"/>
            <w:rFonts w:cs="Calibri"/>
            <w:sz w:val="18"/>
            <w:szCs w:val="18"/>
          </w:rPr>
          <w:t>http://www-wds.worldbank.org/servlet/WDSContentServer/WDSP/IB/2011/03/30/000158349_20110330154747/Rendered/PDF/WPS5618.pdf</w:t>
        </w:r>
      </w:hyperlink>
    </w:p>
  </w:endnote>
  <w:endnote w:id="33">
    <w:p w:rsidR="00266B97" w:rsidRPr="008A7715" w:rsidRDefault="00266B97" w:rsidP="0084627D">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Günther I. and Fink G.  2011 Water and Sanitation to Reduce Child Mortality The Impact and Cost of Water and Sanitation Infrastructure World Bank  Policy Research Working Paper 5618 </w:t>
      </w:r>
      <w:hyperlink r:id="rId35" w:history="1">
        <w:r w:rsidRPr="008A7715">
          <w:rPr>
            <w:rStyle w:val="Hyperlink"/>
            <w:rFonts w:cs="Calibri"/>
            <w:sz w:val="18"/>
            <w:szCs w:val="18"/>
          </w:rPr>
          <w:t>http://www-wds.worldbank.org/servlet/WDSContentServer/WDSP/IB/2011/03/30/000158349_20110330154747/Rendered/PDF/WPS5618.pdf</w:t>
        </w:r>
      </w:hyperlink>
      <w:r w:rsidRPr="008A7715">
        <w:rPr>
          <w:rFonts w:cs="Calibri"/>
          <w:sz w:val="18"/>
          <w:szCs w:val="18"/>
        </w:rPr>
        <w:t xml:space="preserve"> </w:t>
      </w:r>
    </w:p>
  </w:endnote>
  <w:endnote w:id="34">
    <w:p w:rsidR="00266B97" w:rsidRPr="008A7715" w:rsidRDefault="00266B97" w:rsidP="00F37E90">
      <w:pPr>
        <w:autoSpaceDE w:val="0"/>
        <w:autoSpaceDN w:val="0"/>
        <w:adjustRightInd w:val="0"/>
        <w:rPr>
          <w:rFonts w:cs="Calibri"/>
          <w:bCs/>
          <w:sz w:val="18"/>
          <w:szCs w:val="18"/>
        </w:rPr>
      </w:pPr>
      <w:r w:rsidRPr="008A7715">
        <w:rPr>
          <w:rStyle w:val="EndnoteReference"/>
          <w:rFonts w:cs="Calibri"/>
          <w:sz w:val="18"/>
          <w:szCs w:val="18"/>
        </w:rPr>
        <w:endnoteRef/>
      </w:r>
      <w:r w:rsidRPr="008A7715">
        <w:rPr>
          <w:rFonts w:cs="Calibri"/>
          <w:sz w:val="18"/>
          <w:szCs w:val="18"/>
        </w:rPr>
        <w:t xml:space="preserve"> The Economics of Sanitation Initiative (ESI) </w:t>
      </w:r>
      <w:r w:rsidRPr="008A7715">
        <w:rPr>
          <w:rFonts w:cs="Calibri"/>
          <w:bCs/>
          <w:sz w:val="18"/>
          <w:szCs w:val="18"/>
        </w:rPr>
        <w:t xml:space="preserve">India Impact Study </w:t>
      </w:r>
      <w:r w:rsidRPr="008A7715">
        <w:rPr>
          <w:rFonts w:cs="Calibri"/>
          <w:sz w:val="18"/>
          <w:szCs w:val="18"/>
        </w:rPr>
        <w:t xml:space="preserve">Summary of Findings </w:t>
      </w:r>
      <w:r w:rsidRPr="008A7715">
        <w:rPr>
          <w:rFonts w:cs="Calibri"/>
          <w:bCs/>
          <w:sz w:val="18"/>
          <w:szCs w:val="18"/>
        </w:rPr>
        <w:t>Christopher Juan Costain</w:t>
      </w:r>
    </w:p>
    <w:p w:rsidR="00266B97" w:rsidRPr="008A7715" w:rsidRDefault="00266B97" w:rsidP="00F37E90">
      <w:pPr>
        <w:autoSpaceDE w:val="0"/>
        <w:autoSpaceDN w:val="0"/>
        <w:adjustRightInd w:val="0"/>
        <w:rPr>
          <w:rFonts w:cs="Calibri"/>
          <w:sz w:val="18"/>
          <w:szCs w:val="18"/>
        </w:rPr>
      </w:pPr>
      <w:r w:rsidRPr="008A7715">
        <w:rPr>
          <w:rFonts w:cs="Calibri"/>
          <w:sz w:val="18"/>
          <w:szCs w:val="18"/>
        </w:rPr>
        <w:t>Regional Team Leader Water and Sanitation Program-South Asia (WSP-SA) September 2010</w:t>
      </w:r>
    </w:p>
  </w:endnote>
  <w:endnote w:id="35">
    <w:p w:rsidR="00266B97" w:rsidRPr="008A7715" w:rsidRDefault="00266B97" w:rsidP="00A35EF2">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Günther I. and Fink G.  2011 Water and Sanitation to Reduce Child Mortality The Impact and Cost of Water and Sanitation Infrastructure World Bank  Policy Research Working Paper 5618 </w:t>
      </w:r>
      <w:hyperlink r:id="rId36" w:history="1">
        <w:r w:rsidRPr="008A7715">
          <w:rPr>
            <w:rStyle w:val="Hyperlink"/>
            <w:rFonts w:cs="Calibri"/>
            <w:sz w:val="18"/>
            <w:szCs w:val="18"/>
          </w:rPr>
          <w:t>http://www-wds.worldbank.org/servlet/WDSContentServer/WDSP/IB/2011/03/30/000158349_20110330154747/Rendered/PDF/WPS5618.pdf</w:t>
        </w:r>
      </w:hyperlink>
      <w:r w:rsidRPr="008A7715">
        <w:rPr>
          <w:rFonts w:cs="Calibri"/>
          <w:sz w:val="18"/>
          <w:szCs w:val="18"/>
        </w:rPr>
        <w:t xml:space="preserve"> </w:t>
      </w:r>
    </w:p>
  </w:endnote>
  <w:endnote w:id="36">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McKinsey &amp; Co., 2009 Charting Our Water Future - </w:t>
      </w:r>
      <w:r w:rsidRPr="008A7715">
        <w:rPr>
          <w:rFonts w:cs="Calibri"/>
          <w:bCs/>
          <w:sz w:val="18"/>
          <w:szCs w:val="18"/>
        </w:rPr>
        <w:t xml:space="preserve">Economic frameworks to inform decision-making. </w:t>
      </w:r>
      <w:r w:rsidR="008A7715">
        <w:rPr>
          <w:rFonts w:cs="Calibri"/>
          <w:bCs/>
          <w:sz w:val="18"/>
          <w:szCs w:val="18"/>
        </w:rPr>
        <w:t xml:space="preserve"> p</w:t>
      </w:r>
      <w:r w:rsidRPr="008A7715">
        <w:rPr>
          <w:rFonts w:cs="Calibri"/>
          <w:bCs/>
          <w:sz w:val="18"/>
          <w:szCs w:val="18"/>
        </w:rPr>
        <w:t xml:space="preserve">.98 </w:t>
      </w:r>
      <w:hyperlink r:id="rId37" w:history="1">
        <w:r w:rsidRPr="008A7715">
          <w:rPr>
            <w:rStyle w:val="Hyperlink"/>
            <w:rFonts w:cs="Calibri"/>
            <w:bCs/>
            <w:sz w:val="18"/>
            <w:szCs w:val="18"/>
          </w:rPr>
          <w:t>http://www.mckinsey.com/App_Media/Reports/Water/Charting_Our_Water_Future_Full_Report_001.pdf</w:t>
        </w:r>
      </w:hyperlink>
      <w:r w:rsidRPr="008A7715">
        <w:rPr>
          <w:rFonts w:cs="Calibri"/>
          <w:bCs/>
          <w:sz w:val="18"/>
          <w:szCs w:val="18"/>
        </w:rPr>
        <w:t xml:space="preserve"> </w:t>
      </w:r>
    </w:p>
  </w:endnote>
  <w:endnote w:id="37">
    <w:p w:rsidR="00266B97" w:rsidRPr="008A7715" w:rsidRDefault="00266B97" w:rsidP="00F37E90">
      <w:pPr>
        <w:rPr>
          <w:rFonts w:cs="Calibri"/>
          <w:sz w:val="18"/>
          <w:szCs w:val="18"/>
        </w:rPr>
      </w:pPr>
      <w:r w:rsidRPr="008A7715">
        <w:rPr>
          <w:rStyle w:val="EndnoteReference"/>
          <w:rFonts w:cs="Calibri"/>
          <w:sz w:val="18"/>
          <w:szCs w:val="18"/>
        </w:rPr>
        <w:endnoteRef/>
      </w:r>
      <w:r w:rsidRPr="008A7715">
        <w:rPr>
          <w:rFonts w:cs="Calibri"/>
          <w:sz w:val="18"/>
          <w:szCs w:val="18"/>
        </w:rPr>
        <w:t xml:space="preserve"> ASA Adjudication on Coca-Cola Great Britain 8 October 2008 </w:t>
      </w:r>
    </w:p>
    <w:p w:rsidR="00266B97" w:rsidRPr="008A7715" w:rsidRDefault="00266B97" w:rsidP="00F37E90">
      <w:pPr>
        <w:pStyle w:val="EndnoteText"/>
        <w:rPr>
          <w:rFonts w:cs="Calibri"/>
          <w:sz w:val="18"/>
          <w:szCs w:val="18"/>
        </w:rPr>
      </w:pPr>
      <w:r w:rsidRPr="008A7715">
        <w:rPr>
          <w:rFonts w:cs="Calibri"/>
          <w:sz w:val="18"/>
          <w:szCs w:val="18"/>
        </w:rPr>
        <w:t xml:space="preserve"> </w:t>
      </w:r>
      <w:hyperlink r:id="rId38" w:history="1">
        <w:r w:rsidRPr="008A7715">
          <w:rPr>
            <w:rStyle w:val="Hyperlink"/>
            <w:rFonts w:cs="Calibri"/>
            <w:sz w:val="18"/>
            <w:szCs w:val="18"/>
          </w:rPr>
          <w:t>http://www.asa.org.uk/Complaints-and-ASA-action/Adjudications/2008/10/Coca_Cola-Great-Britain/TF_ADJ_45117.aspx</w:t>
        </w:r>
      </w:hyperlink>
    </w:p>
  </w:endnote>
  <w:endnote w:id="38">
    <w:p w:rsidR="00266B97" w:rsidRPr="008A7715" w:rsidRDefault="00266B97" w:rsidP="00F37E90">
      <w:pPr>
        <w:rPr>
          <w:rFonts w:cs="Calibri"/>
          <w:sz w:val="18"/>
          <w:szCs w:val="18"/>
        </w:rPr>
      </w:pPr>
      <w:r w:rsidRPr="008A7715">
        <w:rPr>
          <w:rStyle w:val="EndnoteReference"/>
          <w:rFonts w:cs="Calibri"/>
          <w:sz w:val="18"/>
          <w:szCs w:val="18"/>
        </w:rPr>
        <w:endnoteRef/>
      </w:r>
      <w:r w:rsidRPr="008A7715">
        <w:rPr>
          <w:rFonts w:cs="Calibri"/>
          <w:sz w:val="18"/>
          <w:szCs w:val="18"/>
        </w:rPr>
        <w:t xml:space="preserve"> </w:t>
      </w:r>
      <w:r w:rsidR="008A7715">
        <w:rPr>
          <w:rFonts w:cs="Calibri"/>
          <w:sz w:val="18"/>
          <w:szCs w:val="18"/>
        </w:rPr>
        <w:t xml:space="preserve">The </w:t>
      </w:r>
      <w:r w:rsidRPr="008A7715">
        <w:rPr>
          <w:rFonts w:cs="Calibri"/>
          <w:sz w:val="18"/>
          <w:szCs w:val="18"/>
        </w:rPr>
        <w:t>Guardian</w:t>
      </w:r>
      <w:r w:rsidR="008A7715">
        <w:rPr>
          <w:rFonts w:cs="Calibri"/>
          <w:sz w:val="18"/>
          <w:szCs w:val="18"/>
        </w:rPr>
        <w:t>,</w:t>
      </w:r>
      <w:r w:rsidRPr="008A7715">
        <w:rPr>
          <w:rFonts w:cs="Calibri"/>
          <w:sz w:val="18"/>
          <w:szCs w:val="18"/>
        </w:rPr>
        <w:t xml:space="preserve">  21 September 2010 Eau la la! Parisians get free fizzy water from a park fountain</w:t>
      </w:r>
    </w:p>
    <w:p w:rsidR="00266B97" w:rsidRPr="008A7715" w:rsidRDefault="00266B97" w:rsidP="00F37E90">
      <w:pPr>
        <w:pStyle w:val="EndnoteText"/>
        <w:rPr>
          <w:rFonts w:cs="Calibri"/>
          <w:sz w:val="18"/>
          <w:szCs w:val="18"/>
        </w:rPr>
      </w:pPr>
      <w:r w:rsidRPr="008A7715">
        <w:rPr>
          <w:rFonts w:cs="Calibri"/>
          <w:sz w:val="18"/>
          <w:szCs w:val="18"/>
        </w:rPr>
        <w:t xml:space="preserve">  </w:t>
      </w:r>
      <w:hyperlink r:id="rId39" w:history="1">
        <w:r w:rsidRPr="008A7715">
          <w:rPr>
            <w:rStyle w:val="Hyperlink"/>
            <w:rFonts w:cs="Calibri"/>
            <w:sz w:val="18"/>
            <w:szCs w:val="18"/>
          </w:rPr>
          <w:t>http://www.guardian.co.uk/world/2010/sep/21/paris-park-fizzy-water-tap</w:t>
        </w:r>
      </w:hyperlink>
    </w:p>
  </w:endnote>
  <w:endnote w:id="39">
    <w:p w:rsidR="00266B97" w:rsidRPr="008A7715" w:rsidRDefault="00266B97" w:rsidP="00F37E90">
      <w:pPr>
        <w:rPr>
          <w:rFonts w:cs="Calibri"/>
          <w:sz w:val="18"/>
          <w:szCs w:val="18"/>
        </w:rPr>
      </w:pPr>
      <w:r w:rsidRPr="008A7715">
        <w:rPr>
          <w:rStyle w:val="EndnoteReference"/>
          <w:rFonts w:cs="Calibri"/>
          <w:sz w:val="18"/>
          <w:szCs w:val="18"/>
        </w:rPr>
        <w:endnoteRef/>
      </w:r>
      <w:r w:rsidR="008A7715">
        <w:rPr>
          <w:rFonts w:cs="Calibri"/>
          <w:sz w:val="18"/>
          <w:szCs w:val="18"/>
        </w:rPr>
        <w:t xml:space="preserve"> WWDR 2006,</w:t>
      </w:r>
      <w:r w:rsidRPr="008A7715">
        <w:rPr>
          <w:rFonts w:cs="Calibri"/>
          <w:sz w:val="18"/>
          <w:szCs w:val="18"/>
        </w:rPr>
        <w:t xml:space="preserve"> Water – a shared responsibility. The UN World Water Development Report 2. p.419. 2006 </w:t>
      </w:r>
      <w:hyperlink r:id="rId40" w:history="1">
        <w:r w:rsidRPr="008A7715">
          <w:rPr>
            <w:rStyle w:val="Hyperlink"/>
            <w:rFonts w:cs="Calibri"/>
            <w:sz w:val="18"/>
            <w:szCs w:val="18"/>
          </w:rPr>
          <w:t>http://www.unesco.org/water/wwap/wwdr2/index.shtml</w:t>
        </w:r>
      </w:hyperlink>
    </w:p>
  </w:endnote>
  <w:endnote w:id="40">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Cashman and Ashley, (2008) "Costing the long-term demand for water sector infrastructure", Foresight, Vol. 10 Iss: 3, pp.9 – 26 </w:t>
      </w:r>
      <w:hyperlink r:id="rId41" w:history="1">
        <w:r w:rsidRPr="008A7715">
          <w:rPr>
            <w:rStyle w:val="Hyperlink"/>
            <w:rFonts w:cs="Calibri"/>
            <w:sz w:val="18"/>
            <w:szCs w:val="18"/>
          </w:rPr>
          <w:t>http://dx.doi.org/10.1108/14636680810883099</w:t>
        </w:r>
      </w:hyperlink>
      <w:r w:rsidRPr="008A7715">
        <w:rPr>
          <w:rFonts w:cs="Calibri"/>
          <w:sz w:val="18"/>
          <w:szCs w:val="18"/>
        </w:rPr>
        <w:t xml:space="preserve"> . These were then used as the basis for 30 year forecasts, using various assumptions about growth. </w:t>
      </w:r>
    </w:p>
  </w:endnote>
  <w:endnote w:id="41">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Hall and Lobina 2008 Sewerage Works PSIRU </w:t>
      </w:r>
      <w:hyperlink r:id="rId42" w:history="1">
        <w:r w:rsidRPr="008A7715">
          <w:rPr>
            <w:rStyle w:val="Hyperlink"/>
            <w:rFonts w:cs="Calibri"/>
            <w:sz w:val="18"/>
            <w:szCs w:val="18"/>
          </w:rPr>
          <w:t>www.psiru.org/reports/2008-03-W-sewers.doc</w:t>
        </w:r>
      </w:hyperlink>
    </w:p>
  </w:endnote>
  <w:endnote w:id="42">
    <w:p w:rsidR="00266B97" w:rsidRPr="008A7715" w:rsidRDefault="00266B97" w:rsidP="008350A7">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Rathin Roy, Antoine Heuty, Emmanuel Letouzé, Fiscal Space </w:t>
      </w:r>
      <w:r w:rsidR="008A7715" w:rsidRPr="008A7715">
        <w:rPr>
          <w:rFonts w:cs="Calibri"/>
          <w:sz w:val="18"/>
          <w:szCs w:val="18"/>
        </w:rPr>
        <w:t>for</w:t>
      </w:r>
      <w:r w:rsidRPr="008A7715">
        <w:rPr>
          <w:rFonts w:cs="Calibri"/>
          <w:sz w:val="18"/>
          <w:szCs w:val="18"/>
        </w:rPr>
        <w:t xml:space="preserve"> Public Investment: - Towards A Human Development Approach. UNDP</w:t>
      </w:r>
      <w:r w:rsidR="008A7715">
        <w:rPr>
          <w:rFonts w:cs="Calibri"/>
          <w:sz w:val="18"/>
          <w:szCs w:val="18"/>
        </w:rPr>
        <w:t>,</w:t>
      </w:r>
      <w:r w:rsidRPr="008A7715">
        <w:rPr>
          <w:rFonts w:cs="Calibri"/>
          <w:sz w:val="18"/>
          <w:szCs w:val="18"/>
        </w:rPr>
        <w:t xml:space="preserve"> September 2006.</w:t>
      </w:r>
    </w:p>
  </w:endnote>
  <w:endnote w:id="43">
    <w:p w:rsidR="00266B97" w:rsidRPr="008A7715" w:rsidRDefault="00266B97" w:rsidP="00353A2B">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Indian Planning Commission 2011 </w:t>
      </w:r>
      <w:r w:rsidRPr="008A7715">
        <w:rPr>
          <w:rFonts w:cs="Calibri"/>
          <w:bCs/>
          <w:sz w:val="18"/>
          <w:szCs w:val="18"/>
        </w:rPr>
        <w:t xml:space="preserve">Investment in Infrastructure during the Eleventh Five Year Plan pp6-7 </w:t>
      </w:r>
      <w:hyperlink r:id="rId43" w:history="1">
        <w:r w:rsidRPr="008A7715">
          <w:rPr>
            <w:rStyle w:val="Hyperlink"/>
            <w:rFonts w:cs="Calibri"/>
            <w:bCs/>
            <w:sz w:val="18"/>
            <w:szCs w:val="18"/>
          </w:rPr>
          <w:t>http://</w:t>
        </w:r>
        <w:r w:rsidRPr="008A7715">
          <w:rPr>
            <w:rStyle w:val="Hyperlink"/>
            <w:rFonts w:cs="Calibri"/>
            <w:bCs/>
            <w:iCs/>
            <w:sz w:val="18"/>
            <w:szCs w:val="18"/>
          </w:rPr>
          <w:t>infrastructure.gov.in/pdf/in</w:t>
        </w:r>
        <w:r w:rsidRPr="008A7715">
          <w:rPr>
            <w:rStyle w:val="Hyperlink"/>
            <w:rFonts w:cs="Calibri"/>
            <w:bCs/>
            <w:iCs/>
            <w:sz w:val="18"/>
            <w:szCs w:val="18"/>
          </w:rPr>
          <w:t>v</w:t>
        </w:r>
        <w:r w:rsidRPr="008A7715">
          <w:rPr>
            <w:rStyle w:val="Hyperlink"/>
            <w:rFonts w:cs="Calibri"/>
            <w:bCs/>
            <w:iCs/>
            <w:sz w:val="18"/>
            <w:szCs w:val="18"/>
          </w:rPr>
          <w:t>-infra.pdf</w:t>
        </w:r>
      </w:hyperlink>
      <w:r w:rsidRPr="008A7715">
        <w:rPr>
          <w:rFonts w:cs="Calibri"/>
          <w:bCs/>
          <w:iCs/>
          <w:sz w:val="18"/>
          <w:szCs w:val="18"/>
        </w:rPr>
        <w:t xml:space="preserve">  </w:t>
      </w:r>
    </w:p>
  </w:endnote>
  <w:endnote w:id="44">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Hall and Lobina 2008 Sewerage Works PSIRU </w:t>
      </w:r>
      <w:hyperlink r:id="rId44" w:history="1">
        <w:r w:rsidRPr="008A7715">
          <w:rPr>
            <w:rStyle w:val="Hyperlink"/>
            <w:rFonts w:cs="Calibri"/>
            <w:sz w:val="18"/>
            <w:szCs w:val="18"/>
          </w:rPr>
          <w:t>www.psiru.org/reports/2008-03-W-sewers.doc</w:t>
        </w:r>
      </w:hyperlink>
    </w:p>
  </w:endnote>
  <w:endnote w:id="45">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Hall and Lobina 2008 Sewerage Works PSIRU </w:t>
      </w:r>
      <w:hyperlink r:id="rId45" w:history="1">
        <w:r w:rsidRPr="008A7715">
          <w:rPr>
            <w:rStyle w:val="Hyperlink"/>
            <w:rFonts w:cs="Calibri"/>
            <w:sz w:val="18"/>
            <w:szCs w:val="18"/>
          </w:rPr>
          <w:t>www.psiru.org/reports/2008-03-W-sewers.doc</w:t>
        </w:r>
      </w:hyperlink>
    </w:p>
  </w:endnote>
  <w:endnote w:id="46">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JMP Progress on Drinking Water and Sanitation: 2012 Update </w:t>
      </w:r>
      <w:hyperlink r:id="rId46" w:history="1">
        <w:r w:rsidRPr="008A7715">
          <w:rPr>
            <w:rStyle w:val="Hyperlink"/>
            <w:rFonts w:cs="Calibri"/>
            <w:sz w:val="18"/>
            <w:szCs w:val="18"/>
          </w:rPr>
          <w:t>http://www.wssinfo.org/fileadmin/user_upload/resources/JMP-report-2012-en.pdf</w:t>
        </w:r>
      </w:hyperlink>
      <w:r w:rsidRPr="008A7715">
        <w:rPr>
          <w:rFonts w:cs="Calibri"/>
          <w:sz w:val="18"/>
          <w:szCs w:val="18"/>
        </w:rPr>
        <w:t xml:space="preserve">  </w:t>
      </w:r>
    </w:p>
  </w:endnote>
  <w:endnote w:id="47">
    <w:p w:rsidR="00266B97" w:rsidRPr="008A7715" w:rsidRDefault="00266B97">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JMP Progress on Drinking Water and Sanitation: 2012 Update </w:t>
      </w:r>
      <w:hyperlink r:id="rId47" w:history="1">
        <w:r w:rsidRPr="008A7715">
          <w:rPr>
            <w:rStyle w:val="Hyperlink"/>
            <w:rFonts w:cs="Calibri"/>
            <w:sz w:val="18"/>
            <w:szCs w:val="18"/>
          </w:rPr>
          <w:t>http://www.wssinfo.org/fileadmin/user_upload/resources/JMP-report-2012-en.pdf</w:t>
        </w:r>
      </w:hyperlink>
      <w:r w:rsidRPr="008A7715">
        <w:rPr>
          <w:rFonts w:cs="Calibri"/>
          <w:sz w:val="18"/>
          <w:szCs w:val="18"/>
        </w:rPr>
        <w:t xml:space="preserve"> </w:t>
      </w:r>
    </w:p>
  </w:endnote>
  <w:endnote w:id="48">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JMP 2010 Progress on Sanitation and Drinking-water: 2010 Update WHO/UNICEF Joint Monitoring Programme for Water Supply and Sanitation </w:t>
      </w:r>
      <w:hyperlink r:id="rId48" w:history="1">
        <w:r w:rsidRPr="008A7715">
          <w:rPr>
            <w:rStyle w:val="Hyperlink"/>
            <w:rFonts w:cs="Calibri"/>
            <w:sz w:val="18"/>
            <w:szCs w:val="18"/>
          </w:rPr>
          <w:t>http://www.wssinfo.org/</w:t>
        </w:r>
      </w:hyperlink>
      <w:r w:rsidRPr="008A7715">
        <w:rPr>
          <w:rFonts w:cs="Calibri"/>
          <w:sz w:val="18"/>
          <w:szCs w:val="18"/>
        </w:rPr>
        <w:t xml:space="preserve"> ; and JMP Progress on Drinking Water and Sanitation: 2012 Update </w:t>
      </w:r>
      <w:hyperlink r:id="rId49" w:history="1">
        <w:r w:rsidRPr="008A7715">
          <w:rPr>
            <w:rStyle w:val="Hyperlink"/>
            <w:rFonts w:cs="Calibri"/>
            <w:sz w:val="18"/>
            <w:szCs w:val="18"/>
          </w:rPr>
          <w:t>http://www.wssinfo.org/fileadmin/user_upload/resources/JMP-report-2012-en.pdf</w:t>
        </w:r>
      </w:hyperlink>
    </w:p>
  </w:endnote>
  <w:endnote w:id="49">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JMP 2010 Progress on Sanitation and Drinking-water: 2010 Update WHO/UNICEF Joint Monitoring Programme for Water Supply and Sanitation </w:t>
      </w:r>
      <w:hyperlink r:id="rId50" w:history="1">
        <w:r w:rsidRPr="008A7715">
          <w:rPr>
            <w:rStyle w:val="Hyperlink"/>
            <w:rFonts w:cs="Calibri"/>
            <w:sz w:val="18"/>
            <w:szCs w:val="18"/>
          </w:rPr>
          <w:t>http://www.wssinfo.org/</w:t>
        </w:r>
      </w:hyperlink>
      <w:r w:rsidRPr="008A7715">
        <w:rPr>
          <w:rFonts w:cs="Calibri"/>
          <w:sz w:val="18"/>
          <w:szCs w:val="18"/>
        </w:rPr>
        <w:t xml:space="preserve"> </w:t>
      </w:r>
    </w:p>
  </w:endnote>
  <w:endnote w:id="50">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Innovative Financing Mechanisms for the Water Sector - OEC D 2010 - </w:t>
      </w:r>
      <w:hyperlink r:id="rId51" w:history="1">
        <w:r w:rsidRPr="008A7715">
          <w:rPr>
            <w:rStyle w:val="Hyperlink"/>
            <w:rFonts w:cs="Calibri"/>
            <w:i/>
            <w:iCs/>
            <w:sz w:val="18"/>
            <w:szCs w:val="18"/>
          </w:rPr>
          <w:t>http://www.oecd.org:80/</w:t>
        </w:r>
        <w:r w:rsidRPr="008A7715">
          <w:rPr>
            <w:rStyle w:val="Hyperlink"/>
            <w:rFonts w:cs="Calibri"/>
            <w:bCs/>
            <w:i/>
            <w:iCs/>
            <w:sz w:val="18"/>
            <w:szCs w:val="18"/>
          </w:rPr>
          <w:t>water</w:t>
        </w:r>
      </w:hyperlink>
      <w:r w:rsidRPr="008A7715">
        <w:rPr>
          <w:rFonts w:cs="Calibri"/>
          <w:bCs/>
          <w:i/>
          <w:iCs/>
          <w:sz w:val="18"/>
          <w:szCs w:val="18"/>
        </w:rPr>
        <w:t xml:space="preserve"> </w:t>
      </w:r>
    </w:p>
  </w:endnote>
  <w:endnote w:id="51">
    <w:p w:rsidR="008A7715" w:rsidRPr="008A7715" w:rsidRDefault="008A7715" w:rsidP="008A7715">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Innovative Financing Mechanisms for the Water Sector - OEC D 2010 - </w:t>
      </w:r>
      <w:hyperlink r:id="rId52" w:history="1">
        <w:r w:rsidRPr="008A7715">
          <w:rPr>
            <w:rStyle w:val="Hyperlink"/>
            <w:rFonts w:cs="Calibri"/>
            <w:i/>
            <w:iCs/>
            <w:sz w:val="18"/>
            <w:szCs w:val="18"/>
          </w:rPr>
          <w:t>http://www.oecd.org:80/</w:t>
        </w:r>
        <w:r w:rsidRPr="008A7715">
          <w:rPr>
            <w:rStyle w:val="Hyperlink"/>
            <w:rFonts w:cs="Calibri"/>
            <w:bCs/>
            <w:i/>
            <w:iCs/>
            <w:sz w:val="18"/>
            <w:szCs w:val="18"/>
          </w:rPr>
          <w:t>water</w:t>
        </w:r>
      </w:hyperlink>
      <w:r w:rsidRPr="008A7715">
        <w:rPr>
          <w:rFonts w:cs="Calibri"/>
          <w:bCs/>
          <w:i/>
          <w:iCs/>
          <w:sz w:val="18"/>
          <w:szCs w:val="18"/>
        </w:rPr>
        <w:t xml:space="preserve"> </w:t>
      </w:r>
    </w:p>
  </w:endnote>
  <w:endnote w:id="52">
    <w:p w:rsidR="008A7715" w:rsidRPr="008A7715" w:rsidRDefault="008A7715" w:rsidP="008A7715">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Innovative Financing Mechanisms for the Water Sector - OEC D 2010 - </w:t>
      </w:r>
      <w:hyperlink r:id="rId53" w:history="1">
        <w:r w:rsidRPr="008A7715">
          <w:rPr>
            <w:rStyle w:val="Hyperlink"/>
            <w:rFonts w:cs="Calibri"/>
            <w:i/>
            <w:iCs/>
            <w:sz w:val="18"/>
            <w:szCs w:val="18"/>
          </w:rPr>
          <w:t>http://www.oecd.org:80/</w:t>
        </w:r>
        <w:r w:rsidRPr="008A7715">
          <w:rPr>
            <w:rStyle w:val="Hyperlink"/>
            <w:rFonts w:cs="Calibri"/>
            <w:bCs/>
            <w:i/>
            <w:iCs/>
            <w:sz w:val="18"/>
            <w:szCs w:val="18"/>
          </w:rPr>
          <w:t>water</w:t>
        </w:r>
      </w:hyperlink>
      <w:r w:rsidRPr="008A7715">
        <w:rPr>
          <w:rFonts w:cs="Calibri"/>
          <w:bCs/>
          <w:i/>
          <w:iCs/>
          <w:sz w:val="18"/>
          <w:szCs w:val="18"/>
        </w:rPr>
        <w:t xml:space="preserve"> </w:t>
      </w:r>
    </w:p>
  </w:endnote>
  <w:endnote w:id="53">
    <w:p w:rsidR="00266B97" w:rsidRPr="008A7715" w:rsidRDefault="00266B97" w:rsidP="00F37E90">
      <w:pPr>
        <w:rPr>
          <w:rFonts w:cs="Calibri"/>
          <w:sz w:val="18"/>
          <w:szCs w:val="18"/>
        </w:rPr>
      </w:pPr>
      <w:r w:rsidRPr="008A7715">
        <w:rPr>
          <w:rStyle w:val="EndnoteReference"/>
          <w:rFonts w:cs="Calibri"/>
          <w:sz w:val="18"/>
          <w:szCs w:val="18"/>
        </w:rPr>
        <w:endnoteRef/>
      </w:r>
      <w:r w:rsidRPr="008A7715">
        <w:rPr>
          <w:rFonts w:cs="Calibri"/>
          <w:sz w:val="18"/>
          <w:szCs w:val="18"/>
        </w:rPr>
        <w:t xml:space="preserve"> WWDR 2006. Water – a shared responsibility. The UN World Water Development Report 2. p.419. 2006 </w:t>
      </w:r>
      <w:hyperlink r:id="rId54" w:history="1">
        <w:r w:rsidRPr="008A7715">
          <w:rPr>
            <w:rStyle w:val="Hyperlink"/>
            <w:rFonts w:cs="Calibri"/>
            <w:sz w:val="18"/>
            <w:szCs w:val="18"/>
          </w:rPr>
          <w:t>http://www.unesco.org/water/wwap/wwdr2/index.shtml</w:t>
        </w:r>
      </w:hyperlink>
    </w:p>
  </w:endnote>
  <w:endnote w:id="54">
    <w:p w:rsidR="008A7715" w:rsidRPr="008A7715" w:rsidRDefault="008A7715" w:rsidP="008A7715">
      <w:pPr>
        <w:rPr>
          <w:rFonts w:cs="Calibri"/>
          <w:sz w:val="18"/>
          <w:szCs w:val="18"/>
        </w:rPr>
      </w:pPr>
      <w:r w:rsidRPr="008A7715">
        <w:rPr>
          <w:rStyle w:val="EndnoteReference"/>
          <w:rFonts w:cs="Calibri"/>
          <w:sz w:val="18"/>
          <w:szCs w:val="18"/>
        </w:rPr>
        <w:endnoteRef/>
      </w:r>
      <w:r w:rsidRPr="008A7715">
        <w:rPr>
          <w:rFonts w:cs="Calibri"/>
          <w:sz w:val="18"/>
          <w:szCs w:val="18"/>
        </w:rPr>
        <w:t xml:space="preserve"> WWDR 2006. Water – a shared responsibility. The UN World Water Development Report 2. p.419. 2006 </w:t>
      </w:r>
      <w:hyperlink r:id="rId55" w:history="1">
        <w:r w:rsidRPr="008A7715">
          <w:rPr>
            <w:rStyle w:val="Hyperlink"/>
            <w:rFonts w:cs="Calibri"/>
            <w:sz w:val="18"/>
            <w:szCs w:val="18"/>
          </w:rPr>
          <w:t>http://www.unesco.org/water/wwap/wwdr2/index.shtml</w:t>
        </w:r>
      </w:hyperlink>
    </w:p>
  </w:endnote>
  <w:endnote w:id="55">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William Murhaiwe, CEO of NWSC Uganda, speaking at the World W</w:t>
      </w:r>
      <w:r w:rsidR="008A7715">
        <w:rPr>
          <w:rFonts w:cs="Calibri"/>
          <w:sz w:val="18"/>
          <w:szCs w:val="18"/>
        </w:rPr>
        <w:t>ater Forum Istanbul, March 2009</w:t>
      </w:r>
    </w:p>
  </w:endnote>
  <w:endnote w:id="56">
    <w:p w:rsidR="00266B97" w:rsidRPr="008A7715" w:rsidRDefault="00266B97" w:rsidP="00F37E90">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Speech By H.E. Yoweri Kaguta Museveni President of the Republic of Uganda At the Opening of  The African Union Summit  Theme:  Maternal, Infant and Child Health and  Development in Africa 25th July 2010 Commonwealth Resort, Munyonyo, Kampala   </w:t>
      </w:r>
      <w:hyperlink r:id="rId56" w:history="1">
        <w:r w:rsidRPr="008A7715">
          <w:rPr>
            <w:rStyle w:val="Hyperlink"/>
            <w:rFonts w:cs="Calibri"/>
            <w:sz w:val="18"/>
            <w:szCs w:val="18"/>
          </w:rPr>
          <w:t>http://www.mediacentre.go.ug/details.php?catId=6&amp;item=946</w:t>
        </w:r>
      </w:hyperlink>
    </w:p>
  </w:endnote>
  <w:endnote w:id="57">
    <w:p w:rsidR="00266B97" w:rsidRPr="008A7715" w:rsidRDefault="00266B97">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w:t>
      </w:r>
      <w:r w:rsidRPr="008A7715">
        <w:rPr>
          <w:rFonts w:cs="Calibri"/>
          <w:bCs/>
          <w:sz w:val="18"/>
          <w:szCs w:val="18"/>
        </w:rPr>
        <w:t xml:space="preserve">Extracts from “Public Policy and Economic Development in Africa” </w:t>
      </w:r>
      <w:r w:rsidRPr="008A7715">
        <w:rPr>
          <w:rFonts w:cs="Calibri"/>
          <w:sz w:val="18"/>
          <w:szCs w:val="18"/>
        </w:rPr>
        <w:t xml:space="preserve">Speech by </w:t>
      </w:r>
      <w:r w:rsidRPr="008A7715">
        <w:rPr>
          <w:rFonts w:cs="Calibri"/>
          <w:bCs/>
          <w:sz w:val="18"/>
          <w:szCs w:val="18"/>
        </w:rPr>
        <w:t>Mr Louis Kasekende</w:t>
      </w:r>
      <w:r w:rsidR="008A7715">
        <w:rPr>
          <w:rFonts w:cs="Calibri"/>
          <w:bCs/>
          <w:sz w:val="18"/>
          <w:szCs w:val="18"/>
        </w:rPr>
        <w:t xml:space="preserve">, </w:t>
      </w:r>
      <w:r w:rsidRPr="008A7715">
        <w:rPr>
          <w:rFonts w:cs="Calibri"/>
          <w:sz w:val="18"/>
          <w:szCs w:val="18"/>
        </w:rPr>
        <w:t xml:space="preserve">Chief Economist, African Development Bank Group, 65th Congress of the International Institute of Public Finance August 13, 2009, Cape Town, South Africa </w:t>
      </w:r>
      <w:hyperlink r:id="rId57" w:history="1">
        <w:r w:rsidRPr="008A7715">
          <w:rPr>
            <w:rStyle w:val="Hyperlink"/>
            <w:rFonts w:cs="Calibri"/>
            <w:sz w:val="18"/>
            <w:szCs w:val="18"/>
          </w:rPr>
          <w:t>www.iipf.org/speeches/Kasekende_2009.pdf</w:t>
        </w:r>
      </w:hyperlink>
      <w:r w:rsidRPr="008A7715">
        <w:rPr>
          <w:rFonts w:cs="Calibri"/>
          <w:sz w:val="18"/>
          <w:szCs w:val="18"/>
        </w:rPr>
        <w:t xml:space="preserve"> </w:t>
      </w:r>
    </w:p>
  </w:endnote>
  <w:endnote w:id="58">
    <w:p w:rsidR="00266B97" w:rsidRPr="008A7715" w:rsidRDefault="00266B97" w:rsidP="00575828">
      <w:pPr>
        <w:pStyle w:val="EndnoteText"/>
        <w:rPr>
          <w:rFonts w:cs="Calibri"/>
          <w:sz w:val="18"/>
          <w:szCs w:val="18"/>
        </w:rPr>
      </w:pPr>
      <w:r w:rsidRPr="008A7715">
        <w:rPr>
          <w:rStyle w:val="EndnoteReference"/>
          <w:rFonts w:cs="Calibri"/>
          <w:sz w:val="18"/>
          <w:szCs w:val="18"/>
        </w:rPr>
        <w:endnoteRef/>
      </w:r>
      <w:r w:rsidRPr="008A7715">
        <w:rPr>
          <w:rFonts w:cs="Calibri"/>
          <w:sz w:val="18"/>
          <w:szCs w:val="18"/>
        </w:rPr>
        <w:t xml:space="preserve"> </w:t>
      </w:r>
      <w:r w:rsidRPr="008A7715">
        <w:rPr>
          <w:rFonts w:cs="Calibri"/>
          <w:bCs/>
          <w:sz w:val="18"/>
          <w:szCs w:val="18"/>
        </w:rPr>
        <w:t xml:space="preserve">Extracts from “Public Policy and Economic Development in Africa” </w:t>
      </w:r>
      <w:r w:rsidRPr="008A7715">
        <w:rPr>
          <w:rFonts w:cs="Calibri"/>
          <w:sz w:val="18"/>
          <w:szCs w:val="18"/>
        </w:rPr>
        <w:t xml:space="preserve">Speech by </w:t>
      </w:r>
      <w:r w:rsidRPr="008A7715">
        <w:rPr>
          <w:rFonts w:cs="Calibri"/>
          <w:bCs/>
          <w:sz w:val="18"/>
          <w:szCs w:val="18"/>
        </w:rPr>
        <w:t>Mr Louis Kasekende</w:t>
      </w:r>
      <w:r w:rsidR="008A7715">
        <w:rPr>
          <w:rFonts w:cs="Calibri"/>
          <w:bCs/>
          <w:sz w:val="18"/>
          <w:szCs w:val="18"/>
        </w:rPr>
        <w:t xml:space="preserve">, </w:t>
      </w:r>
      <w:r w:rsidRPr="008A7715">
        <w:rPr>
          <w:rFonts w:cs="Calibri"/>
          <w:sz w:val="18"/>
          <w:szCs w:val="18"/>
        </w:rPr>
        <w:t xml:space="preserve">Chief Economist, African Development Bank Group, 65th Congress of the International Institute of Public Finance August 13, 2009, Cape Town, South Africa </w:t>
      </w:r>
      <w:hyperlink r:id="rId58" w:history="1">
        <w:r w:rsidRPr="008A7715">
          <w:rPr>
            <w:rStyle w:val="Hyperlink"/>
            <w:rFonts w:cs="Calibri"/>
            <w:sz w:val="18"/>
            <w:szCs w:val="18"/>
          </w:rPr>
          <w:t>www.iipf.org/speeches/Kasekende_2009.pdf</w:t>
        </w:r>
      </w:hyperlink>
      <w:r w:rsidRPr="008A7715">
        <w:rPr>
          <w:rFonts w:cs="Calibri"/>
          <w:sz w:val="18"/>
          <w:szCs w:val="18"/>
        </w:rPr>
        <w:t xml:space="preserve"> </w:t>
      </w:r>
    </w:p>
    <w:p w:rsidR="00266B97" w:rsidRDefault="00266B97" w:rsidP="0057582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Regular">
    <w:altName w:val="Times New Roman"/>
    <w:charset w:val="00"/>
    <w:family w:val="roman"/>
    <w:pitch w:val="default"/>
    <w:sig w:usb0="00000003" w:usb1="00000000" w:usb2="00000000" w:usb3="00000000" w:csb0="00000001" w:csb1="00000000"/>
  </w:font>
  <w:font w:name="TimesNewRomanPSMT">
    <w:altName w:val="Times New Roman"/>
    <w:charset w:val="00"/>
    <w:family w:val="roman"/>
    <w:pitch w:val="default"/>
  </w:font>
  <w:font w:name="BookmanOldStyl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97" w:rsidRPr="00652411" w:rsidRDefault="00266B97"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BF329C">
      <w:rPr>
        <w:rFonts w:cs="Lucida Sans Unicode"/>
        <w:noProof/>
        <w:sz w:val="16"/>
        <w:szCs w:val="16"/>
      </w:rPr>
      <w:t>07/03/2012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BF329C">
      <w:rPr>
        <w:rFonts w:cs="Lucida Sans Unicode"/>
        <w:noProof/>
        <w:sz w:val="16"/>
        <w:szCs w:val="16"/>
      </w:rPr>
      <w:t>6</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BF329C">
      <w:rPr>
        <w:rFonts w:cs="Lucida Sans Unicode"/>
        <w:noProof/>
        <w:sz w:val="16"/>
        <w:szCs w:val="16"/>
      </w:rPr>
      <w:t>6</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97" w:rsidRPr="007934FC" w:rsidRDefault="00266B9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sz w:val="16"/>
        <w:szCs w:val="16"/>
      </w:rPr>
    </w:pPr>
    <w:smartTag w:uri="urn:schemas-microsoft-com:office:smarttags" w:element="PersonName">
      <w:r w:rsidRPr="007934FC">
        <w:rPr>
          <w:rFonts w:ascii="Lucida Sans Unicode" w:hAnsi="Lucida Sans Unicode" w:cs="Lucida Sans Unicode"/>
          <w:b/>
          <w:color w:val="FF0000"/>
          <w:sz w:val="16"/>
          <w:szCs w:val="16"/>
        </w:rPr>
        <w:t>PSIRU</w:t>
      </w:r>
    </w:smartTag>
    <w:r w:rsidRPr="007934FC">
      <w:rPr>
        <w:rFonts w:ascii="Lucida Sans Unicode" w:hAnsi="Lucida Sans Unicode" w:cs="Lucida Sans Unicode"/>
        <w:b/>
        <w:color w:val="FF0000"/>
        <w:sz w:val="16"/>
        <w:szCs w:val="16"/>
      </w:rPr>
      <w:t xml:space="preserve">, </w:t>
    </w:r>
    <w:smartTag w:uri="urn:schemas-microsoft-com:office:smarttags" w:element="place">
      <w:smartTag w:uri="urn:schemas-microsoft-com:office:smarttags" w:element="PlaceName">
        <w:r w:rsidRPr="007934FC">
          <w:rPr>
            <w:rFonts w:ascii="Lucida Sans Unicode" w:hAnsi="Lucida Sans Unicode" w:cs="Lucida Sans Unicode"/>
            <w:b/>
            <w:color w:val="FF0000"/>
            <w:sz w:val="16"/>
            <w:szCs w:val="16"/>
          </w:rPr>
          <w:t>Business</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School</w:t>
        </w:r>
      </w:smartTag>
    </w:smartTag>
    <w:r w:rsidRPr="007934FC">
      <w:rPr>
        <w:rFonts w:ascii="Lucida Sans Unicode" w:hAnsi="Lucida Sans Unicode" w:cs="Lucida Sans Unicode"/>
        <w:b/>
        <w:color w:val="FF0000"/>
        <w:sz w:val="16"/>
        <w:szCs w:val="16"/>
      </w:rPr>
      <w:t xml:space="preserve">, </w:t>
    </w:r>
    <w:smartTag w:uri="urn:schemas-microsoft-com:office:smarttags" w:element="place">
      <w:smartTag w:uri="urn:schemas-microsoft-com:office:smarttags" w:element="PlaceType">
        <w:r w:rsidRPr="007934FC">
          <w:rPr>
            <w:rFonts w:ascii="Lucida Sans Unicode" w:hAnsi="Lucida Sans Unicode" w:cs="Lucida Sans Unicode"/>
            <w:b/>
            <w:color w:val="FF0000"/>
            <w:sz w:val="16"/>
            <w:szCs w:val="16"/>
          </w:rPr>
          <w:t>University</w:t>
        </w:r>
      </w:smartTag>
      <w:r w:rsidRPr="007934FC">
        <w:rPr>
          <w:rFonts w:ascii="Lucida Sans Unicode" w:hAnsi="Lucida Sans Unicode" w:cs="Lucida Sans Unicode"/>
          <w:b/>
          <w:color w:val="FF0000"/>
          <w:sz w:val="16"/>
          <w:szCs w:val="16"/>
        </w:rPr>
        <w:t xml:space="preserve"> of </w:t>
      </w:r>
      <w:smartTag w:uri="urn:schemas-microsoft-com:office:smarttags" w:element="PlaceName">
        <w:r w:rsidRPr="007934FC">
          <w:rPr>
            <w:rFonts w:ascii="Lucida Sans Unicode" w:hAnsi="Lucida Sans Unicode" w:cs="Lucida Sans Unicode"/>
            <w:b/>
            <w:color w:val="FF0000"/>
            <w:sz w:val="16"/>
            <w:szCs w:val="16"/>
          </w:rPr>
          <w:t>Greenwich</w:t>
        </w:r>
      </w:smartTag>
    </w:smartTag>
    <w:r w:rsidRPr="007934FC">
      <w:rPr>
        <w:rFonts w:ascii="Lucida Sans Unicode" w:hAnsi="Lucida Sans Unicode" w:cs="Lucida Sans Unicode"/>
        <w:b/>
        <w:color w:val="FF0000"/>
        <w:sz w:val="16"/>
        <w:szCs w:val="16"/>
      </w:rPr>
      <w:t xml:space="preserve">, Park Row, </w:t>
    </w:r>
    <w:smartTag w:uri="urn:schemas-microsoft-com:office:smarttags" w:element="place">
      <w:smartTag w:uri="urn:schemas-microsoft-com:office:smarttags" w:element="City">
        <w:r w:rsidRPr="007934FC">
          <w:rPr>
            <w:rFonts w:ascii="Lucida Sans Unicode" w:hAnsi="Lucida Sans Unicode" w:cs="Lucida Sans Unicode"/>
            <w:b/>
            <w:color w:val="FF0000"/>
            <w:sz w:val="16"/>
            <w:szCs w:val="16"/>
          </w:rPr>
          <w:t>London</w:t>
        </w:r>
      </w:smartTag>
      <w:r w:rsidRPr="007934FC">
        <w:rPr>
          <w:rFonts w:ascii="Lucida Sans Unicode" w:hAnsi="Lucida Sans Unicode" w:cs="Lucida Sans Unicode"/>
          <w:b/>
          <w:color w:val="FF0000"/>
          <w:sz w:val="16"/>
          <w:szCs w:val="16"/>
        </w:rPr>
        <w:t xml:space="preserve"> </w:t>
      </w:r>
      <w:smartTag w:uri="urn:schemas-microsoft-com:office:smarttags" w:element="PostalCode">
        <w:r w:rsidRPr="007934FC">
          <w:rPr>
            <w:rFonts w:ascii="Lucida Sans Unicode" w:hAnsi="Lucida Sans Unicode" w:cs="Lucida Sans Unicode"/>
            <w:b/>
            <w:color w:val="FF0000"/>
            <w:sz w:val="16"/>
            <w:szCs w:val="16"/>
          </w:rPr>
          <w:t>SE10 9LS</w:t>
        </w:r>
      </w:smartTag>
      <w:r w:rsidRPr="007934FC">
        <w:rPr>
          <w:rFonts w:ascii="Lucida Sans Unicode" w:hAnsi="Lucida Sans Unicode" w:cs="Lucida Sans Unicode"/>
          <w:b/>
          <w:color w:val="FF0000"/>
          <w:sz w:val="16"/>
          <w:szCs w:val="16"/>
        </w:rPr>
        <w:t xml:space="preserve">, </w:t>
      </w:r>
      <w:smartTag w:uri="urn:schemas-microsoft-com:office:smarttags" w:element="country-region">
        <w:r w:rsidRPr="007934FC">
          <w:rPr>
            <w:rFonts w:ascii="Lucida Sans Unicode" w:hAnsi="Lucida Sans Unicode" w:cs="Lucida Sans Unicode"/>
            <w:b/>
            <w:color w:val="FF0000"/>
            <w:sz w:val="16"/>
            <w:szCs w:val="16"/>
          </w:rPr>
          <w:t>U.K.</w:t>
        </w:r>
      </w:smartTag>
    </w:smartTag>
    <w:r w:rsidRPr="007934FC">
      <w:rPr>
        <w:rFonts w:ascii="Lucida Sans Unicode" w:hAnsi="Lucida Sans Unicode" w:cs="Lucida Sans Unicode"/>
        <w:i/>
        <w:sz w:val="16"/>
        <w:szCs w:val="16"/>
      </w:rPr>
      <w:t xml:space="preserve"> </w:t>
    </w:r>
  </w:p>
  <w:p w:rsidR="00266B97" w:rsidRPr="007934FC" w:rsidRDefault="00266B9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266B97" w:rsidRDefault="00266B97" w:rsidP="00DD1FC3">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r w:rsidRPr="007934FC">
      <w:rPr>
        <w:rFonts w:ascii="Lucida Sans Unicode" w:hAnsi="Lucida Sans Unicode" w:cs="Lucida Sans Unicode"/>
        <w:color w:val="FF0000"/>
        <w:sz w:val="16"/>
        <w:szCs w:val="16"/>
      </w:rPr>
      <w:t>Researchers:</w:t>
    </w:r>
    <w:r w:rsidRPr="0061695B">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Prof.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w:t>
    </w:r>
    <w:smartTag w:uri="urn:schemas-microsoft-com:office:smarttags" w:element="PersonName">
      <w:r w:rsidRPr="007934FC">
        <w:rPr>
          <w:rFonts w:ascii="Lucida Sans Unicode" w:hAnsi="Lucida Sans Unicode" w:cs="Lucida Sans Unicode"/>
          <w:color w:val="FF0000"/>
          <w:sz w:val="16"/>
          <w:szCs w:val="16"/>
        </w:rPr>
        <w:t>David Hall</w:t>
      </w:r>
    </w:smartTag>
    <w:r w:rsidRPr="007934FC">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w:t>
    </w:r>
    <w:smartTag w:uri="urn:schemas-microsoft-com:office:smarttags" w:element="PersonName">
      <w:smartTag w:uri="urn:schemas-microsoft-com:office:smarttags" w:element="PersonName">
        <w:r w:rsidRPr="007934FC">
          <w:rPr>
            <w:rFonts w:ascii="Lucida Sans Unicode" w:hAnsi="Lucida Sans Unicode" w:cs="Lucida Sans Unicode"/>
            <w:color w:val="FF0000"/>
            <w:sz w:val="16"/>
            <w:szCs w:val="16"/>
          </w:rPr>
          <w:t>Emanuele</w:t>
        </w:r>
      </w:smartTag>
      <w:r w:rsidRPr="007934FC">
        <w:rPr>
          <w:rFonts w:ascii="Lucida Sans Unicode" w:hAnsi="Lucida Sans Unicode" w:cs="Lucida Sans Unicode"/>
          <w:color w:val="FF0000"/>
          <w:sz w:val="16"/>
          <w:szCs w:val="16"/>
        </w:rPr>
        <w:t xml:space="preserve"> </w:t>
      </w:r>
      <w:smartTag w:uri="urn:schemas-microsoft-com:office:smarttags" w:element="PersonName">
        <w:r w:rsidRPr="007934FC">
          <w:rPr>
            <w:rFonts w:ascii="Lucida Sans Unicode" w:hAnsi="Lucida Sans Unicode" w:cs="Lucida Sans Unicode"/>
            <w:color w:val="FF0000"/>
            <w:sz w:val="16"/>
            <w:szCs w:val="16"/>
          </w:rPr>
          <w:t>Lobina</w:t>
        </w:r>
      </w:smartTag>
    </w:smartTag>
    <w:r w:rsidRPr="007934FC">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Vladimir Popov, </w:t>
    </w:r>
    <w:r w:rsidRPr="007934FC">
      <w:rPr>
        <w:rFonts w:ascii="Lucida Sans Unicode" w:hAnsi="Lucida Sans Unicode" w:cs="Lucida Sans Unicode"/>
        <w:color w:val="FF0000"/>
        <w:sz w:val="16"/>
        <w:szCs w:val="16"/>
      </w:rPr>
      <w:t>Violeta</w:t>
    </w:r>
    <w:r>
      <w:rPr>
        <w:rFonts w:ascii="Lucida Sans Unicode" w:hAnsi="Lucida Sans Unicode" w:cs="Lucida Sans Unicode"/>
        <w:color w:val="FF0000"/>
        <w:sz w:val="16"/>
        <w:szCs w:val="16"/>
      </w:rPr>
      <w:t xml:space="preserve"> Corral</w:t>
    </w:r>
  </w:p>
  <w:p w:rsidR="00266B97" w:rsidRPr="003F063D" w:rsidRDefault="00266B97"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589" w:rsidRDefault="004C6589">
      <w:r>
        <w:separator/>
      </w:r>
    </w:p>
  </w:footnote>
  <w:footnote w:type="continuationSeparator" w:id="0">
    <w:p w:rsidR="004C6589" w:rsidRDefault="004C6589">
      <w:r>
        <w:continuationSeparator/>
      </w:r>
    </w:p>
  </w:footnote>
  <w:footnote w:id="1">
    <w:p w:rsidR="00266B97" w:rsidRDefault="00266B97" w:rsidP="00FF20E9">
      <w:pPr>
        <w:pStyle w:val="FootnoteText"/>
      </w:pPr>
      <w:r>
        <w:rPr>
          <w:rStyle w:val="FootnoteReference"/>
        </w:rPr>
        <w:footnoteRef/>
      </w:r>
      <w:r>
        <w:t xml:space="preserve"> This result means that people have gained access to some kind of improved water source at an annual rate of nearly 100 million per year. This compares with the</w:t>
      </w:r>
      <w:r w:rsidRPr="004848BC">
        <w:t xml:space="preserve"> </w:t>
      </w:r>
      <w:r>
        <w:t>slightly higher annual rate of 110 million per year in the international decade of water in the 1980s, which involved only the public sector and governments, and was generally derided as a failure by the World Bank and others (according to Cashman and Ashley 2008 OECD).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97" w:rsidRPr="00652411" w:rsidRDefault="00266B97" w:rsidP="00507056">
    <w:pPr>
      <w:pStyle w:val="Header"/>
      <w:pBdr>
        <w:bottom w:val="single" w:sz="4" w:space="1" w:color="FF0000"/>
      </w:pBdr>
      <w:rPr>
        <w:rFonts w:cs="Lucida Sans Unicode"/>
        <w:sz w:val="16"/>
        <w:szCs w:val="16"/>
      </w:rPr>
    </w:pPr>
    <w:r w:rsidRPr="00652411">
      <w:rPr>
        <w:rFonts w:cs="Lucida Sans Unicode"/>
        <w:sz w:val="16"/>
        <w:szCs w:val="16"/>
      </w:rPr>
      <w:t xml:space="preserve">PSIRU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B97" w:rsidRPr="00DD1FC3" w:rsidRDefault="00266B97"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F253EC3"/>
    <w:multiLevelType w:val="hybridMultilevel"/>
    <w:tmpl w:val="09985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B5700AC"/>
    <w:multiLevelType w:val="hybridMultilevel"/>
    <w:tmpl w:val="6D4EB852"/>
    <w:lvl w:ilvl="0" w:tplc="A088F8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461D85"/>
    <w:multiLevelType w:val="multilevel"/>
    <w:tmpl w:val="52723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C2F4BC1"/>
    <w:multiLevelType w:val="hybridMultilevel"/>
    <w:tmpl w:val="E11C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6355656"/>
    <w:multiLevelType w:val="multilevel"/>
    <w:tmpl w:val="C2223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A8820D4"/>
    <w:multiLevelType w:val="hybridMultilevel"/>
    <w:tmpl w:val="19949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9">
    <w:nsid w:val="57B75ACD"/>
    <w:multiLevelType w:val="hybridMultilevel"/>
    <w:tmpl w:val="7906751C"/>
    <w:lvl w:ilvl="0" w:tplc="18E0BB74">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D98602D"/>
    <w:multiLevelType w:val="multilevel"/>
    <w:tmpl w:val="AD36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3C53818"/>
    <w:multiLevelType w:val="hybridMultilevel"/>
    <w:tmpl w:val="A590334C"/>
    <w:lvl w:ilvl="0" w:tplc="2132DA98">
      <w:numFmt w:val="bullet"/>
      <w:lvlText w:val="-"/>
      <w:lvlJc w:val="left"/>
      <w:pPr>
        <w:tabs>
          <w:tab w:val="num" w:pos="360"/>
        </w:tabs>
        <w:ind w:left="360" w:hanging="360"/>
      </w:pPr>
      <w:rPr>
        <w:rFonts w:ascii="Calibri" w:eastAsia="Times New Roman" w:hAnsi="Calibri"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676845FF"/>
    <w:multiLevelType w:val="hybridMultilevel"/>
    <w:tmpl w:val="47366516"/>
    <w:lvl w:ilvl="0" w:tplc="9BA6DF7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8"/>
  </w:num>
  <w:num w:numId="2">
    <w:abstractNumId w:val="11"/>
  </w:num>
  <w:num w:numId="3">
    <w:abstractNumId w:val="18"/>
  </w:num>
  <w:num w:numId="4">
    <w:abstractNumId w:val="34"/>
  </w:num>
  <w:num w:numId="5">
    <w:abstractNumId w:val="10"/>
  </w:num>
  <w:num w:numId="6">
    <w:abstractNumId w:val="12"/>
  </w:num>
  <w:num w:numId="7">
    <w:abstractNumId w:val="33"/>
  </w:num>
  <w:num w:numId="8">
    <w:abstractNumId w:val="40"/>
  </w:num>
  <w:num w:numId="9">
    <w:abstractNumId w:val="37"/>
  </w:num>
  <w:num w:numId="10">
    <w:abstractNumId w:val="24"/>
  </w:num>
  <w:num w:numId="11">
    <w:abstractNumId w:val="38"/>
  </w:num>
  <w:num w:numId="12">
    <w:abstractNumId w:val="15"/>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20"/>
  </w:num>
  <w:num w:numId="24">
    <w:abstractNumId w:val="27"/>
  </w:num>
  <w:num w:numId="25">
    <w:abstractNumId w:val="25"/>
  </w:num>
  <w:num w:numId="26">
    <w:abstractNumId w:val="30"/>
  </w:num>
  <w:num w:numId="27">
    <w:abstractNumId w:val="14"/>
  </w:num>
  <w:num w:numId="28">
    <w:abstractNumId w:val="22"/>
  </w:num>
  <w:num w:numId="29">
    <w:abstractNumId w:val="26"/>
  </w:num>
  <w:num w:numId="30">
    <w:abstractNumId w:val="39"/>
  </w:num>
  <w:num w:numId="31">
    <w:abstractNumId w:val="31"/>
  </w:num>
  <w:num w:numId="32">
    <w:abstractNumId w:val="13"/>
  </w:num>
  <w:num w:numId="33">
    <w:abstractNumId w:val="19"/>
  </w:num>
  <w:num w:numId="34">
    <w:abstractNumId w:val="36"/>
  </w:num>
  <w:num w:numId="35">
    <w:abstractNumId w:val="32"/>
  </w:num>
  <w:num w:numId="36">
    <w:abstractNumId w:val="21"/>
  </w:num>
  <w:num w:numId="37">
    <w:abstractNumId w:val="16"/>
  </w:num>
  <w:num w:numId="38">
    <w:abstractNumId w:val="29"/>
  </w:num>
  <w:num w:numId="39">
    <w:abstractNumId w:val="35"/>
  </w:num>
  <w:num w:numId="40">
    <w:abstractNumId w:val="2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D1D38AE-838C-479D-970B-7C9086356E27}"/>
    <w:docVar w:name="dgnword-eventsink" w:val="241792112"/>
  </w:docVars>
  <w:rsids>
    <w:rsidRoot w:val="00466791"/>
    <w:rsid w:val="00001E35"/>
    <w:rsid w:val="00015241"/>
    <w:rsid w:val="00016B7C"/>
    <w:rsid w:val="00020CA6"/>
    <w:rsid w:val="00024052"/>
    <w:rsid w:val="000343F1"/>
    <w:rsid w:val="00043954"/>
    <w:rsid w:val="00044B65"/>
    <w:rsid w:val="0004534B"/>
    <w:rsid w:val="0005591D"/>
    <w:rsid w:val="00057CC2"/>
    <w:rsid w:val="00064BE4"/>
    <w:rsid w:val="00076348"/>
    <w:rsid w:val="00080C1A"/>
    <w:rsid w:val="00094400"/>
    <w:rsid w:val="00097247"/>
    <w:rsid w:val="00097BDC"/>
    <w:rsid w:val="000A2AC1"/>
    <w:rsid w:val="000C094B"/>
    <w:rsid w:val="000C6C77"/>
    <w:rsid w:val="000C7227"/>
    <w:rsid w:val="000C7C79"/>
    <w:rsid w:val="000D0CB0"/>
    <w:rsid w:val="000D368E"/>
    <w:rsid w:val="000E0EF7"/>
    <w:rsid w:val="000E12DF"/>
    <w:rsid w:val="000E2742"/>
    <w:rsid w:val="000F4A0C"/>
    <w:rsid w:val="00103B63"/>
    <w:rsid w:val="00105A2A"/>
    <w:rsid w:val="0011108C"/>
    <w:rsid w:val="00114CD2"/>
    <w:rsid w:val="00116D05"/>
    <w:rsid w:val="00117F37"/>
    <w:rsid w:val="00132E16"/>
    <w:rsid w:val="00137469"/>
    <w:rsid w:val="00143A8E"/>
    <w:rsid w:val="00151642"/>
    <w:rsid w:val="00151C7D"/>
    <w:rsid w:val="0015299B"/>
    <w:rsid w:val="0015626D"/>
    <w:rsid w:val="001576ED"/>
    <w:rsid w:val="00161565"/>
    <w:rsid w:val="00161A62"/>
    <w:rsid w:val="00161EB7"/>
    <w:rsid w:val="00167305"/>
    <w:rsid w:val="00167D53"/>
    <w:rsid w:val="00177F5F"/>
    <w:rsid w:val="0019194A"/>
    <w:rsid w:val="001A2884"/>
    <w:rsid w:val="001A4A00"/>
    <w:rsid w:val="001B6713"/>
    <w:rsid w:val="001B6CA2"/>
    <w:rsid w:val="001C1BDA"/>
    <w:rsid w:val="001C2236"/>
    <w:rsid w:val="001D769C"/>
    <w:rsid w:val="001E26F1"/>
    <w:rsid w:val="001E2B21"/>
    <w:rsid w:val="001E7A9A"/>
    <w:rsid w:val="0022074A"/>
    <w:rsid w:val="0022229B"/>
    <w:rsid w:val="00223B4D"/>
    <w:rsid w:val="00223D1F"/>
    <w:rsid w:val="00223E4A"/>
    <w:rsid w:val="002264D1"/>
    <w:rsid w:val="00226559"/>
    <w:rsid w:val="00235140"/>
    <w:rsid w:val="00236951"/>
    <w:rsid w:val="00240D84"/>
    <w:rsid w:val="00245E41"/>
    <w:rsid w:val="00256ED2"/>
    <w:rsid w:val="002611B1"/>
    <w:rsid w:val="00266B97"/>
    <w:rsid w:val="002876B2"/>
    <w:rsid w:val="002904D2"/>
    <w:rsid w:val="0029262D"/>
    <w:rsid w:val="00297E47"/>
    <w:rsid w:val="002A1F6D"/>
    <w:rsid w:val="002A5BF7"/>
    <w:rsid w:val="002A622C"/>
    <w:rsid w:val="002B6799"/>
    <w:rsid w:val="002C71BE"/>
    <w:rsid w:val="002D255B"/>
    <w:rsid w:val="002D58F6"/>
    <w:rsid w:val="002E0566"/>
    <w:rsid w:val="002E14D0"/>
    <w:rsid w:val="002F2A52"/>
    <w:rsid w:val="002F576F"/>
    <w:rsid w:val="002F58B7"/>
    <w:rsid w:val="002F79EA"/>
    <w:rsid w:val="003020DD"/>
    <w:rsid w:val="003113E6"/>
    <w:rsid w:val="00316070"/>
    <w:rsid w:val="00317804"/>
    <w:rsid w:val="003319F9"/>
    <w:rsid w:val="0033613E"/>
    <w:rsid w:val="00345C23"/>
    <w:rsid w:val="003524C4"/>
    <w:rsid w:val="00352510"/>
    <w:rsid w:val="003526C5"/>
    <w:rsid w:val="00353A2B"/>
    <w:rsid w:val="00362F69"/>
    <w:rsid w:val="00364142"/>
    <w:rsid w:val="00367F16"/>
    <w:rsid w:val="003710D6"/>
    <w:rsid w:val="003742C2"/>
    <w:rsid w:val="0037703A"/>
    <w:rsid w:val="003810DB"/>
    <w:rsid w:val="00386848"/>
    <w:rsid w:val="003877E7"/>
    <w:rsid w:val="00395FDD"/>
    <w:rsid w:val="003A2E0A"/>
    <w:rsid w:val="003A5667"/>
    <w:rsid w:val="003A74E1"/>
    <w:rsid w:val="003B7D1F"/>
    <w:rsid w:val="003D4A54"/>
    <w:rsid w:val="003D4DA5"/>
    <w:rsid w:val="003E126C"/>
    <w:rsid w:val="003E1F56"/>
    <w:rsid w:val="003E3283"/>
    <w:rsid w:val="003E3BC0"/>
    <w:rsid w:val="003E64E9"/>
    <w:rsid w:val="003F0284"/>
    <w:rsid w:val="003F063D"/>
    <w:rsid w:val="003F744E"/>
    <w:rsid w:val="00410A9C"/>
    <w:rsid w:val="004234DD"/>
    <w:rsid w:val="00435083"/>
    <w:rsid w:val="00435690"/>
    <w:rsid w:val="00446BED"/>
    <w:rsid w:val="0045389C"/>
    <w:rsid w:val="00457CCC"/>
    <w:rsid w:val="0046356D"/>
    <w:rsid w:val="00466791"/>
    <w:rsid w:val="00470656"/>
    <w:rsid w:val="004722B9"/>
    <w:rsid w:val="00481131"/>
    <w:rsid w:val="00481F94"/>
    <w:rsid w:val="004848BC"/>
    <w:rsid w:val="00485569"/>
    <w:rsid w:val="0048580A"/>
    <w:rsid w:val="00486E8F"/>
    <w:rsid w:val="004A2047"/>
    <w:rsid w:val="004A21BE"/>
    <w:rsid w:val="004B05C3"/>
    <w:rsid w:val="004C1151"/>
    <w:rsid w:val="004C6589"/>
    <w:rsid w:val="004E3457"/>
    <w:rsid w:val="004F58E8"/>
    <w:rsid w:val="005019D9"/>
    <w:rsid w:val="00507052"/>
    <w:rsid w:val="00507056"/>
    <w:rsid w:val="00515D49"/>
    <w:rsid w:val="00520EAA"/>
    <w:rsid w:val="00521B80"/>
    <w:rsid w:val="0052568E"/>
    <w:rsid w:val="00533BEB"/>
    <w:rsid w:val="00536E7E"/>
    <w:rsid w:val="00546EAA"/>
    <w:rsid w:val="00547333"/>
    <w:rsid w:val="00547D2D"/>
    <w:rsid w:val="005542AF"/>
    <w:rsid w:val="00555FD6"/>
    <w:rsid w:val="005660D3"/>
    <w:rsid w:val="005702D7"/>
    <w:rsid w:val="0057457B"/>
    <w:rsid w:val="00575828"/>
    <w:rsid w:val="00581285"/>
    <w:rsid w:val="005926A2"/>
    <w:rsid w:val="005A0195"/>
    <w:rsid w:val="005B3847"/>
    <w:rsid w:val="005B3A6E"/>
    <w:rsid w:val="005C1F43"/>
    <w:rsid w:val="005C2ABC"/>
    <w:rsid w:val="005C3250"/>
    <w:rsid w:val="005C4DDA"/>
    <w:rsid w:val="005E01F5"/>
    <w:rsid w:val="00600595"/>
    <w:rsid w:val="00604392"/>
    <w:rsid w:val="00607999"/>
    <w:rsid w:val="00611D1A"/>
    <w:rsid w:val="0061695B"/>
    <w:rsid w:val="0062549C"/>
    <w:rsid w:val="006350F9"/>
    <w:rsid w:val="00652411"/>
    <w:rsid w:val="006669E8"/>
    <w:rsid w:val="00670811"/>
    <w:rsid w:val="00671B6E"/>
    <w:rsid w:val="00671CDC"/>
    <w:rsid w:val="00686ED5"/>
    <w:rsid w:val="006A01A7"/>
    <w:rsid w:val="006A6035"/>
    <w:rsid w:val="006B0DAF"/>
    <w:rsid w:val="006B22C6"/>
    <w:rsid w:val="006C02DF"/>
    <w:rsid w:val="006D0A61"/>
    <w:rsid w:val="006D402A"/>
    <w:rsid w:val="006E2191"/>
    <w:rsid w:val="006E2D67"/>
    <w:rsid w:val="006E3235"/>
    <w:rsid w:val="006E700F"/>
    <w:rsid w:val="006E7F11"/>
    <w:rsid w:val="006F51D9"/>
    <w:rsid w:val="0071053D"/>
    <w:rsid w:val="00715B9D"/>
    <w:rsid w:val="00725BCC"/>
    <w:rsid w:val="00727732"/>
    <w:rsid w:val="00733E65"/>
    <w:rsid w:val="00741B80"/>
    <w:rsid w:val="00742AEB"/>
    <w:rsid w:val="00755604"/>
    <w:rsid w:val="00763C7C"/>
    <w:rsid w:val="007661E1"/>
    <w:rsid w:val="007669A6"/>
    <w:rsid w:val="00776337"/>
    <w:rsid w:val="0078087D"/>
    <w:rsid w:val="00781589"/>
    <w:rsid w:val="007853D3"/>
    <w:rsid w:val="00785AC1"/>
    <w:rsid w:val="007934FC"/>
    <w:rsid w:val="00794F3E"/>
    <w:rsid w:val="007A0929"/>
    <w:rsid w:val="007A1995"/>
    <w:rsid w:val="007A42AA"/>
    <w:rsid w:val="007A549D"/>
    <w:rsid w:val="007B1F8A"/>
    <w:rsid w:val="007B45CD"/>
    <w:rsid w:val="007C1F2E"/>
    <w:rsid w:val="007D0FD8"/>
    <w:rsid w:val="007D337E"/>
    <w:rsid w:val="007D3F74"/>
    <w:rsid w:val="007D4784"/>
    <w:rsid w:val="007E3EA1"/>
    <w:rsid w:val="007E71BC"/>
    <w:rsid w:val="00811BE6"/>
    <w:rsid w:val="008138F7"/>
    <w:rsid w:val="00814BF3"/>
    <w:rsid w:val="00817637"/>
    <w:rsid w:val="008242F8"/>
    <w:rsid w:val="0082685A"/>
    <w:rsid w:val="0083042D"/>
    <w:rsid w:val="008350A7"/>
    <w:rsid w:val="00846145"/>
    <w:rsid w:val="0084627D"/>
    <w:rsid w:val="008471CC"/>
    <w:rsid w:val="0085053C"/>
    <w:rsid w:val="0086015F"/>
    <w:rsid w:val="00867347"/>
    <w:rsid w:val="00872A22"/>
    <w:rsid w:val="0089241A"/>
    <w:rsid w:val="008964E7"/>
    <w:rsid w:val="008A3D5B"/>
    <w:rsid w:val="008A7715"/>
    <w:rsid w:val="008A7A6D"/>
    <w:rsid w:val="008C0974"/>
    <w:rsid w:val="008C5448"/>
    <w:rsid w:val="008D7595"/>
    <w:rsid w:val="008E2687"/>
    <w:rsid w:val="008E4F17"/>
    <w:rsid w:val="008F3754"/>
    <w:rsid w:val="008F397F"/>
    <w:rsid w:val="009024C6"/>
    <w:rsid w:val="009121E9"/>
    <w:rsid w:val="00913489"/>
    <w:rsid w:val="009148AB"/>
    <w:rsid w:val="009161AE"/>
    <w:rsid w:val="009218D1"/>
    <w:rsid w:val="009317DD"/>
    <w:rsid w:val="0094625C"/>
    <w:rsid w:val="00966636"/>
    <w:rsid w:val="00981605"/>
    <w:rsid w:val="009B0340"/>
    <w:rsid w:val="009B0DB1"/>
    <w:rsid w:val="009B3200"/>
    <w:rsid w:val="009C3D6B"/>
    <w:rsid w:val="009E6CA9"/>
    <w:rsid w:val="009F4F54"/>
    <w:rsid w:val="00A020FD"/>
    <w:rsid w:val="00A2695B"/>
    <w:rsid w:val="00A32A8F"/>
    <w:rsid w:val="00A3302B"/>
    <w:rsid w:val="00A35EF2"/>
    <w:rsid w:val="00A4432F"/>
    <w:rsid w:val="00A47B79"/>
    <w:rsid w:val="00A529F1"/>
    <w:rsid w:val="00A745FE"/>
    <w:rsid w:val="00A76740"/>
    <w:rsid w:val="00A80547"/>
    <w:rsid w:val="00A91A03"/>
    <w:rsid w:val="00A941BD"/>
    <w:rsid w:val="00AA1B48"/>
    <w:rsid w:val="00AB7DC6"/>
    <w:rsid w:val="00AC5EA8"/>
    <w:rsid w:val="00AD181A"/>
    <w:rsid w:val="00AD52BE"/>
    <w:rsid w:val="00AE56E5"/>
    <w:rsid w:val="00AF7F07"/>
    <w:rsid w:val="00B05F6D"/>
    <w:rsid w:val="00B063B1"/>
    <w:rsid w:val="00B148E9"/>
    <w:rsid w:val="00B1664F"/>
    <w:rsid w:val="00B243B8"/>
    <w:rsid w:val="00B33111"/>
    <w:rsid w:val="00B3769F"/>
    <w:rsid w:val="00B42DFD"/>
    <w:rsid w:val="00B50157"/>
    <w:rsid w:val="00B542E2"/>
    <w:rsid w:val="00B55310"/>
    <w:rsid w:val="00B60BE5"/>
    <w:rsid w:val="00B62B2D"/>
    <w:rsid w:val="00B85FE3"/>
    <w:rsid w:val="00B94AD6"/>
    <w:rsid w:val="00B95264"/>
    <w:rsid w:val="00BB7068"/>
    <w:rsid w:val="00BC542A"/>
    <w:rsid w:val="00BE3126"/>
    <w:rsid w:val="00BE6463"/>
    <w:rsid w:val="00BF329C"/>
    <w:rsid w:val="00BF72F4"/>
    <w:rsid w:val="00C047E9"/>
    <w:rsid w:val="00C121D8"/>
    <w:rsid w:val="00C15A03"/>
    <w:rsid w:val="00C160A3"/>
    <w:rsid w:val="00C34F52"/>
    <w:rsid w:val="00C3518A"/>
    <w:rsid w:val="00C358F0"/>
    <w:rsid w:val="00C37C0A"/>
    <w:rsid w:val="00C4437C"/>
    <w:rsid w:val="00C465EC"/>
    <w:rsid w:val="00C53748"/>
    <w:rsid w:val="00C6076C"/>
    <w:rsid w:val="00C62DF8"/>
    <w:rsid w:val="00C71BE4"/>
    <w:rsid w:val="00C72621"/>
    <w:rsid w:val="00C83669"/>
    <w:rsid w:val="00C83C7C"/>
    <w:rsid w:val="00C9294D"/>
    <w:rsid w:val="00C94817"/>
    <w:rsid w:val="00CA0BE2"/>
    <w:rsid w:val="00CA27EF"/>
    <w:rsid w:val="00CB2CFE"/>
    <w:rsid w:val="00CC04D2"/>
    <w:rsid w:val="00CC2195"/>
    <w:rsid w:val="00CC2ABC"/>
    <w:rsid w:val="00CC6A26"/>
    <w:rsid w:val="00CC77BD"/>
    <w:rsid w:val="00CD626F"/>
    <w:rsid w:val="00CE2EDB"/>
    <w:rsid w:val="00CE4ADF"/>
    <w:rsid w:val="00CF1CF2"/>
    <w:rsid w:val="00CF5C4E"/>
    <w:rsid w:val="00CF7806"/>
    <w:rsid w:val="00CF7E66"/>
    <w:rsid w:val="00D0297F"/>
    <w:rsid w:val="00D02CCF"/>
    <w:rsid w:val="00D04526"/>
    <w:rsid w:val="00D0742E"/>
    <w:rsid w:val="00D1048B"/>
    <w:rsid w:val="00D172DF"/>
    <w:rsid w:val="00D24A3D"/>
    <w:rsid w:val="00D41012"/>
    <w:rsid w:val="00D51465"/>
    <w:rsid w:val="00D51B11"/>
    <w:rsid w:val="00D63864"/>
    <w:rsid w:val="00D666C4"/>
    <w:rsid w:val="00D66EB6"/>
    <w:rsid w:val="00D70217"/>
    <w:rsid w:val="00D71F5E"/>
    <w:rsid w:val="00D741C2"/>
    <w:rsid w:val="00D8002E"/>
    <w:rsid w:val="00D83FD7"/>
    <w:rsid w:val="00D85C94"/>
    <w:rsid w:val="00D90026"/>
    <w:rsid w:val="00DA41A4"/>
    <w:rsid w:val="00DB6ECF"/>
    <w:rsid w:val="00DD1E0C"/>
    <w:rsid w:val="00DD1FC3"/>
    <w:rsid w:val="00DD41F7"/>
    <w:rsid w:val="00DE6625"/>
    <w:rsid w:val="00DF1D6C"/>
    <w:rsid w:val="00DF2826"/>
    <w:rsid w:val="00DF78C0"/>
    <w:rsid w:val="00E0184D"/>
    <w:rsid w:val="00E06B7E"/>
    <w:rsid w:val="00E074B5"/>
    <w:rsid w:val="00E16B57"/>
    <w:rsid w:val="00E16EE5"/>
    <w:rsid w:val="00E21735"/>
    <w:rsid w:val="00E2546B"/>
    <w:rsid w:val="00E34651"/>
    <w:rsid w:val="00E3576B"/>
    <w:rsid w:val="00E36A80"/>
    <w:rsid w:val="00E4229E"/>
    <w:rsid w:val="00E43B99"/>
    <w:rsid w:val="00E472CF"/>
    <w:rsid w:val="00E505F3"/>
    <w:rsid w:val="00E57870"/>
    <w:rsid w:val="00E57B30"/>
    <w:rsid w:val="00E608A3"/>
    <w:rsid w:val="00E641E1"/>
    <w:rsid w:val="00E642EA"/>
    <w:rsid w:val="00E6732D"/>
    <w:rsid w:val="00E77A7E"/>
    <w:rsid w:val="00E93C12"/>
    <w:rsid w:val="00EA5A74"/>
    <w:rsid w:val="00EA6204"/>
    <w:rsid w:val="00EB2128"/>
    <w:rsid w:val="00EB34E4"/>
    <w:rsid w:val="00EC3651"/>
    <w:rsid w:val="00EC4FDE"/>
    <w:rsid w:val="00EC6184"/>
    <w:rsid w:val="00EE454A"/>
    <w:rsid w:val="00EE4E88"/>
    <w:rsid w:val="00EE58A5"/>
    <w:rsid w:val="00EF108E"/>
    <w:rsid w:val="00F04A15"/>
    <w:rsid w:val="00F20695"/>
    <w:rsid w:val="00F224C5"/>
    <w:rsid w:val="00F24AB5"/>
    <w:rsid w:val="00F30F7F"/>
    <w:rsid w:val="00F35389"/>
    <w:rsid w:val="00F37E90"/>
    <w:rsid w:val="00F44833"/>
    <w:rsid w:val="00F459A4"/>
    <w:rsid w:val="00F53390"/>
    <w:rsid w:val="00F538AB"/>
    <w:rsid w:val="00F57316"/>
    <w:rsid w:val="00F57FAF"/>
    <w:rsid w:val="00F64715"/>
    <w:rsid w:val="00F65183"/>
    <w:rsid w:val="00F800B3"/>
    <w:rsid w:val="00F81942"/>
    <w:rsid w:val="00F90535"/>
    <w:rsid w:val="00F94C54"/>
    <w:rsid w:val="00F94C74"/>
    <w:rsid w:val="00FA4A72"/>
    <w:rsid w:val="00FA4BD3"/>
    <w:rsid w:val="00FA7870"/>
    <w:rsid w:val="00FB2CFC"/>
    <w:rsid w:val="00FD0B00"/>
    <w:rsid w:val="00FD1AE1"/>
    <w:rsid w:val="00FD1B91"/>
    <w:rsid w:val="00FD2072"/>
    <w:rsid w:val="00FF2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ostalCod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40"/>
    <w:rPr>
      <w:rFonts w:ascii="Calibri" w:hAnsi="Calibri"/>
      <w:sz w:val="22"/>
      <w:szCs w:val="24"/>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 Char Char,Endnote Text Char Char Char Char,Endnote Text Char Char Char Char Char Char Char,Endnote Text Char1,Endnote Text Char Char,Endnote Text Char Char Char Char1,Endnote Text Char Char Char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link w:val="HTMLPreformattedChar"/>
    <w:uiPriority w:val="99"/>
    <w:semiHidden/>
    <w:rsid w:val="007B1F8A"/>
    <w:rPr>
      <w:rFonts w:ascii="Courier New" w:hAnsi="Courier New"/>
      <w:sz w:val="20"/>
      <w:szCs w:val="20"/>
      <w:lang w:val="x-none" w:eastAsia="x-none"/>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link w:val="TitleChar"/>
    <w:qFormat/>
    <w:rsid w:val="007B1F8A"/>
    <w:pPr>
      <w:spacing w:before="240" w:after="60"/>
      <w:jc w:val="center"/>
      <w:outlineLvl w:val="0"/>
    </w:pPr>
    <w:rPr>
      <w:rFonts w:ascii="Lucida Sans Unicode" w:hAnsi="Lucida Sans Unicode"/>
      <w:b/>
      <w:bCs/>
      <w:color w:val="FF0000"/>
      <w:kern w:val="28"/>
      <w:sz w:val="36"/>
      <w:szCs w:val="32"/>
      <w:lang w:val="x-none" w:eastAsia="x-none"/>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semiHidden/>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cs="Tahoma"/>
      <w:sz w:val="16"/>
    </w:rPr>
  </w:style>
  <w:style w:type="paragraph" w:styleId="BalloonText">
    <w:name w:val="Balloon Text"/>
    <w:basedOn w:val="Normal"/>
    <w:link w:val="BalloonTextChar"/>
    <w:uiPriority w:val="99"/>
    <w:semiHidden/>
    <w:unhideWhenUsed/>
    <w:rsid w:val="005926A2"/>
    <w:rPr>
      <w:rFonts w:ascii="Tahoma" w:hAnsi="Tahoma"/>
      <w:sz w:val="16"/>
      <w:szCs w:val="16"/>
      <w:lang w:val="x-none" w:eastAsia="x-none"/>
    </w:rPr>
  </w:style>
  <w:style w:type="character" w:customStyle="1" w:styleId="BalloonTextChar">
    <w:name w:val="Balloon Text Char"/>
    <w:link w:val="BalloonText"/>
    <w:uiPriority w:val="99"/>
    <w:semiHidden/>
    <w:rsid w:val="005926A2"/>
    <w:rPr>
      <w:rFonts w:ascii="Tahoma" w:hAnsi="Tahoma" w:cs="Tahoma"/>
      <w:sz w:val="16"/>
      <w:szCs w:val="16"/>
    </w:rPr>
  </w:style>
  <w:style w:type="paragraph" w:styleId="FootnoteText">
    <w:name w:val="footnote text"/>
    <w:basedOn w:val="Normal"/>
    <w:link w:val="FootnoteTextChar"/>
    <w:uiPriority w:val="99"/>
    <w:semiHidden/>
    <w:unhideWhenUsed/>
    <w:rsid w:val="00DB6ECF"/>
    <w:rPr>
      <w:sz w:val="20"/>
      <w:szCs w:val="20"/>
    </w:rPr>
  </w:style>
  <w:style w:type="character" w:customStyle="1" w:styleId="FootnoteTextChar">
    <w:name w:val="Footnote Text Char"/>
    <w:basedOn w:val="DefaultParagraphFont"/>
    <w:link w:val="FootnoteText"/>
    <w:uiPriority w:val="99"/>
    <w:semiHidden/>
    <w:rsid w:val="00DB6ECF"/>
  </w:style>
  <w:style w:type="character" w:styleId="FootnoteReference">
    <w:name w:val="footnote reference"/>
    <w:uiPriority w:val="99"/>
    <w:semiHidden/>
    <w:unhideWhenUsed/>
    <w:rsid w:val="00DB6ECF"/>
    <w:rPr>
      <w:vertAlign w:val="superscript"/>
    </w:rPr>
  </w:style>
  <w:style w:type="character" w:styleId="EndnoteReference">
    <w:name w:val="endnote reference"/>
    <w:semiHidden/>
    <w:unhideWhenUsed/>
    <w:rsid w:val="00DB6ECF"/>
    <w:rPr>
      <w:vertAlign w:val="superscript"/>
    </w:rPr>
  </w:style>
  <w:style w:type="table" w:styleId="TableGrid">
    <w:name w:val="Table Grid"/>
    <w:basedOn w:val="TableNormal"/>
    <w:rsid w:val="00C0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ink w:val="HTMLPreformatted"/>
    <w:uiPriority w:val="99"/>
    <w:semiHidden/>
    <w:rsid w:val="00D0742E"/>
    <w:rPr>
      <w:rFonts w:ascii="Courier New" w:hAnsi="Courier New" w:cs="Courier New"/>
    </w:rPr>
  </w:style>
  <w:style w:type="paragraph" w:styleId="TOCHeading">
    <w:name w:val="TOC Heading"/>
    <w:basedOn w:val="Heading1"/>
    <w:next w:val="Normal"/>
    <w:uiPriority w:val="39"/>
    <w:semiHidden/>
    <w:unhideWhenUsed/>
    <w:qFormat/>
    <w:rsid w:val="00E641E1"/>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character" w:customStyle="1" w:styleId="update-date">
    <w:name w:val="update-date"/>
    <w:basedOn w:val="DefaultParagraphFont"/>
    <w:rsid w:val="00C121D8"/>
  </w:style>
  <w:style w:type="character" w:customStyle="1" w:styleId="EndnoteTextChar">
    <w:name w:val="Endnote Text Char"/>
    <w:aliases w:val="Endnote Text Char Char Char Char2,Endnote Text Char Char Char Char Char1,Endnote Text Char Char Char Char Char Char Char Char,Endnote Text Char1 Char,Endnote Text Char Char Char1,Endnote Text Char Char Char Char1 Char"/>
    <w:link w:val="EndnoteText"/>
    <w:rsid w:val="00E57870"/>
  </w:style>
  <w:style w:type="character" w:customStyle="1" w:styleId="title0">
    <w:name w:val="title"/>
    <w:basedOn w:val="DefaultParagraphFont"/>
    <w:rsid w:val="0046356D"/>
  </w:style>
  <w:style w:type="character" w:customStyle="1" w:styleId="ital">
    <w:name w:val="ital"/>
    <w:basedOn w:val="DefaultParagraphFont"/>
    <w:rsid w:val="0046356D"/>
  </w:style>
  <w:style w:type="paragraph" w:customStyle="1" w:styleId="Default">
    <w:name w:val="Default"/>
    <w:rsid w:val="002D255B"/>
    <w:pPr>
      <w:autoSpaceDE w:val="0"/>
      <w:autoSpaceDN w:val="0"/>
      <w:adjustRightInd w:val="0"/>
    </w:pPr>
    <w:rPr>
      <w:rFonts w:ascii="Lucida Sans Unicode" w:hAnsi="Lucida Sans Unicode" w:cs="Lucida Sans Unicode"/>
      <w:color w:val="000000"/>
      <w:sz w:val="24"/>
      <w:szCs w:val="24"/>
    </w:rPr>
  </w:style>
  <w:style w:type="character" w:styleId="CommentReference">
    <w:name w:val="annotation reference"/>
    <w:uiPriority w:val="99"/>
    <w:semiHidden/>
    <w:unhideWhenUsed/>
    <w:rsid w:val="00D741C2"/>
    <w:rPr>
      <w:sz w:val="16"/>
      <w:szCs w:val="16"/>
    </w:rPr>
  </w:style>
  <w:style w:type="paragraph" w:styleId="CommentText">
    <w:name w:val="annotation text"/>
    <w:basedOn w:val="Normal"/>
    <w:link w:val="CommentTextChar"/>
    <w:uiPriority w:val="99"/>
    <w:semiHidden/>
    <w:unhideWhenUsed/>
    <w:rsid w:val="00D741C2"/>
    <w:rPr>
      <w:sz w:val="20"/>
      <w:szCs w:val="20"/>
    </w:rPr>
  </w:style>
  <w:style w:type="character" w:customStyle="1" w:styleId="CommentTextChar">
    <w:name w:val="Comment Text Char"/>
    <w:basedOn w:val="DefaultParagraphFont"/>
    <w:link w:val="CommentText"/>
    <w:uiPriority w:val="99"/>
    <w:semiHidden/>
    <w:rsid w:val="00D741C2"/>
  </w:style>
  <w:style w:type="paragraph" w:styleId="CommentSubject">
    <w:name w:val="annotation subject"/>
    <w:basedOn w:val="CommentText"/>
    <w:next w:val="CommentText"/>
    <w:link w:val="CommentSubjectChar"/>
    <w:uiPriority w:val="99"/>
    <w:semiHidden/>
    <w:unhideWhenUsed/>
    <w:rsid w:val="00D741C2"/>
    <w:rPr>
      <w:rFonts w:ascii="Times New Roman" w:hAnsi="Times New Roman"/>
      <w:b/>
      <w:bCs/>
      <w:lang w:val="x-none" w:eastAsia="x-none"/>
    </w:rPr>
  </w:style>
  <w:style w:type="character" w:customStyle="1" w:styleId="CommentSubjectChar">
    <w:name w:val="Comment Subject Char"/>
    <w:link w:val="CommentSubject"/>
    <w:uiPriority w:val="99"/>
    <w:semiHidden/>
    <w:rsid w:val="00D741C2"/>
    <w:rPr>
      <w:b/>
      <w:bCs/>
    </w:rPr>
  </w:style>
  <w:style w:type="character" w:customStyle="1" w:styleId="TitleChar">
    <w:name w:val="Title Char"/>
    <w:link w:val="Title"/>
    <w:rsid w:val="00353A2B"/>
    <w:rPr>
      <w:rFonts w:ascii="Lucida Sans Unicode" w:hAnsi="Lucida Sans Unicode" w:cs="Arial"/>
      <w:b/>
      <w:bCs/>
      <w:color w:val="FF0000"/>
      <w:kern w:val="28"/>
      <w:sz w:val="36"/>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740"/>
    <w:rPr>
      <w:rFonts w:ascii="Calibri" w:hAnsi="Calibri"/>
      <w:sz w:val="22"/>
      <w:szCs w:val="24"/>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qFormat/>
    <w:rsid w:val="007B1F8A"/>
    <w:rPr>
      <w:i/>
      <w:iCs/>
    </w:rPr>
  </w:style>
  <w:style w:type="paragraph" w:styleId="EndnoteText">
    <w:name w:val="endnote text"/>
    <w:aliases w:val="Endnote Text Char Char Char,Endnote Text Char Char Char Char,Endnote Text Char Char Char Char Char Char Char,Endnote Text Char1,Endnote Text Char Char,Endnote Text Char Char Char Char1,Endnote Text Char Char Char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link w:val="HTMLPreformattedChar"/>
    <w:uiPriority w:val="99"/>
    <w:semiHidden/>
    <w:rsid w:val="007B1F8A"/>
    <w:rPr>
      <w:rFonts w:ascii="Courier New" w:hAnsi="Courier New"/>
      <w:sz w:val="20"/>
      <w:szCs w:val="20"/>
      <w:lang w:val="x-none" w:eastAsia="x-none"/>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link w:val="TitleChar"/>
    <w:qFormat/>
    <w:rsid w:val="007B1F8A"/>
    <w:pPr>
      <w:spacing w:before="240" w:after="60"/>
      <w:jc w:val="center"/>
      <w:outlineLvl w:val="0"/>
    </w:pPr>
    <w:rPr>
      <w:rFonts w:ascii="Lucida Sans Unicode" w:hAnsi="Lucida Sans Unicode"/>
      <w:b/>
      <w:bCs/>
      <w:color w:val="FF0000"/>
      <w:kern w:val="28"/>
      <w:sz w:val="36"/>
      <w:szCs w:val="32"/>
      <w:lang w:val="x-none" w:eastAsia="x-none"/>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semiHidden/>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cs="Tahoma"/>
      <w:sz w:val="16"/>
    </w:rPr>
  </w:style>
  <w:style w:type="paragraph" w:styleId="BalloonText">
    <w:name w:val="Balloon Text"/>
    <w:basedOn w:val="Normal"/>
    <w:link w:val="BalloonTextChar"/>
    <w:uiPriority w:val="99"/>
    <w:semiHidden/>
    <w:unhideWhenUsed/>
    <w:rsid w:val="005926A2"/>
    <w:rPr>
      <w:rFonts w:ascii="Tahoma" w:hAnsi="Tahoma"/>
      <w:sz w:val="16"/>
      <w:szCs w:val="16"/>
      <w:lang w:val="x-none" w:eastAsia="x-none"/>
    </w:rPr>
  </w:style>
  <w:style w:type="character" w:customStyle="1" w:styleId="BalloonTextChar">
    <w:name w:val="Balloon Text Char"/>
    <w:link w:val="BalloonText"/>
    <w:uiPriority w:val="99"/>
    <w:semiHidden/>
    <w:rsid w:val="005926A2"/>
    <w:rPr>
      <w:rFonts w:ascii="Tahoma" w:hAnsi="Tahoma" w:cs="Tahoma"/>
      <w:sz w:val="16"/>
      <w:szCs w:val="16"/>
    </w:rPr>
  </w:style>
  <w:style w:type="paragraph" w:styleId="FootnoteText">
    <w:name w:val="footnote text"/>
    <w:basedOn w:val="Normal"/>
    <w:link w:val="FootnoteTextChar"/>
    <w:uiPriority w:val="99"/>
    <w:semiHidden/>
    <w:unhideWhenUsed/>
    <w:rsid w:val="00DB6ECF"/>
    <w:rPr>
      <w:sz w:val="20"/>
      <w:szCs w:val="20"/>
    </w:rPr>
  </w:style>
  <w:style w:type="character" w:customStyle="1" w:styleId="FootnoteTextChar">
    <w:name w:val="Footnote Text Char"/>
    <w:basedOn w:val="DefaultParagraphFont"/>
    <w:link w:val="FootnoteText"/>
    <w:uiPriority w:val="99"/>
    <w:semiHidden/>
    <w:rsid w:val="00DB6ECF"/>
  </w:style>
  <w:style w:type="character" w:styleId="FootnoteReference">
    <w:name w:val="footnote reference"/>
    <w:uiPriority w:val="99"/>
    <w:semiHidden/>
    <w:unhideWhenUsed/>
    <w:rsid w:val="00DB6ECF"/>
    <w:rPr>
      <w:vertAlign w:val="superscript"/>
    </w:rPr>
  </w:style>
  <w:style w:type="character" w:styleId="EndnoteReference">
    <w:name w:val="endnote reference"/>
    <w:semiHidden/>
    <w:unhideWhenUsed/>
    <w:rsid w:val="00DB6ECF"/>
    <w:rPr>
      <w:vertAlign w:val="superscript"/>
    </w:rPr>
  </w:style>
  <w:style w:type="table" w:styleId="TableGrid">
    <w:name w:val="Table Grid"/>
    <w:basedOn w:val="TableNormal"/>
    <w:rsid w:val="00C04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ink w:val="HTMLPreformatted"/>
    <w:uiPriority w:val="99"/>
    <w:semiHidden/>
    <w:rsid w:val="00D0742E"/>
    <w:rPr>
      <w:rFonts w:ascii="Courier New" w:hAnsi="Courier New" w:cs="Courier New"/>
    </w:rPr>
  </w:style>
  <w:style w:type="paragraph" w:styleId="TOCHeading">
    <w:name w:val="TOC Heading"/>
    <w:basedOn w:val="Heading1"/>
    <w:next w:val="Normal"/>
    <w:uiPriority w:val="39"/>
    <w:semiHidden/>
    <w:unhideWhenUsed/>
    <w:qFormat/>
    <w:rsid w:val="00E641E1"/>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character" w:customStyle="1" w:styleId="update-date">
    <w:name w:val="update-date"/>
    <w:basedOn w:val="DefaultParagraphFont"/>
    <w:rsid w:val="00C121D8"/>
  </w:style>
  <w:style w:type="character" w:customStyle="1" w:styleId="EndnoteTextChar">
    <w:name w:val="Endnote Text Char"/>
    <w:aliases w:val="Endnote Text Char Char Char Char2,Endnote Text Char Char Char Char Char1,Endnote Text Char Char Char Char Char Char Char Char,Endnote Text Char1 Char,Endnote Text Char Char Char1,Endnote Text Char Char Char Char1 Char"/>
    <w:link w:val="EndnoteText"/>
    <w:rsid w:val="00E57870"/>
  </w:style>
  <w:style w:type="character" w:customStyle="1" w:styleId="title0">
    <w:name w:val="title"/>
    <w:basedOn w:val="DefaultParagraphFont"/>
    <w:rsid w:val="0046356D"/>
  </w:style>
  <w:style w:type="character" w:customStyle="1" w:styleId="ital">
    <w:name w:val="ital"/>
    <w:basedOn w:val="DefaultParagraphFont"/>
    <w:rsid w:val="0046356D"/>
  </w:style>
  <w:style w:type="paragraph" w:customStyle="1" w:styleId="Default">
    <w:name w:val="Default"/>
    <w:rsid w:val="002D255B"/>
    <w:pPr>
      <w:autoSpaceDE w:val="0"/>
      <w:autoSpaceDN w:val="0"/>
      <w:adjustRightInd w:val="0"/>
    </w:pPr>
    <w:rPr>
      <w:rFonts w:ascii="Lucida Sans Unicode" w:hAnsi="Lucida Sans Unicode" w:cs="Lucida Sans Unicode"/>
      <w:color w:val="000000"/>
      <w:sz w:val="24"/>
      <w:szCs w:val="24"/>
    </w:rPr>
  </w:style>
  <w:style w:type="character" w:styleId="CommentReference">
    <w:name w:val="annotation reference"/>
    <w:uiPriority w:val="99"/>
    <w:semiHidden/>
    <w:unhideWhenUsed/>
    <w:rsid w:val="00D741C2"/>
    <w:rPr>
      <w:sz w:val="16"/>
      <w:szCs w:val="16"/>
    </w:rPr>
  </w:style>
  <w:style w:type="paragraph" w:styleId="CommentText">
    <w:name w:val="annotation text"/>
    <w:basedOn w:val="Normal"/>
    <w:link w:val="CommentTextChar"/>
    <w:uiPriority w:val="99"/>
    <w:semiHidden/>
    <w:unhideWhenUsed/>
    <w:rsid w:val="00D741C2"/>
    <w:rPr>
      <w:sz w:val="20"/>
      <w:szCs w:val="20"/>
    </w:rPr>
  </w:style>
  <w:style w:type="character" w:customStyle="1" w:styleId="CommentTextChar">
    <w:name w:val="Comment Text Char"/>
    <w:basedOn w:val="DefaultParagraphFont"/>
    <w:link w:val="CommentText"/>
    <w:uiPriority w:val="99"/>
    <w:semiHidden/>
    <w:rsid w:val="00D741C2"/>
  </w:style>
  <w:style w:type="paragraph" w:styleId="CommentSubject">
    <w:name w:val="annotation subject"/>
    <w:basedOn w:val="CommentText"/>
    <w:next w:val="CommentText"/>
    <w:link w:val="CommentSubjectChar"/>
    <w:uiPriority w:val="99"/>
    <w:semiHidden/>
    <w:unhideWhenUsed/>
    <w:rsid w:val="00D741C2"/>
    <w:rPr>
      <w:rFonts w:ascii="Times New Roman" w:hAnsi="Times New Roman"/>
      <w:b/>
      <w:bCs/>
      <w:lang w:val="x-none" w:eastAsia="x-none"/>
    </w:rPr>
  </w:style>
  <w:style w:type="character" w:customStyle="1" w:styleId="CommentSubjectChar">
    <w:name w:val="Comment Subject Char"/>
    <w:link w:val="CommentSubject"/>
    <w:uiPriority w:val="99"/>
    <w:semiHidden/>
    <w:rsid w:val="00D741C2"/>
    <w:rPr>
      <w:b/>
      <w:bCs/>
    </w:rPr>
  </w:style>
  <w:style w:type="character" w:customStyle="1" w:styleId="TitleChar">
    <w:name w:val="Title Char"/>
    <w:link w:val="Title"/>
    <w:rsid w:val="00353A2B"/>
    <w:rPr>
      <w:rFonts w:ascii="Lucida Sans Unicode" w:hAnsi="Lucida Sans Unicode" w:cs="Arial"/>
      <w:b/>
      <w:bCs/>
      <w:color w:val="FF0000"/>
      <w:kern w:val="28"/>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5825">
      <w:bodyDiv w:val="1"/>
      <w:marLeft w:val="0"/>
      <w:marRight w:val="0"/>
      <w:marTop w:val="0"/>
      <w:marBottom w:val="0"/>
      <w:divBdr>
        <w:top w:val="none" w:sz="0" w:space="0" w:color="auto"/>
        <w:left w:val="none" w:sz="0" w:space="0" w:color="auto"/>
        <w:bottom w:val="none" w:sz="0" w:space="0" w:color="auto"/>
        <w:right w:val="none" w:sz="0" w:space="0" w:color="auto"/>
      </w:divBdr>
    </w:div>
    <w:div w:id="181092071">
      <w:bodyDiv w:val="1"/>
      <w:marLeft w:val="0"/>
      <w:marRight w:val="0"/>
      <w:marTop w:val="0"/>
      <w:marBottom w:val="0"/>
      <w:divBdr>
        <w:top w:val="none" w:sz="0" w:space="0" w:color="auto"/>
        <w:left w:val="none" w:sz="0" w:space="0" w:color="auto"/>
        <w:bottom w:val="none" w:sz="0" w:space="0" w:color="auto"/>
        <w:right w:val="none" w:sz="0" w:space="0" w:color="auto"/>
      </w:divBdr>
    </w:div>
    <w:div w:id="234972652">
      <w:bodyDiv w:val="1"/>
      <w:marLeft w:val="0"/>
      <w:marRight w:val="0"/>
      <w:marTop w:val="0"/>
      <w:marBottom w:val="0"/>
      <w:divBdr>
        <w:top w:val="none" w:sz="0" w:space="0" w:color="auto"/>
        <w:left w:val="none" w:sz="0" w:space="0" w:color="auto"/>
        <w:bottom w:val="none" w:sz="0" w:space="0" w:color="auto"/>
        <w:right w:val="none" w:sz="0" w:space="0" w:color="auto"/>
      </w:divBdr>
    </w:div>
    <w:div w:id="284776392">
      <w:bodyDiv w:val="1"/>
      <w:marLeft w:val="0"/>
      <w:marRight w:val="0"/>
      <w:marTop w:val="0"/>
      <w:marBottom w:val="0"/>
      <w:divBdr>
        <w:top w:val="none" w:sz="0" w:space="0" w:color="auto"/>
        <w:left w:val="none" w:sz="0" w:space="0" w:color="auto"/>
        <w:bottom w:val="none" w:sz="0" w:space="0" w:color="auto"/>
        <w:right w:val="none" w:sz="0" w:space="0" w:color="auto"/>
      </w:divBdr>
    </w:div>
    <w:div w:id="329019265">
      <w:bodyDiv w:val="1"/>
      <w:marLeft w:val="0"/>
      <w:marRight w:val="0"/>
      <w:marTop w:val="0"/>
      <w:marBottom w:val="0"/>
      <w:divBdr>
        <w:top w:val="none" w:sz="0" w:space="0" w:color="auto"/>
        <w:left w:val="none" w:sz="0" w:space="0" w:color="auto"/>
        <w:bottom w:val="none" w:sz="0" w:space="0" w:color="auto"/>
        <w:right w:val="none" w:sz="0" w:space="0" w:color="auto"/>
      </w:divBdr>
    </w:div>
    <w:div w:id="332414210">
      <w:bodyDiv w:val="1"/>
      <w:marLeft w:val="0"/>
      <w:marRight w:val="0"/>
      <w:marTop w:val="0"/>
      <w:marBottom w:val="0"/>
      <w:divBdr>
        <w:top w:val="none" w:sz="0" w:space="0" w:color="auto"/>
        <w:left w:val="none" w:sz="0" w:space="0" w:color="auto"/>
        <w:bottom w:val="none" w:sz="0" w:space="0" w:color="auto"/>
        <w:right w:val="none" w:sz="0" w:space="0" w:color="auto"/>
      </w:divBdr>
    </w:div>
    <w:div w:id="452015954">
      <w:bodyDiv w:val="1"/>
      <w:marLeft w:val="0"/>
      <w:marRight w:val="0"/>
      <w:marTop w:val="0"/>
      <w:marBottom w:val="0"/>
      <w:divBdr>
        <w:top w:val="none" w:sz="0" w:space="0" w:color="auto"/>
        <w:left w:val="none" w:sz="0" w:space="0" w:color="auto"/>
        <w:bottom w:val="none" w:sz="0" w:space="0" w:color="auto"/>
        <w:right w:val="none" w:sz="0" w:space="0" w:color="auto"/>
      </w:divBdr>
    </w:div>
    <w:div w:id="491675083">
      <w:bodyDiv w:val="1"/>
      <w:marLeft w:val="0"/>
      <w:marRight w:val="0"/>
      <w:marTop w:val="0"/>
      <w:marBottom w:val="0"/>
      <w:divBdr>
        <w:top w:val="none" w:sz="0" w:space="0" w:color="auto"/>
        <w:left w:val="none" w:sz="0" w:space="0" w:color="auto"/>
        <w:bottom w:val="none" w:sz="0" w:space="0" w:color="auto"/>
        <w:right w:val="none" w:sz="0" w:space="0" w:color="auto"/>
      </w:divBdr>
      <w:divsChild>
        <w:div w:id="2065326371">
          <w:marLeft w:val="0"/>
          <w:marRight w:val="0"/>
          <w:marTop w:val="0"/>
          <w:marBottom w:val="0"/>
          <w:divBdr>
            <w:top w:val="none" w:sz="0" w:space="0" w:color="auto"/>
            <w:left w:val="none" w:sz="0" w:space="0" w:color="auto"/>
            <w:bottom w:val="none" w:sz="0" w:space="0" w:color="auto"/>
            <w:right w:val="none" w:sz="0" w:space="0" w:color="auto"/>
          </w:divBdr>
        </w:div>
      </w:divsChild>
    </w:div>
    <w:div w:id="753824161">
      <w:bodyDiv w:val="1"/>
      <w:marLeft w:val="0"/>
      <w:marRight w:val="0"/>
      <w:marTop w:val="0"/>
      <w:marBottom w:val="0"/>
      <w:divBdr>
        <w:top w:val="none" w:sz="0" w:space="0" w:color="auto"/>
        <w:left w:val="none" w:sz="0" w:space="0" w:color="auto"/>
        <w:bottom w:val="none" w:sz="0" w:space="0" w:color="auto"/>
        <w:right w:val="none" w:sz="0" w:space="0" w:color="auto"/>
      </w:divBdr>
    </w:div>
    <w:div w:id="792362170">
      <w:bodyDiv w:val="1"/>
      <w:marLeft w:val="0"/>
      <w:marRight w:val="0"/>
      <w:marTop w:val="0"/>
      <w:marBottom w:val="0"/>
      <w:divBdr>
        <w:top w:val="none" w:sz="0" w:space="0" w:color="auto"/>
        <w:left w:val="none" w:sz="0" w:space="0" w:color="auto"/>
        <w:bottom w:val="none" w:sz="0" w:space="0" w:color="auto"/>
        <w:right w:val="none" w:sz="0" w:space="0" w:color="auto"/>
      </w:divBdr>
    </w:div>
    <w:div w:id="845091099">
      <w:bodyDiv w:val="1"/>
      <w:marLeft w:val="0"/>
      <w:marRight w:val="0"/>
      <w:marTop w:val="0"/>
      <w:marBottom w:val="0"/>
      <w:divBdr>
        <w:top w:val="none" w:sz="0" w:space="0" w:color="auto"/>
        <w:left w:val="none" w:sz="0" w:space="0" w:color="auto"/>
        <w:bottom w:val="none" w:sz="0" w:space="0" w:color="auto"/>
        <w:right w:val="none" w:sz="0" w:space="0" w:color="auto"/>
      </w:divBdr>
      <w:divsChild>
        <w:div w:id="495920603">
          <w:marLeft w:val="0"/>
          <w:marRight w:val="0"/>
          <w:marTop w:val="0"/>
          <w:marBottom w:val="0"/>
          <w:divBdr>
            <w:top w:val="none" w:sz="0" w:space="0" w:color="auto"/>
            <w:left w:val="none" w:sz="0" w:space="0" w:color="auto"/>
            <w:bottom w:val="none" w:sz="0" w:space="0" w:color="auto"/>
            <w:right w:val="none" w:sz="0" w:space="0" w:color="auto"/>
          </w:divBdr>
        </w:div>
        <w:div w:id="1644264191">
          <w:marLeft w:val="0"/>
          <w:marRight w:val="0"/>
          <w:marTop w:val="0"/>
          <w:marBottom w:val="0"/>
          <w:divBdr>
            <w:top w:val="none" w:sz="0" w:space="0" w:color="auto"/>
            <w:left w:val="none" w:sz="0" w:space="0" w:color="auto"/>
            <w:bottom w:val="none" w:sz="0" w:space="0" w:color="auto"/>
            <w:right w:val="none" w:sz="0" w:space="0" w:color="auto"/>
          </w:divBdr>
          <w:divsChild>
            <w:div w:id="1752655935">
              <w:marLeft w:val="0"/>
              <w:marRight w:val="0"/>
              <w:marTop w:val="0"/>
              <w:marBottom w:val="0"/>
              <w:divBdr>
                <w:top w:val="none" w:sz="0" w:space="0" w:color="auto"/>
                <w:left w:val="none" w:sz="0" w:space="0" w:color="auto"/>
                <w:bottom w:val="none" w:sz="0" w:space="0" w:color="auto"/>
                <w:right w:val="none" w:sz="0" w:space="0" w:color="auto"/>
              </w:divBdr>
              <w:divsChild>
                <w:div w:id="287245035">
                  <w:marLeft w:val="0"/>
                  <w:marRight w:val="0"/>
                  <w:marTop w:val="0"/>
                  <w:marBottom w:val="0"/>
                  <w:divBdr>
                    <w:top w:val="none" w:sz="0" w:space="0" w:color="auto"/>
                    <w:left w:val="none" w:sz="0" w:space="0" w:color="auto"/>
                    <w:bottom w:val="none" w:sz="0" w:space="0" w:color="auto"/>
                    <w:right w:val="none" w:sz="0" w:space="0" w:color="auto"/>
                  </w:divBdr>
                </w:div>
                <w:div w:id="17399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4556">
      <w:bodyDiv w:val="1"/>
      <w:marLeft w:val="0"/>
      <w:marRight w:val="0"/>
      <w:marTop w:val="0"/>
      <w:marBottom w:val="0"/>
      <w:divBdr>
        <w:top w:val="none" w:sz="0" w:space="0" w:color="auto"/>
        <w:left w:val="none" w:sz="0" w:space="0" w:color="auto"/>
        <w:bottom w:val="none" w:sz="0" w:space="0" w:color="auto"/>
        <w:right w:val="none" w:sz="0" w:space="0" w:color="auto"/>
      </w:divBdr>
    </w:div>
    <w:div w:id="940914142">
      <w:bodyDiv w:val="1"/>
      <w:marLeft w:val="0"/>
      <w:marRight w:val="0"/>
      <w:marTop w:val="0"/>
      <w:marBottom w:val="0"/>
      <w:divBdr>
        <w:top w:val="none" w:sz="0" w:space="0" w:color="auto"/>
        <w:left w:val="none" w:sz="0" w:space="0" w:color="auto"/>
        <w:bottom w:val="none" w:sz="0" w:space="0" w:color="auto"/>
        <w:right w:val="none" w:sz="0" w:space="0" w:color="auto"/>
      </w:divBdr>
    </w:div>
    <w:div w:id="988943552">
      <w:bodyDiv w:val="1"/>
      <w:marLeft w:val="0"/>
      <w:marRight w:val="0"/>
      <w:marTop w:val="0"/>
      <w:marBottom w:val="0"/>
      <w:divBdr>
        <w:top w:val="none" w:sz="0" w:space="0" w:color="auto"/>
        <w:left w:val="none" w:sz="0" w:space="0" w:color="auto"/>
        <w:bottom w:val="none" w:sz="0" w:space="0" w:color="auto"/>
        <w:right w:val="none" w:sz="0" w:space="0" w:color="auto"/>
      </w:divBdr>
    </w:div>
    <w:div w:id="1052195866">
      <w:bodyDiv w:val="1"/>
      <w:marLeft w:val="0"/>
      <w:marRight w:val="0"/>
      <w:marTop w:val="0"/>
      <w:marBottom w:val="0"/>
      <w:divBdr>
        <w:top w:val="none" w:sz="0" w:space="0" w:color="auto"/>
        <w:left w:val="none" w:sz="0" w:space="0" w:color="auto"/>
        <w:bottom w:val="none" w:sz="0" w:space="0" w:color="auto"/>
        <w:right w:val="none" w:sz="0" w:space="0" w:color="auto"/>
      </w:divBdr>
    </w:div>
    <w:div w:id="1088425378">
      <w:bodyDiv w:val="1"/>
      <w:marLeft w:val="0"/>
      <w:marRight w:val="0"/>
      <w:marTop w:val="0"/>
      <w:marBottom w:val="0"/>
      <w:divBdr>
        <w:top w:val="none" w:sz="0" w:space="0" w:color="auto"/>
        <w:left w:val="none" w:sz="0" w:space="0" w:color="auto"/>
        <w:bottom w:val="none" w:sz="0" w:space="0" w:color="auto"/>
        <w:right w:val="none" w:sz="0" w:space="0" w:color="auto"/>
      </w:divBdr>
      <w:divsChild>
        <w:div w:id="1708140215">
          <w:marLeft w:val="0"/>
          <w:marRight w:val="0"/>
          <w:marTop w:val="0"/>
          <w:marBottom w:val="0"/>
          <w:divBdr>
            <w:top w:val="none" w:sz="0" w:space="0" w:color="auto"/>
            <w:left w:val="none" w:sz="0" w:space="0" w:color="auto"/>
            <w:bottom w:val="none" w:sz="0" w:space="0" w:color="auto"/>
            <w:right w:val="none" w:sz="0" w:space="0" w:color="auto"/>
          </w:divBdr>
        </w:div>
        <w:div w:id="1903052697">
          <w:marLeft w:val="0"/>
          <w:marRight w:val="0"/>
          <w:marTop w:val="0"/>
          <w:marBottom w:val="0"/>
          <w:divBdr>
            <w:top w:val="none" w:sz="0" w:space="0" w:color="auto"/>
            <w:left w:val="none" w:sz="0" w:space="0" w:color="auto"/>
            <w:bottom w:val="none" w:sz="0" w:space="0" w:color="auto"/>
            <w:right w:val="none" w:sz="0" w:space="0" w:color="auto"/>
          </w:divBdr>
        </w:div>
      </w:divsChild>
    </w:div>
    <w:div w:id="1168784890">
      <w:bodyDiv w:val="1"/>
      <w:marLeft w:val="0"/>
      <w:marRight w:val="0"/>
      <w:marTop w:val="0"/>
      <w:marBottom w:val="0"/>
      <w:divBdr>
        <w:top w:val="none" w:sz="0" w:space="0" w:color="auto"/>
        <w:left w:val="none" w:sz="0" w:space="0" w:color="auto"/>
        <w:bottom w:val="none" w:sz="0" w:space="0" w:color="auto"/>
        <w:right w:val="none" w:sz="0" w:space="0" w:color="auto"/>
      </w:divBdr>
    </w:div>
    <w:div w:id="1240602231">
      <w:bodyDiv w:val="1"/>
      <w:marLeft w:val="0"/>
      <w:marRight w:val="0"/>
      <w:marTop w:val="0"/>
      <w:marBottom w:val="0"/>
      <w:divBdr>
        <w:top w:val="none" w:sz="0" w:space="0" w:color="auto"/>
        <w:left w:val="none" w:sz="0" w:space="0" w:color="auto"/>
        <w:bottom w:val="none" w:sz="0" w:space="0" w:color="auto"/>
        <w:right w:val="none" w:sz="0" w:space="0" w:color="auto"/>
      </w:divBdr>
      <w:divsChild>
        <w:div w:id="169413269">
          <w:marLeft w:val="0"/>
          <w:marRight w:val="0"/>
          <w:marTop w:val="0"/>
          <w:marBottom w:val="0"/>
          <w:divBdr>
            <w:top w:val="none" w:sz="0" w:space="0" w:color="auto"/>
            <w:left w:val="none" w:sz="0" w:space="0" w:color="auto"/>
            <w:bottom w:val="none" w:sz="0" w:space="0" w:color="auto"/>
            <w:right w:val="none" w:sz="0" w:space="0" w:color="auto"/>
          </w:divBdr>
        </w:div>
        <w:div w:id="561137494">
          <w:marLeft w:val="0"/>
          <w:marRight w:val="0"/>
          <w:marTop w:val="0"/>
          <w:marBottom w:val="0"/>
          <w:divBdr>
            <w:top w:val="none" w:sz="0" w:space="0" w:color="auto"/>
            <w:left w:val="none" w:sz="0" w:space="0" w:color="auto"/>
            <w:bottom w:val="none" w:sz="0" w:space="0" w:color="auto"/>
            <w:right w:val="none" w:sz="0" w:space="0" w:color="auto"/>
          </w:divBdr>
          <w:divsChild>
            <w:div w:id="691154801">
              <w:marLeft w:val="0"/>
              <w:marRight w:val="0"/>
              <w:marTop w:val="0"/>
              <w:marBottom w:val="0"/>
              <w:divBdr>
                <w:top w:val="none" w:sz="0" w:space="0" w:color="auto"/>
                <w:left w:val="none" w:sz="0" w:space="0" w:color="auto"/>
                <w:bottom w:val="none" w:sz="0" w:space="0" w:color="auto"/>
                <w:right w:val="none" w:sz="0" w:space="0" w:color="auto"/>
              </w:divBdr>
              <w:divsChild>
                <w:div w:id="53116921">
                  <w:marLeft w:val="0"/>
                  <w:marRight w:val="0"/>
                  <w:marTop w:val="0"/>
                  <w:marBottom w:val="0"/>
                  <w:divBdr>
                    <w:top w:val="none" w:sz="0" w:space="0" w:color="auto"/>
                    <w:left w:val="none" w:sz="0" w:space="0" w:color="auto"/>
                    <w:bottom w:val="none" w:sz="0" w:space="0" w:color="auto"/>
                    <w:right w:val="none" w:sz="0" w:space="0" w:color="auto"/>
                  </w:divBdr>
                </w:div>
                <w:div w:id="18106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689">
      <w:bodyDiv w:val="1"/>
      <w:marLeft w:val="0"/>
      <w:marRight w:val="0"/>
      <w:marTop w:val="0"/>
      <w:marBottom w:val="0"/>
      <w:divBdr>
        <w:top w:val="none" w:sz="0" w:space="0" w:color="auto"/>
        <w:left w:val="none" w:sz="0" w:space="0" w:color="auto"/>
        <w:bottom w:val="none" w:sz="0" w:space="0" w:color="auto"/>
        <w:right w:val="none" w:sz="0" w:space="0" w:color="auto"/>
      </w:divBdr>
    </w:div>
    <w:div w:id="1372340652">
      <w:bodyDiv w:val="1"/>
      <w:marLeft w:val="0"/>
      <w:marRight w:val="0"/>
      <w:marTop w:val="0"/>
      <w:marBottom w:val="0"/>
      <w:divBdr>
        <w:top w:val="none" w:sz="0" w:space="0" w:color="auto"/>
        <w:left w:val="none" w:sz="0" w:space="0" w:color="auto"/>
        <w:bottom w:val="none" w:sz="0" w:space="0" w:color="auto"/>
        <w:right w:val="none" w:sz="0" w:space="0" w:color="auto"/>
      </w:divBdr>
    </w:div>
    <w:div w:id="1382902266">
      <w:bodyDiv w:val="1"/>
      <w:marLeft w:val="0"/>
      <w:marRight w:val="0"/>
      <w:marTop w:val="0"/>
      <w:marBottom w:val="0"/>
      <w:divBdr>
        <w:top w:val="none" w:sz="0" w:space="0" w:color="auto"/>
        <w:left w:val="none" w:sz="0" w:space="0" w:color="auto"/>
        <w:bottom w:val="none" w:sz="0" w:space="0" w:color="auto"/>
        <w:right w:val="none" w:sz="0" w:space="0" w:color="auto"/>
      </w:divBdr>
    </w:div>
    <w:div w:id="1389569764">
      <w:bodyDiv w:val="1"/>
      <w:marLeft w:val="0"/>
      <w:marRight w:val="0"/>
      <w:marTop w:val="0"/>
      <w:marBottom w:val="0"/>
      <w:divBdr>
        <w:top w:val="none" w:sz="0" w:space="0" w:color="auto"/>
        <w:left w:val="none" w:sz="0" w:space="0" w:color="auto"/>
        <w:bottom w:val="none" w:sz="0" w:space="0" w:color="auto"/>
        <w:right w:val="none" w:sz="0" w:space="0" w:color="auto"/>
      </w:divBdr>
      <w:divsChild>
        <w:div w:id="572471846">
          <w:marLeft w:val="0"/>
          <w:marRight w:val="0"/>
          <w:marTop w:val="0"/>
          <w:marBottom w:val="0"/>
          <w:divBdr>
            <w:top w:val="none" w:sz="0" w:space="0" w:color="auto"/>
            <w:left w:val="none" w:sz="0" w:space="0" w:color="auto"/>
            <w:bottom w:val="none" w:sz="0" w:space="0" w:color="auto"/>
            <w:right w:val="none" w:sz="0" w:space="0" w:color="auto"/>
          </w:divBdr>
        </w:div>
      </w:divsChild>
    </w:div>
    <w:div w:id="1491218058">
      <w:bodyDiv w:val="1"/>
      <w:marLeft w:val="0"/>
      <w:marRight w:val="0"/>
      <w:marTop w:val="0"/>
      <w:marBottom w:val="0"/>
      <w:divBdr>
        <w:top w:val="none" w:sz="0" w:space="0" w:color="auto"/>
        <w:left w:val="none" w:sz="0" w:space="0" w:color="auto"/>
        <w:bottom w:val="none" w:sz="0" w:space="0" w:color="auto"/>
        <w:right w:val="none" w:sz="0" w:space="0" w:color="auto"/>
      </w:divBdr>
    </w:div>
    <w:div w:id="1503427487">
      <w:bodyDiv w:val="1"/>
      <w:marLeft w:val="0"/>
      <w:marRight w:val="0"/>
      <w:marTop w:val="0"/>
      <w:marBottom w:val="0"/>
      <w:divBdr>
        <w:top w:val="none" w:sz="0" w:space="0" w:color="auto"/>
        <w:left w:val="none" w:sz="0" w:space="0" w:color="auto"/>
        <w:bottom w:val="none" w:sz="0" w:space="0" w:color="auto"/>
        <w:right w:val="none" w:sz="0" w:space="0" w:color="auto"/>
      </w:divBdr>
    </w:div>
    <w:div w:id="1535389500">
      <w:bodyDiv w:val="1"/>
      <w:marLeft w:val="0"/>
      <w:marRight w:val="0"/>
      <w:marTop w:val="0"/>
      <w:marBottom w:val="0"/>
      <w:divBdr>
        <w:top w:val="none" w:sz="0" w:space="0" w:color="auto"/>
        <w:left w:val="none" w:sz="0" w:space="0" w:color="auto"/>
        <w:bottom w:val="none" w:sz="0" w:space="0" w:color="auto"/>
        <w:right w:val="none" w:sz="0" w:space="0" w:color="auto"/>
      </w:divBdr>
    </w:div>
    <w:div w:id="1553228795">
      <w:bodyDiv w:val="1"/>
      <w:marLeft w:val="0"/>
      <w:marRight w:val="0"/>
      <w:marTop w:val="0"/>
      <w:marBottom w:val="0"/>
      <w:divBdr>
        <w:top w:val="none" w:sz="0" w:space="0" w:color="auto"/>
        <w:left w:val="none" w:sz="0" w:space="0" w:color="auto"/>
        <w:bottom w:val="none" w:sz="0" w:space="0" w:color="auto"/>
        <w:right w:val="none" w:sz="0" w:space="0" w:color="auto"/>
      </w:divBdr>
    </w:div>
    <w:div w:id="1583953710">
      <w:bodyDiv w:val="1"/>
      <w:marLeft w:val="0"/>
      <w:marRight w:val="0"/>
      <w:marTop w:val="0"/>
      <w:marBottom w:val="0"/>
      <w:divBdr>
        <w:top w:val="none" w:sz="0" w:space="0" w:color="auto"/>
        <w:left w:val="none" w:sz="0" w:space="0" w:color="auto"/>
        <w:bottom w:val="none" w:sz="0" w:space="0" w:color="auto"/>
        <w:right w:val="none" w:sz="0" w:space="0" w:color="auto"/>
      </w:divBdr>
    </w:div>
    <w:div w:id="1609778952">
      <w:bodyDiv w:val="1"/>
      <w:marLeft w:val="0"/>
      <w:marRight w:val="0"/>
      <w:marTop w:val="0"/>
      <w:marBottom w:val="0"/>
      <w:divBdr>
        <w:top w:val="none" w:sz="0" w:space="0" w:color="auto"/>
        <w:left w:val="none" w:sz="0" w:space="0" w:color="auto"/>
        <w:bottom w:val="none" w:sz="0" w:space="0" w:color="auto"/>
        <w:right w:val="none" w:sz="0" w:space="0" w:color="auto"/>
      </w:divBdr>
    </w:div>
    <w:div w:id="1618565163">
      <w:bodyDiv w:val="1"/>
      <w:marLeft w:val="0"/>
      <w:marRight w:val="0"/>
      <w:marTop w:val="0"/>
      <w:marBottom w:val="0"/>
      <w:divBdr>
        <w:top w:val="none" w:sz="0" w:space="0" w:color="auto"/>
        <w:left w:val="none" w:sz="0" w:space="0" w:color="auto"/>
        <w:bottom w:val="none" w:sz="0" w:space="0" w:color="auto"/>
        <w:right w:val="none" w:sz="0" w:space="0" w:color="auto"/>
      </w:divBdr>
      <w:divsChild>
        <w:div w:id="2070297523">
          <w:marLeft w:val="0"/>
          <w:marRight w:val="0"/>
          <w:marTop w:val="0"/>
          <w:marBottom w:val="0"/>
          <w:divBdr>
            <w:top w:val="none" w:sz="0" w:space="0" w:color="auto"/>
            <w:left w:val="none" w:sz="0" w:space="0" w:color="auto"/>
            <w:bottom w:val="none" w:sz="0" w:space="0" w:color="auto"/>
            <w:right w:val="none" w:sz="0" w:space="0" w:color="auto"/>
          </w:divBdr>
        </w:div>
      </w:divsChild>
    </w:div>
    <w:div w:id="1664894023">
      <w:bodyDiv w:val="1"/>
      <w:marLeft w:val="0"/>
      <w:marRight w:val="0"/>
      <w:marTop w:val="0"/>
      <w:marBottom w:val="0"/>
      <w:divBdr>
        <w:top w:val="none" w:sz="0" w:space="0" w:color="auto"/>
        <w:left w:val="none" w:sz="0" w:space="0" w:color="auto"/>
        <w:bottom w:val="none" w:sz="0" w:space="0" w:color="auto"/>
        <w:right w:val="none" w:sz="0" w:space="0" w:color="auto"/>
      </w:divBdr>
    </w:div>
    <w:div w:id="1723863558">
      <w:bodyDiv w:val="1"/>
      <w:marLeft w:val="0"/>
      <w:marRight w:val="0"/>
      <w:marTop w:val="0"/>
      <w:marBottom w:val="0"/>
      <w:divBdr>
        <w:top w:val="none" w:sz="0" w:space="0" w:color="auto"/>
        <w:left w:val="none" w:sz="0" w:space="0" w:color="auto"/>
        <w:bottom w:val="none" w:sz="0" w:space="0" w:color="auto"/>
        <w:right w:val="none" w:sz="0" w:space="0" w:color="auto"/>
      </w:divBdr>
    </w:div>
    <w:div w:id="1726682808">
      <w:bodyDiv w:val="1"/>
      <w:marLeft w:val="0"/>
      <w:marRight w:val="0"/>
      <w:marTop w:val="0"/>
      <w:marBottom w:val="0"/>
      <w:divBdr>
        <w:top w:val="none" w:sz="0" w:space="0" w:color="auto"/>
        <w:left w:val="none" w:sz="0" w:space="0" w:color="auto"/>
        <w:bottom w:val="none" w:sz="0" w:space="0" w:color="auto"/>
        <w:right w:val="none" w:sz="0" w:space="0" w:color="auto"/>
      </w:divBdr>
    </w:div>
    <w:div w:id="1848443748">
      <w:bodyDiv w:val="1"/>
      <w:marLeft w:val="0"/>
      <w:marRight w:val="0"/>
      <w:marTop w:val="0"/>
      <w:marBottom w:val="0"/>
      <w:divBdr>
        <w:top w:val="none" w:sz="0" w:space="0" w:color="auto"/>
        <w:left w:val="none" w:sz="0" w:space="0" w:color="auto"/>
        <w:bottom w:val="none" w:sz="0" w:space="0" w:color="auto"/>
        <w:right w:val="none" w:sz="0" w:space="0" w:color="auto"/>
      </w:divBdr>
    </w:div>
    <w:div w:id="1862820647">
      <w:bodyDiv w:val="1"/>
      <w:marLeft w:val="0"/>
      <w:marRight w:val="0"/>
      <w:marTop w:val="0"/>
      <w:marBottom w:val="0"/>
      <w:divBdr>
        <w:top w:val="none" w:sz="0" w:space="0" w:color="auto"/>
        <w:left w:val="none" w:sz="0" w:space="0" w:color="auto"/>
        <w:bottom w:val="none" w:sz="0" w:space="0" w:color="auto"/>
        <w:right w:val="none" w:sz="0" w:space="0" w:color="auto"/>
      </w:divBdr>
      <w:divsChild>
        <w:div w:id="1933011051">
          <w:marLeft w:val="0"/>
          <w:marRight w:val="0"/>
          <w:marTop w:val="0"/>
          <w:marBottom w:val="0"/>
          <w:divBdr>
            <w:top w:val="none" w:sz="0" w:space="0" w:color="auto"/>
            <w:left w:val="none" w:sz="0" w:space="0" w:color="auto"/>
            <w:bottom w:val="none" w:sz="0" w:space="0" w:color="auto"/>
            <w:right w:val="none" w:sz="0" w:space="0" w:color="auto"/>
          </w:divBdr>
        </w:div>
        <w:div w:id="2140219951">
          <w:marLeft w:val="0"/>
          <w:marRight w:val="0"/>
          <w:marTop w:val="0"/>
          <w:marBottom w:val="0"/>
          <w:divBdr>
            <w:top w:val="none" w:sz="0" w:space="0" w:color="auto"/>
            <w:left w:val="none" w:sz="0" w:space="0" w:color="auto"/>
            <w:bottom w:val="none" w:sz="0" w:space="0" w:color="auto"/>
            <w:right w:val="none" w:sz="0" w:space="0" w:color="auto"/>
          </w:divBdr>
          <w:divsChild>
            <w:div w:id="939486699">
              <w:marLeft w:val="0"/>
              <w:marRight w:val="0"/>
              <w:marTop w:val="0"/>
              <w:marBottom w:val="0"/>
              <w:divBdr>
                <w:top w:val="none" w:sz="0" w:space="0" w:color="auto"/>
                <w:left w:val="none" w:sz="0" w:space="0" w:color="auto"/>
                <w:bottom w:val="none" w:sz="0" w:space="0" w:color="auto"/>
                <w:right w:val="none" w:sz="0" w:space="0" w:color="auto"/>
              </w:divBdr>
              <w:divsChild>
                <w:div w:id="11348446">
                  <w:marLeft w:val="0"/>
                  <w:marRight w:val="0"/>
                  <w:marTop w:val="0"/>
                  <w:marBottom w:val="0"/>
                  <w:divBdr>
                    <w:top w:val="none" w:sz="0" w:space="0" w:color="auto"/>
                    <w:left w:val="none" w:sz="0" w:space="0" w:color="auto"/>
                    <w:bottom w:val="none" w:sz="0" w:space="0" w:color="auto"/>
                    <w:right w:val="none" w:sz="0" w:space="0" w:color="auto"/>
                  </w:divBdr>
                </w:div>
                <w:div w:id="728456393">
                  <w:marLeft w:val="0"/>
                  <w:marRight w:val="0"/>
                  <w:marTop w:val="0"/>
                  <w:marBottom w:val="0"/>
                  <w:divBdr>
                    <w:top w:val="none" w:sz="0" w:space="0" w:color="auto"/>
                    <w:left w:val="none" w:sz="0" w:space="0" w:color="auto"/>
                    <w:bottom w:val="none" w:sz="0" w:space="0" w:color="auto"/>
                    <w:right w:val="none" w:sz="0" w:space="0" w:color="auto"/>
                  </w:divBdr>
                  <w:divsChild>
                    <w:div w:id="7481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388">
      <w:bodyDiv w:val="1"/>
      <w:marLeft w:val="0"/>
      <w:marRight w:val="0"/>
      <w:marTop w:val="0"/>
      <w:marBottom w:val="0"/>
      <w:divBdr>
        <w:top w:val="none" w:sz="0" w:space="0" w:color="auto"/>
        <w:left w:val="none" w:sz="0" w:space="0" w:color="auto"/>
        <w:bottom w:val="none" w:sz="0" w:space="0" w:color="auto"/>
        <w:right w:val="none" w:sz="0" w:space="0" w:color="auto"/>
      </w:divBdr>
    </w:div>
    <w:div w:id="1949196213">
      <w:bodyDiv w:val="1"/>
      <w:marLeft w:val="0"/>
      <w:marRight w:val="0"/>
      <w:marTop w:val="0"/>
      <w:marBottom w:val="0"/>
      <w:divBdr>
        <w:top w:val="none" w:sz="0" w:space="0" w:color="auto"/>
        <w:left w:val="none" w:sz="0" w:space="0" w:color="auto"/>
        <w:bottom w:val="none" w:sz="0" w:space="0" w:color="auto"/>
        <w:right w:val="none" w:sz="0" w:space="0" w:color="auto"/>
      </w:divBdr>
    </w:div>
    <w:div w:id="1997490733">
      <w:bodyDiv w:val="1"/>
      <w:marLeft w:val="0"/>
      <w:marRight w:val="0"/>
      <w:marTop w:val="0"/>
      <w:marBottom w:val="0"/>
      <w:divBdr>
        <w:top w:val="none" w:sz="0" w:space="0" w:color="auto"/>
        <w:left w:val="none" w:sz="0" w:space="0" w:color="auto"/>
        <w:bottom w:val="none" w:sz="0" w:space="0" w:color="auto"/>
        <w:right w:val="none" w:sz="0" w:space="0" w:color="auto"/>
      </w:divBdr>
    </w:div>
    <w:div w:id="2076124857">
      <w:bodyDiv w:val="1"/>
      <w:marLeft w:val="0"/>
      <w:marRight w:val="0"/>
      <w:marTop w:val="0"/>
      <w:marBottom w:val="0"/>
      <w:divBdr>
        <w:top w:val="none" w:sz="0" w:space="0" w:color="auto"/>
        <w:left w:val="none" w:sz="0" w:space="0" w:color="auto"/>
        <w:bottom w:val="none" w:sz="0" w:space="0" w:color="auto"/>
        <w:right w:val="none" w:sz="0" w:space="0" w:color="auto"/>
      </w:divBdr>
      <w:divsChild>
        <w:div w:id="124441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infrastructureafrica.org/aicd/system/files/AIATT_Consolidated_smaller.pdf" TargetMode="External"/><Relationship Id="rId18" Type="http://schemas.openxmlformats.org/officeDocument/2006/relationships/footer" Target="footer2.xml"/><Relationship Id="rId26" Type="http://schemas.openxmlformats.org/officeDocument/2006/relationships/hyperlink" Target="http://www-wds.worldbank.org/external/default/WDSContentServer/IW3P/IB/2010/04/19/000158349_20100419124219/Rendered/INDEX/WPS5275.txt" TargetMode="External"/><Relationship Id="rId39" Type="http://schemas.openxmlformats.org/officeDocument/2006/relationships/hyperlink" Target="http://www.mckinsey.com/App_Media/Reports/Water/Charting_Our_Water_Future_Full_Report_001.pdf" TargetMode="External"/><Relationship Id="rId21" Type="http://schemas.openxmlformats.org/officeDocument/2006/relationships/hyperlink" Target="http://www1.fidic.org/resources/representation/statistics/invest-needs-asia-Inf_Investment_Needs_IC_version4.pdf" TargetMode="External"/><Relationship Id="rId34" Type="http://schemas.openxmlformats.org/officeDocument/2006/relationships/hyperlink" Target="http://www.imf.org/external/pubs/ft/weo/2010/01/index.htm" TargetMode="External"/><Relationship Id="rId42" Type="http://schemas.openxmlformats.org/officeDocument/2006/relationships/hyperlink" Target="http://www.watertime.net/Docs/WP3/WTEC.pdf" TargetMode="External"/><Relationship Id="rId47" Type="http://schemas.openxmlformats.org/officeDocument/2006/relationships/hyperlink" Target="http://www.unctad.org/Templates/WebFlyer.asp?intItemID=5491&amp;lang=1" TargetMode="External"/><Relationship Id="rId50" Type="http://schemas.openxmlformats.org/officeDocument/2006/relationships/hyperlink" Target="http://www.infrastructureafrica.org/aicd/system/files/AIATT_Consolidated_smaller.pdf"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eader" Target="header2.xml"/><Relationship Id="rId25" Type="http://schemas.openxmlformats.org/officeDocument/2006/relationships/hyperlink" Target="http://www-wds.worldbank.org/servlet/WDSContentServer/WDSP/IB/2011/03/30/000158349_20110330154747/Rendered/PDF/WPS5618.pdf" TargetMode="External"/><Relationship Id="rId33" Type="http://schemas.openxmlformats.org/officeDocument/2006/relationships/hyperlink" Target="http://www.imf.org/external/pubs/ft/weo/2010/01/index.htm" TargetMode="External"/><Relationship Id="rId38" Type="http://schemas.openxmlformats.org/officeDocument/2006/relationships/hyperlink" Target="http://www.agu.org/journals/ABS/2008/2007WR006443.shtml" TargetMode="External"/><Relationship Id="rId46" Type="http://schemas.openxmlformats.org/officeDocument/2006/relationships/hyperlink" Target="http://www.unctad.org/en/docs/wir2008_en.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pdfserve.informaworld.com/297693_751311873_781353829.pdf" TargetMode="External"/><Relationship Id="rId29" Type="http://schemas.openxmlformats.org/officeDocument/2006/relationships/hyperlink" Target="http://www.psiru.org/reports/2008-03-W-sewers.pdf" TargetMode="External"/><Relationship Id="rId41" Type="http://schemas.openxmlformats.org/officeDocument/2006/relationships/hyperlink" Target="http://www.oecd.org/dac/stats/data" TargetMode="External"/><Relationship Id="rId54" Type="http://schemas.openxmlformats.org/officeDocument/2006/relationships/hyperlink" Target="http://www.psiru.org/reports/2008-03-W-Sewers.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doi:10.2166/wp.2007.021" TargetMode="External"/><Relationship Id="rId32" Type="http://schemas.openxmlformats.org/officeDocument/2006/relationships/hyperlink" Target="http://www.imf.org/external/pubs/ft/reo/2010/AFR/eng/sreo0410ch2.pdf" TargetMode="External"/><Relationship Id="rId37" Type="http://schemas.openxmlformats.org/officeDocument/2006/relationships/hyperlink" Target="http://siteresources.worldbank.org/EXTWAT/Resources/4602122-1213366294492/5106220-1234469721549/3.5_Water_PPP2.pdf" TargetMode="External"/><Relationship Id="rId40" Type="http://schemas.openxmlformats.org/officeDocument/2006/relationships/hyperlink" Target="http://www.africaneconomicoutlook.org/en/data-statistics/" TargetMode="External"/><Relationship Id="rId45" Type="http://schemas.openxmlformats.org/officeDocument/2006/relationships/hyperlink" Target="http://www.unesco.org/water/wwap/wwdr2/index.shtml" TargetMode="External"/><Relationship Id="rId53" Type="http://schemas.openxmlformats.org/officeDocument/2006/relationships/hyperlink" Target="http://dx.doi.org/10.1108/14636680810883099" TargetMode="Externa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yperlink" Target="http://www.ppiaf.org/documents/trends_and_policy/PSP_water_electricity.pdf" TargetMode="External"/><Relationship Id="rId28" Type="http://schemas.openxmlformats.org/officeDocument/2006/relationships/hyperlink" Target="http://www.psiru.org/reports/2006-03-W-investment.pdf" TargetMode="External"/><Relationship Id="rId36" Type="http://schemas.openxmlformats.org/officeDocument/2006/relationships/hyperlink" Target="http://www.wssinfo.org/" TargetMode="External"/><Relationship Id="rId49" Type="http://schemas.openxmlformats.org/officeDocument/2006/relationships/hyperlink" Target="http://siteresources.worldbank.org/INTGEP2010/Resources/FullReport-GEPSummer2010.pdf" TargetMode="External"/><Relationship Id="rId10" Type="http://schemas.openxmlformats.org/officeDocument/2006/relationships/hyperlink" Target="mailto:d.j.hall@gre.ac.uk" TargetMode="External"/><Relationship Id="rId19" Type="http://schemas.openxmlformats.org/officeDocument/2006/relationships/image" Target="media/image3.emf"/><Relationship Id="rId31" Type="http://schemas.openxmlformats.org/officeDocument/2006/relationships/hyperlink" Target="http://www.imf.org/external/pubs/ft/weo/2008/update/03/index.htm" TargetMode="External"/><Relationship Id="rId44" Type="http://schemas.openxmlformats.org/officeDocument/2006/relationships/hyperlink" Target="http://pedago.cegepoutaouais.qc.ca/media/0260309/0378334/SCGC-BON/Documents/GE062-PHARASI-Kennedy.pdf" TargetMode="External"/><Relationship Id="rId52" Type="http://schemas.openxmlformats.org/officeDocument/2006/relationships/image" Target="media/image4.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oecd.org/dac/stats/idsonline" TargetMode="External"/><Relationship Id="rId22" Type="http://schemas.openxmlformats.org/officeDocument/2006/relationships/hyperlink" Target="http://go.worldbank.org/N7HA8M3E20" TargetMode="External"/><Relationship Id="rId27" Type="http://schemas.openxmlformats.org/officeDocument/2006/relationships/hyperlink" Target="http://www.psiru.org/reports/2008-01-W-EU.doc" TargetMode="External"/><Relationship Id="rId30" Type="http://schemas.openxmlformats.org/officeDocument/2006/relationships/hyperlink" Target="http://www.psiru.org/reports/2005-06-W-E-resist.pdf" TargetMode="External"/><Relationship Id="rId35" Type="http://schemas.openxmlformats.org/officeDocument/2006/relationships/hyperlink" Target="http://www.tandfonline.com/doi/abs/10.1080/07900620802573759" TargetMode="External"/><Relationship Id="rId43" Type="http://schemas.openxmlformats.org/officeDocument/2006/relationships/hyperlink" Target="http://books.google.co.uk/books?hl=en&amp;lr=&amp;id=Wp13rRjpp4sC&amp;oi=fnd&amp;pg=PA191&amp;dq=christelle+pezon+regie&amp;ots=UqUBSa4BJV&amp;sig=UEdRcSf4lvrbHoriL4x_TlF7xDo" TargetMode="External"/><Relationship Id="rId48" Type="http://schemas.openxmlformats.org/officeDocument/2006/relationships/hyperlink" Target="http://www.unctad.org/Templates/WebFlyer.asp?intItemID=5491&amp;lang=1"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go.worldbank.org/NGTDDHDDB0" TargetMode="External"/><Relationship Id="rId3" Type="http://schemas.openxmlformats.org/officeDocument/2006/relationships/numbering" Target="numbering.xml"/></Relationships>
</file>

<file path=word/_rels/endnotes.xml.rels><?xml version="1.0" encoding="UTF-8" standalone="yes"?>
<Relationships xmlns="http://schemas.openxmlformats.org/package/2006/relationships"><Relationship Id="rId13" Type="http://schemas.openxmlformats.org/officeDocument/2006/relationships/hyperlink" Target="http://www.ppiaf.org/documents/trends_and_policy/PSP_water_electricity.pdf" TargetMode="External"/><Relationship Id="rId18" Type="http://schemas.openxmlformats.org/officeDocument/2006/relationships/hyperlink" Target="http://www.infrastructureafrica.org/aicd/system/files/AIATT_Consolidated_smaller.pdf" TargetMode="External"/><Relationship Id="rId26" Type="http://schemas.openxmlformats.org/officeDocument/2006/relationships/hyperlink" Target="http://www.imf.org/external/pubs/ft/reo/2010/AFR/eng/sreo0410ch2.pdf" TargetMode="External"/><Relationship Id="rId39" Type="http://schemas.openxmlformats.org/officeDocument/2006/relationships/hyperlink" Target="http://www.guardian.co.uk/world/2010/sep/21/paris-park-fizzy-water-tap" TargetMode="External"/><Relationship Id="rId21" Type="http://schemas.openxmlformats.org/officeDocument/2006/relationships/hyperlink" Target="http://www1.fidic.org/resources/representation/statistics/invest-needs-asia-Inf_Investment_Needs_IC_version4.pdf" TargetMode="External"/><Relationship Id="rId34" Type="http://schemas.openxmlformats.org/officeDocument/2006/relationships/hyperlink" Target="http://www-wds.worldbank.org/servlet/WDSContentServer/WDSP/IB/2011/03/30/000158349_20110330154747/Rendered/PDF/WPS5618.pdf" TargetMode="External"/><Relationship Id="rId42" Type="http://schemas.openxmlformats.org/officeDocument/2006/relationships/hyperlink" Target="http://www.psiru.org/reports/2008-03-W-sewers.doc" TargetMode="External"/><Relationship Id="rId47" Type="http://schemas.openxmlformats.org/officeDocument/2006/relationships/hyperlink" Target="http://www.wssinfo.org/fileadmin/user_upload/resources/JMP-report-2012-en.pdf" TargetMode="External"/><Relationship Id="rId50" Type="http://schemas.openxmlformats.org/officeDocument/2006/relationships/hyperlink" Target="http://www.wssinfo.org/" TargetMode="External"/><Relationship Id="rId55" Type="http://schemas.openxmlformats.org/officeDocument/2006/relationships/hyperlink" Target="http://www.unesco.org/water/wwap/wwdr2/index.shtml" TargetMode="External"/><Relationship Id="rId7" Type="http://schemas.openxmlformats.org/officeDocument/2006/relationships/hyperlink" Target="http://tspacetest.library.utoronto.ca:8080/bitstream/1778/4019/1/10294043.pdf" TargetMode="External"/><Relationship Id="rId12" Type="http://schemas.openxmlformats.org/officeDocument/2006/relationships/hyperlink" Target="http://www.psiru.org/reports/2005-06-W-E-resist.pdf" TargetMode="External"/><Relationship Id="rId17" Type="http://schemas.openxmlformats.org/officeDocument/2006/relationships/hyperlink" Target="http://go.worldbank.org/NGTDDHDDB0" TargetMode="External"/><Relationship Id="rId25" Type="http://schemas.openxmlformats.org/officeDocument/2006/relationships/hyperlink" Target="http://siteresources.worldbank.org/INTGEP2010/Resources/FullReport-GEPSummer2010.pdf" TargetMode="External"/><Relationship Id="rId33" Type="http://schemas.openxmlformats.org/officeDocument/2006/relationships/hyperlink" Target="http://www.unctad.org/Templates/WebFlyer.asp?intItemID=5491&amp;lang=1" TargetMode="External"/><Relationship Id="rId38" Type="http://schemas.openxmlformats.org/officeDocument/2006/relationships/hyperlink" Target="http://www.asa.org.uk/Complaints-and-ASA-action/Adjudications/2008/10/Coca_Cola-Great-Britain/TF_ADJ_45117.aspx" TargetMode="External"/><Relationship Id="rId46" Type="http://schemas.openxmlformats.org/officeDocument/2006/relationships/hyperlink" Target="http://www.wssinfo.org/fileadmin/user_upload/resources/JMP-report-2012-en.pdf" TargetMode="External"/><Relationship Id="rId2" Type="http://schemas.openxmlformats.org/officeDocument/2006/relationships/hyperlink" Target="http://pdfserve.informaworld.com/297693_751311873_781353829.pdf" TargetMode="External"/><Relationship Id="rId16" Type="http://schemas.openxmlformats.org/officeDocument/2006/relationships/hyperlink" Target="http://www.infrastructureafrica.org/aicd/system/files/AIATT_Consolidated_smaller.pdf" TargetMode="External"/><Relationship Id="rId20" Type="http://schemas.openxmlformats.org/officeDocument/2006/relationships/hyperlink" Target="http://www.infrastructureafrica.org/aicd/system/files/AIATT_Consolidated_smaller.pdf" TargetMode="External"/><Relationship Id="rId29" Type="http://schemas.openxmlformats.org/officeDocument/2006/relationships/hyperlink" Target="http://www.imf.org/external/pubs/ft/reo/2011/afr/eng/sreo0411.pdf" TargetMode="External"/><Relationship Id="rId41" Type="http://schemas.openxmlformats.org/officeDocument/2006/relationships/hyperlink" Target="http://dx.doi.org/10.1108/14636680810883099" TargetMode="External"/><Relationship Id="rId54" Type="http://schemas.openxmlformats.org/officeDocument/2006/relationships/hyperlink" Target="http://www.unesco.org/water/wwap/wwdr2/index.shtml" TargetMode="External"/><Relationship Id="rId1" Type="http://schemas.openxmlformats.org/officeDocument/2006/relationships/hyperlink" Target="http://www.watertime.net/Docs/WP3/WTEC.pdf" TargetMode="External"/><Relationship Id="rId6" Type="http://schemas.openxmlformats.org/officeDocument/2006/relationships/hyperlink" Target="http://pedago.cegepoutaouais.qc.ca/media/0358894/wps/en/contenu/doc/confgen/pdf/GE062-PHARASI-Kennedy.pdf" TargetMode="External"/><Relationship Id="rId11" Type="http://schemas.openxmlformats.org/officeDocument/2006/relationships/hyperlink" Target="http://siteresources.worldbank.org/EXTWAT/Resources/4602122-1213366294492/5106220-1234469721549/3.5_Water_PPP2.pdf" TargetMode="External"/><Relationship Id="rId24" Type="http://schemas.openxmlformats.org/officeDocument/2006/relationships/hyperlink" Target="http://www.imf.org/external/pubs/ft/weo/2010/01/index.htm" TargetMode="External"/><Relationship Id="rId32" Type="http://schemas.openxmlformats.org/officeDocument/2006/relationships/hyperlink" Target="http://www.unctad.org/Templates/WebFlyer.asp?intItemID=5491&amp;lang=1" TargetMode="External"/><Relationship Id="rId37" Type="http://schemas.openxmlformats.org/officeDocument/2006/relationships/hyperlink" Target="http://www.mckinsey.com/App_Media/Reports/Water/Charting_Our_Water_Future_Full_Report_001.pdf" TargetMode="External"/><Relationship Id="rId40" Type="http://schemas.openxmlformats.org/officeDocument/2006/relationships/hyperlink" Target="http://www.unesco.org/water/wwap/wwdr2/index.shtml" TargetMode="External"/><Relationship Id="rId45" Type="http://schemas.openxmlformats.org/officeDocument/2006/relationships/hyperlink" Target="http://www.psiru.org/reports/2008-03-W-sewers.doc" TargetMode="External"/><Relationship Id="rId53" Type="http://schemas.openxmlformats.org/officeDocument/2006/relationships/hyperlink" Target="http://www.oecd.org:80/water" TargetMode="External"/><Relationship Id="rId58" Type="http://schemas.openxmlformats.org/officeDocument/2006/relationships/hyperlink" Target="http://www.iipf.org/speeches/Kasekende_2009.pdf" TargetMode="External"/><Relationship Id="rId5" Type="http://schemas.openxmlformats.org/officeDocument/2006/relationships/hyperlink" Target="http://doi:10.2166/wp.2007.021" TargetMode="External"/><Relationship Id="rId15" Type="http://schemas.openxmlformats.org/officeDocument/2006/relationships/hyperlink" Target="http://www.psiru.org/reports/2008-03-W-sewers.pdf" TargetMode="External"/><Relationship Id="rId23" Type="http://schemas.openxmlformats.org/officeDocument/2006/relationships/hyperlink" Target="http://www.tandfonline.com/doi/abs/10.1080/07900620802573759" TargetMode="External"/><Relationship Id="rId28" Type="http://schemas.openxmlformats.org/officeDocument/2006/relationships/hyperlink" Target="http://www.imf.org/external/pubs/ft/reo/2011/afr/eng/sreo0411.pdf" TargetMode="External"/><Relationship Id="rId36" Type="http://schemas.openxmlformats.org/officeDocument/2006/relationships/hyperlink" Target="http://www-wds.worldbank.org/servlet/WDSContentServer/WDSP/IB/2011/03/30/000158349_20110330154747/Rendered/PDF/WPS5618.pdf" TargetMode="External"/><Relationship Id="rId49" Type="http://schemas.openxmlformats.org/officeDocument/2006/relationships/hyperlink" Target="http://www.wssinfo.org/fileadmin/user_upload/resources/JMP-report-2012-en.pdf" TargetMode="External"/><Relationship Id="rId57" Type="http://schemas.openxmlformats.org/officeDocument/2006/relationships/hyperlink" Target="http://www.iipf.org/speeches/Kasekende_2009.pdf" TargetMode="External"/><Relationship Id="rId10" Type="http://schemas.openxmlformats.org/officeDocument/2006/relationships/hyperlink" Target="http://go.worldbank.org/N7HA8M3E20" TargetMode="External"/><Relationship Id="rId19" Type="http://schemas.openxmlformats.org/officeDocument/2006/relationships/hyperlink" Target="http://www.infrastructureafrica.org/aicd/system/files/AIATT_Consolidated_smaller.pdf" TargetMode="External"/><Relationship Id="rId31" Type="http://schemas.openxmlformats.org/officeDocument/2006/relationships/hyperlink" Target="http://www.unctad.org/Templates/WebFlyer.asp?intItemID=5491&amp;lang=1" TargetMode="External"/><Relationship Id="rId44" Type="http://schemas.openxmlformats.org/officeDocument/2006/relationships/hyperlink" Target="http://www.psiru.org/reports/2008-03-W-sewers.doc" TargetMode="External"/><Relationship Id="rId52" Type="http://schemas.openxmlformats.org/officeDocument/2006/relationships/hyperlink" Target="http://www.oecd.org:80/water" TargetMode="External"/><Relationship Id="rId4" Type="http://schemas.openxmlformats.org/officeDocument/2006/relationships/hyperlink" Target="http://www.psiru.org/reports/2008-01-W-EU.doc" TargetMode="External"/><Relationship Id="rId9" Type="http://schemas.openxmlformats.org/officeDocument/2006/relationships/hyperlink" Target="http://www.agu.org/journals/ABS/2008/2007WR006443.shtml" TargetMode="External"/><Relationship Id="rId14" Type="http://schemas.openxmlformats.org/officeDocument/2006/relationships/hyperlink" Target="http://www.psiru.org/reports/2006-03-W-investment.pdf" TargetMode="External"/><Relationship Id="rId22" Type="http://schemas.openxmlformats.org/officeDocument/2006/relationships/hyperlink" Target="http://planningcommission.nic.in/aboutus/committee/strgrp11/str11_hud1.pdf" TargetMode="External"/><Relationship Id="rId27" Type="http://schemas.openxmlformats.org/officeDocument/2006/relationships/hyperlink" Target="http://www.imf.org/external/pubs/ft/wp/2010/wp10140.pdf" TargetMode="External"/><Relationship Id="rId30" Type="http://schemas.openxmlformats.org/officeDocument/2006/relationships/hyperlink" Target="http://stats.oecd.org/qwids/#?x=1&amp;y=6&amp;f=3:40,4:1,5:4,2:1,7:1&amp;q=3:51,40+4:1+5:4+2:1+7:1+1:2+6:2005,2006,2007,2008,2009,2010" TargetMode="External"/><Relationship Id="rId35" Type="http://schemas.openxmlformats.org/officeDocument/2006/relationships/hyperlink" Target="http://www-wds.worldbank.org/servlet/WDSContentServer/WDSP/IB/2011/03/30/000158349_20110330154747/Rendered/PDF/WPS5618.pdf" TargetMode="External"/><Relationship Id="rId43" Type="http://schemas.openxmlformats.org/officeDocument/2006/relationships/hyperlink" Target="http://infrastructure.gov.in/pdf/inv-infra.pdf" TargetMode="External"/><Relationship Id="rId48" Type="http://schemas.openxmlformats.org/officeDocument/2006/relationships/hyperlink" Target="http://www.wssinfo.org/" TargetMode="External"/><Relationship Id="rId56" Type="http://schemas.openxmlformats.org/officeDocument/2006/relationships/hyperlink" Target="http://www.mediacentre.go.ug/details.php?catId=6&amp;item=946" TargetMode="External"/><Relationship Id="rId8" Type="http://schemas.openxmlformats.org/officeDocument/2006/relationships/hyperlink" Target="http://pedago.cegepoutaouais.qc.ca/media/0358894/wps/en/contenu/doc/confgen/pdf/GE062-PHARASI-Kennedy.pdf" TargetMode="External"/><Relationship Id="rId51" Type="http://schemas.openxmlformats.org/officeDocument/2006/relationships/hyperlink" Target="http://www.oecd.org:80/water" TargetMode="External"/><Relationship Id="rId3" Type="http://schemas.openxmlformats.org/officeDocument/2006/relationships/hyperlink" Target="http://books.google.co.uk/books?hl=en&amp;lr=&amp;id=Wp13rRjpp4sC&amp;oi=fnd&amp;pg=PA191&amp;dq=christelle+pezon+regie&amp;ots=UqUBSa4BJV&amp;sig=UEdRcSf4lvrbHoriL4x_TlF7xD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3138-9C02-43E5-9078-7E4B3FE17D8C}">
  <ds:schemaRefs>
    <ds:schemaRef ds:uri="http://schemas.openxmlformats.org/officeDocument/2006/bibliography"/>
  </ds:schemaRefs>
</ds:datastoreItem>
</file>

<file path=customXml/itemProps2.xml><?xml version="1.0" encoding="utf-8"?>
<ds:datastoreItem xmlns:ds="http://schemas.openxmlformats.org/officeDocument/2006/customXml" ds:itemID="{D15F1FAD-3FA4-4862-94C8-994D4A8C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1</TotalTime>
  <Pages>7</Pages>
  <Words>10918</Words>
  <Characters>62237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73009</CharactersWithSpaces>
  <SharedDoc>false</SharedDoc>
  <HLinks>
    <vt:vector size="828" baseType="variant">
      <vt:variant>
        <vt:i4>1048668</vt:i4>
      </vt:variant>
      <vt:variant>
        <vt:i4>345</vt:i4>
      </vt:variant>
      <vt:variant>
        <vt:i4>0</vt:i4>
      </vt:variant>
      <vt:variant>
        <vt:i4>5</vt:i4>
      </vt:variant>
      <vt:variant>
        <vt:lpwstr>http://www.psiru.org/reports/2008-03-W-Sewers.doc</vt:lpwstr>
      </vt:variant>
      <vt:variant>
        <vt:lpwstr/>
      </vt:variant>
      <vt:variant>
        <vt:i4>6357099</vt:i4>
      </vt:variant>
      <vt:variant>
        <vt:i4>342</vt:i4>
      </vt:variant>
      <vt:variant>
        <vt:i4>0</vt:i4>
      </vt:variant>
      <vt:variant>
        <vt:i4>5</vt:i4>
      </vt:variant>
      <vt:variant>
        <vt:lpwstr>http://dx.doi.org/10.1108/14636680810883099</vt:lpwstr>
      </vt:variant>
      <vt:variant>
        <vt:lpwstr/>
      </vt:variant>
      <vt:variant>
        <vt:i4>2162813</vt:i4>
      </vt:variant>
      <vt:variant>
        <vt:i4>339</vt:i4>
      </vt:variant>
      <vt:variant>
        <vt:i4>0</vt:i4>
      </vt:variant>
      <vt:variant>
        <vt:i4>5</vt:i4>
      </vt:variant>
      <vt:variant>
        <vt:lpwstr>http://go.worldbank.org/NGTDDHDDB0</vt:lpwstr>
      </vt:variant>
      <vt:variant>
        <vt:lpwstr/>
      </vt:variant>
      <vt:variant>
        <vt:i4>7929958</vt:i4>
      </vt:variant>
      <vt:variant>
        <vt:i4>336</vt:i4>
      </vt:variant>
      <vt:variant>
        <vt:i4>0</vt:i4>
      </vt:variant>
      <vt:variant>
        <vt:i4>5</vt:i4>
      </vt:variant>
      <vt:variant>
        <vt:lpwstr>http://www.infrastructureafrica.org/aicd/system/files/AIATT_Consolidated_smaller.pdf</vt:lpwstr>
      </vt:variant>
      <vt:variant>
        <vt:lpwstr/>
      </vt:variant>
      <vt:variant>
        <vt:i4>4259927</vt:i4>
      </vt:variant>
      <vt:variant>
        <vt:i4>333</vt:i4>
      </vt:variant>
      <vt:variant>
        <vt:i4>0</vt:i4>
      </vt:variant>
      <vt:variant>
        <vt:i4>5</vt:i4>
      </vt:variant>
      <vt:variant>
        <vt:lpwstr>http://siteresources.worldbank.org/INTGEP2010/Resources/FullReport-GEPSummer2010.pdf</vt:lpwstr>
      </vt:variant>
      <vt:variant>
        <vt:lpwstr/>
      </vt:variant>
      <vt:variant>
        <vt:i4>7667750</vt:i4>
      </vt:variant>
      <vt:variant>
        <vt:i4>330</vt:i4>
      </vt:variant>
      <vt:variant>
        <vt:i4>0</vt:i4>
      </vt:variant>
      <vt:variant>
        <vt:i4>5</vt:i4>
      </vt:variant>
      <vt:variant>
        <vt:lpwstr>http://www.unctad.org/Templates/WebFlyer.asp?intItemID=5491&amp;lang=1</vt:lpwstr>
      </vt:variant>
      <vt:variant>
        <vt:lpwstr/>
      </vt:variant>
      <vt:variant>
        <vt:i4>7667750</vt:i4>
      </vt:variant>
      <vt:variant>
        <vt:i4>327</vt:i4>
      </vt:variant>
      <vt:variant>
        <vt:i4>0</vt:i4>
      </vt:variant>
      <vt:variant>
        <vt:i4>5</vt:i4>
      </vt:variant>
      <vt:variant>
        <vt:lpwstr>http://www.unctad.org/Templates/WebFlyer.asp?intItemID=5491&amp;lang=1</vt:lpwstr>
      </vt:variant>
      <vt:variant>
        <vt:lpwstr/>
      </vt:variant>
      <vt:variant>
        <vt:i4>2424914</vt:i4>
      </vt:variant>
      <vt:variant>
        <vt:i4>324</vt:i4>
      </vt:variant>
      <vt:variant>
        <vt:i4>0</vt:i4>
      </vt:variant>
      <vt:variant>
        <vt:i4>5</vt:i4>
      </vt:variant>
      <vt:variant>
        <vt:lpwstr>http://www.unctad.org/en/docs/wir2008_en.pdf</vt:lpwstr>
      </vt:variant>
      <vt:variant>
        <vt:lpwstr/>
      </vt:variant>
      <vt:variant>
        <vt:i4>3670120</vt:i4>
      </vt:variant>
      <vt:variant>
        <vt:i4>321</vt:i4>
      </vt:variant>
      <vt:variant>
        <vt:i4>0</vt:i4>
      </vt:variant>
      <vt:variant>
        <vt:i4>5</vt:i4>
      </vt:variant>
      <vt:variant>
        <vt:lpwstr>http://www.unesco.org/water/wwap/wwdr2/index.shtml</vt:lpwstr>
      </vt:variant>
      <vt:variant>
        <vt:lpwstr/>
      </vt:variant>
      <vt:variant>
        <vt:i4>524376</vt:i4>
      </vt:variant>
      <vt:variant>
        <vt:i4>318</vt:i4>
      </vt:variant>
      <vt:variant>
        <vt:i4>0</vt:i4>
      </vt:variant>
      <vt:variant>
        <vt:i4>5</vt:i4>
      </vt:variant>
      <vt:variant>
        <vt:lpwstr>http://pedago.cegepoutaouais.qc.ca/media/0260309/0378334/SCGC-BON/Documents/GE062-PHARASI-Kennedy.pdf</vt:lpwstr>
      </vt:variant>
      <vt:variant>
        <vt:lpwstr/>
      </vt:variant>
      <vt:variant>
        <vt:i4>2949207</vt:i4>
      </vt:variant>
      <vt:variant>
        <vt:i4>315</vt:i4>
      </vt:variant>
      <vt:variant>
        <vt:i4>0</vt:i4>
      </vt:variant>
      <vt:variant>
        <vt:i4>5</vt:i4>
      </vt:variant>
      <vt:variant>
        <vt:lpwstr>http://books.google.co.uk/books?hl=en&amp;lr=&amp;id=Wp13rRjpp4sC&amp;oi=fnd&amp;pg=PA191&amp;dq=christelle+pezon+regie&amp;ots=UqUBSa4BJV&amp;sig=UEdRcSf4lvrbHoriL4x_TlF7xDo</vt:lpwstr>
      </vt:variant>
      <vt:variant>
        <vt:lpwstr/>
      </vt:variant>
      <vt:variant>
        <vt:i4>3801129</vt:i4>
      </vt:variant>
      <vt:variant>
        <vt:i4>312</vt:i4>
      </vt:variant>
      <vt:variant>
        <vt:i4>0</vt:i4>
      </vt:variant>
      <vt:variant>
        <vt:i4>5</vt:i4>
      </vt:variant>
      <vt:variant>
        <vt:lpwstr>http://www.watertime.net/Docs/WP3/WTEC.pdf</vt:lpwstr>
      </vt:variant>
      <vt:variant>
        <vt:lpwstr/>
      </vt:variant>
      <vt:variant>
        <vt:i4>3473455</vt:i4>
      </vt:variant>
      <vt:variant>
        <vt:i4>309</vt:i4>
      </vt:variant>
      <vt:variant>
        <vt:i4>0</vt:i4>
      </vt:variant>
      <vt:variant>
        <vt:i4>5</vt:i4>
      </vt:variant>
      <vt:variant>
        <vt:lpwstr>http://www.oecd.org/dac/stats/data</vt:lpwstr>
      </vt:variant>
      <vt:variant>
        <vt:lpwstr/>
      </vt:variant>
      <vt:variant>
        <vt:i4>589827</vt:i4>
      </vt:variant>
      <vt:variant>
        <vt:i4>306</vt:i4>
      </vt:variant>
      <vt:variant>
        <vt:i4>0</vt:i4>
      </vt:variant>
      <vt:variant>
        <vt:i4>5</vt:i4>
      </vt:variant>
      <vt:variant>
        <vt:lpwstr>http://www.africaneconomicoutlook.org/en/data-statistics/</vt:lpwstr>
      </vt:variant>
      <vt:variant>
        <vt:lpwstr/>
      </vt:variant>
      <vt:variant>
        <vt:i4>3473500</vt:i4>
      </vt:variant>
      <vt:variant>
        <vt:i4>303</vt:i4>
      </vt:variant>
      <vt:variant>
        <vt:i4>0</vt:i4>
      </vt:variant>
      <vt:variant>
        <vt:i4>5</vt:i4>
      </vt:variant>
      <vt:variant>
        <vt:lpwstr>http://www.mckinsey.com/App_Media/Reports/Water/Charting_Our_Water_Future_Full_Report_001.pdf</vt:lpwstr>
      </vt:variant>
      <vt:variant>
        <vt:lpwstr/>
      </vt:variant>
      <vt:variant>
        <vt:i4>2883633</vt:i4>
      </vt:variant>
      <vt:variant>
        <vt:i4>300</vt:i4>
      </vt:variant>
      <vt:variant>
        <vt:i4>0</vt:i4>
      </vt:variant>
      <vt:variant>
        <vt:i4>5</vt:i4>
      </vt:variant>
      <vt:variant>
        <vt:lpwstr>http://www.agu.org/journals/ABS/2008/2007WR006443.shtml</vt:lpwstr>
      </vt:variant>
      <vt:variant>
        <vt:lpwstr/>
      </vt:variant>
      <vt:variant>
        <vt:i4>3211363</vt:i4>
      </vt:variant>
      <vt:variant>
        <vt:i4>297</vt:i4>
      </vt:variant>
      <vt:variant>
        <vt:i4>0</vt:i4>
      </vt:variant>
      <vt:variant>
        <vt:i4>5</vt:i4>
      </vt:variant>
      <vt:variant>
        <vt:lpwstr>http://siteresources.worldbank.org/EXTWAT/Resources/4602122-1213366294492/5106220-1234469721549/3.5_Water_PPP2.pdf</vt:lpwstr>
      </vt:variant>
      <vt:variant>
        <vt:lpwstr/>
      </vt:variant>
      <vt:variant>
        <vt:i4>2490480</vt:i4>
      </vt:variant>
      <vt:variant>
        <vt:i4>294</vt:i4>
      </vt:variant>
      <vt:variant>
        <vt:i4>0</vt:i4>
      </vt:variant>
      <vt:variant>
        <vt:i4>5</vt:i4>
      </vt:variant>
      <vt:variant>
        <vt:lpwstr>http://www.wssinfo.org/</vt:lpwstr>
      </vt:variant>
      <vt:variant>
        <vt:lpwstr/>
      </vt:variant>
      <vt:variant>
        <vt:i4>196687</vt:i4>
      </vt:variant>
      <vt:variant>
        <vt:i4>291</vt:i4>
      </vt:variant>
      <vt:variant>
        <vt:i4>0</vt:i4>
      </vt:variant>
      <vt:variant>
        <vt:i4>5</vt:i4>
      </vt:variant>
      <vt:variant>
        <vt:lpwstr>http://www.tandfonline.com/doi/abs/10.1080/07900620802573759</vt:lpwstr>
      </vt:variant>
      <vt:variant>
        <vt:lpwstr/>
      </vt:variant>
      <vt:variant>
        <vt:i4>4849664</vt:i4>
      </vt:variant>
      <vt:variant>
        <vt:i4>288</vt:i4>
      </vt:variant>
      <vt:variant>
        <vt:i4>0</vt:i4>
      </vt:variant>
      <vt:variant>
        <vt:i4>5</vt:i4>
      </vt:variant>
      <vt:variant>
        <vt:lpwstr>http://www.imf.org/external/pubs/ft/weo/2010/01/index.htm</vt:lpwstr>
      </vt:variant>
      <vt:variant>
        <vt:lpwstr/>
      </vt:variant>
      <vt:variant>
        <vt:i4>4849664</vt:i4>
      </vt:variant>
      <vt:variant>
        <vt:i4>285</vt:i4>
      </vt:variant>
      <vt:variant>
        <vt:i4>0</vt:i4>
      </vt:variant>
      <vt:variant>
        <vt:i4>5</vt:i4>
      </vt:variant>
      <vt:variant>
        <vt:lpwstr>http://www.imf.org/external/pubs/ft/weo/2010/01/index.htm</vt:lpwstr>
      </vt:variant>
      <vt:variant>
        <vt:lpwstr/>
      </vt:variant>
      <vt:variant>
        <vt:i4>4522010</vt:i4>
      </vt:variant>
      <vt:variant>
        <vt:i4>282</vt:i4>
      </vt:variant>
      <vt:variant>
        <vt:i4>0</vt:i4>
      </vt:variant>
      <vt:variant>
        <vt:i4>5</vt:i4>
      </vt:variant>
      <vt:variant>
        <vt:lpwstr>http://www.imf.org/external/pubs/ft/reo/2010/AFR/eng/sreo0410ch2.pdf</vt:lpwstr>
      </vt:variant>
      <vt:variant>
        <vt:lpwstr/>
      </vt:variant>
      <vt:variant>
        <vt:i4>327703</vt:i4>
      </vt:variant>
      <vt:variant>
        <vt:i4>279</vt:i4>
      </vt:variant>
      <vt:variant>
        <vt:i4>0</vt:i4>
      </vt:variant>
      <vt:variant>
        <vt:i4>5</vt:i4>
      </vt:variant>
      <vt:variant>
        <vt:lpwstr>http://www.imf.org/external/pubs/ft/weo/2008/update/03/index.htm</vt:lpwstr>
      </vt:variant>
      <vt:variant>
        <vt:lpwstr/>
      </vt:variant>
      <vt:variant>
        <vt:i4>8323171</vt:i4>
      </vt:variant>
      <vt:variant>
        <vt:i4>276</vt:i4>
      </vt:variant>
      <vt:variant>
        <vt:i4>0</vt:i4>
      </vt:variant>
      <vt:variant>
        <vt:i4>5</vt:i4>
      </vt:variant>
      <vt:variant>
        <vt:lpwstr>http://www.psiru.org/reports/2005-06-W-E-resist.pdf</vt:lpwstr>
      </vt:variant>
      <vt:variant>
        <vt:lpwstr/>
      </vt:variant>
      <vt:variant>
        <vt:i4>1769544</vt:i4>
      </vt:variant>
      <vt:variant>
        <vt:i4>273</vt:i4>
      </vt:variant>
      <vt:variant>
        <vt:i4>0</vt:i4>
      </vt:variant>
      <vt:variant>
        <vt:i4>5</vt:i4>
      </vt:variant>
      <vt:variant>
        <vt:lpwstr>http://www.psiru.org/reports/2008-03-W-sewers.pdf</vt:lpwstr>
      </vt:variant>
      <vt:variant>
        <vt:lpwstr/>
      </vt:variant>
      <vt:variant>
        <vt:i4>131163</vt:i4>
      </vt:variant>
      <vt:variant>
        <vt:i4>270</vt:i4>
      </vt:variant>
      <vt:variant>
        <vt:i4>0</vt:i4>
      </vt:variant>
      <vt:variant>
        <vt:i4>5</vt:i4>
      </vt:variant>
      <vt:variant>
        <vt:lpwstr>http://www.psiru.org/reports/2006-03-W-investment.pdf</vt:lpwstr>
      </vt:variant>
      <vt:variant>
        <vt:lpwstr/>
      </vt:variant>
      <vt:variant>
        <vt:i4>65626</vt:i4>
      </vt:variant>
      <vt:variant>
        <vt:i4>267</vt:i4>
      </vt:variant>
      <vt:variant>
        <vt:i4>0</vt:i4>
      </vt:variant>
      <vt:variant>
        <vt:i4>5</vt:i4>
      </vt:variant>
      <vt:variant>
        <vt:lpwstr>http://www.psiru.org/reports/2008-01-W-EU.doc</vt:lpwstr>
      </vt:variant>
      <vt:variant>
        <vt:lpwstr/>
      </vt:variant>
      <vt:variant>
        <vt:i4>8060951</vt:i4>
      </vt:variant>
      <vt:variant>
        <vt:i4>264</vt:i4>
      </vt:variant>
      <vt:variant>
        <vt:i4>0</vt:i4>
      </vt:variant>
      <vt:variant>
        <vt:i4>5</vt:i4>
      </vt:variant>
      <vt:variant>
        <vt:lpwstr>http://www-wds.worldbank.org/external/default/WDSContentServer/IW3P/IB/2010/04/19/000158349_20100419124219/Rendered/INDEX/WPS5275.txt</vt:lpwstr>
      </vt:variant>
      <vt:variant>
        <vt:lpwstr/>
      </vt:variant>
      <vt:variant>
        <vt:i4>3080268</vt:i4>
      </vt:variant>
      <vt:variant>
        <vt:i4>261</vt:i4>
      </vt:variant>
      <vt:variant>
        <vt:i4>0</vt:i4>
      </vt:variant>
      <vt:variant>
        <vt:i4>5</vt:i4>
      </vt:variant>
      <vt:variant>
        <vt:lpwstr>http://www-wds.worldbank.org/servlet/WDSContentServer/WDSP/IB/2011/03/30/000158349_20110330154747/Rendered/PDF/WPS5618.pdf</vt:lpwstr>
      </vt:variant>
      <vt:variant>
        <vt:lpwstr/>
      </vt:variant>
      <vt:variant>
        <vt:i4>6357033</vt:i4>
      </vt:variant>
      <vt:variant>
        <vt:i4>258</vt:i4>
      </vt:variant>
      <vt:variant>
        <vt:i4>0</vt:i4>
      </vt:variant>
      <vt:variant>
        <vt:i4>5</vt:i4>
      </vt:variant>
      <vt:variant>
        <vt:lpwstr>http://doi:10.2166/wp.2007.021</vt:lpwstr>
      </vt:variant>
      <vt:variant>
        <vt:lpwstr/>
      </vt:variant>
      <vt:variant>
        <vt:i4>2424955</vt:i4>
      </vt:variant>
      <vt:variant>
        <vt:i4>255</vt:i4>
      </vt:variant>
      <vt:variant>
        <vt:i4>0</vt:i4>
      </vt:variant>
      <vt:variant>
        <vt:i4>5</vt:i4>
      </vt:variant>
      <vt:variant>
        <vt:lpwstr>http://www.ppiaf.org/documents/trends_and_policy/PSP_water_electricity.pdf</vt:lpwstr>
      </vt:variant>
      <vt:variant>
        <vt:lpwstr/>
      </vt:variant>
      <vt:variant>
        <vt:i4>7340090</vt:i4>
      </vt:variant>
      <vt:variant>
        <vt:i4>252</vt:i4>
      </vt:variant>
      <vt:variant>
        <vt:i4>0</vt:i4>
      </vt:variant>
      <vt:variant>
        <vt:i4>5</vt:i4>
      </vt:variant>
      <vt:variant>
        <vt:lpwstr>http://go.worldbank.org/N7HA8M3E20</vt:lpwstr>
      </vt:variant>
      <vt:variant>
        <vt:lpwstr/>
      </vt:variant>
      <vt:variant>
        <vt:i4>196701</vt:i4>
      </vt:variant>
      <vt:variant>
        <vt:i4>249</vt:i4>
      </vt:variant>
      <vt:variant>
        <vt:i4>0</vt:i4>
      </vt:variant>
      <vt:variant>
        <vt:i4>5</vt:i4>
      </vt:variant>
      <vt:variant>
        <vt:lpwstr>http://www1.fidic.org/resources/representation/statistics/invest-needs-asia-Inf_Investment_Needs_IC_version4.pdf</vt:lpwstr>
      </vt:variant>
      <vt:variant>
        <vt:lpwstr/>
      </vt:variant>
      <vt:variant>
        <vt:i4>8323130</vt:i4>
      </vt:variant>
      <vt:variant>
        <vt:i4>246</vt:i4>
      </vt:variant>
      <vt:variant>
        <vt:i4>0</vt:i4>
      </vt:variant>
      <vt:variant>
        <vt:i4>5</vt:i4>
      </vt:variant>
      <vt:variant>
        <vt:lpwstr>http://pdfserve.informaworld.com/297693_751311873_781353829.pdf</vt:lpwstr>
      </vt:variant>
      <vt:variant>
        <vt:lpwstr/>
      </vt:variant>
      <vt:variant>
        <vt:i4>3932194</vt:i4>
      </vt:variant>
      <vt:variant>
        <vt:i4>243</vt:i4>
      </vt:variant>
      <vt:variant>
        <vt:i4>0</vt:i4>
      </vt:variant>
      <vt:variant>
        <vt:i4>5</vt:i4>
      </vt:variant>
      <vt:variant>
        <vt:lpwstr>http://www.oecd.org/dac/stats/idsonline</vt:lpwstr>
      </vt:variant>
      <vt:variant>
        <vt:lpwstr/>
      </vt:variant>
      <vt:variant>
        <vt:i4>7929958</vt:i4>
      </vt:variant>
      <vt:variant>
        <vt:i4>240</vt:i4>
      </vt:variant>
      <vt:variant>
        <vt:i4>0</vt:i4>
      </vt:variant>
      <vt:variant>
        <vt:i4>5</vt:i4>
      </vt:variant>
      <vt:variant>
        <vt:lpwstr>http://www.infrastructureafrica.org/aicd/system/files/AIATT_Consolidated_smaller.pdf</vt:lpwstr>
      </vt:variant>
      <vt:variant>
        <vt:lpwstr/>
      </vt:variant>
      <vt:variant>
        <vt:i4>1703988</vt:i4>
      </vt:variant>
      <vt:variant>
        <vt:i4>233</vt:i4>
      </vt:variant>
      <vt:variant>
        <vt:i4>0</vt:i4>
      </vt:variant>
      <vt:variant>
        <vt:i4>5</vt:i4>
      </vt:variant>
      <vt:variant>
        <vt:lpwstr/>
      </vt:variant>
      <vt:variant>
        <vt:lpwstr>_Toc318886726</vt:lpwstr>
      </vt:variant>
      <vt:variant>
        <vt:i4>1703988</vt:i4>
      </vt:variant>
      <vt:variant>
        <vt:i4>227</vt:i4>
      </vt:variant>
      <vt:variant>
        <vt:i4>0</vt:i4>
      </vt:variant>
      <vt:variant>
        <vt:i4>5</vt:i4>
      </vt:variant>
      <vt:variant>
        <vt:lpwstr/>
      </vt:variant>
      <vt:variant>
        <vt:lpwstr>_Toc318886725</vt:lpwstr>
      </vt:variant>
      <vt:variant>
        <vt:i4>1703988</vt:i4>
      </vt:variant>
      <vt:variant>
        <vt:i4>221</vt:i4>
      </vt:variant>
      <vt:variant>
        <vt:i4>0</vt:i4>
      </vt:variant>
      <vt:variant>
        <vt:i4>5</vt:i4>
      </vt:variant>
      <vt:variant>
        <vt:lpwstr/>
      </vt:variant>
      <vt:variant>
        <vt:lpwstr>_Toc318886724</vt:lpwstr>
      </vt:variant>
      <vt:variant>
        <vt:i4>1703988</vt:i4>
      </vt:variant>
      <vt:variant>
        <vt:i4>215</vt:i4>
      </vt:variant>
      <vt:variant>
        <vt:i4>0</vt:i4>
      </vt:variant>
      <vt:variant>
        <vt:i4>5</vt:i4>
      </vt:variant>
      <vt:variant>
        <vt:lpwstr/>
      </vt:variant>
      <vt:variant>
        <vt:lpwstr>_Toc318886723</vt:lpwstr>
      </vt:variant>
      <vt:variant>
        <vt:i4>1703988</vt:i4>
      </vt:variant>
      <vt:variant>
        <vt:i4>209</vt:i4>
      </vt:variant>
      <vt:variant>
        <vt:i4>0</vt:i4>
      </vt:variant>
      <vt:variant>
        <vt:i4>5</vt:i4>
      </vt:variant>
      <vt:variant>
        <vt:lpwstr/>
      </vt:variant>
      <vt:variant>
        <vt:lpwstr>_Toc318886722</vt:lpwstr>
      </vt:variant>
      <vt:variant>
        <vt:i4>1703988</vt:i4>
      </vt:variant>
      <vt:variant>
        <vt:i4>203</vt:i4>
      </vt:variant>
      <vt:variant>
        <vt:i4>0</vt:i4>
      </vt:variant>
      <vt:variant>
        <vt:i4>5</vt:i4>
      </vt:variant>
      <vt:variant>
        <vt:lpwstr/>
      </vt:variant>
      <vt:variant>
        <vt:lpwstr>_Toc318886721</vt:lpwstr>
      </vt:variant>
      <vt:variant>
        <vt:i4>1703988</vt:i4>
      </vt:variant>
      <vt:variant>
        <vt:i4>197</vt:i4>
      </vt:variant>
      <vt:variant>
        <vt:i4>0</vt:i4>
      </vt:variant>
      <vt:variant>
        <vt:i4>5</vt:i4>
      </vt:variant>
      <vt:variant>
        <vt:lpwstr/>
      </vt:variant>
      <vt:variant>
        <vt:lpwstr>_Toc318886720</vt:lpwstr>
      </vt:variant>
      <vt:variant>
        <vt:i4>1638452</vt:i4>
      </vt:variant>
      <vt:variant>
        <vt:i4>191</vt:i4>
      </vt:variant>
      <vt:variant>
        <vt:i4>0</vt:i4>
      </vt:variant>
      <vt:variant>
        <vt:i4>5</vt:i4>
      </vt:variant>
      <vt:variant>
        <vt:lpwstr/>
      </vt:variant>
      <vt:variant>
        <vt:lpwstr>_Toc318886719</vt:lpwstr>
      </vt:variant>
      <vt:variant>
        <vt:i4>1638452</vt:i4>
      </vt:variant>
      <vt:variant>
        <vt:i4>185</vt:i4>
      </vt:variant>
      <vt:variant>
        <vt:i4>0</vt:i4>
      </vt:variant>
      <vt:variant>
        <vt:i4>5</vt:i4>
      </vt:variant>
      <vt:variant>
        <vt:lpwstr/>
      </vt:variant>
      <vt:variant>
        <vt:lpwstr>_Toc318886718</vt:lpwstr>
      </vt:variant>
      <vt:variant>
        <vt:i4>1638452</vt:i4>
      </vt:variant>
      <vt:variant>
        <vt:i4>179</vt:i4>
      </vt:variant>
      <vt:variant>
        <vt:i4>0</vt:i4>
      </vt:variant>
      <vt:variant>
        <vt:i4>5</vt:i4>
      </vt:variant>
      <vt:variant>
        <vt:lpwstr/>
      </vt:variant>
      <vt:variant>
        <vt:lpwstr>_Toc318886717</vt:lpwstr>
      </vt:variant>
      <vt:variant>
        <vt:i4>1638452</vt:i4>
      </vt:variant>
      <vt:variant>
        <vt:i4>173</vt:i4>
      </vt:variant>
      <vt:variant>
        <vt:i4>0</vt:i4>
      </vt:variant>
      <vt:variant>
        <vt:i4>5</vt:i4>
      </vt:variant>
      <vt:variant>
        <vt:lpwstr/>
      </vt:variant>
      <vt:variant>
        <vt:lpwstr>_Toc318886716</vt:lpwstr>
      </vt:variant>
      <vt:variant>
        <vt:i4>1638452</vt:i4>
      </vt:variant>
      <vt:variant>
        <vt:i4>167</vt:i4>
      </vt:variant>
      <vt:variant>
        <vt:i4>0</vt:i4>
      </vt:variant>
      <vt:variant>
        <vt:i4>5</vt:i4>
      </vt:variant>
      <vt:variant>
        <vt:lpwstr/>
      </vt:variant>
      <vt:variant>
        <vt:lpwstr>_Toc318886715</vt:lpwstr>
      </vt:variant>
      <vt:variant>
        <vt:i4>1638452</vt:i4>
      </vt:variant>
      <vt:variant>
        <vt:i4>161</vt:i4>
      </vt:variant>
      <vt:variant>
        <vt:i4>0</vt:i4>
      </vt:variant>
      <vt:variant>
        <vt:i4>5</vt:i4>
      </vt:variant>
      <vt:variant>
        <vt:lpwstr/>
      </vt:variant>
      <vt:variant>
        <vt:lpwstr>_Toc318886714</vt:lpwstr>
      </vt:variant>
      <vt:variant>
        <vt:i4>1638452</vt:i4>
      </vt:variant>
      <vt:variant>
        <vt:i4>155</vt:i4>
      </vt:variant>
      <vt:variant>
        <vt:i4>0</vt:i4>
      </vt:variant>
      <vt:variant>
        <vt:i4>5</vt:i4>
      </vt:variant>
      <vt:variant>
        <vt:lpwstr/>
      </vt:variant>
      <vt:variant>
        <vt:lpwstr>_Toc318886713</vt:lpwstr>
      </vt:variant>
      <vt:variant>
        <vt:i4>1638452</vt:i4>
      </vt:variant>
      <vt:variant>
        <vt:i4>149</vt:i4>
      </vt:variant>
      <vt:variant>
        <vt:i4>0</vt:i4>
      </vt:variant>
      <vt:variant>
        <vt:i4>5</vt:i4>
      </vt:variant>
      <vt:variant>
        <vt:lpwstr/>
      </vt:variant>
      <vt:variant>
        <vt:lpwstr>_Toc318886712</vt:lpwstr>
      </vt:variant>
      <vt:variant>
        <vt:i4>1638452</vt:i4>
      </vt:variant>
      <vt:variant>
        <vt:i4>143</vt:i4>
      </vt:variant>
      <vt:variant>
        <vt:i4>0</vt:i4>
      </vt:variant>
      <vt:variant>
        <vt:i4>5</vt:i4>
      </vt:variant>
      <vt:variant>
        <vt:lpwstr/>
      </vt:variant>
      <vt:variant>
        <vt:lpwstr>_Toc318886711</vt:lpwstr>
      </vt:variant>
      <vt:variant>
        <vt:i4>1638452</vt:i4>
      </vt:variant>
      <vt:variant>
        <vt:i4>137</vt:i4>
      </vt:variant>
      <vt:variant>
        <vt:i4>0</vt:i4>
      </vt:variant>
      <vt:variant>
        <vt:i4>5</vt:i4>
      </vt:variant>
      <vt:variant>
        <vt:lpwstr/>
      </vt:variant>
      <vt:variant>
        <vt:lpwstr>_Toc318886710</vt:lpwstr>
      </vt:variant>
      <vt:variant>
        <vt:i4>1572916</vt:i4>
      </vt:variant>
      <vt:variant>
        <vt:i4>131</vt:i4>
      </vt:variant>
      <vt:variant>
        <vt:i4>0</vt:i4>
      </vt:variant>
      <vt:variant>
        <vt:i4>5</vt:i4>
      </vt:variant>
      <vt:variant>
        <vt:lpwstr/>
      </vt:variant>
      <vt:variant>
        <vt:lpwstr>_Toc318886709</vt:lpwstr>
      </vt:variant>
      <vt:variant>
        <vt:i4>1572916</vt:i4>
      </vt:variant>
      <vt:variant>
        <vt:i4>125</vt:i4>
      </vt:variant>
      <vt:variant>
        <vt:i4>0</vt:i4>
      </vt:variant>
      <vt:variant>
        <vt:i4>5</vt:i4>
      </vt:variant>
      <vt:variant>
        <vt:lpwstr/>
      </vt:variant>
      <vt:variant>
        <vt:lpwstr>_Toc318886708</vt:lpwstr>
      </vt:variant>
      <vt:variant>
        <vt:i4>1572916</vt:i4>
      </vt:variant>
      <vt:variant>
        <vt:i4>119</vt:i4>
      </vt:variant>
      <vt:variant>
        <vt:i4>0</vt:i4>
      </vt:variant>
      <vt:variant>
        <vt:i4>5</vt:i4>
      </vt:variant>
      <vt:variant>
        <vt:lpwstr/>
      </vt:variant>
      <vt:variant>
        <vt:lpwstr>_Toc318886707</vt:lpwstr>
      </vt:variant>
      <vt:variant>
        <vt:i4>1572916</vt:i4>
      </vt:variant>
      <vt:variant>
        <vt:i4>113</vt:i4>
      </vt:variant>
      <vt:variant>
        <vt:i4>0</vt:i4>
      </vt:variant>
      <vt:variant>
        <vt:i4>5</vt:i4>
      </vt:variant>
      <vt:variant>
        <vt:lpwstr/>
      </vt:variant>
      <vt:variant>
        <vt:lpwstr>_Toc318886706</vt:lpwstr>
      </vt:variant>
      <vt:variant>
        <vt:i4>1572916</vt:i4>
      </vt:variant>
      <vt:variant>
        <vt:i4>107</vt:i4>
      </vt:variant>
      <vt:variant>
        <vt:i4>0</vt:i4>
      </vt:variant>
      <vt:variant>
        <vt:i4>5</vt:i4>
      </vt:variant>
      <vt:variant>
        <vt:lpwstr/>
      </vt:variant>
      <vt:variant>
        <vt:lpwstr>_Toc318886705</vt:lpwstr>
      </vt:variant>
      <vt:variant>
        <vt:i4>1572916</vt:i4>
      </vt:variant>
      <vt:variant>
        <vt:i4>101</vt:i4>
      </vt:variant>
      <vt:variant>
        <vt:i4>0</vt:i4>
      </vt:variant>
      <vt:variant>
        <vt:i4>5</vt:i4>
      </vt:variant>
      <vt:variant>
        <vt:lpwstr/>
      </vt:variant>
      <vt:variant>
        <vt:lpwstr>_Toc318886704</vt:lpwstr>
      </vt:variant>
      <vt:variant>
        <vt:i4>1572916</vt:i4>
      </vt:variant>
      <vt:variant>
        <vt:i4>95</vt:i4>
      </vt:variant>
      <vt:variant>
        <vt:i4>0</vt:i4>
      </vt:variant>
      <vt:variant>
        <vt:i4>5</vt:i4>
      </vt:variant>
      <vt:variant>
        <vt:lpwstr/>
      </vt:variant>
      <vt:variant>
        <vt:lpwstr>_Toc318886703</vt:lpwstr>
      </vt:variant>
      <vt:variant>
        <vt:i4>1572916</vt:i4>
      </vt:variant>
      <vt:variant>
        <vt:i4>89</vt:i4>
      </vt:variant>
      <vt:variant>
        <vt:i4>0</vt:i4>
      </vt:variant>
      <vt:variant>
        <vt:i4>5</vt:i4>
      </vt:variant>
      <vt:variant>
        <vt:lpwstr/>
      </vt:variant>
      <vt:variant>
        <vt:lpwstr>_Toc318886702</vt:lpwstr>
      </vt:variant>
      <vt:variant>
        <vt:i4>1572916</vt:i4>
      </vt:variant>
      <vt:variant>
        <vt:i4>83</vt:i4>
      </vt:variant>
      <vt:variant>
        <vt:i4>0</vt:i4>
      </vt:variant>
      <vt:variant>
        <vt:i4>5</vt:i4>
      </vt:variant>
      <vt:variant>
        <vt:lpwstr/>
      </vt:variant>
      <vt:variant>
        <vt:lpwstr>_Toc318886701</vt:lpwstr>
      </vt:variant>
      <vt:variant>
        <vt:i4>1572916</vt:i4>
      </vt:variant>
      <vt:variant>
        <vt:i4>77</vt:i4>
      </vt:variant>
      <vt:variant>
        <vt:i4>0</vt:i4>
      </vt:variant>
      <vt:variant>
        <vt:i4>5</vt:i4>
      </vt:variant>
      <vt:variant>
        <vt:lpwstr/>
      </vt:variant>
      <vt:variant>
        <vt:lpwstr>_Toc318886700</vt:lpwstr>
      </vt:variant>
      <vt:variant>
        <vt:i4>1114165</vt:i4>
      </vt:variant>
      <vt:variant>
        <vt:i4>71</vt:i4>
      </vt:variant>
      <vt:variant>
        <vt:i4>0</vt:i4>
      </vt:variant>
      <vt:variant>
        <vt:i4>5</vt:i4>
      </vt:variant>
      <vt:variant>
        <vt:lpwstr/>
      </vt:variant>
      <vt:variant>
        <vt:lpwstr>_Toc318886699</vt:lpwstr>
      </vt:variant>
      <vt:variant>
        <vt:i4>1114165</vt:i4>
      </vt:variant>
      <vt:variant>
        <vt:i4>65</vt:i4>
      </vt:variant>
      <vt:variant>
        <vt:i4>0</vt:i4>
      </vt:variant>
      <vt:variant>
        <vt:i4>5</vt:i4>
      </vt:variant>
      <vt:variant>
        <vt:lpwstr/>
      </vt:variant>
      <vt:variant>
        <vt:lpwstr>_Toc318886698</vt:lpwstr>
      </vt:variant>
      <vt:variant>
        <vt:i4>1114165</vt:i4>
      </vt:variant>
      <vt:variant>
        <vt:i4>59</vt:i4>
      </vt:variant>
      <vt:variant>
        <vt:i4>0</vt:i4>
      </vt:variant>
      <vt:variant>
        <vt:i4>5</vt:i4>
      </vt:variant>
      <vt:variant>
        <vt:lpwstr/>
      </vt:variant>
      <vt:variant>
        <vt:lpwstr>_Toc318886697</vt:lpwstr>
      </vt:variant>
      <vt:variant>
        <vt:i4>1114165</vt:i4>
      </vt:variant>
      <vt:variant>
        <vt:i4>53</vt:i4>
      </vt:variant>
      <vt:variant>
        <vt:i4>0</vt:i4>
      </vt:variant>
      <vt:variant>
        <vt:i4>5</vt:i4>
      </vt:variant>
      <vt:variant>
        <vt:lpwstr/>
      </vt:variant>
      <vt:variant>
        <vt:lpwstr>_Toc318886696</vt:lpwstr>
      </vt:variant>
      <vt:variant>
        <vt:i4>1114165</vt:i4>
      </vt:variant>
      <vt:variant>
        <vt:i4>47</vt:i4>
      </vt:variant>
      <vt:variant>
        <vt:i4>0</vt:i4>
      </vt:variant>
      <vt:variant>
        <vt:i4>5</vt:i4>
      </vt:variant>
      <vt:variant>
        <vt:lpwstr/>
      </vt:variant>
      <vt:variant>
        <vt:lpwstr>_Toc318886695</vt:lpwstr>
      </vt:variant>
      <vt:variant>
        <vt:i4>1114165</vt:i4>
      </vt:variant>
      <vt:variant>
        <vt:i4>41</vt:i4>
      </vt:variant>
      <vt:variant>
        <vt:i4>0</vt:i4>
      </vt:variant>
      <vt:variant>
        <vt:i4>5</vt:i4>
      </vt:variant>
      <vt:variant>
        <vt:lpwstr/>
      </vt:variant>
      <vt:variant>
        <vt:lpwstr>_Toc318886694</vt:lpwstr>
      </vt:variant>
      <vt:variant>
        <vt:i4>1114165</vt:i4>
      </vt:variant>
      <vt:variant>
        <vt:i4>35</vt:i4>
      </vt:variant>
      <vt:variant>
        <vt:i4>0</vt:i4>
      </vt:variant>
      <vt:variant>
        <vt:i4>5</vt:i4>
      </vt:variant>
      <vt:variant>
        <vt:lpwstr/>
      </vt:variant>
      <vt:variant>
        <vt:lpwstr>_Toc318886693</vt:lpwstr>
      </vt:variant>
      <vt:variant>
        <vt:i4>1114165</vt:i4>
      </vt:variant>
      <vt:variant>
        <vt:i4>29</vt:i4>
      </vt:variant>
      <vt:variant>
        <vt:i4>0</vt:i4>
      </vt:variant>
      <vt:variant>
        <vt:i4>5</vt:i4>
      </vt:variant>
      <vt:variant>
        <vt:lpwstr/>
      </vt:variant>
      <vt:variant>
        <vt:lpwstr>_Toc318886692</vt:lpwstr>
      </vt:variant>
      <vt:variant>
        <vt:i4>1114165</vt:i4>
      </vt:variant>
      <vt:variant>
        <vt:i4>23</vt:i4>
      </vt:variant>
      <vt:variant>
        <vt:i4>0</vt:i4>
      </vt:variant>
      <vt:variant>
        <vt:i4>5</vt:i4>
      </vt:variant>
      <vt:variant>
        <vt:lpwstr/>
      </vt:variant>
      <vt:variant>
        <vt:lpwstr>_Toc318886691</vt:lpwstr>
      </vt:variant>
      <vt:variant>
        <vt:i4>1114165</vt:i4>
      </vt:variant>
      <vt:variant>
        <vt:i4>17</vt:i4>
      </vt:variant>
      <vt:variant>
        <vt:i4>0</vt:i4>
      </vt:variant>
      <vt:variant>
        <vt:i4>5</vt:i4>
      </vt:variant>
      <vt:variant>
        <vt:lpwstr/>
      </vt:variant>
      <vt:variant>
        <vt:lpwstr>_Toc318886690</vt:lpwstr>
      </vt:variant>
      <vt:variant>
        <vt:i4>1048629</vt:i4>
      </vt:variant>
      <vt:variant>
        <vt:i4>11</vt:i4>
      </vt:variant>
      <vt:variant>
        <vt:i4>0</vt:i4>
      </vt:variant>
      <vt:variant>
        <vt:i4>5</vt:i4>
      </vt:variant>
      <vt:variant>
        <vt:lpwstr/>
      </vt:variant>
      <vt:variant>
        <vt:lpwstr>_Toc318886689</vt:lpwstr>
      </vt:variant>
      <vt:variant>
        <vt:i4>1048629</vt:i4>
      </vt:variant>
      <vt:variant>
        <vt:i4>5</vt:i4>
      </vt:variant>
      <vt:variant>
        <vt:i4>0</vt:i4>
      </vt:variant>
      <vt:variant>
        <vt:i4>5</vt:i4>
      </vt:variant>
      <vt:variant>
        <vt:lpwstr/>
      </vt:variant>
      <vt:variant>
        <vt:lpwstr>_Toc318886688</vt:lpwstr>
      </vt:variant>
      <vt:variant>
        <vt:i4>6422538</vt:i4>
      </vt:variant>
      <vt:variant>
        <vt:i4>0</vt:i4>
      </vt:variant>
      <vt:variant>
        <vt:i4>0</vt:i4>
      </vt:variant>
      <vt:variant>
        <vt:i4>5</vt:i4>
      </vt:variant>
      <vt:variant>
        <vt:lpwstr>mailto:d.j.hall@gre.ac.uk</vt:lpwstr>
      </vt:variant>
      <vt:variant>
        <vt:lpwstr/>
      </vt: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ariant>
        <vt:i4>8323147</vt:i4>
      </vt:variant>
      <vt:variant>
        <vt:i4>171</vt:i4>
      </vt:variant>
      <vt:variant>
        <vt:i4>0</vt:i4>
      </vt:variant>
      <vt:variant>
        <vt:i4>5</vt:i4>
      </vt:variant>
      <vt:variant>
        <vt:lpwstr>http://www.iipf.org/speeches/Kasekende_2009.pdf</vt:lpwstr>
      </vt:variant>
      <vt:variant>
        <vt:lpwstr/>
      </vt:variant>
      <vt:variant>
        <vt:i4>8323147</vt:i4>
      </vt:variant>
      <vt:variant>
        <vt:i4>168</vt:i4>
      </vt:variant>
      <vt:variant>
        <vt:i4>0</vt:i4>
      </vt:variant>
      <vt:variant>
        <vt:i4>5</vt:i4>
      </vt:variant>
      <vt:variant>
        <vt:lpwstr>http://www.iipf.org/speeches/Kasekende_2009.pdf</vt:lpwstr>
      </vt:variant>
      <vt:variant>
        <vt:lpwstr/>
      </vt:variant>
      <vt:variant>
        <vt:i4>5439514</vt:i4>
      </vt:variant>
      <vt:variant>
        <vt:i4>165</vt:i4>
      </vt:variant>
      <vt:variant>
        <vt:i4>0</vt:i4>
      </vt:variant>
      <vt:variant>
        <vt:i4>5</vt:i4>
      </vt:variant>
      <vt:variant>
        <vt:lpwstr>http://www.mediacentre.go.ug/details.php?catId=6&amp;item=946</vt:lpwstr>
      </vt:variant>
      <vt:variant>
        <vt:lpwstr/>
      </vt:variant>
      <vt:variant>
        <vt:i4>3670120</vt:i4>
      </vt:variant>
      <vt:variant>
        <vt:i4>162</vt:i4>
      </vt:variant>
      <vt:variant>
        <vt:i4>0</vt:i4>
      </vt:variant>
      <vt:variant>
        <vt:i4>5</vt:i4>
      </vt:variant>
      <vt:variant>
        <vt:lpwstr>http://www.unesco.org/water/wwap/wwdr2/index.shtml</vt:lpwstr>
      </vt:variant>
      <vt:variant>
        <vt:lpwstr/>
      </vt:variant>
      <vt:variant>
        <vt:i4>3670120</vt:i4>
      </vt:variant>
      <vt:variant>
        <vt:i4>159</vt:i4>
      </vt:variant>
      <vt:variant>
        <vt:i4>0</vt:i4>
      </vt:variant>
      <vt:variant>
        <vt:i4>5</vt:i4>
      </vt:variant>
      <vt:variant>
        <vt:lpwstr>http://www.unesco.org/water/wwap/wwdr2/index.shtml</vt:lpwstr>
      </vt:variant>
      <vt:variant>
        <vt:lpwstr/>
      </vt:variant>
      <vt:variant>
        <vt:i4>5242970</vt:i4>
      </vt:variant>
      <vt:variant>
        <vt:i4>156</vt:i4>
      </vt:variant>
      <vt:variant>
        <vt:i4>0</vt:i4>
      </vt:variant>
      <vt:variant>
        <vt:i4>5</vt:i4>
      </vt:variant>
      <vt:variant>
        <vt:lpwstr>http://www.oecd.org/water</vt:lpwstr>
      </vt:variant>
      <vt:variant>
        <vt:lpwstr/>
      </vt:variant>
      <vt:variant>
        <vt:i4>5242970</vt:i4>
      </vt:variant>
      <vt:variant>
        <vt:i4>153</vt:i4>
      </vt:variant>
      <vt:variant>
        <vt:i4>0</vt:i4>
      </vt:variant>
      <vt:variant>
        <vt:i4>5</vt:i4>
      </vt:variant>
      <vt:variant>
        <vt:lpwstr>http://www.oecd.org/water</vt:lpwstr>
      </vt:variant>
      <vt:variant>
        <vt:lpwstr/>
      </vt:variant>
      <vt:variant>
        <vt:i4>5242970</vt:i4>
      </vt:variant>
      <vt:variant>
        <vt:i4>150</vt:i4>
      </vt:variant>
      <vt:variant>
        <vt:i4>0</vt:i4>
      </vt:variant>
      <vt:variant>
        <vt:i4>5</vt:i4>
      </vt:variant>
      <vt:variant>
        <vt:lpwstr>http://www.oecd.org/water</vt:lpwstr>
      </vt:variant>
      <vt:variant>
        <vt:lpwstr/>
      </vt:variant>
      <vt:variant>
        <vt:i4>2490480</vt:i4>
      </vt:variant>
      <vt:variant>
        <vt:i4>147</vt:i4>
      </vt:variant>
      <vt:variant>
        <vt:i4>0</vt:i4>
      </vt:variant>
      <vt:variant>
        <vt:i4>5</vt:i4>
      </vt:variant>
      <vt:variant>
        <vt:lpwstr>http://www.wssinfo.org/</vt:lpwstr>
      </vt:variant>
      <vt:variant>
        <vt:lpwstr/>
      </vt:variant>
      <vt:variant>
        <vt:i4>7602203</vt:i4>
      </vt:variant>
      <vt:variant>
        <vt:i4>144</vt:i4>
      </vt:variant>
      <vt:variant>
        <vt:i4>0</vt:i4>
      </vt:variant>
      <vt:variant>
        <vt:i4>5</vt:i4>
      </vt:variant>
      <vt:variant>
        <vt:lpwstr>http://www.wssinfo.org/fileadmin/user_upload/resources/JMP-report-2012-en.pdf</vt:lpwstr>
      </vt:variant>
      <vt:variant>
        <vt:lpwstr/>
      </vt:variant>
      <vt:variant>
        <vt:i4>2490480</vt:i4>
      </vt:variant>
      <vt:variant>
        <vt:i4>141</vt:i4>
      </vt:variant>
      <vt:variant>
        <vt:i4>0</vt:i4>
      </vt:variant>
      <vt:variant>
        <vt:i4>5</vt:i4>
      </vt:variant>
      <vt:variant>
        <vt:lpwstr>http://www.wssinfo.org/</vt:lpwstr>
      </vt:variant>
      <vt:variant>
        <vt:lpwstr/>
      </vt:variant>
      <vt:variant>
        <vt:i4>7602203</vt:i4>
      </vt:variant>
      <vt:variant>
        <vt:i4>138</vt:i4>
      </vt:variant>
      <vt:variant>
        <vt:i4>0</vt:i4>
      </vt:variant>
      <vt:variant>
        <vt:i4>5</vt:i4>
      </vt:variant>
      <vt:variant>
        <vt:lpwstr>http://www.wssinfo.org/fileadmin/user_upload/resources/JMP-report-2012-en.pdf</vt:lpwstr>
      </vt:variant>
      <vt:variant>
        <vt:lpwstr/>
      </vt:variant>
      <vt:variant>
        <vt:i4>7602203</vt:i4>
      </vt:variant>
      <vt:variant>
        <vt:i4>135</vt:i4>
      </vt:variant>
      <vt:variant>
        <vt:i4>0</vt:i4>
      </vt:variant>
      <vt:variant>
        <vt:i4>5</vt:i4>
      </vt:variant>
      <vt:variant>
        <vt:lpwstr>http://www.wssinfo.org/fileadmin/user_upload/resources/JMP-report-2012-en.pdf</vt:lpwstr>
      </vt:variant>
      <vt:variant>
        <vt:lpwstr/>
      </vt:variant>
      <vt:variant>
        <vt:i4>1048668</vt:i4>
      </vt:variant>
      <vt:variant>
        <vt:i4>132</vt:i4>
      </vt:variant>
      <vt:variant>
        <vt:i4>0</vt:i4>
      </vt:variant>
      <vt:variant>
        <vt:i4>5</vt:i4>
      </vt:variant>
      <vt:variant>
        <vt:lpwstr>http://www.psiru.org/reports/2008-03-W-sewers.doc</vt:lpwstr>
      </vt:variant>
      <vt:variant>
        <vt:lpwstr/>
      </vt:variant>
      <vt:variant>
        <vt:i4>1048668</vt:i4>
      </vt:variant>
      <vt:variant>
        <vt:i4>129</vt:i4>
      </vt:variant>
      <vt:variant>
        <vt:i4>0</vt:i4>
      </vt:variant>
      <vt:variant>
        <vt:i4>5</vt:i4>
      </vt:variant>
      <vt:variant>
        <vt:lpwstr>http://www.psiru.org/reports/2008-03-W-sewers.doc</vt:lpwstr>
      </vt:variant>
      <vt:variant>
        <vt:lpwstr/>
      </vt:variant>
      <vt:variant>
        <vt:i4>3276910</vt:i4>
      </vt:variant>
      <vt:variant>
        <vt:i4>126</vt:i4>
      </vt:variant>
      <vt:variant>
        <vt:i4>0</vt:i4>
      </vt:variant>
      <vt:variant>
        <vt:i4>5</vt:i4>
      </vt:variant>
      <vt:variant>
        <vt:lpwstr>http://infrastructure.gov.in/pdf/inv-infra.pdf</vt:lpwstr>
      </vt:variant>
      <vt:variant>
        <vt:lpwstr/>
      </vt:variant>
      <vt:variant>
        <vt:i4>1048668</vt:i4>
      </vt:variant>
      <vt:variant>
        <vt:i4>123</vt:i4>
      </vt:variant>
      <vt:variant>
        <vt:i4>0</vt:i4>
      </vt:variant>
      <vt:variant>
        <vt:i4>5</vt:i4>
      </vt:variant>
      <vt:variant>
        <vt:lpwstr>http://www.psiru.org/reports/2008-03-W-sewers.doc</vt:lpwstr>
      </vt:variant>
      <vt:variant>
        <vt:lpwstr/>
      </vt:variant>
      <vt:variant>
        <vt:i4>6357099</vt:i4>
      </vt:variant>
      <vt:variant>
        <vt:i4>120</vt:i4>
      </vt:variant>
      <vt:variant>
        <vt:i4>0</vt:i4>
      </vt:variant>
      <vt:variant>
        <vt:i4>5</vt:i4>
      </vt:variant>
      <vt:variant>
        <vt:lpwstr>http://dx.doi.org/10.1108/14636680810883099</vt:lpwstr>
      </vt:variant>
      <vt:variant>
        <vt:lpwstr/>
      </vt:variant>
      <vt:variant>
        <vt:i4>3670120</vt:i4>
      </vt:variant>
      <vt:variant>
        <vt:i4>117</vt:i4>
      </vt:variant>
      <vt:variant>
        <vt:i4>0</vt:i4>
      </vt:variant>
      <vt:variant>
        <vt:i4>5</vt:i4>
      </vt:variant>
      <vt:variant>
        <vt:lpwstr>http://www.unesco.org/water/wwap/wwdr2/index.shtml</vt:lpwstr>
      </vt:variant>
      <vt:variant>
        <vt:lpwstr/>
      </vt:variant>
      <vt:variant>
        <vt:i4>4063336</vt:i4>
      </vt:variant>
      <vt:variant>
        <vt:i4>114</vt:i4>
      </vt:variant>
      <vt:variant>
        <vt:i4>0</vt:i4>
      </vt:variant>
      <vt:variant>
        <vt:i4>5</vt:i4>
      </vt:variant>
      <vt:variant>
        <vt:lpwstr>http://www.guardian.co.uk/world/2010/sep/21/paris-park-fizzy-water-tap</vt:lpwstr>
      </vt:variant>
      <vt:variant>
        <vt:lpwstr/>
      </vt:variant>
      <vt:variant>
        <vt:i4>7405570</vt:i4>
      </vt:variant>
      <vt:variant>
        <vt:i4>111</vt:i4>
      </vt:variant>
      <vt:variant>
        <vt:i4>0</vt:i4>
      </vt:variant>
      <vt:variant>
        <vt:i4>5</vt:i4>
      </vt:variant>
      <vt:variant>
        <vt:lpwstr>http://www.asa.org.uk/Complaints-and-ASA-action/Adjudications/2008/10/Coca_Cola-Great-Britain/TF_ADJ_45117.aspx</vt:lpwstr>
      </vt:variant>
      <vt:variant>
        <vt:lpwstr/>
      </vt:variant>
      <vt:variant>
        <vt:i4>3473500</vt:i4>
      </vt:variant>
      <vt:variant>
        <vt:i4>108</vt:i4>
      </vt:variant>
      <vt:variant>
        <vt:i4>0</vt:i4>
      </vt:variant>
      <vt:variant>
        <vt:i4>5</vt:i4>
      </vt:variant>
      <vt:variant>
        <vt:lpwstr>http://www.mckinsey.com/App_Media/Reports/Water/Charting_Our_Water_Future_Full_Report_001.pdf</vt:lpwstr>
      </vt:variant>
      <vt:variant>
        <vt:lpwstr/>
      </vt:variant>
      <vt:variant>
        <vt:i4>3080268</vt:i4>
      </vt:variant>
      <vt:variant>
        <vt:i4>105</vt:i4>
      </vt:variant>
      <vt:variant>
        <vt:i4>0</vt:i4>
      </vt:variant>
      <vt:variant>
        <vt:i4>5</vt:i4>
      </vt:variant>
      <vt:variant>
        <vt:lpwstr>http://www-wds.worldbank.org/servlet/WDSContentServer/WDSP/IB/2011/03/30/000158349_20110330154747/Rendered/PDF/WPS5618.pdf</vt:lpwstr>
      </vt:variant>
      <vt:variant>
        <vt:lpwstr/>
      </vt:variant>
      <vt:variant>
        <vt:i4>3080268</vt:i4>
      </vt:variant>
      <vt:variant>
        <vt:i4>102</vt:i4>
      </vt:variant>
      <vt:variant>
        <vt:i4>0</vt:i4>
      </vt:variant>
      <vt:variant>
        <vt:i4>5</vt:i4>
      </vt:variant>
      <vt:variant>
        <vt:lpwstr>http://www-wds.worldbank.org/servlet/WDSContentServer/WDSP/IB/2011/03/30/000158349_20110330154747/Rendered/PDF/WPS5618.pdf</vt:lpwstr>
      </vt:variant>
      <vt:variant>
        <vt:lpwstr/>
      </vt:variant>
      <vt:variant>
        <vt:i4>3080268</vt:i4>
      </vt:variant>
      <vt:variant>
        <vt:i4>99</vt:i4>
      </vt:variant>
      <vt:variant>
        <vt:i4>0</vt:i4>
      </vt:variant>
      <vt:variant>
        <vt:i4>5</vt:i4>
      </vt:variant>
      <vt:variant>
        <vt:lpwstr>http://www-wds.worldbank.org/servlet/WDSContentServer/WDSP/IB/2011/03/30/000158349_20110330154747/Rendered/PDF/WPS5618.pdf</vt:lpwstr>
      </vt:variant>
      <vt:variant>
        <vt:lpwstr/>
      </vt:variant>
      <vt:variant>
        <vt:i4>7667750</vt:i4>
      </vt:variant>
      <vt:variant>
        <vt:i4>96</vt:i4>
      </vt:variant>
      <vt:variant>
        <vt:i4>0</vt:i4>
      </vt:variant>
      <vt:variant>
        <vt:i4>5</vt:i4>
      </vt:variant>
      <vt:variant>
        <vt:lpwstr>http://www.unctad.org/Templates/WebFlyer.asp?intItemID=5491&amp;lang=1</vt:lpwstr>
      </vt:variant>
      <vt:variant>
        <vt:lpwstr/>
      </vt:variant>
      <vt:variant>
        <vt:i4>7667750</vt:i4>
      </vt:variant>
      <vt:variant>
        <vt:i4>93</vt:i4>
      </vt:variant>
      <vt:variant>
        <vt:i4>0</vt:i4>
      </vt:variant>
      <vt:variant>
        <vt:i4>5</vt:i4>
      </vt:variant>
      <vt:variant>
        <vt:lpwstr>http://www.unctad.org/Templates/WebFlyer.asp?intItemID=5491&amp;lang=1</vt:lpwstr>
      </vt:variant>
      <vt:variant>
        <vt:lpwstr/>
      </vt:variant>
      <vt:variant>
        <vt:i4>7667750</vt:i4>
      </vt:variant>
      <vt:variant>
        <vt:i4>90</vt:i4>
      </vt:variant>
      <vt:variant>
        <vt:i4>0</vt:i4>
      </vt:variant>
      <vt:variant>
        <vt:i4>5</vt:i4>
      </vt:variant>
      <vt:variant>
        <vt:lpwstr>http://www.unctad.org/Templates/WebFlyer.asp?intItemID=5491&amp;lang=1</vt:lpwstr>
      </vt:variant>
      <vt:variant>
        <vt:lpwstr/>
      </vt:variant>
      <vt:variant>
        <vt:i4>4325379</vt:i4>
      </vt:variant>
      <vt:variant>
        <vt:i4>87</vt:i4>
      </vt:variant>
      <vt:variant>
        <vt:i4>0</vt:i4>
      </vt:variant>
      <vt:variant>
        <vt:i4>5</vt:i4>
      </vt:variant>
      <vt:variant>
        <vt:lpwstr>http://stats.oecd.org/qwids/</vt:lpwstr>
      </vt:variant>
      <vt:variant>
        <vt:lpwstr>?x=1&amp;y=6&amp;f=3:40,4:1,5:4,2:1,7:1&amp;q=3:51,40+4:1+5:4+2:1+7:1+1:2+6:2005,2006,2007,2008,2009,2010</vt:lpwstr>
      </vt:variant>
      <vt:variant>
        <vt:i4>4784201</vt:i4>
      </vt:variant>
      <vt:variant>
        <vt:i4>84</vt:i4>
      </vt:variant>
      <vt:variant>
        <vt:i4>0</vt:i4>
      </vt:variant>
      <vt:variant>
        <vt:i4>5</vt:i4>
      </vt:variant>
      <vt:variant>
        <vt:lpwstr>http://www.imf.org/external/pubs/ft/reo/2011/afr/eng/sreo0411.pdf</vt:lpwstr>
      </vt:variant>
      <vt:variant>
        <vt:lpwstr/>
      </vt:variant>
      <vt:variant>
        <vt:i4>4784201</vt:i4>
      </vt:variant>
      <vt:variant>
        <vt:i4>81</vt:i4>
      </vt:variant>
      <vt:variant>
        <vt:i4>0</vt:i4>
      </vt:variant>
      <vt:variant>
        <vt:i4>5</vt:i4>
      </vt:variant>
      <vt:variant>
        <vt:lpwstr>http://www.imf.org/external/pubs/ft/reo/2011/afr/eng/sreo0411.pdf</vt:lpwstr>
      </vt:variant>
      <vt:variant>
        <vt:lpwstr/>
      </vt:variant>
      <vt:variant>
        <vt:i4>2883703</vt:i4>
      </vt:variant>
      <vt:variant>
        <vt:i4>78</vt:i4>
      </vt:variant>
      <vt:variant>
        <vt:i4>0</vt:i4>
      </vt:variant>
      <vt:variant>
        <vt:i4>5</vt:i4>
      </vt:variant>
      <vt:variant>
        <vt:lpwstr>http://www.imf.org/external/pubs/ft/wp/2010/wp10140.pdf</vt:lpwstr>
      </vt:variant>
      <vt:variant>
        <vt:lpwstr/>
      </vt:variant>
      <vt:variant>
        <vt:i4>4522010</vt:i4>
      </vt:variant>
      <vt:variant>
        <vt:i4>75</vt:i4>
      </vt:variant>
      <vt:variant>
        <vt:i4>0</vt:i4>
      </vt:variant>
      <vt:variant>
        <vt:i4>5</vt:i4>
      </vt:variant>
      <vt:variant>
        <vt:lpwstr>http://www.imf.org/external/pubs/ft/reo/2010/AFR/eng/sreo0410ch2.pdf</vt:lpwstr>
      </vt:variant>
      <vt:variant>
        <vt:lpwstr/>
      </vt:variant>
      <vt:variant>
        <vt:i4>4259927</vt:i4>
      </vt:variant>
      <vt:variant>
        <vt:i4>72</vt:i4>
      </vt:variant>
      <vt:variant>
        <vt:i4>0</vt:i4>
      </vt:variant>
      <vt:variant>
        <vt:i4>5</vt:i4>
      </vt:variant>
      <vt:variant>
        <vt:lpwstr>http://siteresources.worldbank.org/INTGEP2010/Resources/FullReport-GEPSummer2010.pdf</vt:lpwstr>
      </vt:variant>
      <vt:variant>
        <vt:lpwstr/>
      </vt:variant>
      <vt:variant>
        <vt:i4>4849664</vt:i4>
      </vt:variant>
      <vt:variant>
        <vt:i4>69</vt:i4>
      </vt:variant>
      <vt:variant>
        <vt:i4>0</vt:i4>
      </vt:variant>
      <vt:variant>
        <vt:i4>5</vt:i4>
      </vt:variant>
      <vt:variant>
        <vt:lpwstr>http://www.imf.org/external/pubs/ft/weo/2010/01/index.htm</vt:lpwstr>
      </vt:variant>
      <vt:variant>
        <vt:lpwstr/>
      </vt:variant>
      <vt:variant>
        <vt:i4>196687</vt:i4>
      </vt:variant>
      <vt:variant>
        <vt:i4>66</vt:i4>
      </vt:variant>
      <vt:variant>
        <vt:i4>0</vt:i4>
      </vt:variant>
      <vt:variant>
        <vt:i4>5</vt:i4>
      </vt:variant>
      <vt:variant>
        <vt:lpwstr>http://www.tandfonline.com/doi/abs/10.1080/07900620802573759</vt:lpwstr>
      </vt:variant>
      <vt:variant>
        <vt:lpwstr/>
      </vt:variant>
      <vt:variant>
        <vt:i4>1835117</vt:i4>
      </vt:variant>
      <vt:variant>
        <vt:i4>63</vt:i4>
      </vt:variant>
      <vt:variant>
        <vt:i4>0</vt:i4>
      </vt:variant>
      <vt:variant>
        <vt:i4>5</vt:i4>
      </vt:variant>
      <vt:variant>
        <vt:lpwstr>http://planningcommission.nic.in/aboutus/committee/strgrp11/str11_hud1.pdf</vt:lpwstr>
      </vt:variant>
      <vt:variant>
        <vt:lpwstr/>
      </vt:variant>
      <vt:variant>
        <vt:i4>196701</vt:i4>
      </vt:variant>
      <vt:variant>
        <vt:i4>60</vt:i4>
      </vt:variant>
      <vt:variant>
        <vt:i4>0</vt:i4>
      </vt:variant>
      <vt:variant>
        <vt:i4>5</vt:i4>
      </vt:variant>
      <vt:variant>
        <vt:lpwstr>http://www1.fidic.org/resources/representation/statistics/invest-needs-asia-Inf_Investment_Needs_IC_version4.pdf</vt:lpwstr>
      </vt:variant>
      <vt:variant>
        <vt:lpwstr/>
      </vt:variant>
      <vt:variant>
        <vt:i4>7929958</vt:i4>
      </vt:variant>
      <vt:variant>
        <vt:i4>57</vt:i4>
      </vt:variant>
      <vt:variant>
        <vt:i4>0</vt:i4>
      </vt:variant>
      <vt:variant>
        <vt:i4>5</vt:i4>
      </vt:variant>
      <vt:variant>
        <vt:lpwstr>http://www.infrastructureafrica.org/aicd/system/files/AIATT_Consolidated_smaller.pdf</vt:lpwstr>
      </vt:variant>
      <vt:variant>
        <vt:lpwstr/>
      </vt:variant>
      <vt:variant>
        <vt:i4>7929958</vt:i4>
      </vt:variant>
      <vt:variant>
        <vt:i4>54</vt:i4>
      </vt:variant>
      <vt:variant>
        <vt:i4>0</vt:i4>
      </vt:variant>
      <vt:variant>
        <vt:i4>5</vt:i4>
      </vt:variant>
      <vt:variant>
        <vt:lpwstr>http://www.infrastructureafrica.org/aicd/system/files/AIATT_Consolidated_smaller.pdf</vt:lpwstr>
      </vt:variant>
      <vt:variant>
        <vt:lpwstr/>
      </vt:variant>
      <vt:variant>
        <vt:i4>7929958</vt:i4>
      </vt:variant>
      <vt:variant>
        <vt:i4>51</vt:i4>
      </vt:variant>
      <vt:variant>
        <vt:i4>0</vt:i4>
      </vt:variant>
      <vt:variant>
        <vt:i4>5</vt:i4>
      </vt:variant>
      <vt:variant>
        <vt:lpwstr>http://www.infrastructureafrica.org/aicd/system/files/AIATT_Consolidated_smaller.pdf</vt:lpwstr>
      </vt:variant>
      <vt:variant>
        <vt:lpwstr/>
      </vt:variant>
      <vt:variant>
        <vt:i4>2162813</vt:i4>
      </vt:variant>
      <vt:variant>
        <vt:i4>48</vt:i4>
      </vt:variant>
      <vt:variant>
        <vt:i4>0</vt:i4>
      </vt:variant>
      <vt:variant>
        <vt:i4>5</vt:i4>
      </vt:variant>
      <vt:variant>
        <vt:lpwstr>http://go.worldbank.org/NGTDDHDDB0</vt:lpwstr>
      </vt:variant>
      <vt:variant>
        <vt:lpwstr/>
      </vt:variant>
      <vt:variant>
        <vt:i4>7929958</vt:i4>
      </vt:variant>
      <vt:variant>
        <vt:i4>45</vt:i4>
      </vt:variant>
      <vt:variant>
        <vt:i4>0</vt:i4>
      </vt:variant>
      <vt:variant>
        <vt:i4>5</vt:i4>
      </vt:variant>
      <vt:variant>
        <vt:lpwstr>http://www.infrastructureafrica.org/aicd/system/files/AIATT_Consolidated_smaller.pdf</vt:lpwstr>
      </vt:variant>
      <vt:variant>
        <vt:lpwstr/>
      </vt:variant>
      <vt:variant>
        <vt:i4>1769544</vt:i4>
      </vt:variant>
      <vt:variant>
        <vt:i4>42</vt:i4>
      </vt:variant>
      <vt:variant>
        <vt:i4>0</vt:i4>
      </vt:variant>
      <vt:variant>
        <vt:i4>5</vt:i4>
      </vt:variant>
      <vt:variant>
        <vt:lpwstr>http://www.psiru.org/reports/2008-03-W-sewers.pdf</vt:lpwstr>
      </vt:variant>
      <vt:variant>
        <vt:lpwstr/>
      </vt:variant>
      <vt:variant>
        <vt:i4>131163</vt:i4>
      </vt:variant>
      <vt:variant>
        <vt:i4>39</vt:i4>
      </vt:variant>
      <vt:variant>
        <vt:i4>0</vt:i4>
      </vt:variant>
      <vt:variant>
        <vt:i4>5</vt:i4>
      </vt:variant>
      <vt:variant>
        <vt:lpwstr>http://www.psiru.org/reports/2006-03-W-investment.pdf</vt:lpwstr>
      </vt:variant>
      <vt:variant>
        <vt:lpwstr/>
      </vt:variant>
      <vt:variant>
        <vt:i4>2424955</vt:i4>
      </vt:variant>
      <vt:variant>
        <vt:i4>36</vt:i4>
      </vt:variant>
      <vt:variant>
        <vt:i4>0</vt:i4>
      </vt:variant>
      <vt:variant>
        <vt:i4>5</vt:i4>
      </vt:variant>
      <vt:variant>
        <vt:lpwstr>http://www.ppiaf.org/documents/trends_and_policy/PSP_water_electricity.pdf</vt:lpwstr>
      </vt:variant>
      <vt:variant>
        <vt:lpwstr/>
      </vt:variant>
      <vt:variant>
        <vt:i4>8323171</vt:i4>
      </vt:variant>
      <vt:variant>
        <vt:i4>33</vt:i4>
      </vt:variant>
      <vt:variant>
        <vt:i4>0</vt:i4>
      </vt:variant>
      <vt:variant>
        <vt:i4>5</vt:i4>
      </vt:variant>
      <vt:variant>
        <vt:lpwstr>http://www.psiru.org/reports/2005-06-W-E-resist.pdf</vt:lpwstr>
      </vt:variant>
      <vt:variant>
        <vt:lpwstr/>
      </vt:variant>
      <vt:variant>
        <vt:i4>3211363</vt:i4>
      </vt:variant>
      <vt:variant>
        <vt:i4>30</vt:i4>
      </vt:variant>
      <vt:variant>
        <vt:i4>0</vt:i4>
      </vt:variant>
      <vt:variant>
        <vt:i4>5</vt:i4>
      </vt:variant>
      <vt:variant>
        <vt:lpwstr>http://siteresources.worldbank.org/EXTWAT/Resources/4602122-1213366294492/5106220-1234469721549/3.5_Water_PPP2.pdf</vt:lpwstr>
      </vt:variant>
      <vt:variant>
        <vt:lpwstr/>
      </vt:variant>
      <vt:variant>
        <vt:i4>7340090</vt:i4>
      </vt:variant>
      <vt:variant>
        <vt:i4>27</vt:i4>
      </vt:variant>
      <vt:variant>
        <vt:i4>0</vt:i4>
      </vt:variant>
      <vt:variant>
        <vt:i4>5</vt:i4>
      </vt:variant>
      <vt:variant>
        <vt:lpwstr>http://go.worldbank.org/N7HA8M3E20</vt:lpwstr>
      </vt:variant>
      <vt:variant>
        <vt:lpwstr/>
      </vt:variant>
      <vt:variant>
        <vt:i4>2883633</vt:i4>
      </vt:variant>
      <vt:variant>
        <vt:i4>24</vt:i4>
      </vt:variant>
      <vt:variant>
        <vt:i4>0</vt:i4>
      </vt:variant>
      <vt:variant>
        <vt:i4>5</vt:i4>
      </vt:variant>
      <vt:variant>
        <vt:lpwstr>http://www.agu.org/journals/ABS/2008/2007WR006443.shtml</vt:lpwstr>
      </vt:variant>
      <vt:variant>
        <vt:lpwstr/>
      </vt:variant>
      <vt:variant>
        <vt:i4>786445</vt:i4>
      </vt:variant>
      <vt:variant>
        <vt:i4>21</vt:i4>
      </vt:variant>
      <vt:variant>
        <vt:i4>0</vt:i4>
      </vt:variant>
      <vt:variant>
        <vt:i4>5</vt:i4>
      </vt:variant>
      <vt:variant>
        <vt:lpwstr>http://pedago.cegepoutaouais.qc.ca/media/0358894/wps/en/contenu/doc/confgen/pdf/GE062-PHARASI-Kennedy.pdf</vt:lpwstr>
      </vt:variant>
      <vt:variant>
        <vt:lpwstr/>
      </vt:variant>
      <vt:variant>
        <vt:i4>5111886</vt:i4>
      </vt:variant>
      <vt:variant>
        <vt:i4>18</vt:i4>
      </vt:variant>
      <vt:variant>
        <vt:i4>0</vt:i4>
      </vt:variant>
      <vt:variant>
        <vt:i4>5</vt:i4>
      </vt:variant>
      <vt:variant>
        <vt:lpwstr>http://tspacetest.library.utoronto.ca:8080/bitstream/1778/4019/1/10294043.pdf</vt:lpwstr>
      </vt:variant>
      <vt:variant>
        <vt:lpwstr/>
      </vt:variant>
      <vt:variant>
        <vt:i4>786445</vt:i4>
      </vt:variant>
      <vt:variant>
        <vt:i4>15</vt:i4>
      </vt:variant>
      <vt:variant>
        <vt:i4>0</vt:i4>
      </vt:variant>
      <vt:variant>
        <vt:i4>5</vt:i4>
      </vt:variant>
      <vt:variant>
        <vt:lpwstr>http://pedago.cegepoutaouais.qc.ca/media/0358894/wps/en/contenu/doc/confgen/pdf/GE062-PHARASI-Kennedy.pdf</vt:lpwstr>
      </vt:variant>
      <vt:variant>
        <vt:lpwstr/>
      </vt:variant>
      <vt:variant>
        <vt:i4>6357033</vt:i4>
      </vt:variant>
      <vt:variant>
        <vt:i4>12</vt:i4>
      </vt:variant>
      <vt:variant>
        <vt:i4>0</vt:i4>
      </vt:variant>
      <vt:variant>
        <vt:i4>5</vt:i4>
      </vt:variant>
      <vt:variant>
        <vt:lpwstr>http://doi:10.2166/wp.2007.021</vt:lpwstr>
      </vt:variant>
      <vt:variant>
        <vt:lpwstr/>
      </vt:variant>
      <vt:variant>
        <vt:i4>65626</vt:i4>
      </vt:variant>
      <vt:variant>
        <vt:i4>9</vt:i4>
      </vt:variant>
      <vt:variant>
        <vt:i4>0</vt:i4>
      </vt:variant>
      <vt:variant>
        <vt:i4>5</vt:i4>
      </vt:variant>
      <vt:variant>
        <vt:lpwstr>http://www.psiru.org/reports/2008-01-W-EU.doc</vt:lpwstr>
      </vt:variant>
      <vt:variant>
        <vt:lpwstr/>
      </vt:variant>
      <vt:variant>
        <vt:i4>2949207</vt:i4>
      </vt:variant>
      <vt:variant>
        <vt:i4>6</vt:i4>
      </vt:variant>
      <vt:variant>
        <vt:i4>0</vt:i4>
      </vt:variant>
      <vt:variant>
        <vt:i4>5</vt:i4>
      </vt:variant>
      <vt:variant>
        <vt:lpwstr>http://books.google.co.uk/books?hl=en&amp;lr=&amp;id=Wp13rRjpp4sC&amp;oi=fnd&amp;pg=PA191&amp;dq=christelle+pezon+regie&amp;ots=UqUBSa4BJV&amp;sig=UEdRcSf4lvrbHoriL4x_TlF7xDo</vt:lpwstr>
      </vt:variant>
      <vt:variant>
        <vt:lpwstr/>
      </vt:variant>
      <vt:variant>
        <vt:i4>8323130</vt:i4>
      </vt:variant>
      <vt:variant>
        <vt:i4>3</vt:i4>
      </vt:variant>
      <vt:variant>
        <vt:i4>0</vt:i4>
      </vt:variant>
      <vt:variant>
        <vt:i4>5</vt:i4>
      </vt:variant>
      <vt:variant>
        <vt:lpwstr>http://pdfserve.informaworld.com/297693_751311873_781353829.pdf</vt:lpwstr>
      </vt:variant>
      <vt:variant>
        <vt:lpwstr/>
      </vt:variant>
      <vt:variant>
        <vt:i4>3801129</vt:i4>
      </vt:variant>
      <vt:variant>
        <vt:i4>0</vt:i4>
      </vt:variant>
      <vt:variant>
        <vt:i4>0</vt:i4>
      </vt:variant>
      <vt:variant>
        <vt:i4>5</vt:i4>
      </vt:variant>
      <vt:variant>
        <vt:lpwstr>http://www.watertime.net/Docs/WP3/WTEC.pdf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dc:creator>
  <cp:lastModifiedBy>dave</cp:lastModifiedBy>
  <cp:revision>2</cp:revision>
  <cp:lastPrinted>2012-03-07T15:25:00Z</cp:lastPrinted>
  <dcterms:created xsi:type="dcterms:W3CDTF">2012-03-07T21:40:00Z</dcterms:created>
  <dcterms:modified xsi:type="dcterms:W3CDTF">2012-03-07T21:40:00Z</dcterms:modified>
</cp:coreProperties>
</file>