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C5E23" w:rsidRDefault="009C5E23" w:rsidP="00F75586">
      <w:pPr>
        <w:pStyle w:val="Subtitle"/>
        <w:jc w:val="left"/>
        <w:rPr>
          <w:sz w:val="28"/>
          <w:szCs w:val="28"/>
        </w:rPr>
      </w:pPr>
    </w:p>
    <w:p w:rsidR="00895501" w:rsidRPr="009C5E23" w:rsidRDefault="009C5E23">
      <w:pPr>
        <w:pStyle w:val="Subtitle"/>
        <w:rPr>
          <w:sz w:val="28"/>
          <w:szCs w:val="28"/>
        </w:rPr>
      </w:pPr>
      <w:bookmarkStart w:id="0" w:name="_GoBack"/>
      <w:r w:rsidRPr="009C5E23">
        <w:rPr>
          <w:sz w:val="28"/>
          <w:szCs w:val="28"/>
        </w:rPr>
        <w:t>The economics and politics of p</w:t>
      </w:r>
      <w:r w:rsidR="00895501" w:rsidRPr="009C5E23">
        <w:rPr>
          <w:sz w:val="28"/>
          <w:szCs w:val="28"/>
        </w:rPr>
        <w:t>ublic sector pay</w:t>
      </w:r>
      <w:r w:rsidR="00BA7388">
        <w:rPr>
          <w:sz w:val="28"/>
          <w:szCs w:val="28"/>
        </w:rPr>
        <w:t xml:space="preserve"> </w:t>
      </w:r>
      <w:r w:rsidRPr="009C5E23">
        <w:rPr>
          <w:sz w:val="28"/>
          <w:szCs w:val="28"/>
        </w:rPr>
        <w:t>and the crisis</w:t>
      </w:r>
    </w:p>
    <w:bookmarkEnd w:id="0"/>
    <w:p w:rsidR="00895501" w:rsidRDefault="00854344">
      <w:pPr>
        <w:pStyle w:val="BodyText"/>
        <w:jc w:val="center"/>
      </w:pPr>
      <w:r>
        <w:t>B</w:t>
      </w:r>
      <w:r w:rsidR="00895501">
        <w:t>y</w:t>
      </w:r>
    </w:p>
    <w:p w:rsidR="009C5E23" w:rsidRDefault="009C5E23">
      <w:pPr>
        <w:pStyle w:val="BodyText"/>
        <w:jc w:val="center"/>
      </w:pPr>
    </w:p>
    <w:p w:rsidR="00895501" w:rsidRDefault="00895501">
      <w:pPr>
        <w:pStyle w:val="BodyText"/>
        <w:jc w:val="center"/>
      </w:pPr>
      <w:r>
        <w:t>David Hall</w:t>
      </w:r>
    </w:p>
    <w:p w:rsidR="009C5E23" w:rsidRDefault="009C5E23">
      <w:pPr>
        <w:pStyle w:val="BodyText"/>
        <w:jc w:val="center"/>
      </w:pPr>
    </w:p>
    <w:p w:rsidR="009C5E23" w:rsidRDefault="009C5E23">
      <w:pPr>
        <w:pStyle w:val="BodyText"/>
        <w:jc w:val="center"/>
      </w:pPr>
      <w:r>
        <w:t>(Public Services International Research Unit PSIRU, Business School, University of Greenwich)</w:t>
      </w:r>
    </w:p>
    <w:p w:rsidR="009C5E23" w:rsidRDefault="009C5E23">
      <w:pPr>
        <w:pStyle w:val="BodyText"/>
        <w:jc w:val="center"/>
      </w:pPr>
    </w:p>
    <w:p w:rsidR="00854344" w:rsidRDefault="00BA7388">
      <w:pPr>
        <w:pStyle w:val="BodyText"/>
        <w:jc w:val="center"/>
      </w:pPr>
      <w:hyperlink r:id="rId8" w:history="1">
        <w:r w:rsidR="00895501">
          <w:rPr>
            <w:rStyle w:val="Hyperlink"/>
          </w:rPr>
          <w:t>d.j.hall@gre.ac.uk</w:t>
        </w:r>
      </w:hyperlink>
    </w:p>
    <w:p w:rsidR="009C5E23" w:rsidRDefault="009C5E23">
      <w:pPr>
        <w:pStyle w:val="BodyText"/>
        <w:jc w:val="center"/>
      </w:pPr>
    </w:p>
    <w:p w:rsidR="00895501" w:rsidRDefault="00A45AB1">
      <w:pPr>
        <w:pStyle w:val="BodyText"/>
        <w:jc w:val="center"/>
      </w:pPr>
      <w:r>
        <w:t>July 2011</w:t>
      </w:r>
    </w:p>
    <w:p w:rsidR="009C5E23" w:rsidRDefault="009C5E23">
      <w:pPr>
        <w:pStyle w:val="BodyText"/>
        <w:jc w:val="center"/>
      </w:pPr>
    </w:p>
    <w:p w:rsidR="00854344" w:rsidRPr="00A45AB1" w:rsidRDefault="00854344" w:rsidP="00854344">
      <w:pPr>
        <w:pBdr>
          <w:top w:val="single" w:sz="12" w:space="1" w:color="632423"/>
          <w:left w:val="single" w:sz="12" w:space="4" w:color="632423"/>
          <w:bottom w:val="single" w:sz="12" w:space="1" w:color="632423"/>
          <w:right w:val="single" w:sz="12" w:space="4" w:color="632423"/>
        </w:pBdr>
        <w:jc w:val="center"/>
        <w:rPr>
          <w:sz w:val="20"/>
          <w:szCs w:val="20"/>
        </w:rPr>
      </w:pPr>
      <w:r w:rsidRPr="00A45AB1">
        <w:rPr>
          <w:sz w:val="20"/>
          <w:szCs w:val="20"/>
        </w:rPr>
        <w:t xml:space="preserve">This </w:t>
      </w:r>
      <w:r w:rsidR="00A45AB1" w:rsidRPr="00A45AB1">
        <w:rPr>
          <w:sz w:val="20"/>
          <w:szCs w:val="20"/>
        </w:rPr>
        <w:t>paper is based on a report originally commissioned</w:t>
      </w:r>
      <w:r w:rsidRPr="00A45AB1">
        <w:rPr>
          <w:sz w:val="20"/>
          <w:szCs w:val="20"/>
        </w:rPr>
        <w:t xml:space="preserve"> by the International Labour Organisation (ILO)</w:t>
      </w:r>
      <w:r w:rsidR="00A45AB1" w:rsidRPr="00A45AB1">
        <w:rPr>
          <w:sz w:val="20"/>
          <w:szCs w:val="20"/>
        </w:rPr>
        <w:t>, and other work commissioned by Public Services International (PSI) and the European Public Services Union (EPSU)</w:t>
      </w:r>
      <w:r w:rsidRPr="00A45AB1">
        <w:rPr>
          <w:sz w:val="20"/>
          <w:szCs w:val="20"/>
        </w:rPr>
        <w:t>.</w:t>
      </w:r>
    </w:p>
    <w:p w:rsidR="009C5E23" w:rsidRDefault="009C5E23">
      <w:pPr>
        <w:pStyle w:val="TOC1"/>
        <w:tabs>
          <w:tab w:val="left" w:pos="440"/>
          <w:tab w:val="right" w:leader="dot" w:pos="9628"/>
        </w:tabs>
      </w:pPr>
    </w:p>
    <w:p w:rsidR="00C47D29" w:rsidRPr="00E97329" w:rsidRDefault="0021143A">
      <w:pPr>
        <w:pStyle w:val="TOC1"/>
        <w:tabs>
          <w:tab w:val="left" w:pos="440"/>
          <w:tab w:val="right" w:leader="dot" w:pos="9628"/>
        </w:tabs>
        <w:rPr>
          <w:rFonts w:ascii="Calibri" w:hAnsi="Calibri"/>
          <w:b w:val="0"/>
          <w:bCs w:val="0"/>
          <w:caps w:val="0"/>
          <w:noProof/>
          <w:sz w:val="22"/>
          <w:szCs w:val="22"/>
          <w:lang w:eastAsia="en-GB"/>
        </w:rPr>
      </w:pPr>
      <w:r>
        <w:fldChar w:fldCharType="begin"/>
      </w:r>
      <w:r>
        <w:instrText xml:space="preserve"> TOC \o "1-3" \t "Heading 4,3,Heading 5,3,Heading 6,3,Heading 7,3,Heading 8,3,Heading 9,3" </w:instrText>
      </w:r>
      <w:r>
        <w:fldChar w:fldCharType="separate"/>
      </w:r>
      <w:r w:rsidR="00C47D29">
        <w:rPr>
          <w:noProof/>
        </w:rPr>
        <w:t>1.</w:t>
      </w:r>
      <w:r w:rsidR="00C47D29" w:rsidRPr="00E97329">
        <w:rPr>
          <w:rFonts w:ascii="Calibri" w:hAnsi="Calibri"/>
          <w:b w:val="0"/>
          <w:bCs w:val="0"/>
          <w:caps w:val="0"/>
          <w:noProof/>
          <w:sz w:val="22"/>
          <w:szCs w:val="22"/>
          <w:lang w:eastAsia="en-GB"/>
        </w:rPr>
        <w:tab/>
      </w:r>
      <w:r w:rsidR="00C47D29">
        <w:rPr>
          <w:noProof/>
        </w:rPr>
        <w:t>Summary</w:t>
      </w:r>
      <w:r w:rsidR="00C47D29">
        <w:rPr>
          <w:noProof/>
        </w:rPr>
        <w:tab/>
      </w:r>
      <w:r w:rsidR="00C47D29">
        <w:rPr>
          <w:noProof/>
        </w:rPr>
        <w:fldChar w:fldCharType="begin"/>
      </w:r>
      <w:r w:rsidR="00C47D29">
        <w:rPr>
          <w:noProof/>
        </w:rPr>
        <w:instrText xml:space="preserve"> PAGEREF _Toc297975149 \h </w:instrText>
      </w:r>
      <w:r w:rsidR="00C47D29">
        <w:rPr>
          <w:noProof/>
        </w:rPr>
      </w:r>
      <w:r w:rsidR="00C47D29">
        <w:rPr>
          <w:noProof/>
        </w:rPr>
        <w:fldChar w:fldCharType="separate"/>
      </w:r>
      <w:r w:rsidR="00C47D29">
        <w:rPr>
          <w:noProof/>
        </w:rPr>
        <w:t>3</w:t>
      </w:r>
      <w:r w:rsidR="00C47D29">
        <w:rPr>
          <w:noProof/>
        </w:rPr>
        <w:fldChar w:fldCharType="end"/>
      </w:r>
    </w:p>
    <w:p w:rsidR="00C47D29" w:rsidRPr="00E97329" w:rsidRDefault="00C47D29">
      <w:pPr>
        <w:pStyle w:val="TOC1"/>
        <w:tabs>
          <w:tab w:val="left" w:pos="440"/>
          <w:tab w:val="right" w:leader="dot" w:pos="9628"/>
        </w:tabs>
        <w:rPr>
          <w:rFonts w:ascii="Calibri" w:hAnsi="Calibri"/>
          <w:b w:val="0"/>
          <w:bCs w:val="0"/>
          <w:caps w:val="0"/>
          <w:noProof/>
          <w:sz w:val="22"/>
          <w:szCs w:val="22"/>
          <w:lang w:eastAsia="en-GB"/>
        </w:rPr>
      </w:pPr>
      <w:r>
        <w:rPr>
          <w:noProof/>
        </w:rPr>
        <w:t>2.</w:t>
      </w:r>
      <w:r w:rsidRPr="00E97329">
        <w:rPr>
          <w:rFonts w:ascii="Calibri" w:hAnsi="Calibri"/>
          <w:b w:val="0"/>
          <w:bCs w:val="0"/>
          <w:caps w:val="0"/>
          <w:noProof/>
          <w:sz w:val="22"/>
          <w:szCs w:val="22"/>
          <w:lang w:eastAsia="en-GB"/>
        </w:rPr>
        <w:tab/>
      </w:r>
      <w:r>
        <w:rPr>
          <w:noProof/>
        </w:rPr>
        <w:t>Introduction: the crisis and government responses</w:t>
      </w:r>
      <w:r>
        <w:rPr>
          <w:noProof/>
        </w:rPr>
        <w:tab/>
      </w:r>
      <w:r>
        <w:rPr>
          <w:noProof/>
        </w:rPr>
        <w:fldChar w:fldCharType="begin"/>
      </w:r>
      <w:r>
        <w:rPr>
          <w:noProof/>
        </w:rPr>
        <w:instrText xml:space="preserve"> PAGEREF _Toc297975150 \h </w:instrText>
      </w:r>
      <w:r>
        <w:rPr>
          <w:noProof/>
        </w:rPr>
      </w:r>
      <w:r>
        <w:rPr>
          <w:noProof/>
        </w:rPr>
        <w:fldChar w:fldCharType="separate"/>
      </w:r>
      <w:r>
        <w:rPr>
          <w:noProof/>
        </w:rPr>
        <w:t>3</w:t>
      </w:r>
      <w:r>
        <w:rPr>
          <w:noProof/>
        </w:rPr>
        <w:fldChar w:fldCharType="end"/>
      </w:r>
    </w:p>
    <w:p w:rsidR="00C47D29" w:rsidRPr="00E97329" w:rsidRDefault="00C47D29">
      <w:pPr>
        <w:pStyle w:val="TOC2"/>
        <w:tabs>
          <w:tab w:val="left" w:pos="880"/>
          <w:tab w:val="right" w:leader="dot" w:pos="9628"/>
        </w:tabs>
        <w:rPr>
          <w:rFonts w:ascii="Calibri" w:hAnsi="Calibri"/>
          <w:smallCaps w:val="0"/>
          <w:noProof/>
          <w:sz w:val="22"/>
          <w:szCs w:val="22"/>
          <w:lang w:eastAsia="en-GB"/>
        </w:rPr>
      </w:pPr>
      <w:r>
        <w:rPr>
          <w:noProof/>
        </w:rPr>
        <w:t>2.1.</w:t>
      </w:r>
      <w:r w:rsidRPr="00E97329">
        <w:rPr>
          <w:rFonts w:ascii="Calibri" w:hAnsi="Calibri"/>
          <w:smallCaps w:val="0"/>
          <w:noProof/>
          <w:sz w:val="22"/>
          <w:szCs w:val="22"/>
          <w:lang w:eastAsia="en-GB"/>
        </w:rPr>
        <w:tab/>
      </w:r>
      <w:r>
        <w:rPr>
          <w:noProof/>
        </w:rPr>
        <w:t>Phase 1: the financial crisis and recession</w:t>
      </w:r>
      <w:r>
        <w:rPr>
          <w:noProof/>
        </w:rPr>
        <w:tab/>
      </w:r>
      <w:r>
        <w:rPr>
          <w:noProof/>
        </w:rPr>
        <w:fldChar w:fldCharType="begin"/>
      </w:r>
      <w:r>
        <w:rPr>
          <w:noProof/>
        </w:rPr>
        <w:instrText xml:space="preserve"> PAGEREF _Toc297975151 \h </w:instrText>
      </w:r>
      <w:r>
        <w:rPr>
          <w:noProof/>
        </w:rPr>
      </w:r>
      <w:r>
        <w:rPr>
          <w:noProof/>
        </w:rPr>
        <w:fldChar w:fldCharType="separate"/>
      </w:r>
      <w:r>
        <w:rPr>
          <w:noProof/>
        </w:rPr>
        <w:t>3</w:t>
      </w:r>
      <w:r>
        <w:rPr>
          <w:noProof/>
        </w:rPr>
        <w:fldChar w:fldCharType="end"/>
      </w:r>
    </w:p>
    <w:p w:rsidR="00C47D29" w:rsidRPr="00E97329" w:rsidRDefault="00C47D29">
      <w:pPr>
        <w:pStyle w:val="TOC2"/>
        <w:tabs>
          <w:tab w:val="left" w:pos="880"/>
          <w:tab w:val="right" w:leader="dot" w:pos="9628"/>
        </w:tabs>
        <w:rPr>
          <w:rFonts w:ascii="Calibri" w:hAnsi="Calibri"/>
          <w:smallCaps w:val="0"/>
          <w:noProof/>
          <w:sz w:val="22"/>
          <w:szCs w:val="22"/>
          <w:lang w:eastAsia="en-GB"/>
        </w:rPr>
      </w:pPr>
      <w:r>
        <w:rPr>
          <w:noProof/>
        </w:rPr>
        <w:t>2.2.</w:t>
      </w:r>
      <w:r w:rsidRPr="00E97329">
        <w:rPr>
          <w:rFonts w:ascii="Calibri" w:hAnsi="Calibri"/>
          <w:smallCaps w:val="0"/>
          <w:noProof/>
          <w:sz w:val="22"/>
          <w:szCs w:val="22"/>
          <w:lang w:eastAsia="en-GB"/>
        </w:rPr>
        <w:tab/>
      </w:r>
      <w:r>
        <w:rPr>
          <w:noProof/>
        </w:rPr>
        <w:t>Phase 2: effects on government finances</w:t>
      </w:r>
      <w:r>
        <w:rPr>
          <w:noProof/>
        </w:rPr>
        <w:tab/>
      </w:r>
      <w:r>
        <w:rPr>
          <w:noProof/>
        </w:rPr>
        <w:fldChar w:fldCharType="begin"/>
      </w:r>
      <w:r>
        <w:rPr>
          <w:noProof/>
        </w:rPr>
        <w:instrText xml:space="preserve"> PAGEREF _Toc297975152 \h </w:instrText>
      </w:r>
      <w:r>
        <w:rPr>
          <w:noProof/>
        </w:rPr>
      </w:r>
      <w:r>
        <w:rPr>
          <w:noProof/>
        </w:rPr>
        <w:fldChar w:fldCharType="separate"/>
      </w:r>
      <w:r>
        <w:rPr>
          <w:noProof/>
        </w:rPr>
        <w:t>4</w:t>
      </w:r>
      <w:r>
        <w:rPr>
          <w:noProof/>
        </w:rPr>
        <w:fldChar w:fldCharType="end"/>
      </w:r>
    </w:p>
    <w:p w:rsidR="00C47D29" w:rsidRPr="00E97329" w:rsidRDefault="00C47D29">
      <w:pPr>
        <w:pStyle w:val="TOC2"/>
        <w:tabs>
          <w:tab w:val="left" w:pos="880"/>
          <w:tab w:val="right" w:leader="dot" w:pos="9628"/>
        </w:tabs>
        <w:rPr>
          <w:rFonts w:ascii="Calibri" w:hAnsi="Calibri"/>
          <w:smallCaps w:val="0"/>
          <w:noProof/>
          <w:sz w:val="22"/>
          <w:szCs w:val="22"/>
          <w:lang w:eastAsia="en-GB"/>
        </w:rPr>
      </w:pPr>
      <w:r>
        <w:rPr>
          <w:noProof/>
        </w:rPr>
        <w:t>2.3.</w:t>
      </w:r>
      <w:r w:rsidRPr="00E97329">
        <w:rPr>
          <w:rFonts w:ascii="Calibri" w:hAnsi="Calibri"/>
          <w:smallCaps w:val="0"/>
          <w:noProof/>
          <w:sz w:val="22"/>
          <w:szCs w:val="22"/>
          <w:lang w:eastAsia="en-GB"/>
        </w:rPr>
        <w:tab/>
      </w:r>
      <w:r>
        <w:rPr>
          <w:noProof/>
        </w:rPr>
        <w:t>Phase 3: market and political pressures on government deficits</w:t>
      </w:r>
      <w:r>
        <w:rPr>
          <w:noProof/>
        </w:rPr>
        <w:tab/>
      </w:r>
      <w:r>
        <w:rPr>
          <w:noProof/>
        </w:rPr>
        <w:fldChar w:fldCharType="begin"/>
      </w:r>
      <w:r>
        <w:rPr>
          <w:noProof/>
        </w:rPr>
        <w:instrText xml:space="preserve"> PAGEREF _Toc297975153 \h </w:instrText>
      </w:r>
      <w:r>
        <w:rPr>
          <w:noProof/>
        </w:rPr>
      </w:r>
      <w:r>
        <w:rPr>
          <w:noProof/>
        </w:rPr>
        <w:fldChar w:fldCharType="separate"/>
      </w:r>
      <w:r>
        <w:rPr>
          <w:noProof/>
        </w:rPr>
        <w:t>4</w:t>
      </w:r>
      <w:r>
        <w:rPr>
          <w:noProof/>
        </w:rPr>
        <w:fldChar w:fldCharType="end"/>
      </w:r>
    </w:p>
    <w:p w:rsidR="00C47D29" w:rsidRPr="00E97329" w:rsidRDefault="00C47D29">
      <w:pPr>
        <w:pStyle w:val="TOC2"/>
        <w:tabs>
          <w:tab w:val="left" w:pos="880"/>
          <w:tab w:val="right" w:leader="dot" w:pos="9628"/>
        </w:tabs>
        <w:rPr>
          <w:rFonts w:ascii="Calibri" w:hAnsi="Calibri"/>
          <w:smallCaps w:val="0"/>
          <w:noProof/>
          <w:sz w:val="22"/>
          <w:szCs w:val="22"/>
          <w:lang w:eastAsia="en-GB"/>
        </w:rPr>
      </w:pPr>
      <w:r>
        <w:rPr>
          <w:noProof/>
        </w:rPr>
        <w:t>2.4.</w:t>
      </w:r>
      <w:r w:rsidRPr="00E97329">
        <w:rPr>
          <w:rFonts w:ascii="Calibri" w:hAnsi="Calibri"/>
          <w:smallCaps w:val="0"/>
          <w:noProof/>
          <w:sz w:val="22"/>
          <w:szCs w:val="22"/>
          <w:lang w:eastAsia="en-GB"/>
        </w:rPr>
        <w:tab/>
      </w:r>
      <w:r>
        <w:rPr>
          <w:noProof/>
        </w:rPr>
        <w:t>Effects of different phases</w:t>
      </w:r>
      <w:r>
        <w:rPr>
          <w:noProof/>
        </w:rPr>
        <w:tab/>
      </w:r>
      <w:r>
        <w:rPr>
          <w:noProof/>
        </w:rPr>
        <w:fldChar w:fldCharType="begin"/>
      </w:r>
      <w:r>
        <w:rPr>
          <w:noProof/>
        </w:rPr>
        <w:instrText xml:space="preserve"> PAGEREF _Toc297975154 \h </w:instrText>
      </w:r>
      <w:r>
        <w:rPr>
          <w:noProof/>
        </w:rPr>
      </w:r>
      <w:r>
        <w:rPr>
          <w:noProof/>
        </w:rPr>
        <w:fldChar w:fldCharType="separate"/>
      </w:r>
      <w:r>
        <w:rPr>
          <w:noProof/>
        </w:rPr>
        <w:t>4</w:t>
      </w:r>
      <w:r>
        <w:rPr>
          <w:noProof/>
        </w:rPr>
        <w:fldChar w:fldCharType="end"/>
      </w:r>
    </w:p>
    <w:p w:rsidR="00C47D29" w:rsidRPr="00E97329" w:rsidRDefault="00C47D29">
      <w:pPr>
        <w:pStyle w:val="TOC1"/>
        <w:tabs>
          <w:tab w:val="left" w:pos="440"/>
          <w:tab w:val="right" w:leader="dot" w:pos="9628"/>
        </w:tabs>
        <w:rPr>
          <w:rFonts w:ascii="Calibri" w:hAnsi="Calibri"/>
          <w:b w:val="0"/>
          <w:bCs w:val="0"/>
          <w:caps w:val="0"/>
          <w:noProof/>
          <w:sz w:val="22"/>
          <w:szCs w:val="22"/>
          <w:lang w:eastAsia="en-GB"/>
        </w:rPr>
      </w:pPr>
      <w:r>
        <w:rPr>
          <w:noProof/>
        </w:rPr>
        <w:t>3.</w:t>
      </w:r>
      <w:r w:rsidRPr="00E97329">
        <w:rPr>
          <w:rFonts w:ascii="Calibri" w:hAnsi="Calibri"/>
          <w:b w:val="0"/>
          <w:bCs w:val="0"/>
          <w:caps w:val="0"/>
          <w:noProof/>
          <w:sz w:val="22"/>
          <w:szCs w:val="22"/>
          <w:lang w:eastAsia="en-GB"/>
        </w:rPr>
        <w:tab/>
      </w:r>
      <w:r>
        <w:rPr>
          <w:noProof/>
        </w:rPr>
        <w:t>USA</w:t>
      </w:r>
      <w:r>
        <w:rPr>
          <w:noProof/>
        </w:rPr>
        <w:tab/>
      </w:r>
      <w:r>
        <w:rPr>
          <w:noProof/>
        </w:rPr>
        <w:fldChar w:fldCharType="begin"/>
      </w:r>
      <w:r>
        <w:rPr>
          <w:noProof/>
        </w:rPr>
        <w:instrText xml:space="preserve"> PAGEREF _Toc297975155 \h </w:instrText>
      </w:r>
      <w:r>
        <w:rPr>
          <w:noProof/>
        </w:rPr>
      </w:r>
      <w:r>
        <w:rPr>
          <w:noProof/>
        </w:rPr>
        <w:fldChar w:fldCharType="separate"/>
      </w:r>
      <w:r>
        <w:rPr>
          <w:noProof/>
        </w:rPr>
        <w:t>5</w:t>
      </w:r>
      <w:r>
        <w:rPr>
          <w:noProof/>
        </w:rPr>
        <w:fldChar w:fldCharType="end"/>
      </w:r>
    </w:p>
    <w:p w:rsidR="00C47D29" w:rsidRPr="00E97329" w:rsidRDefault="00C47D29">
      <w:pPr>
        <w:pStyle w:val="TOC2"/>
        <w:tabs>
          <w:tab w:val="left" w:pos="880"/>
          <w:tab w:val="right" w:leader="dot" w:pos="9628"/>
        </w:tabs>
        <w:rPr>
          <w:rFonts w:ascii="Calibri" w:hAnsi="Calibri"/>
          <w:smallCaps w:val="0"/>
          <w:noProof/>
          <w:sz w:val="22"/>
          <w:szCs w:val="22"/>
          <w:lang w:eastAsia="en-GB"/>
        </w:rPr>
      </w:pPr>
      <w:r>
        <w:rPr>
          <w:noProof/>
        </w:rPr>
        <w:t>3.1.</w:t>
      </w:r>
      <w:r w:rsidRPr="00E97329">
        <w:rPr>
          <w:rFonts w:ascii="Calibri" w:hAnsi="Calibri"/>
          <w:smallCaps w:val="0"/>
          <w:noProof/>
          <w:sz w:val="22"/>
          <w:szCs w:val="22"/>
          <w:lang w:eastAsia="en-GB"/>
        </w:rPr>
        <w:tab/>
      </w:r>
      <w:r>
        <w:rPr>
          <w:noProof/>
        </w:rPr>
        <w:t>Government policy on spending and services</w:t>
      </w:r>
      <w:r>
        <w:rPr>
          <w:noProof/>
        </w:rPr>
        <w:tab/>
      </w:r>
      <w:r>
        <w:rPr>
          <w:noProof/>
        </w:rPr>
        <w:fldChar w:fldCharType="begin"/>
      </w:r>
      <w:r>
        <w:rPr>
          <w:noProof/>
        </w:rPr>
        <w:instrText xml:space="preserve"> PAGEREF _Toc297975156 \h </w:instrText>
      </w:r>
      <w:r>
        <w:rPr>
          <w:noProof/>
        </w:rPr>
      </w:r>
      <w:r>
        <w:rPr>
          <w:noProof/>
        </w:rPr>
        <w:fldChar w:fldCharType="separate"/>
      </w:r>
      <w:r>
        <w:rPr>
          <w:noProof/>
        </w:rPr>
        <w:t>5</w:t>
      </w:r>
      <w:r>
        <w:rPr>
          <w:noProof/>
        </w:rPr>
        <w:fldChar w:fldCharType="end"/>
      </w:r>
    </w:p>
    <w:p w:rsidR="00C47D29" w:rsidRPr="00E97329" w:rsidRDefault="00C47D29">
      <w:pPr>
        <w:pStyle w:val="TOC3"/>
        <w:tabs>
          <w:tab w:val="left" w:pos="1320"/>
          <w:tab w:val="right" w:leader="dot" w:pos="9628"/>
        </w:tabs>
        <w:rPr>
          <w:rFonts w:ascii="Calibri" w:hAnsi="Calibri"/>
          <w:i w:val="0"/>
          <w:iCs w:val="0"/>
          <w:noProof/>
          <w:sz w:val="22"/>
          <w:szCs w:val="22"/>
          <w:lang w:eastAsia="en-GB"/>
        </w:rPr>
      </w:pPr>
      <w:r>
        <w:rPr>
          <w:noProof/>
        </w:rPr>
        <w:t>3.1.1.</w:t>
      </w:r>
      <w:r w:rsidRPr="00E97329">
        <w:rPr>
          <w:rFonts w:ascii="Calibri" w:hAnsi="Calibri"/>
          <w:i w:val="0"/>
          <w:iCs w:val="0"/>
          <w:noProof/>
          <w:sz w:val="22"/>
          <w:szCs w:val="22"/>
          <w:lang w:eastAsia="en-GB"/>
        </w:rPr>
        <w:tab/>
      </w:r>
      <w:r>
        <w:rPr>
          <w:noProof/>
        </w:rPr>
        <w:t>National/federal level</w:t>
      </w:r>
      <w:r>
        <w:rPr>
          <w:noProof/>
        </w:rPr>
        <w:tab/>
      </w:r>
      <w:r>
        <w:rPr>
          <w:noProof/>
        </w:rPr>
        <w:fldChar w:fldCharType="begin"/>
      </w:r>
      <w:r>
        <w:rPr>
          <w:noProof/>
        </w:rPr>
        <w:instrText xml:space="preserve"> PAGEREF _Toc297975157 \h </w:instrText>
      </w:r>
      <w:r>
        <w:rPr>
          <w:noProof/>
        </w:rPr>
      </w:r>
      <w:r>
        <w:rPr>
          <w:noProof/>
        </w:rPr>
        <w:fldChar w:fldCharType="separate"/>
      </w:r>
      <w:r>
        <w:rPr>
          <w:noProof/>
        </w:rPr>
        <w:t>5</w:t>
      </w:r>
      <w:r>
        <w:rPr>
          <w:noProof/>
        </w:rPr>
        <w:fldChar w:fldCharType="end"/>
      </w:r>
    </w:p>
    <w:p w:rsidR="00C47D29" w:rsidRPr="00E97329" w:rsidRDefault="00C47D29">
      <w:pPr>
        <w:pStyle w:val="TOC3"/>
        <w:tabs>
          <w:tab w:val="left" w:pos="1540"/>
          <w:tab w:val="right" w:leader="dot" w:pos="9628"/>
        </w:tabs>
        <w:rPr>
          <w:rFonts w:ascii="Calibri" w:hAnsi="Calibri"/>
          <w:i w:val="0"/>
          <w:iCs w:val="0"/>
          <w:noProof/>
          <w:sz w:val="22"/>
          <w:szCs w:val="22"/>
          <w:lang w:eastAsia="en-GB"/>
        </w:rPr>
      </w:pPr>
      <w:r>
        <w:rPr>
          <w:noProof/>
        </w:rPr>
        <w:t>Chart A.</w:t>
      </w:r>
      <w:r w:rsidRPr="00E97329">
        <w:rPr>
          <w:rFonts w:ascii="Calibri" w:hAnsi="Calibri"/>
          <w:i w:val="0"/>
          <w:iCs w:val="0"/>
          <w:noProof/>
          <w:sz w:val="22"/>
          <w:szCs w:val="22"/>
          <w:lang w:eastAsia="en-GB"/>
        </w:rPr>
        <w:tab/>
      </w:r>
      <w:r>
        <w:rPr>
          <w:noProof/>
        </w:rPr>
        <w:t>USA federal Government spending and revenues, if Bush tax cuts expire</w:t>
      </w:r>
      <w:r>
        <w:rPr>
          <w:noProof/>
        </w:rPr>
        <w:tab/>
      </w:r>
      <w:r>
        <w:rPr>
          <w:noProof/>
        </w:rPr>
        <w:fldChar w:fldCharType="begin"/>
      </w:r>
      <w:r>
        <w:rPr>
          <w:noProof/>
        </w:rPr>
        <w:instrText xml:space="preserve"> PAGEREF _Toc297975158 \h </w:instrText>
      </w:r>
      <w:r>
        <w:rPr>
          <w:noProof/>
        </w:rPr>
      </w:r>
      <w:r>
        <w:rPr>
          <w:noProof/>
        </w:rPr>
        <w:fldChar w:fldCharType="separate"/>
      </w:r>
      <w:r>
        <w:rPr>
          <w:noProof/>
        </w:rPr>
        <w:t>5</w:t>
      </w:r>
      <w:r>
        <w:rPr>
          <w:noProof/>
        </w:rPr>
        <w:fldChar w:fldCharType="end"/>
      </w:r>
    </w:p>
    <w:p w:rsidR="00C47D29" w:rsidRPr="00E97329" w:rsidRDefault="00C47D29">
      <w:pPr>
        <w:pStyle w:val="TOC3"/>
        <w:tabs>
          <w:tab w:val="left" w:pos="1320"/>
          <w:tab w:val="right" w:leader="dot" w:pos="9628"/>
        </w:tabs>
        <w:rPr>
          <w:rFonts w:ascii="Calibri" w:hAnsi="Calibri"/>
          <w:i w:val="0"/>
          <w:iCs w:val="0"/>
          <w:noProof/>
          <w:sz w:val="22"/>
          <w:szCs w:val="22"/>
          <w:lang w:eastAsia="en-GB"/>
        </w:rPr>
      </w:pPr>
      <w:r>
        <w:rPr>
          <w:noProof/>
        </w:rPr>
        <w:t>3.1.2.</w:t>
      </w:r>
      <w:r w:rsidRPr="00E97329">
        <w:rPr>
          <w:rFonts w:ascii="Calibri" w:hAnsi="Calibri"/>
          <w:i w:val="0"/>
          <w:iCs w:val="0"/>
          <w:noProof/>
          <w:sz w:val="22"/>
          <w:szCs w:val="22"/>
          <w:lang w:eastAsia="en-GB"/>
        </w:rPr>
        <w:tab/>
      </w:r>
      <w:r>
        <w:rPr>
          <w:noProof/>
        </w:rPr>
        <w:t>State level</w:t>
      </w:r>
      <w:r>
        <w:rPr>
          <w:noProof/>
        </w:rPr>
        <w:tab/>
      </w:r>
      <w:r>
        <w:rPr>
          <w:noProof/>
        </w:rPr>
        <w:fldChar w:fldCharType="begin"/>
      </w:r>
      <w:r>
        <w:rPr>
          <w:noProof/>
        </w:rPr>
        <w:instrText xml:space="preserve"> PAGEREF _Toc297975159 \h </w:instrText>
      </w:r>
      <w:r>
        <w:rPr>
          <w:noProof/>
        </w:rPr>
      </w:r>
      <w:r>
        <w:rPr>
          <w:noProof/>
        </w:rPr>
        <w:fldChar w:fldCharType="separate"/>
      </w:r>
      <w:r>
        <w:rPr>
          <w:noProof/>
        </w:rPr>
        <w:t>5</w:t>
      </w:r>
      <w:r>
        <w:rPr>
          <w:noProof/>
        </w:rPr>
        <w:fldChar w:fldCharType="end"/>
      </w:r>
    </w:p>
    <w:p w:rsidR="00C47D29" w:rsidRPr="00E97329" w:rsidRDefault="00C47D29">
      <w:pPr>
        <w:pStyle w:val="TOC3"/>
        <w:tabs>
          <w:tab w:val="left" w:pos="1540"/>
          <w:tab w:val="right" w:leader="dot" w:pos="9628"/>
        </w:tabs>
        <w:rPr>
          <w:rFonts w:ascii="Calibri" w:hAnsi="Calibri"/>
          <w:i w:val="0"/>
          <w:iCs w:val="0"/>
          <w:noProof/>
          <w:sz w:val="22"/>
          <w:szCs w:val="22"/>
          <w:lang w:eastAsia="en-GB"/>
        </w:rPr>
      </w:pPr>
      <w:r>
        <w:rPr>
          <w:noProof/>
        </w:rPr>
        <w:t>Chart B.</w:t>
      </w:r>
      <w:r w:rsidRPr="00E97329">
        <w:rPr>
          <w:rFonts w:ascii="Calibri" w:hAnsi="Calibri"/>
          <w:i w:val="0"/>
          <w:iCs w:val="0"/>
          <w:noProof/>
          <w:sz w:val="22"/>
          <w:szCs w:val="22"/>
          <w:lang w:eastAsia="en-GB"/>
        </w:rPr>
        <w:tab/>
      </w:r>
      <w:r>
        <w:rPr>
          <w:noProof/>
        </w:rPr>
        <w:t>Falling spending by states in USA on public services</w:t>
      </w:r>
      <w:r>
        <w:rPr>
          <w:noProof/>
        </w:rPr>
        <w:tab/>
      </w:r>
      <w:r>
        <w:rPr>
          <w:noProof/>
        </w:rPr>
        <w:fldChar w:fldCharType="begin"/>
      </w:r>
      <w:r>
        <w:rPr>
          <w:noProof/>
        </w:rPr>
        <w:instrText xml:space="preserve"> PAGEREF _Toc297975160 \h </w:instrText>
      </w:r>
      <w:r>
        <w:rPr>
          <w:noProof/>
        </w:rPr>
      </w:r>
      <w:r>
        <w:rPr>
          <w:noProof/>
        </w:rPr>
        <w:fldChar w:fldCharType="separate"/>
      </w:r>
      <w:r>
        <w:rPr>
          <w:noProof/>
        </w:rPr>
        <w:t>6</w:t>
      </w:r>
      <w:r>
        <w:rPr>
          <w:noProof/>
        </w:rPr>
        <w:fldChar w:fldCharType="end"/>
      </w:r>
    </w:p>
    <w:p w:rsidR="00C47D29" w:rsidRPr="00E97329" w:rsidRDefault="00C47D29">
      <w:pPr>
        <w:pStyle w:val="TOC2"/>
        <w:tabs>
          <w:tab w:val="left" w:pos="880"/>
          <w:tab w:val="right" w:leader="dot" w:pos="9628"/>
        </w:tabs>
        <w:rPr>
          <w:rFonts w:ascii="Calibri" w:hAnsi="Calibri"/>
          <w:smallCaps w:val="0"/>
          <w:noProof/>
          <w:sz w:val="22"/>
          <w:szCs w:val="22"/>
          <w:lang w:eastAsia="en-GB"/>
        </w:rPr>
      </w:pPr>
      <w:r>
        <w:rPr>
          <w:noProof/>
        </w:rPr>
        <w:t>3.2.</w:t>
      </w:r>
      <w:r w:rsidRPr="00E97329">
        <w:rPr>
          <w:rFonts w:ascii="Calibri" w:hAnsi="Calibri"/>
          <w:smallCaps w:val="0"/>
          <w:noProof/>
          <w:sz w:val="22"/>
          <w:szCs w:val="22"/>
          <w:lang w:eastAsia="en-GB"/>
        </w:rPr>
        <w:tab/>
      </w:r>
      <w:r>
        <w:rPr>
          <w:noProof/>
        </w:rPr>
        <w:t>USA: statistical evidence on pay</w:t>
      </w:r>
      <w:r>
        <w:rPr>
          <w:noProof/>
        </w:rPr>
        <w:tab/>
      </w:r>
      <w:r>
        <w:rPr>
          <w:noProof/>
        </w:rPr>
        <w:fldChar w:fldCharType="begin"/>
      </w:r>
      <w:r>
        <w:rPr>
          <w:noProof/>
        </w:rPr>
        <w:instrText xml:space="preserve"> PAGEREF _Toc297975161 \h </w:instrText>
      </w:r>
      <w:r>
        <w:rPr>
          <w:noProof/>
        </w:rPr>
      </w:r>
      <w:r>
        <w:rPr>
          <w:noProof/>
        </w:rPr>
        <w:fldChar w:fldCharType="separate"/>
      </w:r>
      <w:r>
        <w:rPr>
          <w:noProof/>
        </w:rPr>
        <w:t>6</w:t>
      </w:r>
      <w:r>
        <w:rPr>
          <w:noProof/>
        </w:rPr>
        <w:fldChar w:fldCharType="end"/>
      </w:r>
    </w:p>
    <w:p w:rsidR="00C47D29" w:rsidRPr="00E97329" w:rsidRDefault="00C47D29">
      <w:pPr>
        <w:pStyle w:val="TOC3"/>
        <w:tabs>
          <w:tab w:val="left" w:pos="1320"/>
          <w:tab w:val="right" w:leader="dot" w:pos="9628"/>
        </w:tabs>
        <w:rPr>
          <w:rFonts w:ascii="Calibri" w:hAnsi="Calibri"/>
          <w:i w:val="0"/>
          <w:iCs w:val="0"/>
          <w:noProof/>
          <w:sz w:val="22"/>
          <w:szCs w:val="22"/>
          <w:lang w:eastAsia="en-GB"/>
        </w:rPr>
      </w:pPr>
      <w:r>
        <w:rPr>
          <w:noProof/>
        </w:rPr>
        <w:t>Table 1.</w:t>
      </w:r>
      <w:r w:rsidRPr="00E97329">
        <w:rPr>
          <w:rFonts w:ascii="Calibri" w:hAnsi="Calibri"/>
          <w:i w:val="0"/>
          <w:iCs w:val="0"/>
          <w:noProof/>
          <w:sz w:val="22"/>
          <w:szCs w:val="22"/>
          <w:lang w:eastAsia="en-GB"/>
        </w:rPr>
        <w:tab/>
      </w:r>
      <w:r>
        <w:rPr>
          <w:noProof/>
        </w:rPr>
        <w:t>USA: wages and salaries – all, private, union/non-union, public, selected sectors.</w:t>
      </w:r>
      <w:r>
        <w:rPr>
          <w:noProof/>
        </w:rPr>
        <w:tab/>
      </w:r>
      <w:r>
        <w:rPr>
          <w:noProof/>
        </w:rPr>
        <w:fldChar w:fldCharType="begin"/>
      </w:r>
      <w:r>
        <w:rPr>
          <w:noProof/>
        </w:rPr>
        <w:instrText xml:space="preserve"> PAGEREF _Toc297975162 \h </w:instrText>
      </w:r>
      <w:r>
        <w:rPr>
          <w:noProof/>
        </w:rPr>
      </w:r>
      <w:r>
        <w:rPr>
          <w:noProof/>
        </w:rPr>
        <w:fldChar w:fldCharType="separate"/>
      </w:r>
      <w:r>
        <w:rPr>
          <w:noProof/>
        </w:rPr>
        <w:t>7</w:t>
      </w:r>
      <w:r>
        <w:rPr>
          <w:noProof/>
        </w:rPr>
        <w:fldChar w:fldCharType="end"/>
      </w:r>
    </w:p>
    <w:p w:rsidR="00C47D29" w:rsidRPr="00E97329" w:rsidRDefault="00C47D29">
      <w:pPr>
        <w:pStyle w:val="TOC3"/>
        <w:tabs>
          <w:tab w:val="left" w:pos="1320"/>
          <w:tab w:val="right" w:leader="dot" w:pos="9628"/>
        </w:tabs>
        <w:rPr>
          <w:rFonts w:ascii="Calibri" w:hAnsi="Calibri"/>
          <w:i w:val="0"/>
          <w:iCs w:val="0"/>
          <w:noProof/>
          <w:sz w:val="22"/>
          <w:szCs w:val="22"/>
          <w:lang w:eastAsia="en-GB"/>
        </w:rPr>
      </w:pPr>
      <w:r>
        <w:rPr>
          <w:noProof/>
        </w:rPr>
        <w:t>Table 2.</w:t>
      </w:r>
      <w:r w:rsidRPr="00E97329">
        <w:rPr>
          <w:rFonts w:ascii="Calibri" w:hAnsi="Calibri"/>
          <w:i w:val="0"/>
          <w:iCs w:val="0"/>
          <w:noProof/>
          <w:sz w:val="22"/>
          <w:szCs w:val="22"/>
          <w:lang w:eastAsia="en-GB"/>
        </w:rPr>
        <w:tab/>
      </w:r>
      <w:r>
        <w:rPr>
          <w:noProof/>
        </w:rPr>
        <w:t>USA: index of total compensation, including healthcare and other benefits</w:t>
      </w:r>
      <w:r>
        <w:rPr>
          <w:noProof/>
        </w:rPr>
        <w:tab/>
      </w:r>
      <w:r>
        <w:rPr>
          <w:noProof/>
        </w:rPr>
        <w:fldChar w:fldCharType="begin"/>
      </w:r>
      <w:r>
        <w:rPr>
          <w:noProof/>
        </w:rPr>
        <w:instrText xml:space="preserve"> PAGEREF _Toc297975163 \h </w:instrText>
      </w:r>
      <w:r>
        <w:rPr>
          <w:noProof/>
        </w:rPr>
      </w:r>
      <w:r>
        <w:rPr>
          <w:noProof/>
        </w:rPr>
        <w:fldChar w:fldCharType="separate"/>
      </w:r>
      <w:r>
        <w:rPr>
          <w:noProof/>
        </w:rPr>
        <w:t>8</w:t>
      </w:r>
      <w:r>
        <w:rPr>
          <w:noProof/>
        </w:rPr>
        <w:fldChar w:fldCharType="end"/>
      </w:r>
    </w:p>
    <w:p w:rsidR="00C47D29" w:rsidRPr="00E97329" w:rsidRDefault="00C47D29">
      <w:pPr>
        <w:pStyle w:val="TOC2"/>
        <w:tabs>
          <w:tab w:val="left" w:pos="880"/>
          <w:tab w:val="right" w:leader="dot" w:pos="9628"/>
        </w:tabs>
        <w:rPr>
          <w:rFonts w:ascii="Calibri" w:hAnsi="Calibri"/>
          <w:smallCaps w:val="0"/>
          <w:noProof/>
          <w:sz w:val="22"/>
          <w:szCs w:val="22"/>
          <w:lang w:eastAsia="en-GB"/>
        </w:rPr>
      </w:pPr>
      <w:r>
        <w:rPr>
          <w:noProof/>
        </w:rPr>
        <w:t>3.3.</w:t>
      </w:r>
      <w:r w:rsidRPr="00E97329">
        <w:rPr>
          <w:rFonts w:ascii="Calibri" w:hAnsi="Calibri"/>
          <w:smallCaps w:val="0"/>
          <w:noProof/>
          <w:sz w:val="22"/>
          <w:szCs w:val="22"/>
          <w:lang w:eastAsia="en-GB"/>
        </w:rPr>
        <w:tab/>
      </w:r>
      <w:r>
        <w:rPr>
          <w:noProof/>
        </w:rPr>
        <w:t>USA: pay cuts, renegotiations, pensions and union rights</w:t>
      </w:r>
      <w:r>
        <w:rPr>
          <w:noProof/>
        </w:rPr>
        <w:tab/>
      </w:r>
      <w:r>
        <w:rPr>
          <w:noProof/>
        </w:rPr>
        <w:fldChar w:fldCharType="begin"/>
      </w:r>
      <w:r>
        <w:rPr>
          <w:noProof/>
        </w:rPr>
        <w:instrText xml:space="preserve"> PAGEREF _Toc297975164 \h </w:instrText>
      </w:r>
      <w:r>
        <w:rPr>
          <w:noProof/>
        </w:rPr>
      </w:r>
      <w:r>
        <w:rPr>
          <w:noProof/>
        </w:rPr>
        <w:fldChar w:fldCharType="separate"/>
      </w:r>
      <w:r>
        <w:rPr>
          <w:noProof/>
        </w:rPr>
        <w:t>8</w:t>
      </w:r>
      <w:r>
        <w:rPr>
          <w:noProof/>
        </w:rPr>
        <w:fldChar w:fldCharType="end"/>
      </w:r>
    </w:p>
    <w:p w:rsidR="00C47D29" w:rsidRPr="00E97329" w:rsidRDefault="00C47D29">
      <w:pPr>
        <w:pStyle w:val="TOC3"/>
        <w:tabs>
          <w:tab w:val="left" w:pos="1320"/>
          <w:tab w:val="right" w:leader="dot" w:pos="9628"/>
        </w:tabs>
        <w:rPr>
          <w:rFonts w:ascii="Calibri" w:hAnsi="Calibri"/>
          <w:i w:val="0"/>
          <w:iCs w:val="0"/>
          <w:noProof/>
          <w:sz w:val="22"/>
          <w:szCs w:val="22"/>
          <w:lang w:eastAsia="en-GB"/>
        </w:rPr>
      </w:pPr>
      <w:r>
        <w:rPr>
          <w:noProof/>
        </w:rPr>
        <w:t>3.3.1.</w:t>
      </w:r>
      <w:r w:rsidRPr="00E97329">
        <w:rPr>
          <w:rFonts w:ascii="Calibri" w:hAnsi="Calibri"/>
          <w:i w:val="0"/>
          <w:iCs w:val="0"/>
          <w:noProof/>
          <w:sz w:val="22"/>
          <w:szCs w:val="22"/>
          <w:lang w:eastAsia="en-GB"/>
        </w:rPr>
        <w:tab/>
      </w:r>
      <w:r>
        <w:rPr>
          <w:noProof/>
        </w:rPr>
        <w:t>Union bargaining rights</w:t>
      </w:r>
      <w:r>
        <w:rPr>
          <w:noProof/>
        </w:rPr>
        <w:tab/>
      </w:r>
      <w:r>
        <w:rPr>
          <w:noProof/>
        </w:rPr>
        <w:fldChar w:fldCharType="begin"/>
      </w:r>
      <w:r>
        <w:rPr>
          <w:noProof/>
        </w:rPr>
        <w:instrText xml:space="preserve"> PAGEREF _Toc297975165 \h </w:instrText>
      </w:r>
      <w:r>
        <w:rPr>
          <w:noProof/>
        </w:rPr>
      </w:r>
      <w:r>
        <w:rPr>
          <w:noProof/>
        </w:rPr>
        <w:fldChar w:fldCharType="separate"/>
      </w:r>
      <w:r>
        <w:rPr>
          <w:noProof/>
        </w:rPr>
        <w:t>9</w:t>
      </w:r>
      <w:r>
        <w:rPr>
          <w:noProof/>
        </w:rPr>
        <w:fldChar w:fldCharType="end"/>
      </w:r>
    </w:p>
    <w:p w:rsidR="00C47D29" w:rsidRPr="00E97329" w:rsidRDefault="00C47D29">
      <w:pPr>
        <w:pStyle w:val="TOC2"/>
        <w:tabs>
          <w:tab w:val="left" w:pos="880"/>
          <w:tab w:val="right" w:leader="dot" w:pos="9628"/>
        </w:tabs>
        <w:rPr>
          <w:rFonts w:ascii="Calibri" w:hAnsi="Calibri"/>
          <w:smallCaps w:val="0"/>
          <w:noProof/>
          <w:sz w:val="22"/>
          <w:szCs w:val="22"/>
          <w:lang w:eastAsia="en-GB"/>
        </w:rPr>
      </w:pPr>
      <w:r w:rsidRPr="006A63D6">
        <w:rPr>
          <w:noProof/>
        </w:rPr>
        <w:t>3.4.</w:t>
      </w:r>
      <w:r w:rsidRPr="00E97329">
        <w:rPr>
          <w:rFonts w:ascii="Calibri" w:hAnsi="Calibri"/>
          <w:smallCaps w:val="0"/>
          <w:noProof/>
          <w:sz w:val="22"/>
          <w:szCs w:val="22"/>
          <w:lang w:eastAsia="en-GB"/>
        </w:rPr>
        <w:tab/>
      </w:r>
      <w:r>
        <w:rPr>
          <w:noProof/>
        </w:rPr>
        <w:t>USA: public sector jobs</w:t>
      </w:r>
      <w:r>
        <w:rPr>
          <w:noProof/>
        </w:rPr>
        <w:tab/>
      </w:r>
      <w:r>
        <w:rPr>
          <w:noProof/>
        </w:rPr>
        <w:fldChar w:fldCharType="begin"/>
      </w:r>
      <w:r>
        <w:rPr>
          <w:noProof/>
        </w:rPr>
        <w:instrText xml:space="preserve"> PAGEREF _Toc297975166 \h </w:instrText>
      </w:r>
      <w:r>
        <w:rPr>
          <w:noProof/>
        </w:rPr>
      </w:r>
      <w:r>
        <w:rPr>
          <w:noProof/>
        </w:rPr>
        <w:fldChar w:fldCharType="separate"/>
      </w:r>
      <w:r>
        <w:rPr>
          <w:noProof/>
        </w:rPr>
        <w:t>10</w:t>
      </w:r>
      <w:r>
        <w:rPr>
          <w:noProof/>
        </w:rPr>
        <w:fldChar w:fldCharType="end"/>
      </w:r>
    </w:p>
    <w:p w:rsidR="00C47D29" w:rsidRPr="00E97329" w:rsidRDefault="00C47D29">
      <w:pPr>
        <w:pStyle w:val="TOC3"/>
        <w:tabs>
          <w:tab w:val="left" w:pos="1540"/>
          <w:tab w:val="right" w:leader="dot" w:pos="9628"/>
        </w:tabs>
        <w:rPr>
          <w:rFonts w:ascii="Calibri" w:hAnsi="Calibri"/>
          <w:i w:val="0"/>
          <w:iCs w:val="0"/>
          <w:noProof/>
          <w:sz w:val="22"/>
          <w:szCs w:val="22"/>
          <w:lang w:eastAsia="en-GB"/>
        </w:rPr>
      </w:pPr>
      <w:r>
        <w:rPr>
          <w:noProof/>
          <w:lang w:eastAsia="en-US"/>
        </w:rPr>
        <w:t>Chart C.</w:t>
      </w:r>
      <w:r w:rsidRPr="00E97329">
        <w:rPr>
          <w:rFonts w:ascii="Calibri" w:hAnsi="Calibri"/>
          <w:i w:val="0"/>
          <w:iCs w:val="0"/>
          <w:noProof/>
          <w:sz w:val="22"/>
          <w:szCs w:val="22"/>
          <w:lang w:eastAsia="en-GB"/>
        </w:rPr>
        <w:tab/>
      </w:r>
      <w:r>
        <w:rPr>
          <w:noProof/>
          <w:lang w:eastAsia="en-US"/>
        </w:rPr>
        <w:t>Employment in government in USA June 2007-December 2010</w:t>
      </w:r>
      <w:r>
        <w:rPr>
          <w:noProof/>
        </w:rPr>
        <w:tab/>
      </w:r>
      <w:r>
        <w:rPr>
          <w:noProof/>
        </w:rPr>
        <w:fldChar w:fldCharType="begin"/>
      </w:r>
      <w:r>
        <w:rPr>
          <w:noProof/>
        </w:rPr>
        <w:instrText xml:space="preserve"> PAGEREF _Toc297975167 \h </w:instrText>
      </w:r>
      <w:r>
        <w:rPr>
          <w:noProof/>
        </w:rPr>
      </w:r>
      <w:r>
        <w:rPr>
          <w:noProof/>
        </w:rPr>
        <w:fldChar w:fldCharType="separate"/>
      </w:r>
      <w:r>
        <w:rPr>
          <w:noProof/>
        </w:rPr>
        <w:t>10</w:t>
      </w:r>
      <w:r>
        <w:rPr>
          <w:noProof/>
        </w:rPr>
        <w:fldChar w:fldCharType="end"/>
      </w:r>
    </w:p>
    <w:p w:rsidR="00C47D29" w:rsidRPr="00E97329" w:rsidRDefault="00C47D29">
      <w:pPr>
        <w:pStyle w:val="TOC3"/>
        <w:tabs>
          <w:tab w:val="left" w:pos="1540"/>
          <w:tab w:val="right" w:leader="dot" w:pos="9628"/>
        </w:tabs>
        <w:rPr>
          <w:rFonts w:ascii="Calibri" w:hAnsi="Calibri"/>
          <w:i w:val="0"/>
          <w:iCs w:val="0"/>
          <w:noProof/>
          <w:sz w:val="22"/>
          <w:szCs w:val="22"/>
          <w:lang w:eastAsia="en-GB"/>
        </w:rPr>
      </w:pPr>
      <w:r>
        <w:rPr>
          <w:noProof/>
          <w:lang w:eastAsia="en-US"/>
        </w:rPr>
        <w:t>Chart D.</w:t>
      </w:r>
      <w:r w:rsidRPr="00E97329">
        <w:rPr>
          <w:rFonts w:ascii="Calibri" w:hAnsi="Calibri"/>
          <w:i w:val="0"/>
          <w:iCs w:val="0"/>
          <w:noProof/>
          <w:sz w:val="22"/>
          <w:szCs w:val="22"/>
          <w:lang w:eastAsia="en-GB"/>
        </w:rPr>
        <w:tab/>
      </w:r>
      <w:r>
        <w:rPr>
          <w:noProof/>
          <w:lang w:eastAsia="en-US"/>
        </w:rPr>
        <w:t>Decline in state and municipal jobs</w:t>
      </w:r>
      <w:r>
        <w:rPr>
          <w:noProof/>
        </w:rPr>
        <w:tab/>
      </w:r>
      <w:r>
        <w:rPr>
          <w:noProof/>
        </w:rPr>
        <w:fldChar w:fldCharType="begin"/>
      </w:r>
      <w:r>
        <w:rPr>
          <w:noProof/>
        </w:rPr>
        <w:instrText xml:space="preserve"> PAGEREF _Toc297975168 \h </w:instrText>
      </w:r>
      <w:r>
        <w:rPr>
          <w:noProof/>
        </w:rPr>
      </w:r>
      <w:r>
        <w:rPr>
          <w:noProof/>
        </w:rPr>
        <w:fldChar w:fldCharType="separate"/>
      </w:r>
      <w:r>
        <w:rPr>
          <w:noProof/>
        </w:rPr>
        <w:t>10</w:t>
      </w:r>
      <w:r>
        <w:rPr>
          <w:noProof/>
        </w:rPr>
        <w:fldChar w:fldCharType="end"/>
      </w:r>
    </w:p>
    <w:p w:rsidR="00C47D29" w:rsidRPr="00E97329" w:rsidRDefault="00C47D29">
      <w:pPr>
        <w:pStyle w:val="TOC3"/>
        <w:tabs>
          <w:tab w:val="left" w:pos="1320"/>
          <w:tab w:val="right" w:leader="dot" w:pos="9628"/>
        </w:tabs>
        <w:rPr>
          <w:rFonts w:ascii="Calibri" w:hAnsi="Calibri"/>
          <w:i w:val="0"/>
          <w:iCs w:val="0"/>
          <w:noProof/>
          <w:sz w:val="22"/>
          <w:szCs w:val="22"/>
          <w:lang w:eastAsia="en-GB"/>
        </w:rPr>
      </w:pPr>
      <w:r>
        <w:rPr>
          <w:noProof/>
          <w:lang w:eastAsia="en-GB"/>
        </w:rPr>
        <w:t>Table 3.</w:t>
      </w:r>
      <w:r w:rsidRPr="00E97329">
        <w:rPr>
          <w:rFonts w:ascii="Calibri" w:hAnsi="Calibri"/>
          <w:i w:val="0"/>
          <w:iCs w:val="0"/>
          <w:noProof/>
          <w:sz w:val="22"/>
          <w:szCs w:val="22"/>
          <w:lang w:eastAsia="en-GB"/>
        </w:rPr>
        <w:tab/>
      </w:r>
      <w:r>
        <w:rPr>
          <w:noProof/>
          <w:lang w:eastAsia="en-GB"/>
        </w:rPr>
        <w:t>Job changes in USA June 2010-June 2011-07-08 (thousands) (seasonally adjusted)</w:t>
      </w:r>
      <w:r>
        <w:rPr>
          <w:noProof/>
        </w:rPr>
        <w:tab/>
      </w:r>
      <w:r>
        <w:rPr>
          <w:noProof/>
        </w:rPr>
        <w:fldChar w:fldCharType="begin"/>
      </w:r>
      <w:r>
        <w:rPr>
          <w:noProof/>
        </w:rPr>
        <w:instrText xml:space="preserve"> PAGEREF _Toc297975169 \h </w:instrText>
      </w:r>
      <w:r>
        <w:rPr>
          <w:noProof/>
        </w:rPr>
      </w:r>
      <w:r>
        <w:rPr>
          <w:noProof/>
        </w:rPr>
        <w:fldChar w:fldCharType="separate"/>
      </w:r>
      <w:r>
        <w:rPr>
          <w:noProof/>
        </w:rPr>
        <w:t>11</w:t>
      </w:r>
      <w:r>
        <w:rPr>
          <w:noProof/>
        </w:rPr>
        <w:fldChar w:fldCharType="end"/>
      </w:r>
    </w:p>
    <w:p w:rsidR="00C47D29" w:rsidRPr="00E97329" w:rsidRDefault="00C47D29">
      <w:pPr>
        <w:pStyle w:val="TOC2"/>
        <w:tabs>
          <w:tab w:val="left" w:pos="880"/>
          <w:tab w:val="right" w:leader="dot" w:pos="9628"/>
        </w:tabs>
        <w:rPr>
          <w:rFonts w:ascii="Calibri" w:hAnsi="Calibri"/>
          <w:smallCaps w:val="0"/>
          <w:noProof/>
          <w:sz w:val="22"/>
          <w:szCs w:val="22"/>
          <w:lang w:eastAsia="en-GB"/>
        </w:rPr>
      </w:pPr>
      <w:r>
        <w:rPr>
          <w:noProof/>
        </w:rPr>
        <w:t>3.5.</w:t>
      </w:r>
      <w:r w:rsidRPr="00E97329">
        <w:rPr>
          <w:rFonts w:ascii="Calibri" w:hAnsi="Calibri"/>
          <w:smallCaps w:val="0"/>
          <w:noProof/>
          <w:sz w:val="22"/>
          <w:szCs w:val="22"/>
          <w:lang w:eastAsia="en-GB"/>
        </w:rPr>
        <w:tab/>
      </w:r>
      <w:r>
        <w:rPr>
          <w:noProof/>
        </w:rPr>
        <w:t>Impact on public services</w:t>
      </w:r>
      <w:r>
        <w:rPr>
          <w:noProof/>
        </w:rPr>
        <w:tab/>
      </w:r>
      <w:r>
        <w:rPr>
          <w:noProof/>
        </w:rPr>
        <w:fldChar w:fldCharType="begin"/>
      </w:r>
      <w:r>
        <w:rPr>
          <w:noProof/>
        </w:rPr>
        <w:instrText xml:space="preserve"> PAGEREF _Toc297975170 \h </w:instrText>
      </w:r>
      <w:r>
        <w:rPr>
          <w:noProof/>
        </w:rPr>
      </w:r>
      <w:r>
        <w:rPr>
          <w:noProof/>
        </w:rPr>
        <w:fldChar w:fldCharType="separate"/>
      </w:r>
      <w:r>
        <w:rPr>
          <w:noProof/>
        </w:rPr>
        <w:t>11</w:t>
      </w:r>
      <w:r>
        <w:rPr>
          <w:noProof/>
        </w:rPr>
        <w:fldChar w:fldCharType="end"/>
      </w:r>
    </w:p>
    <w:p w:rsidR="00C47D29" w:rsidRPr="00E97329" w:rsidRDefault="00C47D29">
      <w:pPr>
        <w:pStyle w:val="TOC3"/>
        <w:tabs>
          <w:tab w:val="left" w:pos="1320"/>
          <w:tab w:val="right" w:leader="dot" w:pos="9628"/>
        </w:tabs>
        <w:rPr>
          <w:rFonts w:ascii="Calibri" w:hAnsi="Calibri"/>
          <w:i w:val="0"/>
          <w:iCs w:val="0"/>
          <w:noProof/>
          <w:sz w:val="22"/>
          <w:szCs w:val="22"/>
          <w:lang w:eastAsia="en-GB"/>
        </w:rPr>
      </w:pPr>
      <w:r>
        <w:rPr>
          <w:noProof/>
          <w:lang w:eastAsia="en-US"/>
        </w:rPr>
        <w:t>3.5.1.</w:t>
      </w:r>
      <w:r w:rsidRPr="00E97329">
        <w:rPr>
          <w:rFonts w:ascii="Calibri" w:hAnsi="Calibri"/>
          <w:i w:val="0"/>
          <w:iCs w:val="0"/>
          <w:noProof/>
          <w:sz w:val="22"/>
          <w:szCs w:val="22"/>
          <w:lang w:eastAsia="en-GB"/>
        </w:rPr>
        <w:tab/>
      </w:r>
      <w:r>
        <w:rPr>
          <w:noProof/>
          <w:lang w:eastAsia="en-US"/>
        </w:rPr>
        <w:t>Healthcare</w:t>
      </w:r>
      <w:r>
        <w:rPr>
          <w:noProof/>
        </w:rPr>
        <w:tab/>
      </w:r>
      <w:r>
        <w:rPr>
          <w:noProof/>
        </w:rPr>
        <w:fldChar w:fldCharType="begin"/>
      </w:r>
      <w:r>
        <w:rPr>
          <w:noProof/>
        </w:rPr>
        <w:instrText xml:space="preserve"> PAGEREF _Toc297975171 \h </w:instrText>
      </w:r>
      <w:r>
        <w:rPr>
          <w:noProof/>
        </w:rPr>
      </w:r>
      <w:r>
        <w:rPr>
          <w:noProof/>
        </w:rPr>
        <w:fldChar w:fldCharType="separate"/>
      </w:r>
      <w:r>
        <w:rPr>
          <w:noProof/>
        </w:rPr>
        <w:t>11</w:t>
      </w:r>
      <w:r>
        <w:rPr>
          <w:noProof/>
        </w:rPr>
        <w:fldChar w:fldCharType="end"/>
      </w:r>
    </w:p>
    <w:p w:rsidR="00C47D29" w:rsidRPr="00E97329" w:rsidRDefault="00C47D29">
      <w:pPr>
        <w:pStyle w:val="TOC3"/>
        <w:tabs>
          <w:tab w:val="left" w:pos="1320"/>
          <w:tab w:val="right" w:leader="dot" w:pos="9628"/>
        </w:tabs>
        <w:rPr>
          <w:rFonts w:ascii="Calibri" w:hAnsi="Calibri"/>
          <w:i w:val="0"/>
          <w:iCs w:val="0"/>
          <w:noProof/>
          <w:sz w:val="22"/>
          <w:szCs w:val="22"/>
          <w:lang w:eastAsia="en-GB"/>
        </w:rPr>
      </w:pPr>
      <w:r>
        <w:rPr>
          <w:noProof/>
          <w:lang w:eastAsia="en-US"/>
        </w:rPr>
        <w:t>3.5.2.</w:t>
      </w:r>
      <w:r w:rsidRPr="00E97329">
        <w:rPr>
          <w:rFonts w:ascii="Calibri" w:hAnsi="Calibri"/>
          <w:i w:val="0"/>
          <w:iCs w:val="0"/>
          <w:noProof/>
          <w:sz w:val="22"/>
          <w:szCs w:val="22"/>
          <w:lang w:eastAsia="en-GB"/>
        </w:rPr>
        <w:tab/>
      </w:r>
      <w:r>
        <w:rPr>
          <w:noProof/>
          <w:lang w:eastAsia="en-US"/>
        </w:rPr>
        <w:t>Pensions</w:t>
      </w:r>
      <w:r>
        <w:rPr>
          <w:noProof/>
        </w:rPr>
        <w:tab/>
      </w:r>
      <w:r>
        <w:rPr>
          <w:noProof/>
        </w:rPr>
        <w:fldChar w:fldCharType="begin"/>
      </w:r>
      <w:r>
        <w:rPr>
          <w:noProof/>
        </w:rPr>
        <w:instrText xml:space="preserve"> PAGEREF _Toc297975172 \h </w:instrText>
      </w:r>
      <w:r>
        <w:rPr>
          <w:noProof/>
        </w:rPr>
      </w:r>
      <w:r>
        <w:rPr>
          <w:noProof/>
        </w:rPr>
        <w:fldChar w:fldCharType="separate"/>
      </w:r>
      <w:r>
        <w:rPr>
          <w:noProof/>
        </w:rPr>
        <w:t>12</w:t>
      </w:r>
      <w:r>
        <w:rPr>
          <w:noProof/>
        </w:rPr>
        <w:fldChar w:fldCharType="end"/>
      </w:r>
    </w:p>
    <w:p w:rsidR="00C47D29" w:rsidRPr="00E97329" w:rsidRDefault="00C47D29">
      <w:pPr>
        <w:pStyle w:val="TOC3"/>
        <w:tabs>
          <w:tab w:val="left" w:pos="1320"/>
          <w:tab w:val="right" w:leader="dot" w:pos="9628"/>
        </w:tabs>
        <w:rPr>
          <w:rFonts w:ascii="Calibri" w:hAnsi="Calibri"/>
          <w:i w:val="0"/>
          <w:iCs w:val="0"/>
          <w:noProof/>
          <w:sz w:val="22"/>
          <w:szCs w:val="22"/>
          <w:lang w:eastAsia="en-GB"/>
        </w:rPr>
      </w:pPr>
      <w:r>
        <w:rPr>
          <w:noProof/>
          <w:lang w:eastAsia="en-US"/>
        </w:rPr>
        <w:t>3.5.3.</w:t>
      </w:r>
      <w:r w:rsidRPr="00E97329">
        <w:rPr>
          <w:rFonts w:ascii="Calibri" w:hAnsi="Calibri"/>
          <w:i w:val="0"/>
          <w:iCs w:val="0"/>
          <w:noProof/>
          <w:sz w:val="22"/>
          <w:szCs w:val="22"/>
          <w:lang w:eastAsia="en-GB"/>
        </w:rPr>
        <w:tab/>
      </w:r>
      <w:r>
        <w:rPr>
          <w:noProof/>
          <w:lang w:eastAsia="en-US"/>
        </w:rPr>
        <w:t>Other services</w:t>
      </w:r>
      <w:r>
        <w:rPr>
          <w:noProof/>
        </w:rPr>
        <w:tab/>
      </w:r>
      <w:r>
        <w:rPr>
          <w:noProof/>
        </w:rPr>
        <w:fldChar w:fldCharType="begin"/>
      </w:r>
      <w:r>
        <w:rPr>
          <w:noProof/>
        </w:rPr>
        <w:instrText xml:space="preserve"> PAGEREF _Toc297975173 \h </w:instrText>
      </w:r>
      <w:r>
        <w:rPr>
          <w:noProof/>
        </w:rPr>
      </w:r>
      <w:r>
        <w:rPr>
          <w:noProof/>
        </w:rPr>
        <w:fldChar w:fldCharType="separate"/>
      </w:r>
      <w:r>
        <w:rPr>
          <w:noProof/>
        </w:rPr>
        <w:t>12</w:t>
      </w:r>
      <w:r>
        <w:rPr>
          <w:noProof/>
        </w:rPr>
        <w:fldChar w:fldCharType="end"/>
      </w:r>
    </w:p>
    <w:p w:rsidR="00C47D29" w:rsidRPr="00E97329" w:rsidRDefault="00C47D29">
      <w:pPr>
        <w:pStyle w:val="TOC2"/>
        <w:tabs>
          <w:tab w:val="left" w:pos="880"/>
          <w:tab w:val="right" w:leader="dot" w:pos="9628"/>
        </w:tabs>
        <w:rPr>
          <w:rFonts w:ascii="Calibri" w:hAnsi="Calibri"/>
          <w:smallCaps w:val="0"/>
          <w:noProof/>
          <w:sz w:val="22"/>
          <w:szCs w:val="22"/>
          <w:lang w:eastAsia="en-GB"/>
        </w:rPr>
      </w:pPr>
      <w:r>
        <w:rPr>
          <w:noProof/>
        </w:rPr>
        <w:t>3.6.</w:t>
      </w:r>
      <w:r w:rsidRPr="00E97329">
        <w:rPr>
          <w:rFonts w:ascii="Calibri" w:hAnsi="Calibri"/>
          <w:smallCaps w:val="0"/>
          <w:noProof/>
          <w:sz w:val="22"/>
          <w:szCs w:val="22"/>
          <w:lang w:eastAsia="en-GB"/>
        </w:rPr>
        <w:tab/>
      </w:r>
      <w:r>
        <w:rPr>
          <w:noProof/>
        </w:rPr>
        <w:t>Privatisation</w:t>
      </w:r>
      <w:r>
        <w:rPr>
          <w:noProof/>
        </w:rPr>
        <w:tab/>
      </w:r>
      <w:r>
        <w:rPr>
          <w:noProof/>
        </w:rPr>
        <w:fldChar w:fldCharType="begin"/>
      </w:r>
      <w:r>
        <w:rPr>
          <w:noProof/>
        </w:rPr>
        <w:instrText xml:space="preserve"> PAGEREF _Toc297975174 \h </w:instrText>
      </w:r>
      <w:r>
        <w:rPr>
          <w:noProof/>
        </w:rPr>
      </w:r>
      <w:r>
        <w:rPr>
          <w:noProof/>
        </w:rPr>
        <w:fldChar w:fldCharType="separate"/>
      </w:r>
      <w:r>
        <w:rPr>
          <w:noProof/>
        </w:rPr>
        <w:t>12</w:t>
      </w:r>
      <w:r>
        <w:rPr>
          <w:noProof/>
        </w:rPr>
        <w:fldChar w:fldCharType="end"/>
      </w:r>
    </w:p>
    <w:p w:rsidR="00C47D29" w:rsidRPr="00E97329" w:rsidRDefault="00C47D29">
      <w:pPr>
        <w:pStyle w:val="TOC1"/>
        <w:tabs>
          <w:tab w:val="left" w:pos="440"/>
          <w:tab w:val="right" w:leader="dot" w:pos="9628"/>
        </w:tabs>
        <w:rPr>
          <w:rFonts w:ascii="Calibri" w:hAnsi="Calibri"/>
          <w:b w:val="0"/>
          <w:bCs w:val="0"/>
          <w:caps w:val="0"/>
          <w:noProof/>
          <w:sz w:val="22"/>
          <w:szCs w:val="22"/>
          <w:lang w:eastAsia="en-GB"/>
        </w:rPr>
      </w:pPr>
      <w:r>
        <w:rPr>
          <w:noProof/>
        </w:rPr>
        <w:t>4.</w:t>
      </w:r>
      <w:r w:rsidRPr="00E97329">
        <w:rPr>
          <w:rFonts w:ascii="Calibri" w:hAnsi="Calibri"/>
          <w:b w:val="0"/>
          <w:bCs w:val="0"/>
          <w:caps w:val="0"/>
          <w:noProof/>
          <w:sz w:val="22"/>
          <w:szCs w:val="22"/>
          <w:lang w:eastAsia="en-GB"/>
        </w:rPr>
        <w:tab/>
      </w:r>
      <w:r>
        <w:rPr>
          <w:noProof/>
        </w:rPr>
        <w:t>Europe</w:t>
      </w:r>
      <w:r>
        <w:rPr>
          <w:noProof/>
        </w:rPr>
        <w:tab/>
      </w:r>
      <w:r>
        <w:rPr>
          <w:noProof/>
        </w:rPr>
        <w:fldChar w:fldCharType="begin"/>
      </w:r>
      <w:r>
        <w:rPr>
          <w:noProof/>
        </w:rPr>
        <w:instrText xml:space="preserve"> PAGEREF _Toc297975175 \h </w:instrText>
      </w:r>
      <w:r>
        <w:rPr>
          <w:noProof/>
        </w:rPr>
      </w:r>
      <w:r>
        <w:rPr>
          <w:noProof/>
        </w:rPr>
        <w:fldChar w:fldCharType="separate"/>
      </w:r>
      <w:r>
        <w:rPr>
          <w:noProof/>
        </w:rPr>
        <w:t>12</w:t>
      </w:r>
      <w:r>
        <w:rPr>
          <w:noProof/>
        </w:rPr>
        <w:fldChar w:fldCharType="end"/>
      </w:r>
    </w:p>
    <w:p w:rsidR="00C47D29" w:rsidRPr="00E97329" w:rsidRDefault="00C47D29">
      <w:pPr>
        <w:pStyle w:val="TOC2"/>
        <w:tabs>
          <w:tab w:val="left" w:pos="880"/>
          <w:tab w:val="right" w:leader="dot" w:pos="9628"/>
        </w:tabs>
        <w:rPr>
          <w:rFonts w:ascii="Calibri" w:hAnsi="Calibri"/>
          <w:smallCaps w:val="0"/>
          <w:noProof/>
          <w:sz w:val="22"/>
          <w:szCs w:val="22"/>
          <w:lang w:eastAsia="en-GB"/>
        </w:rPr>
      </w:pPr>
      <w:r>
        <w:rPr>
          <w:noProof/>
        </w:rPr>
        <w:t>4.1.</w:t>
      </w:r>
      <w:r w:rsidRPr="00E97329">
        <w:rPr>
          <w:rFonts w:ascii="Calibri" w:hAnsi="Calibri"/>
          <w:smallCaps w:val="0"/>
          <w:noProof/>
          <w:sz w:val="22"/>
          <w:szCs w:val="22"/>
          <w:lang w:eastAsia="en-GB"/>
        </w:rPr>
        <w:tab/>
      </w:r>
      <w:r>
        <w:rPr>
          <w:noProof/>
        </w:rPr>
        <w:t>Europe: pay rises in public and private sector</w:t>
      </w:r>
      <w:r>
        <w:rPr>
          <w:noProof/>
        </w:rPr>
        <w:tab/>
      </w:r>
      <w:r>
        <w:rPr>
          <w:noProof/>
        </w:rPr>
        <w:fldChar w:fldCharType="begin"/>
      </w:r>
      <w:r>
        <w:rPr>
          <w:noProof/>
        </w:rPr>
        <w:instrText xml:space="preserve"> PAGEREF _Toc297975176 \h </w:instrText>
      </w:r>
      <w:r>
        <w:rPr>
          <w:noProof/>
        </w:rPr>
      </w:r>
      <w:r>
        <w:rPr>
          <w:noProof/>
        </w:rPr>
        <w:fldChar w:fldCharType="separate"/>
      </w:r>
      <w:r>
        <w:rPr>
          <w:noProof/>
        </w:rPr>
        <w:t>12</w:t>
      </w:r>
      <w:r>
        <w:rPr>
          <w:noProof/>
        </w:rPr>
        <w:fldChar w:fldCharType="end"/>
      </w:r>
    </w:p>
    <w:p w:rsidR="00C47D29" w:rsidRPr="00E97329" w:rsidRDefault="00C47D29">
      <w:pPr>
        <w:pStyle w:val="TOC3"/>
        <w:tabs>
          <w:tab w:val="left" w:pos="1320"/>
          <w:tab w:val="right" w:leader="dot" w:pos="9628"/>
        </w:tabs>
        <w:rPr>
          <w:rFonts w:ascii="Calibri" w:hAnsi="Calibri"/>
          <w:i w:val="0"/>
          <w:iCs w:val="0"/>
          <w:noProof/>
          <w:sz w:val="22"/>
          <w:szCs w:val="22"/>
          <w:lang w:eastAsia="en-GB"/>
        </w:rPr>
      </w:pPr>
      <w:r>
        <w:rPr>
          <w:noProof/>
        </w:rPr>
        <w:t>Table 4.</w:t>
      </w:r>
      <w:r w:rsidRPr="00E97329">
        <w:rPr>
          <w:rFonts w:ascii="Calibri" w:hAnsi="Calibri"/>
          <w:i w:val="0"/>
          <w:iCs w:val="0"/>
          <w:noProof/>
          <w:sz w:val="22"/>
          <w:szCs w:val="22"/>
          <w:lang w:eastAsia="en-GB"/>
        </w:rPr>
        <w:tab/>
      </w:r>
      <w:r>
        <w:rPr>
          <w:noProof/>
        </w:rPr>
        <w:t>Change in wages and salaries, Europe, 2008Q1-2011Q1</w:t>
      </w:r>
      <w:r>
        <w:rPr>
          <w:noProof/>
        </w:rPr>
        <w:tab/>
      </w:r>
      <w:r>
        <w:rPr>
          <w:noProof/>
        </w:rPr>
        <w:fldChar w:fldCharType="begin"/>
      </w:r>
      <w:r>
        <w:rPr>
          <w:noProof/>
        </w:rPr>
        <w:instrText xml:space="preserve"> PAGEREF _Toc297975177 \h </w:instrText>
      </w:r>
      <w:r>
        <w:rPr>
          <w:noProof/>
        </w:rPr>
      </w:r>
      <w:r>
        <w:rPr>
          <w:noProof/>
        </w:rPr>
        <w:fldChar w:fldCharType="separate"/>
      </w:r>
      <w:r>
        <w:rPr>
          <w:noProof/>
        </w:rPr>
        <w:t>13</w:t>
      </w:r>
      <w:r>
        <w:rPr>
          <w:noProof/>
        </w:rPr>
        <w:fldChar w:fldCharType="end"/>
      </w:r>
    </w:p>
    <w:p w:rsidR="00C47D29" w:rsidRPr="00E97329" w:rsidRDefault="00C47D29">
      <w:pPr>
        <w:pStyle w:val="TOC3"/>
        <w:tabs>
          <w:tab w:val="left" w:pos="1540"/>
          <w:tab w:val="right" w:leader="dot" w:pos="9628"/>
        </w:tabs>
        <w:rPr>
          <w:rFonts w:ascii="Calibri" w:hAnsi="Calibri"/>
          <w:i w:val="0"/>
          <w:iCs w:val="0"/>
          <w:noProof/>
          <w:sz w:val="22"/>
          <w:szCs w:val="22"/>
          <w:lang w:eastAsia="en-GB"/>
        </w:rPr>
      </w:pPr>
      <w:r>
        <w:rPr>
          <w:noProof/>
        </w:rPr>
        <w:t>Chart E.</w:t>
      </w:r>
      <w:r w:rsidRPr="00E97329">
        <w:rPr>
          <w:rFonts w:ascii="Calibri" w:hAnsi="Calibri"/>
          <w:i w:val="0"/>
          <w:iCs w:val="0"/>
          <w:noProof/>
          <w:sz w:val="22"/>
          <w:szCs w:val="22"/>
          <w:lang w:eastAsia="en-GB"/>
        </w:rPr>
        <w:tab/>
      </w:r>
      <w:r>
        <w:rPr>
          <w:noProof/>
        </w:rPr>
        <w:t>Real wage increases business vs. public sector</w:t>
      </w:r>
      <w:r>
        <w:rPr>
          <w:noProof/>
        </w:rPr>
        <w:tab/>
      </w:r>
      <w:r>
        <w:rPr>
          <w:noProof/>
        </w:rPr>
        <w:fldChar w:fldCharType="begin"/>
      </w:r>
      <w:r>
        <w:rPr>
          <w:noProof/>
        </w:rPr>
        <w:instrText xml:space="preserve"> PAGEREF _Toc297975178 \h </w:instrText>
      </w:r>
      <w:r>
        <w:rPr>
          <w:noProof/>
        </w:rPr>
      </w:r>
      <w:r>
        <w:rPr>
          <w:noProof/>
        </w:rPr>
        <w:fldChar w:fldCharType="separate"/>
      </w:r>
      <w:r>
        <w:rPr>
          <w:noProof/>
        </w:rPr>
        <w:t>14</w:t>
      </w:r>
      <w:r>
        <w:rPr>
          <w:noProof/>
        </w:rPr>
        <w:fldChar w:fldCharType="end"/>
      </w:r>
    </w:p>
    <w:p w:rsidR="00C47D29" w:rsidRPr="00E97329" w:rsidRDefault="00C47D29">
      <w:pPr>
        <w:pStyle w:val="TOC3"/>
        <w:tabs>
          <w:tab w:val="left" w:pos="1540"/>
          <w:tab w:val="right" w:leader="dot" w:pos="9628"/>
        </w:tabs>
        <w:rPr>
          <w:rFonts w:ascii="Calibri" w:hAnsi="Calibri"/>
          <w:i w:val="0"/>
          <w:iCs w:val="0"/>
          <w:noProof/>
          <w:sz w:val="22"/>
          <w:szCs w:val="22"/>
          <w:lang w:eastAsia="en-GB"/>
        </w:rPr>
      </w:pPr>
      <w:r>
        <w:rPr>
          <w:noProof/>
        </w:rPr>
        <w:t>Chart F.</w:t>
      </w:r>
      <w:r w:rsidRPr="00E97329">
        <w:rPr>
          <w:rFonts w:ascii="Calibri" w:hAnsi="Calibri"/>
          <w:i w:val="0"/>
          <w:iCs w:val="0"/>
          <w:noProof/>
          <w:sz w:val="22"/>
          <w:szCs w:val="22"/>
          <w:lang w:eastAsia="en-GB"/>
        </w:rPr>
        <w:tab/>
      </w:r>
      <w:r>
        <w:rPr>
          <w:noProof/>
        </w:rPr>
        <w:t>Real wage increases business vs. public sector  (excluding IMF countries)</w:t>
      </w:r>
      <w:r>
        <w:rPr>
          <w:noProof/>
        </w:rPr>
        <w:tab/>
      </w:r>
      <w:r>
        <w:rPr>
          <w:noProof/>
        </w:rPr>
        <w:fldChar w:fldCharType="begin"/>
      </w:r>
      <w:r>
        <w:rPr>
          <w:noProof/>
        </w:rPr>
        <w:instrText xml:space="preserve"> PAGEREF _Toc297975179 \h </w:instrText>
      </w:r>
      <w:r>
        <w:rPr>
          <w:noProof/>
        </w:rPr>
      </w:r>
      <w:r>
        <w:rPr>
          <w:noProof/>
        </w:rPr>
        <w:fldChar w:fldCharType="separate"/>
      </w:r>
      <w:r>
        <w:rPr>
          <w:noProof/>
        </w:rPr>
        <w:t>14</w:t>
      </w:r>
      <w:r>
        <w:rPr>
          <w:noProof/>
        </w:rPr>
        <w:fldChar w:fldCharType="end"/>
      </w:r>
    </w:p>
    <w:p w:rsidR="00C47D29" w:rsidRPr="00E97329" w:rsidRDefault="00C47D29">
      <w:pPr>
        <w:pStyle w:val="TOC2"/>
        <w:tabs>
          <w:tab w:val="left" w:pos="880"/>
          <w:tab w:val="right" w:leader="dot" w:pos="9628"/>
        </w:tabs>
        <w:rPr>
          <w:rFonts w:ascii="Calibri" w:hAnsi="Calibri"/>
          <w:smallCaps w:val="0"/>
          <w:noProof/>
          <w:sz w:val="22"/>
          <w:szCs w:val="22"/>
          <w:lang w:eastAsia="en-GB"/>
        </w:rPr>
      </w:pPr>
      <w:r>
        <w:rPr>
          <w:noProof/>
        </w:rPr>
        <w:t>4.2.</w:t>
      </w:r>
      <w:r w:rsidRPr="00E97329">
        <w:rPr>
          <w:rFonts w:ascii="Calibri" w:hAnsi="Calibri"/>
          <w:smallCaps w:val="0"/>
          <w:noProof/>
          <w:sz w:val="22"/>
          <w:szCs w:val="22"/>
          <w:lang w:eastAsia="en-GB"/>
        </w:rPr>
        <w:tab/>
      </w:r>
      <w:r>
        <w:rPr>
          <w:noProof/>
        </w:rPr>
        <w:t>EIRO: agreed increases</w:t>
      </w:r>
      <w:r>
        <w:rPr>
          <w:noProof/>
        </w:rPr>
        <w:tab/>
      </w:r>
      <w:r>
        <w:rPr>
          <w:noProof/>
        </w:rPr>
        <w:fldChar w:fldCharType="begin"/>
      </w:r>
      <w:r>
        <w:rPr>
          <w:noProof/>
        </w:rPr>
        <w:instrText xml:space="preserve"> PAGEREF _Toc297975180 \h </w:instrText>
      </w:r>
      <w:r>
        <w:rPr>
          <w:noProof/>
        </w:rPr>
      </w:r>
      <w:r>
        <w:rPr>
          <w:noProof/>
        </w:rPr>
        <w:fldChar w:fldCharType="separate"/>
      </w:r>
      <w:r>
        <w:rPr>
          <w:noProof/>
        </w:rPr>
        <w:t>14</w:t>
      </w:r>
      <w:r>
        <w:rPr>
          <w:noProof/>
        </w:rPr>
        <w:fldChar w:fldCharType="end"/>
      </w:r>
    </w:p>
    <w:p w:rsidR="00C47D29" w:rsidRPr="00E97329" w:rsidRDefault="00C47D29">
      <w:pPr>
        <w:pStyle w:val="TOC3"/>
        <w:tabs>
          <w:tab w:val="left" w:pos="1320"/>
          <w:tab w:val="right" w:leader="dot" w:pos="9628"/>
        </w:tabs>
        <w:rPr>
          <w:rFonts w:ascii="Calibri" w:hAnsi="Calibri"/>
          <w:i w:val="0"/>
          <w:iCs w:val="0"/>
          <w:noProof/>
          <w:sz w:val="22"/>
          <w:szCs w:val="22"/>
          <w:lang w:eastAsia="en-GB"/>
        </w:rPr>
      </w:pPr>
      <w:r>
        <w:rPr>
          <w:noProof/>
        </w:rPr>
        <w:t>Table 5.</w:t>
      </w:r>
      <w:r w:rsidRPr="00E97329">
        <w:rPr>
          <w:rFonts w:ascii="Calibri" w:hAnsi="Calibri"/>
          <w:i w:val="0"/>
          <w:iCs w:val="0"/>
          <w:noProof/>
          <w:sz w:val="22"/>
          <w:szCs w:val="22"/>
          <w:lang w:eastAsia="en-GB"/>
        </w:rPr>
        <w:tab/>
      </w:r>
      <w:r>
        <w:rPr>
          <w:noProof/>
        </w:rPr>
        <w:t>Pay increases in collective agreements in EU (27 countries)</w:t>
      </w:r>
      <w:r>
        <w:rPr>
          <w:noProof/>
        </w:rPr>
        <w:tab/>
      </w:r>
      <w:r>
        <w:rPr>
          <w:noProof/>
        </w:rPr>
        <w:fldChar w:fldCharType="begin"/>
      </w:r>
      <w:r>
        <w:rPr>
          <w:noProof/>
        </w:rPr>
        <w:instrText xml:space="preserve"> PAGEREF _Toc297975181 \h </w:instrText>
      </w:r>
      <w:r>
        <w:rPr>
          <w:noProof/>
        </w:rPr>
      </w:r>
      <w:r>
        <w:rPr>
          <w:noProof/>
        </w:rPr>
        <w:fldChar w:fldCharType="separate"/>
      </w:r>
      <w:r>
        <w:rPr>
          <w:noProof/>
        </w:rPr>
        <w:t>15</w:t>
      </w:r>
      <w:r>
        <w:rPr>
          <w:noProof/>
        </w:rPr>
        <w:fldChar w:fldCharType="end"/>
      </w:r>
    </w:p>
    <w:p w:rsidR="00C47D29" w:rsidRPr="00E97329" w:rsidRDefault="00C47D29">
      <w:pPr>
        <w:pStyle w:val="TOC2"/>
        <w:tabs>
          <w:tab w:val="left" w:pos="880"/>
          <w:tab w:val="right" w:leader="dot" w:pos="9628"/>
        </w:tabs>
        <w:rPr>
          <w:rFonts w:ascii="Calibri" w:hAnsi="Calibri"/>
          <w:smallCaps w:val="0"/>
          <w:noProof/>
          <w:sz w:val="22"/>
          <w:szCs w:val="22"/>
          <w:lang w:eastAsia="en-GB"/>
        </w:rPr>
      </w:pPr>
      <w:r>
        <w:rPr>
          <w:noProof/>
        </w:rPr>
        <w:t>4.3.</w:t>
      </w:r>
      <w:r w:rsidRPr="00E97329">
        <w:rPr>
          <w:rFonts w:ascii="Calibri" w:hAnsi="Calibri"/>
          <w:smallCaps w:val="0"/>
          <w:noProof/>
          <w:sz w:val="22"/>
          <w:szCs w:val="22"/>
          <w:lang w:eastAsia="en-GB"/>
        </w:rPr>
        <w:tab/>
      </w:r>
      <w:r>
        <w:rPr>
          <w:noProof/>
        </w:rPr>
        <w:t>Europe: employment in private and public sectors</w:t>
      </w:r>
      <w:r>
        <w:rPr>
          <w:noProof/>
        </w:rPr>
        <w:tab/>
      </w:r>
      <w:r>
        <w:rPr>
          <w:noProof/>
        </w:rPr>
        <w:fldChar w:fldCharType="begin"/>
      </w:r>
      <w:r>
        <w:rPr>
          <w:noProof/>
        </w:rPr>
        <w:instrText xml:space="preserve"> PAGEREF _Toc297975182 \h </w:instrText>
      </w:r>
      <w:r>
        <w:rPr>
          <w:noProof/>
        </w:rPr>
      </w:r>
      <w:r>
        <w:rPr>
          <w:noProof/>
        </w:rPr>
        <w:fldChar w:fldCharType="separate"/>
      </w:r>
      <w:r>
        <w:rPr>
          <w:noProof/>
        </w:rPr>
        <w:t>15</w:t>
      </w:r>
      <w:r>
        <w:rPr>
          <w:noProof/>
        </w:rPr>
        <w:fldChar w:fldCharType="end"/>
      </w:r>
    </w:p>
    <w:p w:rsidR="00C47D29" w:rsidRPr="00E97329" w:rsidRDefault="00C47D29">
      <w:pPr>
        <w:pStyle w:val="TOC3"/>
        <w:tabs>
          <w:tab w:val="left" w:pos="1320"/>
          <w:tab w:val="right" w:leader="dot" w:pos="9628"/>
        </w:tabs>
        <w:rPr>
          <w:rFonts w:ascii="Calibri" w:hAnsi="Calibri"/>
          <w:i w:val="0"/>
          <w:iCs w:val="0"/>
          <w:noProof/>
          <w:sz w:val="22"/>
          <w:szCs w:val="22"/>
          <w:lang w:eastAsia="en-GB"/>
        </w:rPr>
      </w:pPr>
      <w:r>
        <w:rPr>
          <w:noProof/>
        </w:rPr>
        <w:t>Table 6.</w:t>
      </w:r>
      <w:r w:rsidRPr="00E97329">
        <w:rPr>
          <w:rFonts w:ascii="Calibri" w:hAnsi="Calibri"/>
          <w:i w:val="0"/>
          <w:iCs w:val="0"/>
          <w:noProof/>
          <w:sz w:val="22"/>
          <w:szCs w:val="22"/>
          <w:lang w:eastAsia="en-GB"/>
        </w:rPr>
        <w:tab/>
      </w:r>
      <w:r>
        <w:rPr>
          <w:noProof/>
        </w:rPr>
        <w:t>Employment changes in EU during crisis</w:t>
      </w:r>
      <w:r>
        <w:rPr>
          <w:noProof/>
        </w:rPr>
        <w:tab/>
      </w:r>
      <w:r>
        <w:rPr>
          <w:noProof/>
        </w:rPr>
        <w:fldChar w:fldCharType="begin"/>
      </w:r>
      <w:r>
        <w:rPr>
          <w:noProof/>
        </w:rPr>
        <w:instrText xml:space="preserve"> PAGEREF _Toc297975183 \h </w:instrText>
      </w:r>
      <w:r>
        <w:rPr>
          <w:noProof/>
        </w:rPr>
      </w:r>
      <w:r>
        <w:rPr>
          <w:noProof/>
        </w:rPr>
        <w:fldChar w:fldCharType="separate"/>
      </w:r>
      <w:r>
        <w:rPr>
          <w:noProof/>
        </w:rPr>
        <w:t>16</w:t>
      </w:r>
      <w:r>
        <w:rPr>
          <w:noProof/>
        </w:rPr>
        <w:fldChar w:fldCharType="end"/>
      </w:r>
    </w:p>
    <w:p w:rsidR="00C47D29" w:rsidRPr="00E97329" w:rsidRDefault="00C47D29">
      <w:pPr>
        <w:pStyle w:val="TOC2"/>
        <w:tabs>
          <w:tab w:val="left" w:pos="880"/>
          <w:tab w:val="right" w:leader="dot" w:pos="9628"/>
        </w:tabs>
        <w:rPr>
          <w:rFonts w:ascii="Calibri" w:hAnsi="Calibri"/>
          <w:smallCaps w:val="0"/>
          <w:noProof/>
          <w:sz w:val="22"/>
          <w:szCs w:val="22"/>
          <w:lang w:eastAsia="en-GB"/>
        </w:rPr>
      </w:pPr>
      <w:r>
        <w:rPr>
          <w:noProof/>
        </w:rPr>
        <w:t>4.4.</w:t>
      </w:r>
      <w:r w:rsidRPr="00E97329">
        <w:rPr>
          <w:rFonts w:ascii="Calibri" w:hAnsi="Calibri"/>
          <w:smallCaps w:val="0"/>
          <w:noProof/>
          <w:sz w:val="22"/>
          <w:szCs w:val="22"/>
          <w:lang w:eastAsia="en-GB"/>
        </w:rPr>
        <w:tab/>
      </w:r>
      <w:r>
        <w:rPr>
          <w:noProof/>
        </w:rPr>
        <w:t>Greece</w:t>
      </w:r>
      <w:r>
        <w:rPr>
          <w:noProof/>
        </w:rPr>
        <w:tab/>
      </w:r>
      <w:r>
        <w:rPr>
          <w:noProof/>
        </w:rPr>
        <w:fldChar w:fldCharType="begin"/>
      </w:r>
      <w:r>
        <w:rPr>
          <w:noProof/>
        </w:rPr>
        <w:instrText xml:space="preserve"> PAGEREF _Toc297975184 \h </w:instrText>
      </w:r>
      <w:r>
        <w:rPr>
          <w:noProof/>
        </w:rPr>
      </w:r>
      <w:r>
        <w:rPr>
          <w:noProof/>
        </w:rPr>
        <w:fldChar w:fldCharType="separate"/>
      </w:r>
      <w:r>
        <w:rPr>
          <w:noProof/>
        </w:rPr>
        <w:t>16</w:t>
      </w:r>
      <w:r>
        <w:rPr>
          <w:noProof/>
        </w:rPr>
        <w:fldChar w:fldCharType="end"/>
      </w:r>
    </w:p>
    <w:p w:rsidR="00C47D29" w:rsidRPr="00E97329" w:rsidRDefault="00C47D29">
      <w:pPr>
        <w:pStyle w:val="TOC3"/>
        <w:tabs>
          <w:tab w:val="left" w:pos="1320"/>
          <w:tab w:val="right" w:leader="dot" w:pos="9628"/>
        </w:tabs>
        <w:rPr>
          <w:rFonts w:ascii="Calibri" w:hAnsi="Calibri"/>
          <w:i w:val="0"/>
          <w:iCs w:val="0"/>
          <w:noProof/>
          <w:sz w:val="22"/>
          <w:szCs w:val="22"/>
          <w:lang w:eastAsia="en-GB"/>
        </w:rPr>
      </w:pPr>
      <w:r>
        <w:rPr>
          <w:noProof/>
        </w:rPr>
        <w:t>4.4.1.</w:t>
      </w:r>
      <w:r w:rsidRPr="00E97329">
        <w:rPr>
          <w:rFonts w:ascii="Calibri" w:hAnsi="Calibri"/>
          <w:i w:val="0"/>
          <w:iCs w:val="0"/>
          <w:noProof/>
          <w:sz w:val="22"/>
          <w:szCs w:val="22"/>
          <w:lang w:eastAsia="en-GB"/>
        </w:rPr>
        <w:tab/>
      </w:r>
      <w:r>
        <w:rPr>
          <w:noProof/>
        </w:rPr>
        <w:t>The 2010 and 2011 packages</w:t>
      </w:r>
      <w:r>
        <w:rPr>
          <w:noProof/>
        </w:rPr>
        <w:tab/>
      </w:r>
      <w:r>
        <w:rPr>
          <w:noProof/>
        </w:rPr>
        <w:fldChar w:fldCharType="begin"/>
      </w:r>
      <w:r>
        <w:rPr>
          <w:noProof/>
        </w:rPr>
        <w:instrText xml:space="preserve"> PAGEREF _Toc297975185 \h </w:instrText>
      </w:r>
      <w:r>
        <w:rPr>
          <w:noProof/>
        </w:rPr>
      </w:r>
      <w:r>
        <w:rPr>
          <w:noProof/>
        </w:rPr>
        <w:fldChar w:fldCharType="separate"/>
      </w:r>
      <w:r>
        <w:rPr>
          <w:noProof/>
        </w:rPr>
        <w:t>16</w:t>
      </w:r>
      <w:r>
        <w:rPr>
          <w:noProof/>
        </w:rPr>
        <w:fldChar w:fldCharType="end"/>
      </w:r>
    </w:p>
    <w:p w:rsidR="00C47D29" w:rsidRPr="00E97329" w:rsidRDefault="00C47D29">
      <w:pPr>
        <w:pStyle w:val="TOC3"/>
        <w:tabs>
          <w:tab w:val="left" w:pos="1320"/>
          <w:tab w:val="right" w:leader="dot" w:pos="9628"/>
        </w:tabs>
        <w:rPr>
          <w:rFonts w:ascii="Calibri" w:hAnsi="Calibri"/>
          <w:i w:val="0"/>
          <w:iCs w:val="0"/>
          <w:noProof/>
          <w:sz w:val="22"/>
          <w:szCs w:val="22"/>
          <w:lang w:eastAsia="en-GB"/>
        </w:rPr>
      </w:pPr>
      <w:r>
        <w:rPr>
          <w:noProof/>
        </w:rPr>
        <w:t>Table 1.</w:t>
      </w:r>
      <w:r w:rsidRPr="00E97329">
        <w:rPr>
          <w:rFonts w:ascii="Calibri" w:hAnsi="Calibri"/>
          <w:i w:val="0"/>
          <w:iCs w:val="0"/>
          <w:noProof/>
          <w:sz w:val="22"/>
          <w:szCs w:val="22"/>
          <w:lang w:eastAsia="en-GB"/>
        </w:rPr>
        <w:tab/>
      </w:r>
      <w:r>
        <w:rPr>
          <w:noProof/>
        </w:rPr>
        <w:t>Impact of cuts and tax rises as % of GDP 2011 package</w:t>
      </w:r>
      <w:r>
        <w:rPr>
          <w:noProof/>
        </w:rPr>
        <w:tab/>
      </w:r>
      <w:r>
        <w:rPr>
          <w:noProof/>
        </w:rPr>
        <w:fldChar w:fldCharType="begin"/>
      </w:r>
      <w:r>
        <w:rPr>
          <w:noProof/>
        </w:rPr>
        <w:instrText xml:space="preserve"> PAGEREF _Toc297975186 \h </w:instrText>
      </w:r>
      <w:r>
        <w:rPr>
          <w:noProof/>
        </w:rPr>
      </w:r>
      <w:r>
        <w:rPr>
          <w:noProof/>
        </w:rPr>
        <w:fldChar w:fldCharType="separate"/>
      </w:r>
      <w:r>
        <w:rPr>
          <w:noProof/>
        </w:rPr>
        <w:t>16</w:t>
      </w:r>
      <w:r>
        <w:rPr>
          <w:noProof/>
        </w:rPr>
        <w:fldChar w:fldCharType="end"/>
      </w:r>
    </w:p>
    <w:p w:rsidR="00C47D29" w:rsidRPr="00E97329" w:rsidRDefault="00C47D29">
      <w:pPr>
        <w:pStyle w:val="TOC3"/>
        <w:tabs>
          <w:tab w:val="left" w:pos="1320"/>
          <w:tab w:val="right" w:leader="dot" w:pos="9628"/>
        </w:tabs>
        <w:rPr>
          <w:rFonts w:ascii="Calibri" w:hAnsi="Calibri"/>
          <w:i w:val="0"/>
          <w:iCs w:val="0"/>
          <w:noProof/>
          <w:sz w:val="22"/>
          <w:szCs w:val="22"/>
          <w:lang w:eastAsia="en-GB"/>
        </w:rPr>
      </w:pPr>
      <w:r>
        <w:rPr>
          <w:noProof/>
        </w:rPr>
        <w:t>4.4.2.</w:t>
      </w:r>
      <w:r w:rsidRPr="00E97329">
        <w:rPr>
          <w:rFonts w:ascii="Calibri" w:hAnsi="Calibri"/>
          <w:i w:val="0"/>
          <w:iCs w:val="0"/>
          <w:noProof/>
          <w:sz w:val="22"/>
          <w:szCs w:val="22"/>
          <w:lang w:eastAsia="en-GB"/>
        </w:rPr>
        <w:tab/>
      </w:r>
      <w:r>
        <w:rPr>
          <w:noProof/>
        </w:rPr>
        <w:t>Jobs, pay and conditions</w:t>
      </w:r>
      <w:r>
        <w:rPr>
          <w:noProof/>
        </w:rPr>
        <w:tab/>
      </w:r>
      <w:r>
        <w:rPr>
          <w:noProof/>
        </w:rPr>
        <w:fldChar w:fldCharType="begin"/>
      </w:r>
      <w:r>
        <w:rPr>
          <w:noProof/>
        </w:rPr>
        <w:instrText xml:space="preserve"> PAGEREF _Toc297975187 \h </w:instrText>
      </w:r>
      <w:r>
        <w:rPr>
          <w:noProof/>
        </w:rPr>
      </w:r>
      <w:r>
        <w:rPr>
          <w:noProof/>
        </w:rPr>
        <w:fldChar w:fldCharType="separate"/>
      </w:r>
      <w:r>
        <w:rPr>
          <w:noProof/>
        </w:rPr>
        <w:t>17</w:t>
      </w:r>
      <w:r>
        <w:rPr>
          <w:noProof/>
        </w:rPr>
        <w:fldChar w:fldCharType="end"/>
      </w:r>
    </w:p>
    <w:p w:rsidR="00C47D29" w:rsidRPr="00E97329" w:rsidRDefault="00C47D29">
      <w:pPr>
        <w:pStyle w:val="TOC3"/>
        <w:tabs>
          <w:tab w:val="left" w:pos="1320"/>
          <w:tab w:val="right" w:leader="dot" w:pos="9628"/>
        </w:tabs>
        <w:rPr>
          <w:rFonts w:ascii="Calibri" w:hAnsi="Calibri"/>
          <w:i w:val="0"/>
          <w:iCs w:val="0"/>
          <w:noProof/>
          <w:sz w:val="22"/>
          <w:szCs w:val="22"/>
          <w:lang w:eastAsia="en-GB"/>
        </w:rPr>
      </w:pPr>
      <w:r>
        <w:rPr>
          <w:noProof/>
        </w:rPr>
        <w:t>4.4.3.</w:t>
      </w:r>
      <w:r w:rsidRPr="00E97329">
        <w:rPr>
          <w:rFonts w:ascii="Calibri" w:hAnsi="Calibri"/>
          <w:i w:val="0"/>
          <w:iCs w:val="0"/>
          <w:noProof/>
          <w:sz w:val="22"/>
          <w:szCs w:val="22"/>
          <w:lang w:eastAsia="en-GB"/>
        </w:rPr>
        <w:tab/>
      </w:r>
      <w:r>
        <w:rPr>
          <w:noProof/>
        </w:rPr>
        <w:t>Privatisation</w:t>
      </w:r>
      <w:r>
        <w:rPr>
          <w:noProof/>
        </w:rPr>
        <w:tab/>
      </w:r>
      <w:r>
        <w:rPr>
          <w:noProof/>
        </w:rPr>
        <w:fldChar w:fldCharType="begin"/>
      </w:r>
      <w:r>
        <w:rPr>
          <w:noProof/>
        </w:rPr>
        <w:instrText xml:space="preserve"> PAGEREF _Toc297975188 \h </w:instrText>
      </w:r>
      <w:r>
        <w:rPr>
          <w:noProof/>
        </w:rPr>
      </w:r>
      <w:r>
        <w:rPr>
          <w:noProof/>
        </w:rPr>
        <w:fldChar w:fldCharType="separate"/>
      </w:r>
      <w:r>
        <w:rPr>
          <w:noProof/>
        </w:rPr>
        <w:t>17</w:t>
      </w:r>
      <w:r>
        <w:rPr>
          <w:noProof/>
        </w:rPr>
        <w:fldChar w:fldCharType="end"/>
      </w:r>
    </w:p>
    <w:p w:rsidR="00C47D29" w:rsidRPr="00E97329" w:rsidRDefault="00C47D29">
      <w:pPr>
        <w:pStyle w:val="TOC2"/>
        <w:tabs>
          <w:tab w:val="left" w:pos="880"/>
          <w:tab w:val="right" w:leader="dot" w:pos="9628"/>
        </w:tabs>
        <w:rPr>
          <w:rFonts w:ascii="Calibri" w:hAnsi="Calibri"/>
          <w:smallCaps w:val="0"/>
          <w:noProof/>
          <w:sz w:val="22"/>
          <w:szCs w:val="22"/>
          <w:lang w:eastAsia="en-GB"/>
        </w:rPr>
      </w:pPr>
      <w:r>
        <w:rPr>
          <w:noProof/>
        </w:rPr>
        <w:lastRenderedPageBreak/>
        <w:t>4.5.</w:t>
      </w:r>
      <w:r w:rsidRPr="00E97329">
        <w:rPr>
          <w:rFonts w:ascii="Calibri" w:hAnsi="Calibri"/>
          <w:smallCaps w:val="0"/>
          <w:noProof/>
          <w:sz w:val="22"/>
          <w:szCs w:val="22"/>
          <w:lang w:eastAsia="en-GB"/>
        </w:rPr>
        <w:tab/>
      </w:r>
      <w:r>
        <w:rPr>
          <w:noProof/>
        </w:rPr>
        <w:t>EU: other countries</w:t>
      </w:r>
      <w:r>
        <w:rPr>
          <w:noProof/>
        </w:rPr>
        <w:tab/>
      </w:r>
      <w:r>
        <w:rPr>
          <w:noProof/>
        </w:rPr>
        <w:fldChar w:fldCharType="begin"/>
      </w:r>
      <w:r>
        <w:rPr>
          <w:noProof/>
        </w:rPr>
        <w:instrText xml:space="preserve"> PAGEREF _Toc297975189 \h </w:instrText>
      </w:r>
      <w:r>
        <w:rPr>
          <w:noProof/>
        </w:rPr>
      </w:r>
      <w:r>
        <w:rPr>
          <w:noProof/>
        </w:rPr>
        <w:fldChar w:fldCharType="separate"/>
      </w:r>
      <w:r>
        <w:rPr>
          <w:noProof/>
        </w:rPr>
        <w:t>17</w:t>
      </w:r>
      <w:r>
        <w:rPr>
          <w:noProof/>
        </w:rPr>
        <w:fldChar w:fldCharType="end"/>
      </w:r>
    </w:p>
    <w:p w:rsidR="00C47D29" w:rsidRPr="00E97329" w:rsidRDefault="00C47D29">
      <w:pPr>
        <w:pStyle w:val="TOC3"/>
        <w:tabs>
          <w:tab w:val="left" w:pos="1320"/>
          <w:tab w:val="right" w:leader="dot" w:pos="9628"/>
        </w:tabs>
        <w:rPr>
          <w:rFonts w:ascii="Calibri" w:hAnsi="Calibri"/>
          <w:i w:val="0"/>
          <w:iCs w:val="0"/>
          <w:noProof/>
          <w:sz w:val="22"/>
          <w:szCs w:val="22"/>
          <w:lang w:eastAsia="en-GB"/>
        </w:rPr>
      </w:pPr>
      <w:r>
        <w:rPr>
          <w:noProof/>
        </w:rPr>
        <w:t>Table 7.</w:t>
      </w:r>
      <w:r w:rsidRPr="00E97329">
        <w:rPr>
          <w:rFonts w:ascii="Calibri" w:hAnsi="Calibri"/>
          <w:i w:val="0"/>
          <w:iCs w:val="0"/>
          <w:noProof/>
          <w:sz w:val="22"/>
          <w:szCs w:val="22"/>
          <w:lang w:eastAsia="en-GB"/>
        </w:rPr>
        <w:tab/>
      </w:r>
      <w:r>
        <w:rPr>
          <w:noProof/>
        </w:rPr>
        <w:t>EU countries cutting public sector pay during 2008-2010</w:t>
      </w:r>
      <w:r>
        <w:rPr>
          <w:noProof/>
        </w:rPr>
        <w:tab/>
      </w:r>
      <w:r>
        <w:rPr>
          <w:noProof/>
        </w:rPr>
        <w:fldChar w:fldCharType="begin"/>
      </w:r>
      <w:r>
        <w:rPr>
          <w:noProof/>
        </w:rPr>
        <w:instrText xml:space="preserve"> PAGEREF _Toc297975190 \h </w:instrText>
      </w:r>
      <w:r>
        <w:rPr>
          <w:noProof/>
        </w:rPr>
      </w:r>
      <w:r>
        <w:rPr>
          <w:noProof/>
        </w:rPr>
        <w:fldChar w:fldCharType="separate"/>
      </w:r>
      <w:r>
        <w:rPr>
          <w:noProof/>
        </w:rPr>
        <w:t>18</w:t>
      </w:r>
      <w:r>
        <w:rPr>
          <w:noProof/>
        </w:rPr>
        <w:fldChar w:fldCharType="end"/>
      </w:r>
    </w:p>
    <w:p w:rsidR="00C47D29" w:rsidRPr="00E97329" w:rsidRDefault="00C47D29">
      <w:pPr>
        <w:pStyle w:val="TOC3"/>
        <w:tabs>
          <w:tab w:val="left" w:pos="1320"/>
          <w:tab w:val="right" w:leader="dot" w:pos="9628"/>
        </w:tabs>
        <w:rPr>
          <w:rFonts w:ascii="Calibri" w:hAnsi="Calibri"/>
          <w:i w:val="0"/>
          <w:iCs w:val="0"/>
          <w:noProof/>
          <w:sz w:val="22"/>
          <w:szCs w:val="22"/>
          <w:lang w:eastAsia="en-GB"/>
        </w:rPr>
      </w:pPr>
      <w:r>
        <w:rPr>
          <w:noProof/>
        </w:rPr>
        <w:t>4.5.1.</w:t>
      </w:r>
      <w:r w:rsidRPr="00E97329">
        <w:rPr>
          <w:rFonts w:ascii="Calibri" w:hAnsi="Calibri"/>
          <w:i w:val="0"/>
          <w:iCs w:val="0"/>
          <w:noProof/>
          <w:sz w:val="22"/>
          <w:szCs w:val="22"/>
          <w:lang w:eastAsia="en-GB"/>
        </w:rPr>
        <w:tab/>
      </w:r>
      <w:r>
        <w:rPr>
          <w:noProof/>
        </w:rPr>
        <w:t>Hungary</w:t>
      </w:r>
      <w:r>
        <w:rPr>
          <w:noProof/>
        </w:rPr>
        <w:tab/>
      </w:r>
      <w:r>
        <w:rPr>
          <w:noProof/>
        </w:rPr>
        <w:fldChar w:fldCharType="begin"/>
      </w:r>
      <w:r>
        <w:rPr>
          <w:noProof/>
        </w:rPr>
        <w:instrText xml:space="preserve"> PAGEREF _Toc297975191 \h </w:instrText>
      </w:r>
      <w:r>
        <w:rPr>
          <w:noProof/>
        </w:rPr>
      </w:r>
      <w:r>
        <w:rPr>
          <w:noProof/>
        </w:rPr>
        <w:fldChar w:fldCharType="separate"/>
      </w:r>
      <w:r>
        <w:rPr>
          <w:noProof/>
        </w:rPr>
        <w:t>18</w:t>
      </w:r>
      <w:r>
        <w:rPr>
          <w:noProof/>
        </w:rPr>
        <w:fldChar w:fldCharType="end"/>
      </w:r>
    </w:p>
    <w:p w:rsidR="00C47D29" w:rsidRPr="00E97329" w:rsidRDefault="00C47D29">
      <w:pPr>
        <w:pStyle w:val="TOC3"/>
        <w:tabs>
          <w:tab w:val="left" w:pos="1320"/>
          <w:tab w:val="right" w:leader="dot" w:pos="9628"/>
        </w:tabs>
        <w:rPr>
          <w:rFonts w:ascii="Calibri" w:hAnsi="Calibri"/>
          <w:i w:val="0"/>
          <w:iCs w:val="0"/>
          <w:noProof/>
          <w:sz w:val="22"/>
          <w:szCs w:val="22"/>
          <w:lang w:eastAsia="en-GB"/>
        </w:rPr>
      </w:pPr>
      <w:r>
        <w:rPr>
          <w:noProof/>
        </w:rPr>
        <w:t>4.5.2.</w:t>
      </w:r>
      <w:r w:rsidRPr="00E97329">
        <w:rPr>
          <w:rFonts w:ascii="Calibri" w:hAnsi="Calibri"/>
          <w:i w:val="0"/>
          <w:iCs w:val="0"/>
          <w:noProof/>
          <w:sz w:val="22"/>
          <w:szCs w:val="22"/>
          <w:lang w:eastAsia="en-GB"/>
        </w:rPr>
        <w:tab/>
      </w:r>
      <w:r>
        <w:rPr>
          <w:noProof/>
        </w:rPr>
        <w:t>Ireland</w:t>
      </w:r>
      <w:r>
        <w:rPr>
          <w:noProof/>
        </w:rPr>
        <w:tab/>
      </w:r>
      <w:r>
        <w:rPr>
          <w:noProof/>
        </w:rPr>
        <w:fldChar w:fldCharType="begin"/>
      </w:r>
      <w:r>
        <w:rPr>
          <w:noProof/>
        </w:rPr>
        <w:instrText xml:space="preserve"> PAGEREF _Toc297975192 \h </w:instrText>
      </w:r>
      <w:r>
        <w:rPr>
          <w:noProof/>
        </w:rPr>
      </w:r>
      <w:r>
        <w:rPr>
          <w:noProof/>
        </w:rPr>
        <w:fldChar w:fldCharType="separate"/>
      </w:r>
      <w:r>
        <w:rPr>
          <w:noProof/>
        </w:rPr>
        <w:t>18</w:t>
      </w:r>
      <w:r>
        <w:rPr>
          <w:noProof/>
        </w:rPr>
        <w:fldChar w:fldCharType="end"/>
      </w:r>
    </w:p>
    <w:p w:rsidR="00C47D29" w:rsidRPr="00E97329" w:rsidRDefault="00C47D29">
      <w:pPr>
        <w:pStyle w:val="TOC3"/>
        <w:tabs>
          <w:tab w:val="left" w:pos="1320"/>
          <w:tab w:val="right" w:leader="dot" w:pos="9628"/>
        </w:tabs>
        <w:rPr>
          <w:rFonts w:ascii="Calibri" w:hAnsi="Calibri"/>
          <w:i w:val="0"/>
          <w:iCs w:val="0"/>
          <w:noProof/>
          <w:sz w:val="22"/>
          <w:szCs w:val="22"/>
          <w:lang w:eastAsia="en-GB"/>
        </w:rPr>
      </w:pPr>
      <w:r>
        <w:rPr>
          <w:noProof/>
        </w:rPr>
        <w:t>4.5.3.</w:t>
      </w:r>
      <w:r w:rsidRPr="00E97329">
        <w:rPr>
          <w:rFonts w:ascii="Calibri" w:hAnsi="Calibri"/>
          <w:i w:val="0"/>
          <w:iCs w:val="0"/>
          <w:noProof/>
          <w:sz w:val="22"/>
          <w:szCs w:val="22"/>
          <w:lang w:eastAsia="en-GB"/>
        </w:rPr>
        <w:tab/>
      </w:r>
      <w:r>
        <w:rPr>
          <w:noProof/>
        </w:rPr>
        <w:t>Latvia</w:t>
      </w:r>
      <w:r>
        <w:rPr>
          <w:noProof/>
        </w:rPr>
        <w:tab/>
      </w:r>
      <w:r>
        <w:rPr>
          <w:noProof/>
        </w:rPr>
        <w:fldChar w:fldCharType="begin"/>
      </w:r>
      <w:r>
        <w:rPr>
          <w:noProof/>
        </w:rPr>
        <w:instrText xml:space="preserve"> PAGEREF _Toc297975193 \h </w:instrText>
      </w:r>
      <w:r>
        <w:rPr>
          <w:noProof/>
        </w:rPr>
      </w:r>
      <w:r>
        <w:rPr>
          <w:noProof/>
        </w:rPr>
        <w:fldChar w:fldCharType="separate"/>
      </w:r>
      <w:r>
        <w:rPr>
          <w:noProof/>
        </w:rPr>
        <w:t>18</w:t>
      </w:r>
      <w:r>
        <w:rPr>
          <w:noProof/>
        </w:rPr>
        <w:fldChar w:fldCharType="end"/>
      </w:r>
    </w:p>
    <w:p w:rsidR="00C47D29" w:rsidRPr="00E97329" w:rsidRDefault="00C47D29">
      <w:pPr>
        <w:pStyle w:val="TOC3"/>
        <w:tabs>
          <w:tab w:val="left" w:pos="1320"/>
          <w:tab w:val="right" w:leader="dot" w:pos="9628"/>
        </w:tabs>
        <w:rPr>
          <w:rFonts w:ascii="Calibri" w:hAnsi="Calibri"/>
          <w:i w:val="0"/>
          <w:iCs w:val="0"/>
          <w:noProof/>
          <w:sz w:val="22"/>
          <w:szCs w:val="22"/>
          <w:lang w:eastAsia="en-GB"/>
        </w:rPr>
      </w:pPr>
      <w:r>
        <w:rPr>
          <w:noProof/>
        </w:rPr>
        <w:t>4.5.4.</w:t>
      </w:r>
      <w:r w:rsidRPr="00E97329">
        <w:rPr>
          <w:rFonts w:ascii="Calibri" w:hAnsi="Calibri"/>
          <w:i w:val="0"/>
          <w:iCs w:val="0"/>
          <w:noProof/>
          <w:sz w:val="22"/>
          <w:szCs w:val="22"/>
          <w:lang w:eastAsia="en-GB"/>
        </w:rPr>
        <w:tab/>
      </w:r>
      <w:r>
        <w:rPr>
          <w:noProof/>
        </w:rPr>
        <w:t>Lithuania</w:t>
      </w:r>
      <w:r>
        <w:rPr>
          <w:noProof/>
        </w:rPr>
        <w:tab/>
      </w:r>
      <w:r>
        <w:rPr>
          <w:noProof/>
        </w:rPr>
        <w:fldChar w:fldCharType="begin"/>
      </w:r>
      <w:r>
        <w:rPr>
          <w:noProof/>
        </w:rPr>
        <w:instrText xml:space="preserve"> PAGEREF _Toc297975194 \h </w:instrText>
      </w:r>
      <w:r>
        <w:rPr>
          <w:noProof/>
        </w:rPr>
      </w:r>
      <w:r>
        <w:rPr>
          <w:noProof/>
        </w:rPr>
        <w:fldChar w:fldCharType="separate"/>
      </w:r>
      <w:r>
        <w:rPr>
          <w:noProof/>
        </w:rPr>
        <w:t>19</w:t>
      </w:r>
      <w:r>
        <w:rPr>
          <w:noProof/>
        </w:rPr>
        <w:fldChar w:fldCharType="end"/>
      </w:r>
    </w:p>
    <w:p w:rsidR="00C47D29" w:rsidRPr="00E97329" w:rsidRDefault="00C47D29">
      <w:pPr>
        <w:pStyle w:val="TOC3"/>
        <w:tabs>
          <w:tab w:val="left" w:pos="1320"/>
          <w:tab w:val="right" w:leader="dot" w:pos="9628"/>
        </w:tabs>
        <w:rPr>
          <w:rFonts w:ascii="Calibri" w:hAnsi="Calibri"/>
          <w:i w:val="0"/>
          <w:iCs w:val="0"/>
          <w:noProof/>
          <w:sz w:val="22"/>
          <w:szCs w:val="22"/>
          <w:lang w:eastAsia="en-GB"/>
        </w:rPr>
      </w:pPr>
      <w:r>
        <w:rPr>
          <w:noProof/>
        </w:rPr>
        <w:t>4.5.5.</w:t>
      </w:r>
      <w:r w:rsidRPr="00E97329">
        <w:rPr>
          <w:rFonts w:ascii="Calibri" w:hAnsi="Calibri"/>
          <w:i w:val="0"/>
          <w:iCs w:val="0"/>
          <w:noProof/>
          <w:sz w:val="22"/>
          <w:szCs w:val="22"/>
          <w:lang w:eastAsia="en-GB"/>
        </w:rPr>
        <w:tab/>
      </w:r>
      <w:r>
        <w:rPr>
          <w:noProof/>
        </w:rPr>
        <w:t>Portugal</w:t>
      </w:r>
      <w:r>
        <w:rPr>
          <w:noProof/>
        </w:rPr>
        <w:tab/>
      </w:r>
      <w:r>
        <w:rPr>
          <w:noProof/>
        </w:rPr>
        <w:fldChar w:fldCharType="begin"/>
      </w:r>
      <w:r>
        <w:rPr>
          <w:noProof/>
        </w:rPr>
        <w:instrText xml:space="preserve"> PAGEREF _Toc297975195 \h </w:instrText>
      </w:r>
      <w:r>
        <w:rPr>
          <w:noProof/>
        </w:rPr>
      </w:r>
      <w:r>
        <w:rPr>
          <w:noProof/>
        </w:rPr>
        <w:fldChar w:fldCharType="separate"/>
      </w:r>
      <w:r>
        <w:rPr>
          <w:noProof/>
        </w:rPr>
        <w:t>19</w:t>
      </w:r>
      <w:r>
        <w:rPr>
          <w:noProof/>
        </w:rPr>
        <w:fldChar w:fldCharType="end"/>
      </w:r>
    </w:p>
    <w:p w:rsidR="00C47D29" w:rsidRPr="00E97329" w:rsidRDefault="00C47D29">
      <w:pPr>
        <w:pStyle w:val="TOC3"/>
        <w:tabs>
          <w:tab w:val="left" w:pos="1320"/>
          <w:tab w:val="right" w:leader="dot" w:pos="9628"/>
        </w:tabs>
        <w:rPr>
          <w:rFonts w:ascii="Calibri" w:hAnsi="Calibri"/>
          <w:i w:val="0"/>
          <w:iCs w:val="0"/>
          <w:noProof/>
          <w:sz w:val="22"/>
          <w:szCs w:val="22"/>
          <w:lang w:eastAsia="en-GB"/>
        </w:rPr>
      </w:pPr>
      <w:r>
        <w:rPr>
          <w:noProof/>
        </w:rPr>
        <w:t>4.5.6.</w:t>
      </w:r>
      <w:r w:rsidRPr="00E97329">
        <w:rPr>
          <w:rFonts w:ascii="Calibri" w:hAnsi="Calibri"/>
          <w:i w:val="0"/>
          <w:iCs w:val="0"/>
          <w:noProof/>
          <w:sz w:val="22"/>
          <w:szCs w:val="22"/>
          <w:lang w:eastAsia="en-GB"/>
        </w:rPr>
        <w:tab/>
      </w:r>
      <w:r>
        <w:rPr>
          <w:noProof/>
        </w:rPr>
        <w:t>Spain</w:t>
      </w:r>
      <w:r>
        <w:rPr>
          <w:noProof/>
        </w:rPr>
        <w:tab/>
      </w:r>
      <w:r>
        <w:rPr>
          <w:noProof/>
        </w:rPr>
        <w:fldChar w:fldCharType="begin"/>
      </w:r>
      <w:r>
        <w:rPr>
          <w:noProof/>
        </w:rPr>
        <w:instrText xml:space="preserve"> PAGEREF _Toc297975196 \h </w:instrText>
      </w:r>
      <w:r>
        <w:rPr>
          <w:noProof/>
        </w:rPr>
      </w:r>
      <w:r>
        <w:rPr>
          <w:noProof/>
        </w:rPr>
        <w:fldChar w:fldCharType="separate"/>
      </w:r>
      <w:r>
        <w:rPr>
          <w:noProof/>
        </w:rPr>
        <w:t>19</w:t>
      </w:r>
      <w:r>
        <w:rPr>
          <w:noProof/>
        </w:rPr>
        <w:fldChar w:fldCharType="end"/>
      </w:r>
    </w:p>
    <w:p w:rsidR="00C47D29" w:rsidRPr="00E97329" w:rsidRDefault="00C47D29">
      <w:pPr>
        <w:pStyle w:val="TOC3"/>
        <w:tabs>
          <w:tab w:val="left" w:pos="1320"/>
          <w:tab w:val="right" w:leader="dot" w:pos="9628"/>
        </w:tabs>
        <w:rPr>
          <w:rFonts w:ascii="Calibri" w:hAnsi="Calibri"/>
          <w:i w:val="0"/>
          <w:iCs w:val="0"/>
          <w:noProof/>
          <w:sz w:val="22"/>
          <w:szCs w:val="22"/>
          <w:lang w:eastAsia="en-GB"/>
        </w:rPr>
      </w:pPr>
      <w:r>
        <w:rPr>
          <w:noProof/>
        </w:rPr>
        <w:t>4.5.7.</w:t>
      </w:r>
      <w:r w:rsidRPr="00E97329">
        <w:rPr>
          <w:rFonts w:ascii="Calibri" w:hAnsi="Calibri"/>
          <w:i w:val="0"/>
          <w:iCs w:val="0"/>
          <w:noProof/>
          <w:sz w:val="22"/>
          <w:szCs w:val="22"/>
          <w:lang w:eastAsia="en-GB"/>
        </w:rPr>
        <w:tab/>
      </w:r>
      <w:r>
        <w:rPr>
          <w:noProof/>
        </w:rPr>
        <w:t>Romania</w:t>
      </w:r>
      <w:r>
        <w:rPr>
          <w:noProof/>
        </w:rPr>
        <w:tab/>
      </w:r>
      <w:r>
        <w:rPr>
          <w:noProof/>
        </w:rPr>
        <w:fldChar w:fldCharType="begin"/>
      </w:r>
      <w:r>
        <w:rPr>
          <w:noProof/>
        </w:rPr>
        <w:instrText xml:space="preserve"> PAGEREF _Toc297975197 \h </w:instrText>
      </w:r>
      <w:r>
        <w:rPr>
          <w:noProof/>
        </w:rPr>
      </w:r>
      <w:r>
        <w:rPr>
          <w:noProof/>
        </w:rPr>
        <w:fldChar w:fldCharType="separate"/>
      </w:r>
      <w:r>
        <w:rPr>
          <w:noProof/>
        </w:rPr>
        <w:t>19</w:t>
      </w:r>
      <w:r>
        <w:rPr>
          <w:noProof/>
        </w:rPr>
        <w:fldChar w:fldCharType="end"/>
      </w:r>
    </w:p>
    <w:p w:rsidR="00C47D29" w:rsidRPr="00E97329" w:rsidRDefault="00C47D29">
      <w:pPr>
        <w:pStyle w:val="TOC3"/>
        <w:tabs>
          <w:tab w:val="left" w:pos="1320"/>
          <w:tab w:val="right" w:leader="dot" w:pos="9628"/>
        </w:tabs>
        <w:rPr>
          <w:rFonts w:ascii="Calibri" w:hAnsi="Calibri"/>
          <w:i w:val="0"/>
          <w:iCs w:val="0"/>
          <w:noProof/>
          <w:sz w:val="22"/>
          <w:szCs w:val="22"/>
          <w:lang w:eastAsia="en-GB"/>
        </w:rPr>
      </w:pPr>
      <w:r>
        <w:rPr>
          <w:noProof/>
        </w:rPr>
        <w:t>4.5.8.</w:t>
      </w:r>
      <w:r w:rsidRPr="00E97329">
        <w:rPr>
          <w:rFonts w:ascii="Calibri" w:hAnsi="Calibri"/>
          <w:i w:val="0"/>
          <w:iCs w:val="0"/>
          <w:noProof/>
          <w:sz w:val="22"/>
          <w:szCs w:val="22"/>
          <w:lang w:eastAsia="en-GB"/>
        </w:rPr>
        <w:tab/>
      </w:r>
      <w:r>
        <w:rPr>
          <w:noProof/>
        </w:rPr>
        <w:t>Other</w:t>
      </w:r>
      <w:r>
        <w:rPr>
          <w:noProof/>
        </w:rPr>
        <w:tab/>
      </w:r>
      <w:r>
        <w:rPr>
          <w:noProof/>
        </w:rPr>
        <w:fldChar w:fldCharType="begin"/>
      </w:r>
      <w:r>
        <w:rPr>
          <w:noProof/>
        </w:rPr>
        <w:instrText xml:space="preserve"> PAGEREF _Toc297975198 \h </w:instrText>
      </w:r>
      <w:r>
        <w:rPr>
          <w:noProof/>
        </w:rPr>
      </w:r>
      <w:r>
        <w:rPr>
          <w:noProof/>
        </w:rPr>
        <w:fldChar w:fldCharType="separate"/>
      </w:r>
      <w:r>
        <w:rPr>
          <w:noProof/>
        </w:rPr>
        <w:t>20</w:t>
      </w:r>
      <w:r>
        <w:rPr>
          <w:noProof/>
        </w:rPr>
        <w:fldChar w:fldCharType="end"/>
      </w:r>
    </w:p>
    <w:p w:rsidR="00C47D29" w:rsidRPr="00E97329" w:rsidRDefault="00C47D29">
      <w:pPr>
        <w:pStyle w:val="TOC1"/>
        <w:tabs>
          <w:tab w:val="left" w:pos="440"/>
          <w:tab w:val="right" w:leader="dot" w:pos="9628"/>
        </w:tabs>
        <w:rPr>
          <w:rFonts w:ascii="Calibri" w:hAnsi="Calibri"/>
          <w:b w:val="0"/>
          <w:bCs w:val="0"/>
          <w:caps w:val="0"/>
          <w:noProof/>
          <w:sz w:val="22"/>
          <w:szCs w:val="22"/>
          <w:lang w:eastAsia="en-GB"/>
        </w:rPr>
      </w:pPr>
      <w:r>
        <w:rPr>
          <w:noProof/>
        </w:rPr>
        <w:t>5.</w:t>
      </w:r>
      <w:r w:rsidRPr="00E97329">
        <w:rPr>
          <w:rFonts w:ascii="Calibri" w:hAnsi="Calibri"/>
          <w:b w:val="0"/>
          <w:bCs w:val="0"/>
          <w:caps w:val="0"/>
          <w:noProof/>
          <w:sz w:val="22"/>
          <w:szCs w:val="22"/>
          <w:lang w:eastAsia="en-GB"/>
        </w:rPr>
        <w:tab/>
      </w:r>
      <w:r>
        <w:rPr>
          <w:noProof/>
        </w:rPr>
        <w:t>EU-USA similarities and differences</w:t>
      </w:r>
      <w:r>
        <w:rPr>
          <w:noProof/>
        </w:rPr>
        <w:tab/>
      </w:r>
      <w:r>
        <w:rPr>
          <w:noProof/>
        </w:rPr>
        <w:fldChar w:fldCharType="begin"/>
      </w:r>
      <w:r>
        <w:rPr>
          <w:noProof/>
        </w:rPr>
        <w:instrText xml:space="preserve"> PAGEREF _Toc297975199 \h </w:instrText>
      </w:r>
      <w:r>
        <w:rPr>
          <w:noProof/>
        </w:rPr>
      </w:r>
      <w:r>
        <w:rPr>
          <w:noProof/>
        </w:rPr>
        <w:fldChar w:fldCharType="separate"/>
      </w:r>
      <w:r>
        <w:rPr>
          <w:noProof/>
        </w:rPr>
        <w:t>20</w:t>
      </w:r>
      <w:r>
        <w:rPr>
          <w:noProof/>
        </w:rPr>
        <w:fldChar w:fldCharType="end"/>
      </w:r>
    </w:p>
    <w:p w:rsidR="00C47D29" w:rsidRPr="00E97329" w:rsidRDefault="00C47D29">
      <w:pPr>
        <w:pStyle w:val="TOC1"/>
        <w:tabs>
          <w:tab w:val="left" w:pos="440"/>
          <w:tab w:val="right" w:leader="dot" w:pos="9628"/>
        </w:tabs>
        <w:rPr>
          <w:rFonts w:ascii="Calibri" w:hAnsi="Calibri"/>
          <w:b w:val="0"/>
          <w:bCs w:val="0"/>
          <w:caps w:val="0"/>
          <w:noProof/>
          <w:sz w:val="22"/>
          <w:szCs w:val="22"/>
          <w:lang w:eastAsia="en-GB"/>
        </w:rPr>
      </w:pPr>
      <w:r>
        <w:rPr>
          <w:noProof/>
        </w:rPr>
        <w:t>6.</w:t>
      </w:r>
      <w:r w:rsidRPr="00E97329">
        <w:rPr>
          <w:rFonts w:ascii="Calibri" w:hAnsi="Calibri"/>
          <w:b w:val="0"/>
          <w:bCs w:val="0"/>
          <w:caps w:val="0"/>
          <w:noProof/>
          <w:sz w:val="22"/>
          <w:szCs w:val="22"/>
          <w:lang w:eastAsia="en-GB"/>
        </w:rPr>
        <w:tab/>
      </w:r>
      <w:r>
        <w:rPr>
          <w:noProof/>
        </w:rPr>
        <w:t>Other regions</w:t>
      </w:r>
      <w:r>
        <w:rPr>
          <w:noProof/>
        </w:rPr>
        <w:tab/>
      </w:r>
      <w:r>
        <w:rPr>
          <w:noProof/>
        </w:rPr>
        <w:fldChar w:fldCharType="begin"/>
      </w:r>
      <w:r>
        <w:rPr>
          <w:noProof/>
        </w:rPr>
        <w:instrText xml:space="preserve"> PAGEREF _Toc297975200 \h </w:instrText>
      </w:r>
      <w:r>
        <w:rPr>
          <w:noProof/>
        </w:rPr>
      </w:r>
      <w:r>
        <w:rPr>
          <w:noProof/>
        </w:rPr>
        <w:fldChar w:fldCharType="separate"/>
      </w:r>
      <w:r>
        <w:rPr>
          <w:noProof/>
        </w:rPr>
        <w:t>21</w:t>
      </w:r>
      <w:r>
        <w:rPr>
          <w:noProof/>
        </w:rPr>
        <w:fldChar w:fldCharType="end"/>
      </w:r>
    </w:p>
    <w:p w:rsidR="00C47D29" w:rsidRPr="00E97329" w:rsidRDefault="00C47D29">
      <w:pPr>
        <w:pStyle w:val="TOC2"/>
        <w:tabs>
          <w:tab w:val="left" w:pos="880"/>
          <w:tab w:val="right" w:leader="dot" w:pos="9628"/>
        </w:tabs>
        <w:rPr>
          <w:rFonts w:ascii="Calibri" w:hAnsi="Calibri"/>
          <w:smallCaps w:val="0"/>
          <w:noProof/>
          <w:sz w:val="22"/>
          <w:szCs w:val="22"/>
          <w:lang w:eastAsia="en-GB"/>
        </w:rPr>
      </w:pPr>
      <w:r>
        <w:rPr>
          <w:noProof/>
        </w:rPr>
        <w:t>6.1.</w:t>
      </w:r>
      <w:r w:rsidRPr="00E97329">
        <w:rPr>
          <w:rFonts w:ascii="Calibri" w:hAnsi="Calibri"/>
          <w:smallCaps w:val="0"/>
          <w:noProof/>
          <w:sz w:val="22"/>
          <w:szCs w:val="22"/>
          <w:lang w:eastAsia="en-GB"/>
        </w:rPr>
        <w:tab/>
      </w:r>
      <w:r>
        <w:rPr>
          <w:noProof/>
        </w:rPr>
        <w:t>Asia</w:t>
      </w:r>
      <w:r>
        <w:rPr>
          <w:noProof/>
        </w:rPr>
        <w:tab/>
      </w:r>
      <w:r>
        <w:rPr>
          <w:noProof/>
        </w:rPr>
        <w:fldChar w:fldCharType="begin"/>
      </w:r>
      <w:r>
        <w:rPr>
          <w:noProof/>
        </w:rPr>
        <w:instrText xml:space="preserve"> PAGEREF _Toc297975201 \h </w:instrText>
      </w:r>
      <w:r>
        <w:rPr>
          <w:noProof/>
        </w:rPr>
      </w:r>
      <w:r>
        <w:rPr>
          <w:noProof/>
        </w:rPr>
        <w:fldChar w:fldCharType="separate"/>
      </w:r>
      <w:r>
        <w:rPr>
          <w:noProof/>
        </w:rPr>
        <w:t>21</w:t>
      </w:r>
      <w:r>
        <w:rPr>
          <w:noProof/>
        </w:rPr>
        <w:fldChar w:fldCharType="end"/>
      </w:r>
    </w:p>
    <w:p w:rsidR="00C47D29" w:rsidRPr="00E97329" w:rsidRDefault="00C47D29">
      <w:pPr>
        <w:pStyle w:val="TOC3"/>
        <w:tabs>
          <w:tab w:val="left" w:pos="1320"/>
          <w:tab w:val="right" w:leader="dot" w:pos="9628"/>
        </w:tabs>
        <w:rPr>
          <w:rFonts w:ascii="Calibri" w:hAnsi="Calibri"/>
          <w:i w:val="0"/>
          <w:iCs w:val="0"/>
          <w:noProof/>
          <w:sz w:val="22"/>
          <w:szCs w:val="22"/>
          <w:lang w:eastAsia="en-GB"/>
        </w:rPr>
      </w:pPr>
      <w:r>
        <w:rPr>
          <w:noProof/>
        </w:rPr>
        <w:t>Table 8.</w:t>
      </w:r>
      <w:r w:rsidRPr="00E97329">
        <w:rPr>
          <w:rFonts w:ascii="Calibri" w:hAnsi="Calibri"/>
          <w:i w:val="0"/>
          <w:iCs w:val="0"/>
          <w:noProof/>
          <w:sz w:val="22"/>
          <w:szCs w:val="22"/>
          <w:lang w:eastAsia="en-GB"/>
        </w:rPr>
        <w:tab/>
      </w:r>
      <w:r>
        <w:rPr>
          <w:noProof/>
        </w:rPr>
        <w:t>Earnings in Japan, 2000-2009</w:t>
      </w:r>
      <w:r>
        <w:rPr>
          <w:noProof/>
        </w:rPr>
        <w:tab/>
      </w:r>
      <w:r>
        <w:rPr>
          <w:noProof/>
        </w:rPr>
        <w:fldChar w:fldCharType="begin"/>
      </w:r>
      <w:r>
        <w:rPr>
          <w:noProof/>
        </w:rPr>
        <w:instrText xml:space="preserve"> PAGEREF _Toc297975202 \h </w:instrText>
      </w:r>
      <w:r>
        <w:rPr>
          <w:noProof/>
        </w:rPr>
      </w:r>
      <w:r>
        <w:rPr>
          <w:noProof/>
        </w:rPr>
        <w:fldChar w:fldCharType="separate"/>
      </w:r>
      <w:r>
        <w:rPr>
          <w:noProof/>
        </w:rPr>
        <w:t>21</w:t>
      </w:r>
      <w:r>
        <w:rPr>
          <w:noProof/>
        </w:rPr>
        <w:fldChar w:fldCharType="end"/>
      </w:r>
    </w:p>
    <w:p w:rsidR="00C47D29" w:rsidRPr="00E97329" w:rsidRDefault="00C47D29">
      <w:pPr>
        <w:pStyle w:val="TOC3"/>
        <w:tabs>
          <w:tab w:val="left" w:pos="1320"/>
          <w:tab w:val="right" w:leader="dot" w:pos="9628"/>
        </w:tabs>
        <w:rPr>
          <w:rFonts w:ascii="Calibri" w:hAnsi="Calibri"/>
          <w:i w:val="0"/>
          <w:iCs w:val="0"/>
          <w:noProof/>
          <w:sz w:val="22"/>
          <w:szCs w:val="22"/>
          <w:lang w:eastAsia="en-GB"/>
        </w:rPr>
      </w:pPr>
      <w:r>
        <w:rPr>
          <w:noProof/>
        </w:rPr>
        <w:t>Table 9.</w:t>
      </w:r>
      <w:r w:rsidRPr="00E97329">
        <w:rPr>
          <w:rFonts w:ascii="Calibri" w:hAnsi="Calibri"/>
          <w:i w:val="0"/>
          <w:iCs w:val="0"/>
          <w:noProof/>
          <w:sz w:val="22"/>
          <w:szCs w:val="22"/>
          <w:lang w:eastAsia="en-GB"/>
        </w:rPr>
        <w:tab/>
      </w:r>
      <w:r>
        <w:rPr>
          <w:noProof/>
        </w:rPr>
        <w:t>Changes in earnings and employment , urban workers in China, 2008 and 2009 Q3</w:t>
      </w:r>
      <w:r>
        <w:rPr>
          <w:noProof/>
        </w:rPr>
        <w:tab/>
      </w:r>
      <w:r>
        <w:rPr>
          <w:noProof/>
        </w:rPr>
        <w:fldChar w:fldCharType="begin"/>
      </w:r>
      <w:r>
        <w:rPr>
          <w:noProof/>
        </w:rPr>
        <w:instrText xml:space="preserve"> PAGEREF _Toc297975203 \h </w:instrText>
      </w:r>
      <w:r>
        <w:rPr>
          <w:noProof/>
        </w:rPr>
      </w:r>
      <w:r>
        <w:rPr>
          <w:noProof/>
        </w:rPr>
        <w:fldChar w:fldCharType="separate"/>
      </w:r>
      <w:r>
        <w:rPr>
          <w:noProof/>
        </w:rPr>
        <w:t>22</w:t>
      </w:r>
      <w:r>
        <w:rPr>
          <w:noProof/>
        </w:rPr>
        <w:fldChar w:fldCharType="end"/>
      </w:r>
    </w:p>
    <w:p w:rsidR="00C47D29" w:rsidRPr="00E97329" w:rsidRDefault="00C47D29">
      <w:pPr>
        <w:pStyle w:val="TOC2"/>
        <w:tabs>
          <w:tab w:val="left" w:pos="880"/>
          <w:tab w:val="right" w:leader="dot" w:pos="9628"/>
        </w:tabs>
        <w:rPr>
          <w:rFonts w:ascii="Calibri" w:hAnsi="Calibri"/>
          <w:smallCaps w:val="0"/>
          <w:noProof/>
          <w:sz w:val="22"/>
          <w:szCs w:val="22"/>
          <w:lang w:eastAsia="en-GB"/>
        </w:rPr>
      </w:pPr>
      <w:r>
        <w:rPr>
          <w:noProof/>
        </w:rPr>
        <w:t>6.2.</w:t>
      </w:r>
      <w:r w:rsidRPr="00E97329">
        <w:rPr>
          <w:rFonts w:ascii="Calibri" w:hAnsi="Calibri"/>
          <w:smallCaps w:val="0"/>
          <w:noProof/>
          <w:sz w:val="22"/>
          <w:szCs w:val="22"/>
          <w:lang w:eastAsia="en-GB"/>
        </w:rPr>
        <w:tab/>
      </w:r>
      <w:r>
        <w:rPr>
          <w:noProof/>
        </w:rPr>
        <w:t>Africa</w:t>
      </w:r>
      <w:r>
        <w:rPr>
          <w:noProof/>
        </w:rPr>
        <w:tab/>
      </w:r>
      <w:r>
        <w:rPr>
          <w:noProof/>
        </w:rPr>
        <w:fldChar w:fldCharType="begin"/>
      </w:r>
      <w:r>
        <w:rPr>
          <w:noProof/>
        </w:rPr>
        <w:instrText xml:space="preserve"> PAGEREF _Toc297975204 \h </w:instrText>
      </w:r>
      <w:r>
        <w:rPr>
          <w:noProof/>
        </w:rPr>
      </w:r>
      <w:r>
        <w:rPr>
          <w:noProof/>
        </w:rPr>
        <w:fldChar w:fldCharType="separate"/>
      </w:r>
      <w:r>
        <w:rPr>
          <w:noProof/>
        </w:rPr>
        <w:t>22</w:t>
      </w:r>
      <w:r>
        <w:rPr>
          <w:noProof/>
        </w:rPr>
        <w:fldChar w:fldCharType="end"/>
      </w:r>
    </w:p>
    <w:p w:rsidR="00C47D29" w:rsidRPr="00E97329" w:rsidRDefault="00C47D29">
      <w:pPr>
        <w:pStyle w:val="TOC2"/>
        <w:tabs>
          <w:tab w:val="left" w:pos="880"/>
          <w:tab w:val="right" w:leader="dot" w:pos="9628"/>
        </w:tabs>
        <w:rPr>
          <w:rFonts w:ascii="Calibri" w:hAnsi="Calibri"/>
          <w:smallCaps w:val="0"/>
          <w:noProof/>
          <w:sz w:val="22"/>
          <w:szCs w:val="22"/>
          <w:lang w:eastAsia="en-GB"/>
        </w:rPr>
      </w:pPr>
      <w:r>
        <w:rPr>
          <w:noProof/>
        </w:rPr>
        <w:t>6.3.</w:t>
      </w:r>
      <w:r w:rsidRPr="00E97329">
        <w:rPr>
          <w:rFonts w:ascii="Calibri" w:hAnsi="Calibri"/>
          <w:smallCaps w:val="0"/>
          <w:noProof/>
          <w:sz w:val="22"/>
          <w:szCs w:val="22"/>
          <w:lang w:eastAsia="en-GB"/>
        </w:rPr>
        <w:tab/>
      </w:r>
      <w:r>
        <w:rPr>
          <w:noProof/>
        </w:rPr>
        <w:t>Russia and central Asia</w:t>
      </w:r>
      <w:r>
        <w:rPr>
          <w:noProof/>
        </w:rPr>
        <w:tab/>
      </w:r>
      <w:r>
        <w:rPr>
          <w:noProof/>
        </w:rPr>
        <w:fldChar w:fldCharType="begin"/>
      </w:r>
      <w:r>
        <w:rPr>
          <w:noProof/>
        </w:rPr>
        <w:instrText xml:space="preserve"> PAGEREF _Toc297975205 \h </w:instrText>
      </w:r>
      <w:r>
        <w:rPr>
          <w:noProof/>
        </w:rPr>
      </w:r>
      <w:r>
        <w:rPr>
          <w:noProof/>
        </w:rPr>
        <w:fldChar w:fldCharType="separate"/>
      </w:r>
      <w:r>
        <w:rPr>
          <w:noProof/>
        </w:rPr>
        <w:t>22</w:t>
      </w:r>
      <w:r>
        <w:rPr>
          <w:noProof/>
        </w:rPr>
        <w:fldChar w:fldCharType="end"/>
      </w:r>
    </w:p>
    <w:p w:rsidR="00C47D29" w:rsidRPr="00E97329" w:rsidRDefault="00C47D29">
      <w:pPr>
        <w:pStyle w:val="TOC3"/>
        <w:tabs>
          <w:tab w:val="left" w:pos="1320"/>
          <w:tab w:val="right" w:leader="dot" w:pos="9628"/>
        </w:tabs>
        <w:rPr>
          <w:rFonts w:ascii="Calibri" w:hAnsi="Calibri"/>
          <w:i w:val="0"/>
          <w:iCs w:val="0"/>
          <w:noProof/>
          <w:sz w:val="22"/>
          <w:szCs w:val="22"/>
          <w:lang w:eastAsia="en-GB"/>
        </w:rPr>
      </w:pPr>
      <w:r>
        <w:rPr>
          <w:noProof/>
        </w:rPr>
        <w:t>6.3.1.</w:t>
      </w:r>
      <w:r w:rsidRPr="00E97329">
        <w:rPr>
          <w:rFonts w:ascii="Calibri" w:hAnsi="Calibri"/>
          <w:i w:val="0"/>
          <w:iCs w:val="0"/>
          <w:noProof/>
          <w:sz w:val="22"/>
          <w:szCs w:val="22"/>
          <w:lang w:eastAsia="en-GB"/>
        </w:rPr>
        <w:tab/>
      </w:r>
      <w:r>
        <w:rPr>
          <w:noProof/>
        </w:rPr>
        <w:t>Russia</w:t>
      </w:r>
      <w:r>
        <w:rPr>
          <w:noProof/>
        </w:rPr>
        <w:tab/>
      </w:r>
      <w:r>
        <w:rPr>
          <w:noProof/>
        </w:rPr>
        <w:fldChar w:fldCharType="begin"/>
      </w:r>
      <w:r>
        <w:rPr>
          <w:noProof/>
        </w:rPr>
        <w:instrText xml:space="preserve"> PAGEREF _Toc297975206 \h </w:instrText>
      </w:r>
      <w:r>
        <w:rPr>
          <w:noProof/>
        </w:rPr>
      </w:r>
      <w:r>
        <w:rPr>
          <w:noProof/>
        </w:rPr>
        <w:fldChar w:fldCharType="separate"/>
      </w:r>
      <w:r>
        <w:rPr>
          <w:noProof/>
        </w:rPr>
        <w:t>23</w:t>
      </w:r>
      <w:r>
        <w:rPr>
          <w:noProof/>
        </w:rPr>
        <w:fldChar w:fldCharType="end"/>
      </w:r>
    </w:p>
    <w:p w:rsidR="00C47D29" w:rsidRPr="00E97329" w:rsidRDefault="00C47D29">
      <w:pPr>
        <w:pStyle w:val="TOC3"/>
        <w:tabs>
          <w:tab w:val="left" w:pos="1320"/>
          <w:tab w:val="right" w:leader="dot" w:pos="9628"/>
        </w:tabs>
        <w:rPr>
          <w:rFonts w:ascii="Calibri" w:hAnsi="Calibri"/>
          <w:i w:val="0"/>
          <w:iCs w:val="0"/>
          <w:noProof/>
          <w:sz w:val="22"/>
          <w:szCs w:val="22"/>
          <w:lang w:eastAsia="en-GB"/>
        </w:rPr>
      </w:pPr>
      <w:r>
        <w:rPr>
          <w:noProof/>
        </w:rPr>
        <w:t>6.3.2.</w:t>
      </w:r>
      <w:r w:rsidRPr="00E97329">
        <w:rPr>
          <w:rFonts w:ascii="Calibri" w:hAnsi="Calibri"/>
          <w:i w:val="0"/>
          <w:iCs w:val="0"/>
          <w:noProof/>
          <w:sz w:val="22"/>
          <w:szCs w:val="22"/>
          <w:lang w:eastAsia="en-GB"/>
        </w:rPr>
        <w:tab/>
      </w:r>
      <w:r>
        <w:rPr>
          <w:noProof/>
        </w:rPr>
        <w:t>Kazakhstan</w:t>
      </w:r>
      <w:r>
        <w:rPr>
          <w:noProof/>
        </w:rPr>
        <w:tab/>
      </w:r>
      <w:r>
        <w:rPr>
          <w:noProof/>
        </w:rPr>
        <w:fldChar w:fldCharType="begin"/>
      </w:r>
      <w:r>
        <w:rPr>
          <w:noProof/>
        </w:rPr>
        <w:instrText xml:space="preserve"> PAGEREF _Toc297975207 \h </w:instrText>
      </w:r>
      <w:r>
        <w:rPr>
          <w:noProof/>
        </w:rPr>
      </w:r>
      <w:r>
        <w:rPr>
          <w:noProof/>
        </w:rPr>
        <w:fldChar w:fldCharType="separate"/>
      </w:r>
      <w:r>
        <w:rPr>
          <w:noProof/>
        </w:rPr>
        <w:t>23</w:t>
      </w:r>
      <w:r>
        <w:rPr>
          <w:noProof/>
        </w:rPr>
        <w:fldChar w:fldCharType="end"/>
      </w:r>
    </w:p>
    <w:p w:rsidR="00C47D29" w:rsidRPr="00E97329" w:rsidRDefault="00C47D29">
      <w:pPr>
        <w:pStyle w:val="TOC3"/>
        <w:tabs>
          <w:tab w:val="left" w:pos="1540"/>
          <w:tab w:val="right" w:leader="dot" w:pos="9628"/>
        </w:tabs>
        <w:rPr>
          <w:rFonts w:ascii="Calibri" w:hAnsi="Calibri"/>
          <w:i w:val="0"/>
          <w:iCs w:val="0"/>
          <w:noProof/>
          <w:sz w:val="22"/>
          <w:szCs w:val="22"/>
          <w:lang w:eastAsia="en-GB"/>
        </w:rPr>
      </w:pPr>
      <w:r>
        <w:rPr>
          <w:noProof/>
        </w:rPr>
        <w:t>Table 10.</w:t>
      </w:r>
      <w:r w:rsidRPr="00E97329">
        <w:rPr>
          <w:rFonts w:ascii="Calibri" w:hAnsi="Calibri"/>
          <w:i w:val="0"/>
          <w:iCs w:val="0"/>
          <w:noProof/>
          <w:sz w:val="22"/>
          <w:szCs w:val="22"/>
          <w:lang w:eastAsia="en-GB"/>
        </w:rPr>
        <w:tab/>
      </w:r>
      <w:r>
        <w:rPr>
          <w:noProof/>
        </w:rPr>
        <w:t>Average salary of healthworkers in Kazakhstan 2009-2011. US dollars</w:t>
      </w:r>
      <w:r>
        <w:rPr>
          <w:noProof/>
        </w:rPr>
        <w:tab/>
      </w:r>
      <w:r>
        <w:rPr>
          <w:noProof/>
        </w:rPr>
        <w:fldChar w:fldCharType="begin"/>
      </w:r>
      <w:r>
        <w:rPr>
          <w:noProof/>
        </w:rPr>
        <w:instrText xml:space="preserve"> PAGEREF _Toc297975208 \h </w:instrText>
      </w:r>
      <w:r>
        <w:rPr>
          <w:noProof/>
        </w:rPr>
      </w:r>
      <w:r>
        <w:rPr>
          <w:noProof/>
        </w:rPr>
        <w:fldChar w:fldCharType="separate"/>
      </w:r>
      <w:r>
        <w:rPr>
          <w:noProof/>
        </w:rPr>
        <w:t>24</w:t>
      </w:r>
      <w:r>
        <w:rPr>
          <w:noProof/>
        </w:rPr>
        <w:fldChar w:fldCharType="end"/>
      </w:r>
    </w:p>
    <w:p w:rsidR="00C47D29" w:rsidRPr="00E97329" w:rsidRDefault="00C47D29">
      <w:pPr>
        <w:pStyle w:val="TOC3"/>
        <w:tabs>
          <w:tab w:val="left" w:pos="1320"/>
          <w:tab w:val="right" w:leader="dot" w:pos="9628"/>
        </w:tabs>
        <w:rPr>
          <w:rFonts w:ascii="Calibri" w:hAnsi="Calibri"/>
          <w:i w:val="0"/>
          <w:iCs w:val="0"/>
          <w:noProof/>
          <w:sz w:val="22"/>
          <w:szCs w:val="22"/>
          <w:lang w:eastAsia="en-GB"/>
        </w:rPr>
      </w:pPr>
      <w:r>
        <w:rPr>
          <w:noProof/>
        </w:rPr>
        <w:t>6.3.3.</w:t>
      </w:r>
      <w:r w:rsidRPr="00E97329">
        <w:rPr>
          <w:rFonts w:ascii="Calibri" w:hAnsi="Calibri"/>
          <w:i w:val="0"/>
          <w:iCs w:val="0"/>
          <w:noProof/>
          <w:sz w:val="22"/>
          <w:szCs w:val="22"/>
          <w:lang w:eastAsia="en-GB"/>
        </w:rPr>
        <w:tab/>
      </w:r>
      <w:r>
        <w:rPr>
          <w:noProof/>
        </w:rPr>
        <w:t>Tajikistan</w:t>
      </w:r>
      <w:r>
        <w:rPr>
          <w:noProof/>
        </w:rPr>
        <w:tab/>
      </w:r>
      <w:r>
        <w:rPr>
          <w:noProof/>
        </w:rPr>
        <w:fldChar w:fldCharType="begin"/>
      </w:r>
      <w:r>
        <w:rPr>
          <w:noProof/>
        </w:rPr>
        <w:instrText xml:space="preserve"> PAGEREF _Toc297975209 \h </w:instrText>
      </w:r>
      <w:r>
        <w:rPr>
          <w:noProof/>
        </w:rPr>
      </w:r>
      <w:r>
        <w:rPr>
          <w:noProof/>
        </w:rPr>
        <w:fldChar w:fldCharType="separate"/>
      </w:r>
      <w:r>
        <w:rPr>
          <w:noProof/>
        </w:rPr>
        <w:t>24</w:t>
      </w:r>
      <w:r>
        <w:rPr>
          <w:noProof/>
        </w:rPr>
        <w:fldChar w:fldCharType="end"/>
      </w:r>
    </w:p>
    <w:p w:rsidR="00C47D29" w:rsidRPr="00E97329" w:rsidRDefault="00C47D29">
      <w:pPr>
        <w:pStyle w:val="TOC3"/>
        <w:tabs>
          <w:tab w:val="left" w:pos="1540"/>
          <w:tab w:val="right" w:leader="dot" w:pos="9628"/>
        </w:tabs>
        <w:rPr>
          <w:rFonts w:ascii="Calibri" w:hAnsi="Calibri"/>
          <w:i w:val="0"/>
          <w:iCs w:val="0"/>
          <w:noProof/>
          <w:sz w:val="22"/>
          <w:szCs w:val="22"/>
          <w:lang w:eastAsia="en-GB"/>
        </w:rPr>
      </w:pPr>
      <w:r>
        <w:rPr>
          <w:noProof/>
        </w:rPr>
        <w:t>Table 11.</w:t>
      </w:r>
      <w:r w:rsidRPr="00E97329">
        <w:rPr>
          <w:rFonts w:ascii="Calibri" w:hAnsi="Calibri"/>
          <w:i w:val="0"/>
          <w:iCs w:val="0"/>
          <w:noProof/>
          <w:sz w:val="22"/>
          <w:szCs w:val="22"/>
          <w:lang w:eastAsia="en-GB"/>
        </w:rPr>
        <w:tab/>
      </w:r>
      <w:r>
        <w:rPr>
          <w:noProof/>
        </w:rPr>
        <w:t>Healthworkers pay, inflation and GDP in Tajikistan (Index 2008=100)</w:t>
      </w:r>
      <w:r>
        <w:rPr>
          <w:noProof/>
        </w:rPr>
        <w:tab/>
      </w:r>
      <w:r>
        <w:rPr>
          <w:noProof/>
        </w:rPr>
        <w:fldChar w:fldCharType="begin"/>
      </w:r>
      <w:r>
        <w:rPr>
          <w:noProof/>
        </w:rPr>
        <w:instrText xml:space="preserve"> PAGEREF _Toc297975210 \h </w:instrText>
      </w:r>
      <w:r>
        <w:rPr>
          <w:noProof/>
        </w:rPr>
      </w:r>
      <w:r>
        <w:rPr>
          <w:noProof/>
        </w:rPr>
        <w:fldChar w:fldCharType="separate"/>
      </w:r>
      <w:r>
        <w:rPr>
          <w:noProof/>
        </w:rPr>
        <w:t>25</w:t>
      </w:r>
      <w:r>
        <w:rPr>
          <w:noProof/>
        </w:rPr>
        <w:fldChar w:fldCharType="end"/>
      </w:r>
    </w:p>
    <w:p w:rsidR="00C47D29" w:rsidRPr="00E97329" w:rsidRDefault="00C47D29">
      <w:pPr>
        <w:pStyle w:val="TOC1"/>
        <w:tabs>
          <w:tab w:val="left" w:pos="440"/>
          <w:tab w:val="right" w:leader="dot" w:pos="9628"/>
        </w:tabs>
        <w:rPr>
          <w:rFonts w:ascii="Calibri" w:hAnsi="Calibri"/>
          <w:b w:val="0"/>
          <w:bCs w:val="0"/>
          <w:caps w:val="0"/>
          <w:noProof/>
          <w:sz w:val="22"/>
          <w:szCs w:val="22"/>
          <w:lang w:eastAsia="en-GB"/>
        </w:rPr>
      </w:pPr>
      <w:r>
        <w:rPr>
          <w:noProof/>
        </w:rPr>
        <w:t>7.</w:t>
      </w:r>
      <w:r w:rsidRPr="00E97329">
        <w:rPr>
          <w:rFonts w:ascii="Calibri" w:hAnsi="Calibri"/>
          <w:b w:val="0"/>
          <w:bCs w:val="0"/>
          <w:caps w:val="0"/>
          <w:noProof/>
          <w:sz w:val="22"/>
          <w:szCs w:val="22"/>
          <w:lang w:eastAsia="en-GB"/>
        </w:rPr>
        <w:tab/>
      </w:r>
      <w:r>
        <w:rPr>
          <w:noProof/>
        </w:rPr>
        <w:t>Theory and implications</w:t>
      </w:r>
      <w:r>
        <w:rPr>
          <w:noProof/>
        </w:rPr>
        <w:tab/>
      </w:r>
      <w:r>
        <w:rPr>
          <w:noProof/>
        </w:rPr>
        <w:fldChar w:fldCharType="begin"/>
      </w:r>
      <w:r>
        <w:rPr>
          <w:noProof/>
        </w:rPr>
        <w:instrText xml:space="preserve"> PAGEREF _Toc297975211 \h </w:instrText>
      </w:r>
      <w:r>
        <w:rPr>
          <w:noProof/>
        </w:rPr>
      </w:r>
      <w:r>
        <w:rPr>
          <w:noProof/>
        </w:rPr>
        <w:fldChar w:fldCharType="separate"/>
      </w:r>
      <w:r>
        <w:rPr>
          <w:noProof/>
        </w:rPr>
        <w:t>25</w:t>
      </w:r>
      <w:r>
        <w:rPr>
          <w:noProof/>
        </w:rPr>
        <w:fldChar w:fldCharType="end"/>
      </w:r>
    </w:p>
    <w:p w:rsidR="00C47D29" w:rsidRPr="00E97329" w:rsidRDefault="00C47D29">
      <w:pPr>
        <w:pStyle w:val="TOC2"/>
        <w:tabs>
          <w:tab w:val="left" w:pos="880"/>
          <w:tab w:val="right" w:leader="dot" w:pos="9628"/>
        </w:tabs>
        <w:rPr>
          <w:rFonts w:ascii="Calibri" w:hAnsi="Calibri"/>
          <w:smallCaps w:val="0"/>
          <w:noProof/>
          <w:sz w:val="22"/>
          <w:szCs w:val="22"/>
          <w:lang w:eastAsia="en-GB"/>
        </w:rPr>
      </w:pPr>
      <w:r>
        <w:rPr>
          <w:noProof/>
        </w:rPr>
        <w:t>7.1.</w:t>
      </w:r>
      <w:r w:rsidRPr="00E97329">
        <w:rPr>
          <w:rFonts w:ascii="Calibri" w:hAnsi="Calibri"/>
          <w:smallCaps w:val="0"/>
          <w:noProof/>
          <w:sz w:val="22"/>
          <w:szCs w:val="22"/>
          <w:lang w:eastAsia="en-GB"/>
        </w:rPr>
        <w:tab/>
      </w:r>
      <w:r>
        <w:rPr>
          <w:noProof/>
        </w:rPr>
        <w:t>ECB paper on public wages</w:t>
      </w:r>
      <w:r>
        <w:rPr>
          <w:noProof/>
        </w:rPr>
        <w:tab/>
      </w:r>
      <w:r>
        <w:rPr>
          <w:noProof/>
        </w:rPr>
        <w:fldChar w:fldCharType="begin"/>
      </w:r>
      <w:r>
        <w:rPr>
          <w:noProof/>
        </w:rPr>
        <w:instrText xml:space="preserve"> PAGEREF _Toc297975212 \h </w:instrText>
      </w:r>
      <w:r>
        <w:rPr>
          <w:noProof/>
        </w:rPr>
      </w:r>
      <w:r>
        <w:rPr>
          <w:noProof/>
        </w:rPr>
        <w:fldChar w:fldCharType="separate"/>
      </w:r>
      <w:r>
        <w:rPr>
          <w:noProof/>
        </w:rPr>
        <w:t>25</w:t>
      </w:r>
      <w:r>
        <w:rPr>
          <w:noProof/>
        </w:rPr>
        <w:fldChar w:fldCharType="end"/>
      </w:r>
    </w:p>
    <w:p w:rsidR="00C47D29" w:rsidRPr="00E97329" w:rsidRDefault="00C47D29">
      <w:pPr>
        <w:pStyle w:val="TOC3"/>
        <w:tabs>
          <w:tab w:val="left" w:pos="1540"/>
          <w:tab w:val="right" w:leader="dot" w:pos="9628"/>
        </w:tabs>
        <w:rPr>
          <w:rFonts w:ascii="Calibri" w:hAnsi="Calibri"/>
          <w:i w:val="0"/>
          <w:iCs w:val="0"/>
          <w:noProof/>
          <w:sz w:val="22"/>
          <w:szCs w:val="22"/>
          <w:lang w:eastAsia="en-GB"/>
        </w:rPr>
      </w:pPr>
      <w:r w:rsidRPr="006A63D6">
        <w:rPr>
          <w:rFonts w:ascii="Comic Sans MS" w:eastAsia="TimesNewRomanWGL" w:hAnsi="Comic Sans MS" w:cs="TimesNewRomanWGL"/>
          <w:noProof/>
        </w:rPr>
        <w:t>Chart G.</w:t>
      </w:r>
      <w:r w:rsidRPr="00E97329">
        <w:rPr>
          <w:rFonts w:ascii="Calibri" w:hAnsi="Calibri"/>
          <w:i w:val="0"/>
          <w:iCs w:val="0"/>
          <w:noProof/>
          <w:sz w:val="22"/>
          <w:szCs w:val="22"/>
          <w:lang w:eastAsia="en-GB"/>
        </w:rPr>
        <w:tab/>
      </w:r>
      <w:r w:rsidRPr="006A63D6">
        <w:rPr>
          <w:rFonts w:ascii="Comic Sans MS" w:eastAsia="TimesNewRomanWGL" w:hAnsi="Comic Sans MS" w:cs="TimesNewRomanWGL"/>
          <w:noProof/>
        </w:rPr>
        <w:t>Ratio of public to private wages per employee, Euro area, 1970-2010</w:t>
      </w:r>
      <w:r>
        <w:rPr>
          <w:noProof/>
        </w:rPr>
        <w:tab/>
      </w:r>
      <w:r>
        <w:rPr>
          <w:noProof/>
        </w:rPr>
        <w:fldChar w:fldCharType="begin"/>
      </w:r>
      <w:r>
        <w:rPr>
          <w:noProof/>
        </w:rPr>
        <w:instrText xml:space="preserve"> PAGEREF _Toc297975213 \h </w:instrText>
      </w:r>
      <w:r>
        <w:rPr>
          <w:noProof/>
        </w:rPr>
      </w:r>
      <w:r>
        <w:rPr>
          <w:noProof/>
        </w:rPr>
        <w:fldChar w:fldCharType="separate"/>
      </w:r>
      <w:r>
        <w:rPr>
          <w:noProof/>
        </w:rPr>
        <w:t>26</w:t>
      </w:r>
      <w:r>
        <w:rPr>
          <w:noProof/>
        </w:rPr>
        <w:fldChar w:fldCharType="end"/>
      </w:r>
    </w:p>
    <w:p w:rsidR="00C47D29" w:rsidRPr="00E97329" w:rsidRDefault="00C47D29">
      <w:pPr>
        <w:pStyle w:val="TOC3"/>
        <w:tabs>
          <w:tab w:val="left" w:pos="1540"/>
          <w:tab w:val="right" w:leader="dot" w:pos="9628"/>
        </w:tabs>
        <w:rPr>
          <w:rFonts w:ascii="Calibri" w:hAnsi="Calibri"/>
          <w:i w:val="0"/>
          <w:iCs w:val="0"/>
          <w:noProof/>
          <w:sz w:val="22"/>
          <w:szCs w:val="22"/>
          <w:lang w:eastAsia="en-GB"/>
        </w:rPr>
      </w:pPr>
      <w:r w:rsidRPr="006A63D6">
        <w:rPr>
          <w:rFonts w:ascii="Comic Sans MS" w:eastAsia="TimesNewRomanWGL" w:hAnsi="Comic Sans MS" w:cs="TimesNewRomanWGL"/>
          <w:noProof/>
        </w:rPr>
        <w:t>Chart H.</w:t>
      </w:r>
      <w:r w:rsidRPr="00E97329">
        <w:rPr>
          <w:rFonts w:ascii="Calibri" w:hAnsi="Calibri"/>
          <w:i w:val="0"/>
          <w:iCs w:val="0"/>
          <w:noProof/>
          <w:sz w:val="22"/>
          <w:szCs w:val="22"/>
          <w:lang w:eastAsia="en-GB"/>
        </w:rPr>
        <w:tab/>
      </w:r>
      <w:r w:rsidRPr="006A63D6">
        <w:rPr>
          <w:rFonts w:ascii="Comic Sans MS" w:eastAsia="TimesNewRomanWGL" w:hAnsi="Comic Sans MS" w:cs="TimesNewRomanWGL"/>
          <w:noProof/>
        </w:rPr>
        <w:t>Ratio of public/private wages  and share of public employment, 2008</w:t>
      </w:r>
      <w:r>
        <w:rPr>
          <w:noProof/>
        </w:rPr>
        <w:tab/>
      </w:r>
      <w:r>
        <w:rPr>
          <w:noProof/>
        </w:rPr>
        <w:fldChar w:fldCharType="begin"/>
      </w:r>
      <w:r>
        <w:rPr>
          <w:noProof/>
        </w:rPr>
        <w:instrText xml:space="preserve"> PAGEREF _Toc297975214 \h </w:instrText>
      </w:r>
      <w:r>
        <w:rPr>
          <w:noProof/>
        </w:rPr>
      </w:r>
      <w:r>
        <w:rPr>
          <w:noProof/>
        </w:rPr>
        <w:fldChar w:fldCharType="separate"/>
      </w:r>
      <w:r>
        <w:rPr>
          <w:noProof/>
        </w:rPr>
        <w:t>27</w:t>
      </w:r>
      <w:r>
        <w:rPr>
          <w:noProof/>
        </w:rPr>
        <w:fldChar w:fldCharType="end"/>
      </w:r>
    </w:p>
    <w:p w:rsidR="00C47D29" w:rsidRPr="00E97329" w:rsidRDefault="00C47D29">
      <w:pPr>
        <w:pStyle w:val="TOC2"/>
        <w:tabs>
          <w:tab w:val="left" w:pos="880"/>
          <w:tab w:val="right" w:leader="dot" w:pos="9628"/>
        </w:tabs>
        <w:rPr>
          <w:rFonts w:ascii="Calibri" w:hAnsi="Calibri"/>
          <w:smallCaps w:val="0"/>
          <w:noProof/>
          <w:sz w:val="22"/>
          <w:szCs w:val="22"/>
          <w:lang w:eastAsia="en-GB"/>
        </w:rPr>
      </w:pPr>
      <w:r>
        <w:rPr>
          <w:noProof/>
        </w:rPr>
        <w:t>7.2.</w:t>
      </w:r>
      <w:r w:rsidRPr="00E97329">
        <w:rPr>
          <w:rFonts w:ascii="Calibri" w:hAnsi="Calibri"/>
          <w:smallCaps w:val="0"/>
          <w:noProof/>
          <w:sz w:val="22"/>
          <w:szCs w:val="22"/>
          <w:lang w:eastAsia="en-GB"/>
        </w:rPr>
        <w:tab/>
      </w:r>
      <w:r>
        <w:rPr>
          <w:noProof/>
        </w:rPr>
        <w:t>Other</w:t>
      </w:r>
      <w:r>
        <w:rPr>
          <w:noProof/>
        </w:rPr>
        <w:tab/>
      </w:r>
      <w:r>
        <w:rPr>
          <w:noProof/>
        </w:rPr>
        <w:fldChar w:fldCharType="begin"/>
      </w:r>
      <w:r>
        <w:rPr>
          <w:noProof/>
        </w:rPr>
        <w:instrText xml:space="preserve"> PAGEREF _Toc297975215 \h </w:instrText>
      </w:r>
      <w:r>
        <w:rPr>
          <w:noProof/>
        </w:rPr>
      </w:r>
      <w:r>
        <w:rPr>
          <w:noProof/>
        </w:rPr>
        <w:fldChar w:fldCharType="separate"/>
      </w:r>
      <w:r>
        <w:rPr>
          <w:noProof/>
        </w:rPr>
        <w:t>28</w:t>
      </w:r>
      <w:r>
        <w:rPr>
          <w:noProof/>
        </w:rPr>
        <w:fldChar w:fldCharType="end"/>
      </w:r>
    </w:p>
    <w:p w:rsidR="00C47D29" w:rsidRPr="00E97329" w:rsidRDefault="00C47D29">
      <w:pPr>
        <w:pStyle w:val="TOC1"/>
        <w:tabs>
          <w:tab w:val="left" w:pos="440"/>
          <w:tab w:val="right" w:leader="dot" w:pos="9628"/>
        </w:tabs>
        <w:rPr>
          <w:rFonts w:ascii="Calibri" w:hAnsi="Calibri"/>
          <w:b w:val="0"/>
          <w:bCs w:val="0"/>
          <w:caps w:val="0"/>
          <w:noProof/>
          <w:sz w:val="22"/>
          <w:szCs w:val="22"/>
          <w:lang w:eastAsia="en-GB"/>
        </w:rPr>
      </w:pPr>
      <w:r w:rsidRPr="006A63D6">
        <w:rPr>
          <w:noProof/>
          <w:lang w:val="fr-FR"/>
        </w:rPr>
        <w:t>8.</w:t>
      </w:r>
      <w:r w:rsidRPr="00E97329">
        <w:rPr>
          <w:rFonts w:ascii="Calibri" w:hAnsi="Calibri"/>
          <w:b w:val="0"/>
          <w:bCs w:val="0"/>
          <w:caps w:val="0"/>
          <w:noProof/>
          <w:sz w:val="22"/>
          <w:szCs w:val="22"/>
          <w:lang w:eastAsia="en-GB"/>
        </w:rPr>
        <w:tab/>
      </w:r>
      <w:r w:rsidRPr="006A63D6">
        <w:rPr>
          <w:noProof/>
          <w:lang w:val="fr-FR"/>
        </w:rPr>
        <w:t>Conclusions</w:t>
      </w:r>
      <w:r>
        <w:rPr>
          <w:noProof/>
        </w:rPr>
        <w:tab/>
      </w:r>
      <w:r>
        <w:rPr>
          <w:noProof/>
        </w:rPr>
        <w:fldChar w:fldCharType="begin"/>
      </w:r>
      <w:r>
        <w:rPr>
          <w:noProof/>
        </w:rPr>
        <w:instrText xml:space="preserve"> PAGEREF _Toc297975216 \h </w:instrText>
      </w:r>
      <w:r>
        <w:rPr>
          <w:noProof/>
        </w:rPr>
      </w:r>
      <w:r>
        <w:rPr>
          <w:noProof/>
        </w:rPr>
        <w:fldChar w:fldCharType="separate"/>
      </w:r>
      <w:r>
        <w:rPr>
          <w:noProof/>
        </w:rPr>
        <w:t>29</w:t>
      </w:r>
      <w:r>
        <w:rPr>
          <w:noProof/>
        </w:rPr>
        <w:fldChar w:fldCharType="end"/>
      </w:r>
    </w:p>
    <w:p w:rsidR="00C47D29" w:rsidRPr="00E97329" w:rsidRDefault="00C47D29">
      <w:pPr>
        <w:pStyle w:val="TOC1"/>
        <w:tabs>
          <w:tab w:val="left" w:pos="440"/>
          <w:tab w:val="right" w:leader="dot" w:pos="9628"/>
        </w:tabs>
        <w:rPr>
          <w:rFonts w:ascii="Calibri" w:hAnsi="Calibri"/>
          <w:b w:val="0"/>
          <w:bCs w:val="0"/>
          <w:caps w:val="0"/>
          <w:noProof/>
          <w:sz w:val="22"/>
          <w:szCs w:val="22"/>
          <w:lang w:eastAsia="en-GB"/>
        </w:rPr>
      </w:pPr>
      <w:r w:rsidRPr="006A63D6">
        <w:rPr>
          <w:noProof/>
          <w:lang w:val="fr-FR"/>
        </w:rPr>
        <w:t>9.</w:t>
      </w:r>
      <w:r w:rsidRPr="00E97329">
        <w:rPr>
          <w:rFonts w:ascii="Calibri" w:hAnsi="Calibri"/>
          <w:b w:val="0"/>
          <w:bCs w:val="0"/>
          <w:caps w:val="0"/>
          <w:noProof/>
          <w:sz w:val="22"/>
          <w:szCs w:val="22"/>
          <w:lang w:eastAsia="en-GB"/>
        </w:rPr>
        <w:tab/>
      </w:r>
      <w:r w:rsidRPr="006A63D6">
        <w:rPr>
          <w:noProof/>
          <w:lang w:val="fr-FR"/>
        </w:rPr>
        <w:t>Notes</w:t>
      </w:r>
      <w:r>
        <w:rPr>
          <w:noProof/>
        </w:rPr>
        <w:tab/>
      </w:r>
      <w:r>
        <w:rPr>
          <w:noProof/>
        </w:rPr>
        <w:fldChar w:fldCharType="begin"/>
      </w:r>
      <w:r>
        <w:rPr>
          <w:noProof/>
        </w:rPr>
        <w:instrText xml:space="preserve"> PAGEREF _Toc297975217 \h </w:instrText>
      </w:r>
      <w:r>
        <w:rPr>
          <w:noProof/>
        </w:rPr>
      </w:r>
      <w:r>
        <w:rPr>
          <w:noProof/>
        </w:rPr>
        <w:fldChar w:fldCharType="separate"/>
      </w:r>
      <w:r>
        <w:rPr>
          <w:noProof/>
        </w:rPr>
        <w:t>30</w:t>
      </w:r>
      <w:r>
        <w:rPr>
          <w:noProof/>
        </w:rPr>
        <w:fldChar w:fldCharType="end"/>
      </w:r>
    </w:p>
    <w:p w:rsidR="00895501" w:rsidRDefault="0021143A">
      <w:pPr>
        <w:pStyle w:val="TOC1"/>
        <w:tabs>
          <w:tab w:val="right" w:leader="dot" w:pos="9638"/>
        </w:tabs>
        <w:sectPr w:rsidR="00895501">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567" w:footer="567" w:gutter="0"/>
          <w:cols w:space="720"/>
          <w:docGrid w:linePitch="360"/>
        </w:sectPr>
      </w:pPr>
      <w:r>
        <w:fldChar w:fldCharType="end"/>
      </w:r>
    </w:p>
    <w:p w:rsidR="00895501" w:rsidRDefault="00895501">
      <w:pPr>
        <w:tabs>
          <w:tab w:val="left" w:pos="440"/>
          <w:tab w:val="right" w:leader="dot" w:pos="9628"/>
        </w:tabs>
      </w:pPr>
    </w:p>
    <w:p w:rsidR="00895501" w:rsidRDefault="0021143A">
      <w:r>
        <w:br w:type="page"/>
      </w:r>
    </w:p>
    <w:p w:rsidR="00843618" w:rsidRDefault="00843618" w:rsidP="00843618">
      <w:pPr>
        <w:pStyle w:val="Heading1"/>
      </w:pPr>
      <w:bookmarkStart w:id="1" w:name="__RefHeading__2483_5168522"/>
      <w:bookmarkStart w:id="2" w:name="_Toc297975149"/>
      <w:bookmarkEnd w:id="1"/>
      <w:r>
        <w:lastRenderedPageBreak/>
        <w:t>Summary</w:t>
      </w:r>
      <w:bookmarkEnd w:id="2"/>
    </w:p>
    <w:p w:rsidR="00530BF8" w:rsidRDefault="00843618" w:rsidP="00843618">
      <w:r>
        <w:t xml:space="preserve">This paper examines the effect of the economic crisis on public sector pay. It </w:t>
      </w:r>
      <w:r w:rsidR="00530BF8">
        <w:t xml:space="preserve">first sets </w:t>
      </w:r>
      <w:r>
        <w:t>out the different phases of the crisis</w:t>
      </w:r>
      <w:r w:rsidR="00530BF8">
        <w:t xml:space="preserve"> and government responses, to distinguish different kind of effects and mechanisms.</w:t>
      </w:r>
    </w:p>
    <w:p w:rsidR="00530BF8" w:rsidRDefault="00530BF8" w:rsidP="00843618"/>
    <w:p w:rsidR="00530BF8" w:rsidRDefault="00530BF8" w:rsidP="00843618">
      <w:r>
        <w:t xml:space="preserve">It then </w:t>
      </w:r>
      <w:r w:rsidR="00843618">
        <w:t xml:space="preserve">examines the statistical and narrative evidence of changes to pay levels both overall and in the public sector since the start of the crisis. This evidence focuses on the USA and the EU, both because the effect of the crisis has been sharpest in these countries, and because relevant statistical data exists for these countries. </w:t>
      </w:r>
      <w:r>
        <w:t>Evidence from Asia and Africa is also examined, but the impact of the crisis has been much more limited and little data is available from these countries for this period.</w:t>
      </w:r>
    </w:p>
    <w:p w:rsidR="00530BF8" w:rsidRDefault="00530BF8" w:rsidP="00843618"/>
    <w:p w:rsidR="00843618" w:rsidRDefault="00843618" w:rsidP="00843618">
      <w:r>
        <w:t>Th</w:t>
      </w:r>
      <w:r w:rsidR="00895501">
        <w:t xml:space="preserve">e evidence </w:t>
      </w:r>
      <w:r w:rsidR="00530BF8">
        <w:t xml:space="preserve">shows that public sector pay has not been rising faster than pay levels in general since the crisis began, but that there have been policy decisions to cut public sector pay in some European countries, in the majority of cases where there is an agreement with the IMF, or where there is pressure from financial markets, or both. </w:t>
      </w:r>
      <w:r w:rsidR="00895501">
        <w:t xml:space="preserve"> These have been associated with a weaken</w:t>
      </w:r>
      <w:r w:rsidR="0070557E">
        <w:t>ing of the role of trade unions.</w:t>
      </w:r>
    </w:p>
    <w:p w:rsidR="00895501" w:rsidRDefault="00895501" w:rsidP="00843618"/>
    <w:p w:rsidR="00530BF8" w:rsidRDefault="00895501" w:rsidP="00843618">
      <w:r>
        <w:t xml:space="preserve">These results are then discussed against the context of results and analyses of earlier data, with a particular focus on a recent report for the European Central Bank. The current experience confirms previous findings and experience, including the potential impact of external institutions on public sector pay. </w:t>
      </w:r>
    </w:p>
    <w:p w:rsidR="00895501" w:rsidRDefault="00843618">
      <w:pPr>
        <w:pStyle w:val="Heading1"/>
      </w:pPr>
      <w:bookmarkStart w:id="3" w:name="_Toc297975150"/>
      <w:r>
        <w:t>Introduction: t</w:t>
      </w:r>
      <w:r w:rsidR="00895501">
        <w:t>he crisis and government responses</w:t>
      </w:r>
      <w:bookmarkEnd w:id="3"/>
    </w:p>
    <w:p w:rsidR="00895501" w:rsidRDefault="00476226">
      <w:r>
        <w:t xml:space="preserve">The economic crisis </w:t>
      </w:r>
      <w:r w:rsidR="00843618">
        <w:t xml:space="preserve">has had a </w:t>
      </w:r>
      <w:r w:rsidR="00895501">
        <w:t>number of different phases</w:t>
      </w:r>
      <w:r w:rsidR="00843618">
        <w:t>. It is important to distinguish these because each phase differs in the actual, or expected, effect on relative or absolute levels of public sector pay</w:t>
      </w:r>
      <w:r w:rsidR="00895501">
        <w:t xml:space="preserve">. </w:t>
      </w:r>
    </w:p>
    <w:p w:rsidR="00895501" w:rsidRDefault="00895501">
      <w:pPr>
        <w:pStyle w:val="Heading2"/>
      </w:pPr>
      <w:bookmarkStart w:id="4" w:name="__RefHeading__2485_5168522"/>
      <w:bookmarkStart w:id="5" w:name="_Toc297975151"/>
      <w:bookmarkEnd w:id="4"/>
      <w:r>
        <w:t>Phase 1: the financial crisis and recession</w:t>
      </w:r>
      <w:bookmarkEnd w:id="5"/>
    </w:p>
    <w:p w:rsidR="00895501" w:rsidRDefault="00895501">
      <w:r>
        <w:t xml:space="preserve">The global economic crisis which began in 2008 originated as a crisis in and of the financial sector. Banks and insurance companies expanded lending to people beyond what was sustainable. The price of assets like houses were inflated and used as a way of obtaining credit which could then not be paid out of income. Companies increased their borrowing as a way of paying earlier and larger returns to investors, expecting the capital gains from rising asset values to cover the repayment of debts. At the same time the banks developed increasingly complex forms of ‘securitising’ debt, so that the risk was apparently removed from the actual lenders and sold to financial institutions, through ‘credit default swaps’ and other new instruments, who were unaware of the actual risks. </w:t>
      </w:r>
    </w:p>
    <w:p w:rsidR="00895501" w:rsidRDefault="00895501"/>
    <w:p w:rsidR="00895501" w:rsidRDefault="00895501">
      <w:r>
        <w:t xml:space="preserve">Defaults began to occur, especially in ‘sub-prime’ mortgages, where people had been given bigger loans than their incomes could support. The scale of this sub-prime borrowing was a consequence of government policies which preferred to encourage home ownership rather than use public spending to provide social housing. The financial system was unable to deal with the cost of defaults, and many of the largest banks and insurance companies in the world became insolvent. After one USA bank, Lehmann Brothers, collapsed in September 2008, the USA and other governments decided to rescue banks by nationalising them, or injecting large amounts of capital to make them solvent again. </w:t>
      </w:r>
    </w:p>
    <w:p w:rsidR="00895501" w:rsidRDefault="00895501"/>
    <w:p w:rsidR="00895501" w:rsidRDefault="00895501">
      <w:r>
        <w:t xml:space="preserve">The crisis in the financial sector led to a crisis in the rest of the economy, globally, as the banks stopped lending to people and companies, and so the level of spending and consumption by the private sector fell. The lack of credit, and the fall in spending, led to companies cutting production and going bankrupt, both of which led to increased unemployment, and further reduction in consumption. </w:t>
      </w:r>
    </w:p>
    <w:p w:rsidR="00895501" w:rsidRDefault="00895501"/>
    <w:p w:rsidR="00895501" w:rsidRDefault="00895501">
      <w:r>
        <w:t xml:space="preserve">The recession has hit northern, high income countries harder than developing countries. The banking crisis was almost entirely confined to banks in the USA and Europe. Most developing countries resumed economic growth after a short slowdown or reversal. China in particular has resumed growing at an annual rate of nearly 10%. </w:t>
      </w:r>
    </w:p>
    <w:p w:rsidR="00895501" w:rsidRDefault="00895501"/>
    <w:p w:rsidR="00895501" w:rsidRDefault="00895501">
      <w:pPr>
        <w:pStyle w:val="Heading2"/>
      </w:pPr>
      <w:bookmarkStart w:id="6" w:name="__RefHeading__2487_5168522"/>
      <w:bookmarkStart w:id="7" w:name="_Toc297975152"/>
      <w:bookmarkEnd w:id="6"/>
      <w:r>
        <w:t>Phase 2: effects on government finances</w:t>
      </w:r>
      <w:bookmarkEnd w:id="7"/>
      <w:r>
        <w:t xml:space="preserve"> </w:t>
      </w:r>
    </w:p>
    <w:p w:rsidR="00895501" w:rsidRDefault="00895501">
      <w:r>
        <w:t xml:space="preserve">Governments in countries whose banks were at the centre of the financial crisis, especially the USA and the UK, spent very large sums of money refinancing and nationalising banks which would otherwise have failed. These rescues increased government debt and deficits. </w:t>
      </w:r>
    </w:p>
    <w:p w:rsidR="00895501" w:rsidRDefault="00895501"/>
    <w:p w:rsidR="00895501" w:rsidRDefault="00895501">
      <w:r>
        <w:t xml:space="preserve">The recession had a general effect of reducing tax revenues, for all levels of government, in nearly all countries. As consumer spending falls, indirect tax revenues fall; as unemployment increases, the volume of taxes on incomes decrease; as </w:t>
      </w:r>
      <w:proofErr w:type="spellStart"/>
      <w:r>
        <w:t>bankrupcies</w:t>
      </w:r>
      <w:proofErr w:type="spellEnd"/>
      <w:r>
        <w:t xml:space="preserve"> rise and profits fall, income from taxes on profits falls; as homes and properties are repossessed, income from property taxes falls. In countries with a developed social security system, the recession also increased the payment of unemployment and other benefits and services. Both the fall in taxes and the rise in benefits increased government deficits.</w:t>
      </w:r>
    </w:p>
    <w:p w:rsidR="00895501" w:rsidRDefault="00895501"/>
    <w:p w:rsidR="00895501" w:rsidRDefault="00895501">
      <w:r>
        <w:t xml:space="preserve">This increase in government deficits had a beneficial effect of limiting the fall in consumption. It is known as the ‘automatic stabiliser’.  In addition to the automatic stabilisers, nearly all governments decided to counter the recession by using Keynesian policies. This involved creating extra demand by expanding government spending and/or reducing taxation, thus deliberately increasing government deficits. The increased deficits were essential to create extra demand – if increased spending was matched by increased taxation, then governments would be reducing private spending power by the same amount, thus having no impact on the overall level of demand. </w:t>
      </w:r>
    </w:p>
    <w:p w:rsidR="00895501" w:rsidRDefault="00895501"/>
    <w:p w:rsidR="00895501" w:rsidRDefault="00895501">
      <w:r>
        <w:t xml:space="preserve">In countries where the banking sector was proportionately large, the crisis itself had a particularly acute effect on public finances – for example Ireland and Iceland. Where external borrowing or trade deficits were particularly high, there was also additional pressure on public finances, for example in Latvia, Romania, Hungary and Ukraine. Beyond Europe, Pakistan also fell into this category. In all these cases, governments were given support by the IMF.   </w:t>
      </w:r>
    </w:p>
    <w:p w:rsidR="00895501" w:rsidRDefault="00895501">
      <w:pPr>
        <w:pStyle w:val="Heading2"/>
      </w:pPr>
      <w:bookmarkStart w:id="8" w:name="__RefHeading__2489_5168522"/>
      <w:bookmarkStart w:id="9" w:name="_Toc297975153"/>
      <w:bookmarkEnd w:id="8"/>
      <w:r>
        <w:t>Phase 3: market and political pressures on government deficits</w:t>
      </w:r>
      <w:bookmarkEnd w:id="9"/>
    </w:p>
    <w:p w:rsidR="00895501" w:rsidRDefault="00895501">
      <w:r>
        <w:t>In 2010, some investors began selling bonds issued by European countries. Initially this focussed on Greece, and then other southern European countries, including Portugal and Spain. These countries were criticised for the level of their government deficits and debt, although other countries had larger deficit and debt levels. These market pressures themselves increased the cost of government finance, and questioned the ability of other European governments to finance the deficits which had increased because of the crisis itself. Greece required support from the EU and an IMF loan.</w:t>
      </w:r>
    </w:p>
    <w:p w:rsidR="00895501" w:rsidRDefault="00895501"/>
    <w:p w:rsidR="00895501" w:rsidRDefault="00895501">
      <w:r>
        <w:t>This process strengthened political pressures within countries, the EU, and from international institutions, to reduce government debt and deficits, and to reinstate the political constraints of the last 20 years on fiscal deficits, mainly by cutting public spending. The EU also sought to restore the credibility of its rules which limit government deficits to 3% of GDP. By June 2010 all major international institutions – the G20, the IMF, the OECD and the EU – were calling for a reduction in public deficits and spending as a greater priority than economic stimulus to counter recession.   Financial support from the IMF has been conditional on reductions in public deficits and public spending.</w:t>
      </w:r>
    </w:p>
    <w:p w:rsidR="00895501" w:rsidRDefault="00895501">
      <w:pPr>
        <w:pStyle w:val="Heading2"/>
      </w:pPr>
      <w:bookmarkStart w:id="10" w:name="__RefHeading__2491_5168522"/>
      <w:bookmarkStart w:id="11" w:name="_Toc297975154"/>
      <w:bookmarkEnd w:id="10"/>
      <w:r>
        <w:t>Effects of different phases</w:t>
      </w:r>
      <w:bookmarkEnd w:id="11"/>
    </w:p>
    <w:p w:rsidR="00895501" w:rsidRDefault="00895501">
      <w:r>
        <w:t xml:space="preserve">As this narrative makes clear, the crisis itself did not originate in any sense from excessive government debt, borrowing, or spending. It arose from the inability of the financial system to deal with the consequences of the expansion of private and corporate debt and the basis on which it had been financed. The increases in debt and deficits arose from government action to mitigate the consequences of the crisis, both to finance the capital injected into the banks, and to create demand to counter the recession. Governments became lenders and spenders of last resort for the whole economy: higher government deficits and debt have been partly a consequence of the crisis, and partly a deliberate policy solution to the crisis, not the cause of the problems. </w:t>
      </w:r>
    </w:p>
    <w:p w:rsidR="00895501" w:rsidRDefault="00895501"/>
    <w:p w:rsidR="00865308" w:rsidRDefault="00895501" w:rsidP="00865308">
      <w:r>
        <w:t>The following sections look at the evidence concerning comparative movements in public and private sector pay since the start of the crisis. A broad definition of public sector is used, including health and education services and publicly owned utilities. Data is drawn from official statistics published by relevant governments or international institutions</w:t>
      </w:r>
      <w:r w:rsidR="00865308">
        <w:t xml:space="preserve">, covering how earnings changed in the economy as a whole, and in </w:t>
      </w:r>
      <w:proofErr w:type="gramStart"/>
      <w:r w:rsidR="00865308">
        <w:t>predominantly  public</w:t>
      </w:r>
      <w:proofErr w:type="gramEnd"/>
      <w:r w:rsidR="00865308">
        <w:t xml:space="preserve"> sectors, principally for the USA and European countries, in the 2-year period between early 2008 and early 2010. Reports of policy decisions on public sector pay are also used to identify crisis-related decisions.</w:t>
      </w:r>
    </w:p>
    <w:p w:rsidR="00895501" w:rsidRDefault="00895501"/>
    <w:p w:rsidR="00865308" w:rsidRDefault="00895501">
      <w:r>
        <w:t xml:space="preserve">The discussion of this data considers the </w:t>
      </w:r>
      <w:r w:rsidR="00865308">
        <w:t>possible</w:t>
      </w:r>
      <w:r>
        <w:t xml:space="preserve"> impact of </w:t>
      </w:r>
      <w:r w:rsidR="00865308">
        <w:t xml:space="preserve">the </w:t>
      </w:r>
      <w:r>
        <w:t xml:space="preserve">crisis </w:t>
      </w:r>
      <w:r w:rsidR="00865308">
        <w:t xml:space="preserve">through economic mechanisms </w:t>
      </w:r>
      <w:r>
        <w:t xml:space="preserve">– </w:t>
      </w:r>
      <w:r w:rsidR="00865308">
        <w:t>for example</w:t>
      </w:r>
      <w:r>
        <w:t xml:space="preserve"> through reduced demand, or through the automatic adjustment of public finances</w:t>
      </w:r>
      <w:r w:rsidR="00865308">
        <w:t xml:space="preserve"> - and </w:t>
      </w:r>
      <w:r>
        <w:t xml:space="preserve">through </w:t>
      </w:r>
      <w:r>
        <w:lastRenderedPageBreak/>
        <w:t>poli</w:t>
      </w:r>
      <w:r w:rsidR="00865308">
        <w:t>tical and institutional mechanisms, such as poli</w:t>
      </w:r>
      <w:r>
        <w:t xml:space="preserve">cy decisions, to create economic stimulus </w:t>
      </w:r>
      <w:r w:rsidR="00865308">
        <w:t>or</w:t>
      </w:r>
      <w:r>
        <w:t xml:space="preserve"> to reduce deficits and spending. </w:t>
      </w:r>
    </w:p>
    <w:p w:rsidR="00F75586" w:rsidRDefault="00F75586"/>
    <w:p w:rsidR="00895501" w:rsidRPr="00F75586" w:rsidRDefault="00895501" w:rsidP="00F75586">
      <w:pPr>
        <w:pStyle w:val="Heading1"/>
      </w:pPr>
      <w:bookmarkStart w:id="12" w:name="__RefHeading__2493_5168522"/>
      <w:bookmarkStart w:id="13" w:name="__RefHeading__2495_5168522"/>
      <w:bookmarkStart w:id="14" w:name="_Toc297975155"/>
      <w:bookmarkEnd w:id="12"/>
      <w:bookmarkEnd w:id="13"/>
      <w:r w:rsidRPr="00F75586">
        <w:t>USA</w:t>
      </w:r>
      <w:bookmarkEnd w:id="14"/>
    </w:p>
    <w:p w:rsidR="00EF5FAA" w:rsidRPr="00EF5FAA" w:rsidRDefault="00EF5FAA" w:rsidP="00F75586">
      <w:pPr>
        <w:pStyle w:val="Heading2"/>
      </w:pPr>
      <w:bookmarkStart w:id="15" w:name="_Toc297975156"/>
      <w:r w:rsidRPr="00EF5FAA">
        <w:t>Government policy on spending and services</w:t>
      </w:r>
      <w:bookmarkEnd w:id="15"/>
    </w:p>
    <w:p w:rsidR="00EF5FAA" w:rsidRPr="00EF5FAA" w:rsidRDefault="00EF5FAA" w:rsidP="00F75586">
      <w:pPr>
        <w:pStyle w:val="Heading3"/>
      </w:pPr>
      <w:bookmarkStart w:id="16" w:name="_Toc297975157"/>
      <w:r w:rsidRPr="00EF5FAA">
        <w:t>National/federal level</w:t>
      </w:r>
      <w:bookmarkEnd w:id="16"/>
    </w:p>
    <w:p w:rsidR="00EF5FAA" w:rsidRPr="00EF5FAA" w:rsidRDefault="00EF5FAA" w:rsidP="00EF5FAA">
      <w:r w:rsidRPr="00EF5FAA">
        <w:t xml:space="preserve">In February 2009 the government introduced a massive stimulus package worth $787billion. This stimulus has </w:t>
      </w:r>
      <w:r w:rsidRPr="00EF5FAA">
        <w:rPr>
          <w:bCs/>
          <w:iCs/>
        </w:rPr>
        <w:t xml:space="preserve">supported employment throughout the economy through higher spending on benefits, infrastructure and support for state and local services, up to and including 2011. Details of the money and jobs supported in each state are on maps at </w:t>
      </w:r>
      <w:hyperlink r:id="rId14" w:anchor="z" w:history="1">
        <w:r w:rsidRPr="00EF5FAA">
          <w:rPr>
            <w:rStyle w:val="Hyperlink"/>
            <w:bCs/>
            <w:iCs/>
          </w:rPr>
          <w:t>http://www.recovery.gov/Transparency/MapGallery/Pages/maps.aspx#z</w:t>
        </w:r>
      </w:hyperlink>
      <w:r w:rsidRPr="00EF5FAA">
        <w:t xml:space="preserve">. </w:t>
      </w:r>
    </w:p>
    <w:p w:rsidR="00EF5FAA" w:rsidRPr="00EF5FAA" w:rsidRDefault="00EF5FAA" w:rsidP="00EF5FAA"/>
    <w:p w:rsidR="00EF5FAA" w:rsidRPr="00EF5FAA" w:rsidRDefault="00EF5FAA" w:rsidP="00EF5FAA">
      <w:r w:rsidRPr="00EF5FAA">
        <w:t>However, the additional public spending in the stimulus is not being extended, due to political opposition by Republicans. The Republicans have also delayed authorising the deficit necessary for the USA government to continue its spending commitments in 2011, including the payment of civil servants’ salaries. For the same political reasons, the tax cuts introduced by the previous president Bush will be extended and made permanent – worsening the deficit by over 1% of GDP per year, without improving the money available for public services.</w:t>
      </w:r>
      <w:r w:rsidRPr="00EF5FAA">
        <w:rPr>
          <w:lang w:val="en-US"/>
        </w:rPr>
        <w:t xml:space="preserve">  </w:t>
      </w:r>
    </w:p>
    <w:p w:rsidR="00EF5FAA" w:rsidRPr="00EF5FAA" w:rsidRDefault="00EF5FAA" w:rsidP="00EF5FAA"/>
    <w:p w:rsidR="00EF5FAA" w:rsidRPr="00EF5FAA" w:rsidRDefault="00EF5FAA" w:rsidP="00EF5FAA">
      <w:pPr>
        <w:rPr>
          <w:lang w:val="en-US"/>
        </w:rPr>
      </w:pPr>
      <w:r w:rsidRPr="00EF5FAA">
        <w:t>This is now jeopardising economic recovery: even the IMF warned in June 2011 that the USA recovery is so ‘tepid’ that reducing the deficit “</w:t>
      </w:r>
      <w:r w:rsidRPr="00EF5FAA">
        <w:rPr>
          <w:lang w:val="en-US"/>
        </w:rPr>
        <w:t xml:space="preserve">should ideally be gradual and sustained, so as not to undermine growth prospects” ; this should include “revenue-raising tax reform", but "social sector spending and priority infrastructure investment must be preserved”. </w:t>
      </w:r>
    </w:p>
    <w:p w:rsidR="00EF5FAA" w:rsidRPr="00EF5FAA" w:rsidRDefault="00EF5FAA" w:rsidP="00EF5FAA">
      <w:pPr>
        <w:rPr>
          <w:lang w:val="en-US"/>
        </w:rPr>
      </w:pPr>
    </w:p>
    <w:p w:rsidR="00EF5FAA" w:rsidRPr="00EF5FAA" w:rsidRDefault="00EF5FAA" w:rsidP="00EF5FAA">
      <w:pPr>
        <w:rPr>
          <w:lang w:val="en-US"/>
        </w:rPr>
      </w:pPr>
      <w:r w:rsidRPr="00EF5FAA">
        <w:rPr>
          <w:lang w:val="en-US"/>
        </w:rPr>
        <w:t xml:space="preserve">If by contrast the Bush tax cuts were allowed to expire, then a return to economic growth would automatically boost tax revenues to increasingly higher levels. This would in turn match the rising public spending on old age pensions and healthcare which is forecast because of the relative ageing of the population. The chart shows how the current deficit could then be gradually eliminated by growth by about 2015, and then both spending and taxation could return to a long-term, rising but sustainable </w:t>
      </w:r>
      <w:proofErr w:type="gramStart"/>
      <w:r w:rsidRPr="00EF5FAA">
        <w:rPr>
          <w:lang w:val="en-US"/>
        </w:rPr>
        <w:t>path  (</w:t>
      </w:r>
      <w:proofErr w:type="gramEnd"/>
      <w:r w:rsidRPr="00EF5FAA">
        <w:rPr>
          <w:lang w:val="en-US"/>
        </w:rPr>
        <w:t>based on the assumption that military spending is gradually reduced over this period).</w:t>
      </w:r>
    </w:p>
    <w:p w:rsidR="00EF5FAA" w:rsidRPr="00EF5FAA" w:rsidRDefault="00EF5FAA" w:rsidP="00F75586">
      <w:pPr>
        <w:pStyle w:val="Heading8"/>
      </w:pPr>
      <w:bookmarkStart w:id="17" w:name="_Toc297975158"/>
      <w:r w:rsidRPr="00EF5FAA">
        <w:t>USA federal Government spending and revenues, if Bush tax cuts expire</w:t>
      </w:r>
      <w:bookmarkEnd w:id="17"/>
    </w:p>
    <w:p w:rsidR="00EF5FAA" w:rsidRPr="00EF5FAA" w:rsidRDefault="004674C3" w:rsidP="00EF5FAA">
      <w:pPr>
        <w:rPr>
          <w:lang w:val="en-US"/>
        </w:rPr>
      </w:pPr>
      <w:r>
        <w:rPr>
          <w:noProof/>
          <w:lang w:eastAsia="en-GB"/>
        </w:rPr>
        <w:drawing>
          <wp:inline distT="0" distB="0" distL="0" distR="0">
            <wp:extent cx="2588895" cy="1793240"/>
            <wp:effectExtent l="0" t="0" r="190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8895" cy="1793240"/>
                    </a:xfrm>
                    <a:prstGeom prst="rect">
                      <a:avLst/>
                    </a:prstGeom>
                    <a:noFill/>
                    <a:ln>
                      <a:noFill/>
                    </a:ln>
                  </pic:spPr>
                </pic:pic>
              </a:graphicData>
            </a:graphic>
          </wp:inline>
        </w:drawing>
      </w:r>
    </w:p>
    <w:p w:rsidR="00EF5FAA" w:rsidRDefault="00EF5FAA" w:rsidP="00EF5FAA">
      <w:r w:rsidRPr="00EF5FAA">
        <w:rPr>
          <w:lang w:val="en-US"/>
        </w:rPr>
        <w:t>Source: CBO</w:t>
      </w:r>
      <w:hyperlink r:id="rId16" w:history="1">
        <w:r w:rsidRPr="00EF5FAA">
          <w:rPr>
            <w:rStyle w:val="Hyperlink"/>
            <w:lang w:val="en-US"/>
          </w:rPr>
          <w:t xml:space="preserve"> </w:t>
        </w:r>
        <w:r w:rsidRPr="00EF5FAA">
          <w:rPr>
            <w:rStyle w:val="Hyperlink"/>
          </w:rPr>
          <w:t>2011 Long-Term Budget Outlook</w:t>
        </w:r>
      </w:hyperlink>
      <w:r w:rsidRPr="00EF5FAA">
        <w:t xml:space="preserve"> </w:t>
      </w:r>
    </w:p>
    <w:p w:rsidR="00F75586" w:rsidRPr="00EF5FAA" w:rsidRDefault="00F75586" w:rsidP="00EF5FAA"/>
    <w:p w:rsidR="00EF5FAA" w:rsidRPr="00EF5FAA" w:rsidRDefault="00EF5FAA" w:rsidP="00F75586">
      <w:pPr>
        <w:pStyle w:val="Heading3"/>
      </w:pPr>
      <w:bookmarkStart w:id="18" w:name="_Toc297975159"/>
      <w:r w:rsidRPr="00EF5FAA">
        <w:t>State level</w:t>
      </w:r>
      <w:bookmarkEnd w:id="18"/>
    </w:p>
    <w:p w:rsidR="00EF5FAA" w:rsidRPr="00EF5FAA" w:rsidRDefault="00EF5FAA" w:rsidP="00EF5FAA">
      <w:pPr>
        <w:rPr>
          <w:bCs/>
          <w:iCs/>
        </w:rPr>
      </w:pPr>
      <w:r w:rsidRPr="00EF5FAA">
        <w:t xml:space="preserve">The recession has meant a drop in spending and incomes, which results in a fall in tax revenues for the states – at the same time as the needs for public service support increases. So when their revenue from taxes falls because of the recession. All states (except Vermont) are bound by law to have ‘balanced budgets’, so they have to rely on federal government to provide extra support to bridge the funding gap. </w:t>
      </w:r>
      <w:r w:rsidRPr="00EF5FAA">
        <w:rPr>
          <w:bCs/>
          <w:iCs/>
        </w:rPr>
        <w:t>The federal government stimulus provided about $158billion dollars to help states between 2009 and 2011, but this still only covered about 1/3 of their ‘funding gap’.  The result has been a fall in spending on services: “states cut funding for services by 4.2% for fiscal year 2009 and an additional 6.8% for 2010… state spending for 2011 will remain 7.6% below 2008 levels.” (CBPP Feb 2011). The real effect on people is even greater, because the need for social services increases during a recession.</w:t>
      </w:r>
    </w:p>
    <w:p w:rsidR="00EF5FAA" w:rsidRPr="00EF5FAA" w:rsidRDefault="00EF5FAA" w:rsidP="00EF5FAA">
      <w:pPr>
        <w:rPr>
          <w:bCs/>
          <w:iCs/>
        </w:rPr>
      </w:pPr>
    </w:p>
    <w:p w:rsidR="00EF5FAA" w:rsidRDefault="00EF5FAA" w:rsidP="00EF5FAA">
      <w:pPr>
        <w:rPr>
          <w:bCs/>
          <w:iCs/>
        </w:rPr>
      </w:pPr>
      <w:r w:rsidRPr="00EF5FAA">
        <w:rPr>
          <w:bCs/>
          <w:iCs/>
        </w:rPr>
        <w:t xml:space="preserve">For 2012, the stimulus is not being extended. As a result, despite some recovery in tax revenues, states still face a shortfall of $97billion in 2012, so additional cuts are being made. These cuts are made worse where there is political insistence on tax cuts. In June 2011, for example, the largest state, California, agreed on a budget for 2011-2012 which included $15billion cuts in spending across all services: Republicans refused to agree to the extension of state tax increases which would have provided an extra $11.2billion and saved most of the cuts. </w:t>
      </w:r>
      <w:r w:rsidR="00F75586">
        <w:rPr>
          <w:rStyle w:val="EndnoteReference"/>
          <w:bCs/>
          <w:iCs/>
        </w:rPr>
        <w:endnoteReference w:id="1"/>
      </w:r>
    </w:p>
    <w:p w:rsidR="00F75586" w:rsidRPr="00EF5FAA" w:rsidRDefault="00F75586" w:rsidP="00EF5FAA">
      <w:pPr>
        <w:rPr>
          <w:bCs/>
          <w:iCs/>
        </w:rPr>
      </w:pPr>
    </w:p>
    <w:p w:rsidR="00EF5FAA" w:rsidRPr="00EF5FAA" w:rsidRDefault="00EF5FAA" w:rsidP="00F75586">
      <w:pPr>
        <w:pStyle w:val="Heading8"/>
      </w:pPr>
      <w:bookmarkStart w:id="19" w:name="_Toc297975160"/>
      <w:r w:rsidRPr="00EF5FAA">
        <w:t>Falling spending by states in USA on public services</w:t>
      </w:r>
      <w:bookmarkEnd w:id="19"/>
    </w:p>
    <w:p w:rsidR="00EF5FAA" w:rsidRPr="00EF5FAA" w:rsidRDefault="004674C3" w:rsidP="00EF5FAA">
      <w:pPr>
        <w:rPr>
          <w:bCs/>
          <w:iCs/>
        </w:rPr>
      </w:pPr>
      <w:r>
        <w:rPr>
          <w:noProof/>
          <w:lang w:eastAsia="en-GB"/>
        </w:rPr>
        <w:drawing>
          <wp:inline distT="0" distB="0" distL="0" distR="0">
            <wp:extent cx="3348990" cy="22205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48990" cy="2220595"/>
                    </a:xfrm>
                    <a:prstGeom prst="rect">
                      <a:avLst/>
                    </a:prstGeom>
                    <a:noFill/>
                    <a:ln>
                      <a:noFill/>
                    </a:ln>
                  </pic:spPr>
                </pic:pic>
              </a:graphicData>
            </a:graphic>
          </wp:inline>
        </w:drawing>
      </w:r>
    </w:p>
    <w:p w:rsidR="00EF5FAA" w:rsidRPr="00EF5FAA" w:rsidRDefault="00EF5FAA" w:rsidP="00EF5FAA">
      <w:r w:rsidRPr="00EF5FAA">
        <w:t xml:space="preserve">Source: </w:t>
      </w:r>
      <w:r w:rsidRPr="00EF5FAA">
        <w:rPr>
          <w:lang w:val="en-US"/>
        </w:rPr>
        <w:t xml:space="preserve">NGA/NASBO May 2011 </w:t>
      </w:r>
      <w:hyperlink r:id="rId18" w:history="1">
        <w:proofErr w:type="gramStart"/>
        <w:r w:rsidRPr="00EF5FAA">
          <w:rPr>
            <w:rStyle w:val="Hyperlink"/>
            <w:bCs/>
          </w:rPr>
          <w:t>Spring</w:t>
        </w:r>
        <w:proofErr w:type="gramEnd"/>
        <w:r w:rsidRPr="00EF5FAA">
          <w:rPr>
            <w:rStyle w:val="Hyperlink"/>
            <w:bCs/>
          </w:rPr>
          <w:t xml:space="preserve"> 2011 Fiscal Survey of States</w:t>
        </w:r>
      </w:hyperlink>
    </w:p>
    <w:p w:rsidR="00EF5FAA" w:rsidRPr="00EF5FAA" w:rsidRDefault="00EF5FAA" w:rsidP="00EF5FAA"/>
    <w:p w:rsidR="00EF5FAA" w:rsidRPr="00EF5FAA" w:rsidRDefault="00EF5FAA" w:rsidP="00EF5FAA"/>
    <w:p w:rsidR="00895501" w:rsidRDefault="00895501">
      <w:pPr>
        <w:pStyle w:val="Heading2"/>
      </w:pPr>
      <w:bookmarkStart w:id="20" w:name="__RefHeading__2497_5168522"/>
      <w:bookmarkStart w:id="21" w:name="_Toc297975161"/>
      <w:bookmarkEnd w:id="20"/>
      <w:r>
        <w:t>USA: statistical evidence</w:t>
      </w:r>
      <w:r w:rsidR="00EF5FAA">
        <w:t xml:space="preserve"> on pay</w:t>
      </w:r>
      <w:bookmarkEnd w:id="21"/>
    </w:p>
    <w:p w:rsidR="00895501" w:rsidRDefault="00895501">
      <w:r>
        <w:t xml:space="preserve">The tables below set out data on changes in wages and salaries in the USA, drawn from the USA Bureau of </w:t>
      </w:r>
      <w:proofErr w:type="spellStart"/>
      <w:r>
        <w:t>Labor</w:t>
      </w:r>
      <w:proofErr w:type="spellEnd"/>
      <w:r>
        <w:t xml:space="preserve"> Statistics. They present public and private sector data, but also information on industrial sub-sectors of each category, such as educational and health workers; and additionally, for union and non-union workers in the private sector. They thus show not only the relative movements in public and private sector pay, but also if factors such as sector or unionisation affect pay trends.  </w:t>
      </w:r>
    </w:p>
    <w:p w:rsidR="00895501" w:rsidRDefault="00895501"/>
    <w:p w:rsidR="00895501" w:rsidRDefault="00895501">
      <w:r>
        <w:t>The tables show a number of points about the background and trends over the 7 years preceding the crisis.</w:t>
      </w:r>
    </w:p>
    <w:p w:rsidR="00895501" w:rsidRDefault="00895501"/>
    <w:p w:rsidR="00895501" w:rsidRDefault="00895501">
      <w:pPr>
        <w:numPr>
          <w:ilvl w:val="0"/>
          <w:numId w:val="18"/>
        </w:numPr>
      </w:pPr>
      <w:r>
        <w:t xml:space="preserve">There had been no major divergence in public and private sector pay in the last decade as a whole. There is thus no recently created gap that is due for correction, in either direction.  Overall, workers in public and private sectors experienced almost identical increases in pay in the seven year period between 2001 and 2008. This is also broadly true over the 2 year and 5 year periods before the recession (back to 2006 and 2003). </w:t>
      </w:r>
    </w:p>
    <w:p w:rsidR="00895501" w:rsidRDefault="00895501">
      <w:pPr>
        <w:numPr>
          <w:ilvl w:val="0"/>
          <w:numId w:val="18"/>
        </w:numPr>
      </w:pPr>
      <w:r>
        <w:t>There were however differences linked to sector and unionisation</w:t>
      </w:r>
    </w:p>
    <w:p w:rsidR="00895501" w:rsidRDefault="00895501">
      <w:pPr>
        <w:numPr>
          <w:ilvl w:val="1"/>
          <w:numId w:val="18"/>
        </w:numPr>
      </w:pPr>
      <w:r>
        <w:t xml:space="preserve">There were variations between sub-sectors over this 7-year period. The pay of workers in manufacturing grew slightly slower than average, </w:t>
      </w:r>
      <w:proofErr w:type="gramStart"/>
      <w:r>
        <w:t>while</w:t>
      </w:r>
      <w:proofErr w:type="gramEnd"/>
      <w:r>
        <w:t xml:space="preserve"> the pay of workers in financial services, and in health and education, grew faster than average. </w:t>
      </w:r>
    </w:p>
    <w:p w:rsidR="00895501" w:rsidRDefault="00895501">
      <w:pPr>
        <w:numPr>
          <w:ilvl w:val="1"/>
          <w:numId w:val="18"/>
        </w:numPr>
      </w:pPr>
      <w:r>
        <w:t xml:space="preserve">There was also a variation between </w:t>
      </w:r>
      <w:r w:rsidR="00E15AB0">
        <w:t>(</w:t>
      </w:r>
      <w:proofErr w:type="spellStart"/>
      <w:r w:rsidR="00E15AB0">
        <w:t>i</w:t>
      </w:r>
      <w:proofErr w:type="spellEnd"/>
      <w:r w:rsidR="00E15AB0">
        <w:t xml:space="preserve">) </w:t>
      </w:r>
      <w:r>
        <w:t xml:space="preserve">the experience of union members and others: unionised workers in the private sector experienced somewhat slower rises than non-union workers between 2005 and 2008, and </w:t>
      </w:r>
      <w:r w:rsidR="00E15AB0">
        <w:t xml:space="preserve">(ii) </w:t>
      </w:r>
      <w:r>
        <w:t xml:space="preserve">private sector workers in education and health, </w:t>
      </w:r>
      <w:proofErr w:type="gramStart"/>
      <w:r>
        <w:t>who</w:t>
      </w:r>
      <w:proofErr w:type="gramEnd"/>
      <w:r>
        <w:t xml:space="preserve"> experienced faster rises than others between 2003 and 2006. </w:t>
      </w:r>
    </w:p>
    <w:p w:rsidR="00895501" w:rsidRDefault="00895501"/>
    <w:p w:rsidR="00895501" w:rsidRDefault="00895501">
      <w:r>
        <w:t xml:space="preserve">The tables also show a number of points about the </w:t>
      </w:r>
      <w:r w:rsidR="00E15AB0">
        <w:t>3</w:t>
      </w:r>
      <w:r>
        <w:t>-year period since the recession (between the first quarter of 2008 and the first quarter of 201</w:t>
      </w:r>
      <w:r w:rsidR="00E15AB0">
        <w:t>1</w:t>
      </w:r>
      <w:r>
        <w:t>).</w:t>
      </w:r>
    </w:p>
    <w:p w:rsidR="00895501" w:rsidRDefault="00895501"/>
    <w:p w:rsidR="00895501" w:rsidRDefault="00895501">
      <w:pPr>
        <w:numPr>
          <w:ilvl w:val="0"/>
          <w:numId w:val="12"/>
        </w:numPr>
      </w:pPr>
      <w:r>
        <w:t>There have not been, on average, real cuts in earnings since the recession. Neither public nor private sector pay has fallen in real terms between March 2008 and March 201</w:t>
      </w:r>
      <w:r w:rsidR="00E15AB0">
        <w:t>1</w:t>
      </w:r>
      <w:r>
        <w:t xml:space="preserve">: there were rather real increases in pay, overall, in both public and private sectors, and in all sub-sectors, even financial </w:t>
      </w:r>
      <w:r>
        <w:lastRenderedPageBreak/>
        <w:t xml:space="preserve">services. While the recession has led to much greater unemployment, there has not been the same impact on wages and salaries. </w:t>
      </w:r>
    </w:p>
    <w:p w:rsidR="00895501" w:rsidRDefault="00895501">
      <w:pPr>
        <w:ind w:left="720"/>
      </w:pPr>
    </w:p>
    <w:p w:rsidR="00895501" w:rsidRDefault="00895501">
      <w:pPr>
        <w:numPr>
          <w:ilvl w:val="0"/>
          <w:numId w:val="12"/>
        </w:numPr>
      </w:pPr>
      <w:r>
        <w:t xml:space="preserve">In the </w:t>
      </w:r>
      <w:r w:rsidR="00E15AB0">
        <w:t>3</w:t>
      </w:r>
      <w:r>
        <w:t xml:space="preserve"> year period of the crisis, private sector workers as a whole experienced a slower rise in earnings - about </w:t>
      </w:r>
      <w:r w:rsidR="00E15AB0">
        <w:t>5.2</w:t>
      </w:r>
      <w:r>
        <w:t xml:space="preserve">% - than state and municipal workers – about </w:t>
      </w:r>
      <w:r w:rsidR="00E15AB0">
        <w:t>5</w:t>
      </w:r>
      <w:r>
        <w:t>.8%. There were again differences and similarities in respect of sector and unionisation.</w:t>
      </w:r>
    </w:p>
    <w:p w:rsidR="00E15AB0" w:rsidRDefault="00895501">
      <w:pPr>
        <w:numPr>
          <w:ilvl w:val="1"/>
          <w:numId w:val="12"/>
        </w:numPr>
      </w:pPr>
      <w:r>
        <w:t xml:space="preserve">Within the private sector, workers in utilities experienced larger rises than other private sector workers, </w:t>
      </w:r>
      <w:r w:rsidR="00E15AB0">
        <w:t>and larger than the rise i</w:t>
      </w:r>
      <w:r>
        <w:t xml:space="preserve">n the public sector. </w:t>
      </w:r>
    </w:p>
    <w:p w:rsidR="00895501" w:rsidRDefault="00895501">
      <w:pPr>
        <w:numPr>
          <w:ilvl w:val="1"/>
          <w:numId w:val="12"/>
        </w:numPr>
      </w:pPr>
      <w:r>
        <w:t xml:space="preserve">The rise for education and health workers in the private sector, </w:t>
      </w:r>
      <w:r w:rsidR="00E15AB0">
        <w:t>5.6</w:t>
      </w:r>
      <w:r>
        <w:t xml:space="preserve">%, is similar to the rise for education and health workers in the public sector, </w:t>
      </w:r>
      <w:r w:rsidR="00E15AB0">
        <w:t>5.9</w:t>
      </w:r>
      <w:r>
        <w:t>%.</w:t>
      </w:r>
    </w:p>
    <w:p w:rsidR="00895501" w:rsidRDefault="00895501">
      <w:pPr>
        <w:numPr>
          <w:ilvl w:val="1"/>
          <w:numId w:val="12"/>
        </w:numPr>
      </w:pPr>
      <w:r>
        <w:t xml:space="preserve">Within the private sector, unionised workers experienced a </w:t>
      </w:r>
      <w:r w:rsidR="00A1382F">
        <w:t>7</w:t>
      </w:r>
      <w:r>
        <w:t xml:space="preserve">.7% rise, compared with a </w:t>
      </w:r>
      <w:r w:rsidR="00A1382F">
        <w:t>4.9</w:t>
      </w:r>
      <w:r>
        <w:t xml:space="preserve">% rise for non-union workers. </w:t>
      </w:r>
    </w:p>
    <w:p w:rsidR="00895501" w:rsidRDefault="00895501"/>
    <w:p w:rsidR="00895501" w:rsidRDefault="00895501">
      <w:r>
        <w:t>The second table presents indices of ‘total compensation’ including benefits, of which the most important in the USA is healthcare benefits. It shows that:</w:t>
      </w:r>
    </w:p>
    <w:p w:rsidR="00895501" w:rsidRDefault="00895501"/>
    <w:p w:rsidR="00895501" w:rsidRDefault="00895501">
      <w:pPr>
        <w:numPr>
          <w:ilvl w:val="0"/>
          <w:numId w:val="14"/>
        </w:numPr>
      </w:pPr>
      <w:r>
        <w:t>For all categories of workers, these benefits were rising faster than pay alone in the 7 years before the crisis, and have continued to rise faster during the crisis.</w:t>
      </w:r>
    </w:p>
    <w:p w:rsidR="00895501" w:rsidRDefault="00895501">
      <w:pPr>
        <w:numPr>
          <w:ilvl w:val="0"/>
          <w:numId w:val="14"/>
        </w:numPr>
      </w:pPr>
      <w:r>
        <w:t>Public sector workers as a whole have enjoyed a clear advantage over the previous 7 years, and have continued to do so since the start of the crisis. Once again, there are differences associated with unionisation and sector:</w:t>
      </w:r>
    </w:p>
    <w:p w:rsidR="00895501" w:rsidRDefault="00895501">
      <w:pPr>
        <w:numPr>
          <w:ilvl w:val="1"/>
          <w:numId w:val="14"/>
        </w:numPr>
      </w:pPr>
      <w:r>
        <w:t>Unionised workers in the private sector have a clear advantage over non-union workers from 2001-2008, and this differential is much sharper since 2008.</w:t>
      </w:r>
    </w:p>
    <w:p w:rsidR="00A1382F" w:rsidRDefault="00A1382F" w:rsidP="00A1382F">
      <w:pPr>
        <w:numPr>
          <w:ilvl w:val="1"/>
          <w:numId w:val="14"/>
        </w:numPr>
      </w:pPr>
      <w:r>
        <w:t>private</w:t>
      </w:r>
      <w:r w:rsidR="00895501">
        <w:t xml:space="preserve"> sector workers in utilities </w:t>
      </w:r>
      <w:r>
        <w:t>have gained an even greater advantage when benefits are included, as compared with pay</w:t>
      </w:r>
    </w:p>
    <w:p w:rsidR="00A1382F" w:rsidRDefault="00A1382F" w:rsidP="00A1382F"/>
    <w:p w:rsidR="00895501" w:rsidRDefault="00895501">
      <w:r>
        <w:t>The differences between public and private sectors are clearly strongly linked to the relative levels of unionisation. The public sector is much more highly unionised than the private sector – 37.4% compared with 7.2%, in 2009, a differen</w:t>
      </w:r>
      <w:r w:rsidR="00A1382F">
        <w:t>ce</w:t>
      </w:r>
      <w:r>
        <w:t xml:space="preserve"> which has become more</w:t>
      </w:r>
      <w:r w:rsidR="00A1382F">
        <w:t xml:space="preserve"> acute since the crisis started.</w:t>
      </w:r>
      <w:r>
        <w:t xml:space="preserve"> </w:t>
      </w:r>
      <w:r>
        <w:rPr>
          <w:rStyle w:val="EndnoteCharacters"/>
        </w:rPr>
        <w:endnoteReference w:id="2"/>
      </w:r>
      <w:r>
        <w:t xml:space="preserve">  The effect of unionisation is strengthened in the USA, as union workers’ pay is governed by legally binding collective agreements which cannot be broken until they expire, whereas employers can change non-union employees’ pay more quickly. One would therefore expect unionised workers pay to grow faster, or fall less rapidly, in a recession. Benefits are also likely to be greater under collective agreements.</w:t>
      </w:r>
    </w:p>
    <w:p w:rsidR="00895501" w:rsidRDefault="00895501"/>
    <w:p w:rsidR="00895501" w:rsidRDefault="00895501">
      <w:r>
        <w:t xml:space="preserve">There are also </w:t>
      </w:r>
      <w:proofErr w:type="spellStart"/>
      <w:r>
        <w:t>sectoral</w:t>
      </w:r>
      <w:proofErr w:type="spellEnd"/>
      <w:r>
        <w:t xml:space="preserve"> factors.  In education and health pay in both public and private sectors rises </w:t>
      </w:r>
      <w:r w:rsidR="00A1382F">
        <w:t xml:space="preserve">more </w:t>
      </w:r>
      <w:r>
        <w:t xml:space="preserve">than average, both before and after the crisis, as does that of utility workers (in the USA, principally in the private sector) and public administration workers (in the public sector). </w:t>
      </w:r>
      <w:r w:rsidR="00A1382F">
        <w:t xml:space="preserve">In the financial sector, </w:t>
      </w:r>
      <w:r>
        <w:t>before the crisis</w:t>
      </w:r>
      <w:r w:rsidR="00A1382F">
        <w:t>,</w:t>
      </w:r>
      <w:r>
        <w:t xml:space="preserve"> earnings grew 15% faster </w:t>
      </w:r>
      <w:r w:rsidR="00A1382F">
        <w:t xml:space="preserve">than the private sector overall: </w:t>
      </w:r>
      <w:r>
        <w:t xml:space="preserve">since the crisis </w:t>
      </w:r>
      <w:r w:rsidR="00A1382F">
        <w:t>it has kept pace with other workers</w:t>
      </w:r>
      <w:r>
        <w:t>.</w:t>
      </w:r>
      <w:r>
        <w:rPr>
          <w:rStyle w:val="EndnoteCharacters"/>
        </w:rPr>
        <w:endnoteReference w:id="3"/>
      </w:r>
      <w:r>
        <w:t xml:space="preserve"> </w:t>
      </w:r>
    </w:p>
    <w:p w:rsidR="00895501" w:rsidRDefault="00895501">
      <w:pPr>
        <w:pStyle w:val="Heading7"/>
      </w:pPr>
      <w:bookmarkStart w:id="22" w:name="_Toc297975162"/>
      <w:r>
        <w:t>USA: wages and salaries – all, private, union/non-union, public, selected sectors.</w:t>
      </w:r>
      <w:bookmarkEnd w:id="22"/>
      <w:r>
        <w:t xml:space="preserve"> </w:t>
      </w:r>
    </w:p>
    <w:tbl>
      <w:tblPr>
        <w:tblW w:w="0" w:type="auto"/>
        <w:tblInd w:w="31" w:type="dxa"/>
        <w:tblLayout w:type="fixed"/>
        <w:tblLook w:val="0000" w:firstRow="0" w:lastRow="0" w:firstColumn="0" w:lastColumn="0" w:noHBand="0" w:noVBand="0"/>
      </w:tblPr>
      <w:tblGrid>
        <w:gridCol w:w="1587"/>
        <w:gridCol w:w="2126"/>
        <w:gridCol w:w="850"/>
        <w:gridCol w:w="851"/>
        <w:gridCol w:w="900"/>
        <w:gridCol w:w="851"/>
        <w:gridCol w:w="992"/>
        <w:gridCol w:w="992"/>
      </w:tblGrid>
      <w:tr w:rsidR="00E15AB0" w:rsidTr="002066FA">
        <w:trPr>
          <w:trHeight w:val="765"/>
        </w:trPr>
        <w:tc>
          <w:tcPr>
            <w:tcW w:w="1587" w:type="dxa"/>
            <w:tcBorders>
              <w:top w:val="single" w:sz="4" w:space="0" w:color="000000"/>
              <w:left w:val="single" w:sz="4" w:space="0" w:color="000000"/>
              <w:bottom w:val="single" w:sz="4" w:space="0" w:color="000000"/>
            </w:tcBorders>
            <w:shd w:val="clear" w:color="auto" w:fill="auto"/>
          </w:tcPr>
          <w:p w:rsidR="00E15AB0" w:rsidRDefault="00E15AB0">
            <w:pPr>
              <w:rPr>
                <w:rFonts w:ascii="Calibri" w:hAnsi="Calibri"/>
                <w:color w:val="000000"/>
                <w:sz w:val="20"/>
                <w:szCs w:val="20"/>
              </w:rPr>
            </w:pPr>
            <w:r>
              <w:rPr>
                <w:rFonts w:ascii="Calibri" w:hAnsi="Calibri" w:cs="Calibri"/>
                <w:color w:val="000000"/>
                <w:sz w:val="20"/>
                <w:szCs w:val="20"/>
              </w:rPr>
              <w:t>Workers</w:t>
            </w:r>
          </w:p>
        </w:tc>
        <w:tc>
          <w:tcPr>
            <w:tcW w:w="2126" w:type="dxa"/>
            <w:tcBorders>
              <w:top w:val="single" w:sz="4" w:space="0" w:color="000000"/>
              <w:left w:val="single" w:sz="4" w:space="0" w:color="000000"/>
              <w:bottom w:val="single" w:sz="4" w:space="0" w:color="000000"/>
            </w:tcBorders>
            <w:shd w:val="clear" w:color="auto" w:fill="auto"/>
          </w:tcPr>
          <w:p w:rsidR="00E15AB0" w:rsidRDefault="00E15AB0">
            <w:pPr>
              <w:rPr>
                <w:rFonts w:ascii="Calibri" w:hAnsi="Calibri"/>
                <w:color w:val="000000"/>
                <w:sz w:val="20"/>
                <w:szCs w:val="20"/>
              </w:rPr>
            </w:pPr>
            <w:r>
              <w:rPr>
                <w:rFonts w:ascii="Calibri" w:hAnsi="Calibri"/>
                <w:color w:val="000000"/>
                <w:sz w:val="20"/>
                <w:szCs w:val="20"/>
                <w:lang w:val="en-US"/>
              </w:rPr>
              <w:t> </w:t>
            </w:r>
          </w:p>
        </w:tc>
        <w:tc>
          <w:tcPr>
            <w:tcW w:w="850"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March 2001</w:t>
            </w:r>
          </w:p>
        </w:tc>
        <w:tc>
          <w:tcPr>
            <w:tcW w:w="851"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March 2008</w:t>
            </w:r>
          </w:p>
        </w:tc>
        <w:tc>
          <w:tcPr>
            <w:tcW w:w="900"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March 2011</w:t>
            </w:r>
          </w:p>
        </w:tc>
        <w:tc>
          <w:tcPr>
            <w:tcW w:w="851" w:type="dxa"/>
            <w:tcBorders>
              <w:top w:val="single" w:sz="4" w:space="0" w:color="000000"/>
              <w:left w:val="single" w:sz="4" w:space="0" w:color="000000"/>
              <w:bottom w:val="single" w:sz="4" w:space="0" w:color="000000"/>
            </w:tcBorders>
            <w:shd w:val="clear" w:color="auto" w:fill="auto"/>
          </w:tcPr>
          <w:p w:rsidR="00E15AB0" w:rsidRDefault="00E15AB0">
            <w:pPr>
              <w:rPr>
                <w:rFonts w:ascii="Calibri" w:hAnsi="Calibri"/>
                <w:color w:val="000000"/>
                <w:sz w:val="20"/>
                <w:szCs w:val="20"/>
              </w:rPr>
            </w:pPr>
            <w:r>
              <w:rPr>
                <w:rFonts w:ascii="Calibri" w:hAnsi="Calibri" w:cs="Calibri"/>
                <w:color w:val="000000"/>
                <w:sz w:val="20"/>
                <w:szCs w:val="20"/>
              </w:rPr>
              <w:t>%Rise March 2001-March 2008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AB0" w:rsidRDefault="00E15AB0">
            <w:pPr>
              <w:rPr>
                <w:rFonts w:ascii="Calibri" w:hAnsi="Calibri"/>
                <w:color w:val="000000"/>
                <w:sz w:val="20"/>
                <w:szCs w:val="20"/>
              </w:rPr>
            </w:pPr>
            <w:r>
              <w:rPr>
                <w:rFonts w:ascii="Calibri" w:hAnsi="Calibri" w:cs="Calibri"/>
                <w:color w:val="000000"/>
                <w:sz w:val="20"/>
                <w:szCs w:val="20"/>
              </w:rPr>
              <w:t>%Rise March 2008-march 2011</w:t>
            </w:r>
          </w:p>
        </w:tc>
        <w:tc>
          <w:tcPr>
            <w:tcW w:w="992" w:type="dxa"/>
            <w:tcBorders>
              <w:top w:val="single" w:sz="4" w:space="0" w:color="000000"/>
              <w:left w:val="single" w:sz="4" w:space="0" w:color="000000"/>
              <w:bottom w:val="single" w:sz="4" w:space="0" w:color="000000"/>
              <w:right w:val="single" w:sz="4" w:space="0" w:color="000000"/>
            </w:tcBorders>
            <w:vAlign w:val="bottom"/>
          </w:tcPr>
          <w:p w:rsidR="00E15AB0" w:rsidRDefault="00E15AB0">
            <w:pPr>
              <w:rPr>
                <w:rFonts w:ascii="Calibri" w:hAnsi="Calibri"/>
                <w:color w:val="000000"/>
                <w:sz w:val="18"/>
                <w:szCs w:val="18"/>
              </w:rPr>
            </w:pPr>
            <w:r>
              <w:rPr>
                <w:rFonts w:ascii="Calibri" w:hAnsi="Calibri"/>
                <w:color w:val="000000"/>
                <w:sz w:val="18"/>
                <w:szCs w:val="18"/>
              </w:rPr>
              <w:t>real % rise March 2008-March 2011</w:t>
            </w:r>
          </w:p>
        </w:tc>
      </w:tr>
      <w:tr w:rsidR="002066FA" w:rsidTr="008F2A2D">
        <w:trPr>
          <w:trHeight w:val="255"/>
        </w:trPr>
        <w:tc>
          <w:tcPr>
            <w:tcW w:w="1587" w:type="dxa"/>
            <w:tcBorders>
              <w:top w:val="single" w:sz="4" w:space="0" w:color="000000"/>
              <w:left w:val="single" w:sz="4" w:space="0" w:color="000000"/>
              <w:bottom w:val="single" w:sz="4" w:space="0" w:color="000000"/>
            </w:tcBorders>
            <w:shd w:val="clear" w:color="auto" w:fill="auto"/>
          </w:tcPr>
          <w:p w:rsidR="002066FA" w:rsidRDefault="002066FA">
            <w:pPr>
              <w:rPr>
                <w:rFonts w:ascii="Calibri" w:hAnsi="Calibri"/>
                <w:color w:val="000000"/>
                <w:sz w:val="20"/>
                <w:szCs w:val="20"/>
              </w:rPr>
            </w:pPr>
            <w:r>
              <w:rPr>
                <w:rFonts w:ascii="Calibri" w:hAnsi="Calibri" w:cs="Calibri"/>
                <w:color w:val="000000"/>
                <w:sz w:val="20"/>
                <w:szCs w:val="20"/>
              </w:rPr>
              <w:t>All civilian</w:t>
            </w:r>
          </w:p>
        </w:tc>
        <w:tc>
          <w:tcPr>
            <w:tcW w:w="2126" w:type="dxa"/>
            <w:tcBorders>
              <w:top w:val="single" w:sz="4" w:space="0" w:color="000000"/>
              <w:left w:val="single" w:sz="4" w:space="0" w:color="000000"/>
              <w:bottom w:val="single" w:sz="4" w:space="0" w:color="000000"/>
            </w:tcBorders>
            <w:shd w:val="clear" w:color="auto" w:fill="auto"/>
          </w:tcPr>
          <w:p w:rsidR="002066FA" w:rsidRDefault="002066FA">
            <w:pPr>
              <w:rPr>
                <w:rFonts w:ascii="Calibri" w:hAnsi="Calibri"/>
                <w:color w:val="000000"/>
                <w:sz w:val="20"/>
                <w:szCs w:val="20"/>
              </w:rPr>
            </w:pPr>
            <w:r>
              <w:rPr>
                <w:rFonts w:ascii="Calibri" w:hAnsi="Calibri"/>
                <w:color w:val="000000"/>
                <w:sz w:val="20"/>
                <w:szCs w:val="20"/>
                <w:lang w:val="en-US"/>
              </w:rPr>
              <w:t> </w:t>
            </w:r>
          </w:p>
        </w:tc>
        <w:tc>
          <w:tcPr>
            <w:tcW w:w="850"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87.6</w:t>
            </w:r>
          </w:p>
        </w:tc>
        <w:tc>
          <w:tcPr>
            <w:tcW w:w="851"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107.6</w:t>
            </w:r>
          </w:p>
        </w:tc>
        <w:tc>
          <w:tcPr>
            <w:tcW w:w="900"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113.4</w:t>
            </w:r>
          </w:p>
        </w:tc>
        <w:tc>
          <w:tcPr>
            <w:tcW w:w="851"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22.8%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5.4%</w:t>
            </w:r>
          </w:p>
        </w:tc>
        <w:tc>
          <w:tcPr>
            <w:tcW w:w="992" w:type="dxa"/>
            <w:tcBorders>
              <w:top w:val="single" w:sz="4" w:space="0" w:color="000000"/>
              <w:left w:val="single" w:sz="4" w:space="0" w:color="000000"/>
              <w:bottom w:val="single" w:sz="4" w:space="0" w:color="000000"/>
              <w:right w:val="single" w:sz="4" w:space="0" w:color="000000"/>
            </w:tcBorders>
          </w:tcPr>
          <w:p w:rsidR="002066FA" w:rsidRDefault="002066FA">
            <w:pPr>
              <w:jc w:val="right"/>
              <w:rPr>
                <w:rFonts w:ascii="Calibri" w:hAnsi="Calibri"/>
                <w:color w:val="000000"/>
                <w:sz w:val="20"/>
                <w:szCs w:val="20"/>
              </w:rPr>
            </w:pPr>
            <w:r>
              <w:rPr>
                <w:rFonts w:ascii="Calibri" w:hAnsi="Calibri" w:cs="Calibri"/>
                <w:color w:val="000000"/>
                <w:sz w:val="20"/>
                <w:szCs w:val="20"/>
              </w:rPr>
              <w:t>0.9%</w:t>
            </w:r>
          </w:p>
        </w:tc>
      </w:tr>
      <w:tr w:rsidR="002066FA" w:rsidTr="008F2A2D">
        <w:trPr>
          <w:trHeight w:val="255"/>
        </w:trPr>
        <w:tc>
          <w:tcPr>
            <w:tcW w:w="1587" w:type="dxa"/>
            <w:tcBorders>
              <w:top w:val="single" w:sz="4" w:space="0" w:color="000000"/>
              <w:left w:val="single" w:sz="4" w:space="0" w:color="000000"/>
              <w:bottom w:val="single" w:sz="4" w:space="0" w:color="000000"/>
            </w:tcBorders>
            <w:shd w:val="clear" w:color="auto" w:fill="auto"/>
          </w:tcPr>
          <w:p w:rsidR="002066FA" w:rsidRDefault="002066FA">
            <w:pPr>
              <w:rPr>
                <w:rFonts w:ascii="Calibri" w:hAnsi="Calibri"/>
                <w:color w:val="000000"/>
                <w:sz w:val="20"/>
                <w:szCs w:val="20"/>
              </w:rPr>
            </w:pPr>
            <w:r>
              <w:rPr>
                <w:rFonts w:ascii="Calibri" w:hAnsi="Calibri" w:cs="Calibri"/>
                <w:color w:val="000000"/>
                <w:sz w:val="20"/>
                <w:szCs w:val="20"/>
              </w:rPr>
              <w:t>Private sector</w:t>
            </w:r>
          </w:p>
        </w:tc>
        <w:tc>
          <w:tcPr>
            <w:tcW w:w="2126" w:type="dxa"/>
            <w:tcBorders>
              <w:top w:val="single" w:sz="4" w:space="0" w:color="000000"/>
              <w:left w:val="single" w:sz="4" w:space="0" w:color="000000"/>
              <w:bottom w:val="single" w:sz="4" w:space="0" w:color="000000"/>
            </w:tcBorders>
            <w:shd w:val="clear" w:color="auto" w:fill="auto"/>
          </w:tcPr>
          <w:p w:rsidR="002066FA" w:rsidRDefault="002066FA">
            <w:pPr>
              <w:rPr>
                <w:rFonts w:ascii="Calibri" w:hAnsi="Calibri"/>
                <w:color w:val="000000"/>
                <w:sz w:val="20"/>
                <w:szCs w:val="20"/>
              </w:rPr>
            </w:pPr>
            <w:r>
              <w:rPr>
                <w:rFonts w:ascii="Calibri" w:hAnsi="Calibri" w:cs="Calibri"/>
                <w:color w:val="000000"/>
                <w:sz w:val="20"/>
                <w:szCs w:val="20"/>
              </w:rPr>
              <w:t>All</w:t>
            </w:r>
          </w:p>
        </w:tc>
        <w:tc>
          <w:tcPr>
            <w:tcW w:w="850"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87.6</w:t>
            </w:r>
          </w:p>
        </w:tc>
        <w:tc>
          <w:tcPr>
            <w:tcW w:w="851"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107.6</w:t>
            </w:r>
          </w:p>
        </w:tc>
        <w:tc>
          <w:tcPr>
            <w:tcW w:w="900"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113.2</w:t>
            </w:r>
          </w:p>
        </w:tc>
        <w:tc>
          <w:tcPr>
            <w:tcW w:w="851"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22.8%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5.2%</w:t>
            </w:r>
          </w:p>
        </w:tc>
        <w:tc>
          <w:tcPr>
            <w:tcW w:w="992" w:type="dxa"/>
            <w:tcBorders>
              <w:top w:val="single" w:sz="4" w:space="0" w:color="000000"/>
              <w:left w:val="single" w:sz="4" w:space="0" w:color="000000"/>
              <w:bottom w:val="single" w:sz="4" w:space="0" w:color="000000"/>
              <w:right w:val="single" w:sz="4" w:space="0" w:color="000000"/>
            </w:tcBorders>
          </w:tcPr>
          <w:p w:rsidR="002066FA" w:rsidRDefault="002066FA">
            <w:pPr>
              <w:jc w:val="right"/>
              <w:rPr>
                <w:rFonts w:ascii="Calibri" w:hAnsi="Calibri"/>
                <w:color w:val="000000"/>
                <w:sz w:val="20"/>
                <w:szCs w:val="20"/>
              </w:rPr>
            </w:pPr>
            <w:r>
              <w:rPr>
                <w:rFonts w:ascii="Calibri" w:hAnsi="Calibri" w:cs="Calibri"/>
                <w:color w:val="000000"/>
                <w:sz w:val="20"/>
                <w:szCs w:val="20"/>
              </w:rPr>
              <w:t>0.7%</w:t>
            </w:r>
          </w:p>
        </w:tc>
      </w:tr>
      <w:tr w:rsidR="002066FA" w:rsidTr="008F2A2D">
        <w:trPr>
          <w:trHeight w:val="255"/>
        </w:trPr>
        <w:tc>
          <w:tcPr>
            <w:tcW w:w="1587" w:type="dxa"/>
            <w:tcBorders>
              <w:top w:val="single" w:sz="4" w:space="0" w:color="000000"/>
              <w:left w:val="single" w:sz="4" w:space="0" w:color="000000"/>
              <w:bottom w:val="single" w:sz="4" w:space="0" w:color="000000"/>
            </w:tcBorders>
            <w:shd w:val="clear" w:color="auto" w:fill="auto"/>
          </w:tcPr>
          <w:p w:rsidR="002066FA" w:rsidRDefault="002066FA">
            <w:pPr>
              <w:rPr>
                <w:rFonts w:ascii="Calibri" w:hAnsi="Calibri"/>
                <w:color w:val="000000"/>
                <w:sz w:val="20"/>
                <w:szCs w:val="20"/>
              </w:rPr>
            </w:pPr>
            <w:r>
              <w:rPr>
                <w:rFonts w:ascii="Calibri" w:hAnsi="Calibri"/>
                <w:color w:val="000000"/>
                <w:sz w:val="20"/>
                <w:szCs w:val="20"/>
                <w:lang w:val="en-US"/>
              </w:rPr>
              <w:t> </w:t>
            </w:r>
          </w:p>
        </w:tc>
        <w:tc>
          <w:tcPr>
            <w:tcW w:w="2126" w:type="dxa"/>
            <w:tcBorders>
              <w:top w:val="single" w:sz="4" w:space="0" w:color="000000"/>
              <w:left w:val="single" w:sz="4" w:space="0" w:color="000000"/>
              <w:bottom w:val="single" w:sz="4" w:space="0" w:color="000000"/>
            </w:tcBorders>
            <w:shd w:val="clear" w:color="auto" w:fill="auto"/>
          </w:tcPr>
          <w:p w:rsidR="002066FA" w:rsidRDefault="002066FA">
            <w:pPr>
              <w:rPr>
                <w:rFonts w:ascii="Calibri" w:hAnsi="Calibri"/>
                <w:color w:val="000000"/>
                <w:sz w:val="20"/>
                <w:szCs w:val="20"/>
              </w:rPr>
            </w:pPr>
            <w:r>
              <w:rPr>
                <w:rFonts w:ascii="Calibri" w:hAnsi="Calibri" w:cs="Calibri"/>
                <w:color w:val="000000"/>
                <w:sz w:val="20"/>
                <w:szCs w:val="20"/>
              </w:rPr>
              <w:t xml:space="preserve">Union </w:t>
            </w:r>
          </w:p>
        </w:tc>
        <w:tc>
          <w:tcPr>
            <w:tcW w:w="850"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86.5</w:t>
            </w:r>
          </w:p>
        </w:tc>
        <w:tc>
          <w:tcPr>
            <w:tcW w:w="851"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105.5</w:t>
            </w:r>
          </w:p>
        </w:tc>
        <w:tc>
          <w:tcPr>
            <w:tcW w:w="900"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113.6</w:t>
            </w:r>
          </w:p>
        </w:tc>
        <w:tc>
          <w:tcPr>
            <w:tcW w:w="851"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22.0%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7.7%</w:t>
            </w:r>
          </w:p>
        </w:tc>
        <w:tc>
          <w:tcPr>
            <w:tcW w:w="992" w:type="dxa"/>
            <w:tcBorders>
              <w:top w:val="single" w:sz="4" w:space="0" w:color="000000"/>
              <w:left w:val="single" w:sz="4" w:space="0" w:color="000000"/>
              <w:bottom w:val="single" w:sz="4" w:space="0" w:color="000000"/>
              <w:right w:val="single" w:sz="4" w:space="0" w:color="000000"/>
            </w:tcBorders>
          </w:tcPr>
          <w:p w:rsidR="002066FA" w:rsidRDefault="002066FA">
            <w:pPr>
              <w:jc w:val="right"/>
              <w:rPr>
                <w:rFonts w:ascii="Calibri" w:hAnsi="Calibri"/>
                <w:color w:val="000000"/>
                <w:sz w:val="20"/>
                <w:szCs w:val="20"/>
              </w:rPr>
            </w:pPr>
            <w:r>
              <w:rPr>
                <w:rFonts w:ascii="Calibri" w:hAnsi="Calibri" w:cs="Calibri"/>
                <w:color w:val="000000"/>
                <w:sz w:val="20"/>
                <w:szCs w:val="20"/>
              </w:rPr>
              <w:t>3.0%</w:t>
            </w:r>
          </w:p>
        </w:tc>
      </w:tr>
      <w:tr w:rsidR="002066FA" w:rsidTr="008F2A2D">
        <w:trPr>
          <w:trHeight w:val="255"/>
        </w:trPr>
        <w:tc>
          <w:tcPr>
            <w:tcW w:w="1587" w:type="dxa"/>
            <w:tcBorders>
              <w:top w:val="single" w:sz="4" w:space="0" w:color="000000"/>
              <w:left w:val="single" w:sz="4" w:space="0" w:color="000000"/>
              <w:bottom w:val="single" w:sz="4" w:space="0" w:color="000000"/>
            </w:tcBorders>
            <w:shd w:val="clear" w:color="auto" w:fill="auto"/>
          </w:tcPr>
          <w:p w:rsidR="002066FA" w:rsidRDefault="002066FA">
            <w:pPr>
              <w:rPr>
                <w:rFonts w:ascii="Calibri" w:hAnsi="Calibri"/>
                <w:color w:val="000000"/>
                <w:sz w:val="20"/>
                <w:szCs w:val="20"/>
              </w:rPr>
            </w:pPr>
            <w:r>
              <w:rPr>
                <w:rFonts w:ascii="Calibri" w:hAnsi="Calibri"/>
                <w:color w:val="000000"/>
                <w:sz w:val="20"/>
                <w:szCs w:val="20"/>
                <w:lang w:val="en-US"/>
              </w:rPr>
              <w:t> </w:t>
            </w:r>
          </w:p>
        </w:tc>
        <w:tc>
          <w:tcPr>
            <w:tcW w:w="2126" w:type="dxa"/>
            <w:tcBorders>
              <w:top w:val="single" w:sz="4" w:space="0" w:color="000000"/>
              <w:left w:val="single" w:sz="4" w:space="0" w:color="000000"/>
              <w:bottom w:val="single" w:sz="4" w:space="0" w:color="000000"/>
            </w:tcBorders>
            <w:shd w:val="clear" w:color="auto" w:fill="auto"/>
          </w:tcPr>
          <w:p w:rsidR="002066FA" w:rsidRDefault="002066FA">
            <w:pPr>
              <w:rPr>
                <w:rFonts w:ascii="Calibri" w:hAnsi="Calibri"/>
                <w:color w:val="000000"/>
                <w:sz w:val="20"/>
                <w:szCs w:val="20"/>
              </w:rPr>
            </w:pPr>
            <w:r>
              <w:rPr>
                <w:rFonts w:ascii="Calibri" w:hAnsi="Calibri" w:cs="Calibri"/>
                <w:color w:val="000000"/>
                <w:sz w:val="20"/>
                <w:szCs w:val="20"/>
              </w:rPr>
              <w:t>Non-union</w:t>
            </w:r>
          </w:p>
        </w:tc>
        <w:tc>
          <w:tcPr>
            <w:tcW w:w="850"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87.7</w:t>
            </w:r>
          </w:p>
        </w:tc>
        <w:tc>
          <w:tcPr>
            <w:tcW w:w="851"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107.9</w:t>
            </w:r>
          </w:p>
        </w:tc>
        <w:tc>
          <w:tcPr>
            <w:tcW w:w="900"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113.2</w:t>
            </w:r>
          </w:p>
        </w:tc>
        <w:tc>
          <w:tcPr>
            <w:tcW w:w="851"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23.0%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4.9%</w:t>
            </w:r>
          </w:p>
        </w:tc>
        <w:tc>
          <w:tcPr>
            <w:tcW w:w="992" w:type="dxa"/>
            <w:tcBorders>
              <w:top w:val="single" w:sz="4" w:space="0" w:color="000000"/>
              <w:left w:val="single" w:sz="4" w:space="0" w:color="000000"/>
              <w:bottom w:val="single" w:sz="4" w:space="0" w:color="000000"/>
              <w:right w:val="single" w:sz="4" w:space="0" w:color="000000"/>
            </w:tcBorders>
          </w:tcPr>
          <w:p w:rsidR="002066FA" w:rsidRDefault="002066FA">
            <w:pPr>
              <w:jc w:val="right"/>
              <w:rPr>
                <w:rFonts w:ascii="Calibri" w:hAnsi="Calibri"/>
                <w:color w:val="000000"/>
                <w:sz w:val="20"/>
                <w:szCs w:val="20"/>
              </w:rPr>
            </w:pPr>
            <w:r>
              <w:rPr>
                <w:rFonts w:ascii="Calibri" w:hAnsi="Calibri" w:cs="Calibri"/>
                <w:color w:val="000000"/>
                <w:sz w:val="20"/>
                <w:szCs w:val="20"/>
              </w:rPr>
              <w:t>0.4%</w:t>
            </w:r>
          </w:p>
        </w:tc>
      </w:tr>
      <w:tr w:rsidR="002066FA" w:rsidTr="008F2A2D">
        <w:trPr>
          <w:trHeight w:val="255"/>
        </w:trPr>
        <w:tc>
          <w:tcPr>
            <w:tcW w:w="1587" w:type="dxa"/>
            <w:tcBorders>
              <w:top w:val="single" w:sz="4" w:space="0" w:color="000000"/>
              <w:left w:val="single" w:sz="4" w:space="0" w:color="000000"/>
              <w:bottom w:val="single" w:sz="4" w:space="0" w:color="000000"/>
            </w:tcBorders>
            <w:shd w:val="clear" w:color="auto" w:fill="auto"/>
          </w:tcPr>
          <w:p w:rsidR="002066FA" w:rsidRDefault="002066FA">
            <w:pPr>
              <w:rPr>
                <w:rFonts w:ascii="Calibri" w:hAnsi="Calibri"/>
                <w:color w:val="000000"/>
                <w:sz w:val="20"/>
                <w:szCs w:val="20"/>
              </w:rPr>
            </w:pPr>
            <w:r>
              <w:rPr>
                <w:rFonts w:ascii="Calibri" w:hAnsi="Calibri"/>
                <w:color w:val="000000"/>
                <w:sz w:val="20"/>
                <w:szCs w:val="20"/>
                <w:lang w:val="en-US"/>
              </w:rPr>
              <w:t> </w:t>
            </w:r>
          </w:p>
        </w:tc>
        <w:tc>
          <w:tcPr>
            <w:tcW w:w="2126" w:type="dxa"/>
            <w:tcBorders>
              <w:top w:val="single" w:sz="4" w:space="0" w:color="000000"/>
              <w:left w:val="single" w:sz="4" w:space="0" w:color="000000"/>
              <w:bottom w:val="single" w:sz="4" w:space="0" w:color="000000"/>
            </w:tcBorders>
            <w:shd w:val="clear" w:color="auto" w:fill="auto"/>
          </w:tcPr>
          <w:p w:rsidR="002066FA" w:rsidRDefault="002066FA">
            <w:pPr>
              <w:rPr>
                <w:rFonts w:ascii="Calibri" w:hAnsi="Calibri"/>
                <w:color w:val="000000"/>
                <w:sz w:val="20"/>
                <w:szCs w:val="20"/>
              </w:rPr>
            </w:pPr>
            <w:r>
              <w:rPr>
                <w:rFonts w:ascii="Calibri" w:hAnsi="Calibri" w:cs="Calibri"/>
                <w:color w:val="000000"/>
                <w:sz w:val="20"/>
                <w:szCs w:val="20"/>
              </w:rPr>
              <w:t>Manufacturing</w:t>
            </w:r>
          </w:p>
        </w:tc>
        <w:tc>
          <w:tcPr>
            <w:tcW w:w="850"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88.2</w:t>
            </w:r>
          </w:p>
        </w:tc>
        <w:tc>
          <w:tcPr>
            <w:tcW w:w="851"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105.9</w:t>
            </w:r>
          </w:p>
        </w:tc>
        <w:tc>
          <w:tcPr>
            <w:tcW w:w="900"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111.4</w:t>
            </w:r>
          </w:p>
        </w:tc>
        <w:tc>
          <w:tcPr>
            <w:tcW w:w="851"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20.1%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5.2%</w:t>
            </w:r>
          </w:p>
        </w:tc>
        <w:tc>
          <w:tcPr>
            <w:tcW w:w="992" w:type="dxa"/>
            <w:tcBorders>
              <w:top w:val="single" w:sz="4" w:space="0" w:color="000000"/>
              <w:left w:val="single" w:sz="4" w:space="0" w:color="000000"/>
              <w:bottom w:val="single" w:sz="4" w:space="0" w:color="000000"/>
              <w:right w:val="single" w:sz="4" w:space="0" w:color="000000"/>
            </w:tcBorders>
          </w:tcPr>
          <w:p w:rsidR="002066FA" w:rsidRDefault="002066FA">
            <w:pPr>
              <w:jc w:val="right"/>
              <w:rPr>
                <w:rFonts w:ascii="Calibri" w:hAnsi="Calibri"/>
                <w:color w:val="000000"/>
                <w:sz w:val="20"/>
                <w:szCs w:val="20"/>
              </w:rPr>
            </w:pPr>
            <w:r>
              <w:rPr>
                <w:rFonts w:ascii="Calibri" w:hAnsi="Calibri" w:cs="Calibri"/>
                <w:color w:val="000000"/>
                <w:sz w:val="20"/>
                <w:szCs w:val="20"/>
              </w:rPr>
              <w:t>0.7%</w:t>
            </w:r>
          </w:p>
        </w:tc>
      </w:tr>
      <w:tr w:rsidR="002066FA" w:rsidTr="008F2A2D">
        <w:trPr>
          <w:trHeight w:val="255"/>
        </w:trPr>
        <w:tc>
          <w:tcPr>
            <w:tcW w:w="1587" w:type="dxa"/>
            <w:tcBorders>
              <w:top w:val="single" w:sz="4" w:space="0" w:color="000000"/>
              <w:left w:val="single" w:sz="4" w:space="0" w:color="000000"/>
              <w:bottom w:val="single" w:sz="4" w:space="0" w:color="000000"/>
            </w:tcBorders>
            <w:shd w:val="clear" w:color="auto" w:fill="auto"/>
          </w:tcPr>
          <w:p w:rsidR="002066FA" w:rsidRDefault="002066FA">
            <w:pPr>
              <w:rPr>
                <w:rFonts w:ascii="Calibri" w:hAnsi="Calibri"/>
                <w:color w:val="000000"/>
                <w:sz w:val="20"/>
                <w:szCs w:val="20"/>
              </w:rPr>
            </w:pPr>
            <w:r>
              <w:rPr>
                <w:rFonts w:ascii="Calibri" w:hAnsi="Calibri"/>
                <w:color w:val="000000"/>
                <w:sz w:val="20"/>
                <w:szCs w:val="20"/>
                <w:lang w:val="en-US"/>
              </w:rPr>
              <w:t> </w:t>
            </w:r>
          </w:p>
        </w:tc>
        <w:tc>
          <w:tcPr>
            <w:tcW w:w="2126" w:type="dxa"/>
            <w:tcBorders>
              <w:top w:val="single" w:sz="4" w:space="0" w:color="000000"/>
              <w:left w:val="single" w:sz="4" w:space="0" w:color="000000"/>
              <w:bottom w:val="single" w:sz="4" w:space="0" w:color="000000"/>
            </w:tcBorders>
            <w:shd w:val="clear" w:color="auto" w:fill="auto"/>
          </w:tcPr>
          <w:p w:rsidR="002066FA" w:rsidRDefault="002066FA">
            <w:pPr>
              <w:rPr>
                <w:rFonts w:ascii="Calibri" w:hAnsi="Calibri"/>
                <w:color w:val="000000"/>
                <w:sz w:val="20"/>
                <w:szCs w:val="20"/>
              </w:rPr>
            </w:pPr>
            <w:r>
              <w:rPr>
                <w:rFonts w:ascii="Calibri" w:hAnsi="Calibri" w:cs="Calibri"/>
                <w:color w:val="000000"/>
                <w:sz w:val="20"/>
                <w:szCs w:val="20"/>
              </w:rPr>
              <w:t xml:space="preserve">Financial services </w:t>
            </w:r>
          </w:p>
        </w:tc>
        <w:tc>
          <w:tcPr>
            <w:tcW w:w="850"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84.9</w:t>
            </w:r>
          </w:p>
        </w:tc>
        <w:tc>
          <w:tcPr>
            <w:tcW w:w="851"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107.2</w:t>
            </w:r>
          </w:p>
        </w:tc>
        <w:tc>
          <w:tcPr>
            <w:tcW w:w="900"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113.0</w:t>
            </w:r>
          </w:p>
        </w:tc>
        <w:tc>
          <w:tcPr>
            <w:tcW w:w="851"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26.3%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5.4%</w:t>
            </w:r>
          </w:p>
        </w:tc>
        <w:tc>
          <w:tcPr>
            <w:tcW w:w="992" w:type="dxa"/>
            <w:tcBorders>
              <w:top w:val="single" w:sz="4" w:space="0" w:color="000000"/>
              <w:left w:val="single" w:sz="4" w:space="0" w:color="000000"/>
              <w:bottom w:val="single" w:sz="4" w:space="0" w:color="000000"/>
              <w:right w:val="single" w:sz="4" w:space="0" w:color="000000"/>
            </w:tcBorders>
          </w:tcPr>
          <w:p w:rsidR="002066FA" w:rsidRDefault="002066FA">
            <w:pPr>
              <w:jc w:val="right"/>
              <w:rPr>
                <w:rFonts w:ascii="Calibri" w:hAnsi="Calibri"/>
                <w:color w:val="000000"/>
                <w:sz w:val="20"/>
                <w:szCs w:val="20"/>
              </w:rPr>
            </w:pPr>
            <w:r>
              <w:rPr>
                <w:rFonts w:ascii="Calibri" w:hAnsi="Calibri" w:cs="Calibri"/>
                <w:color w:val="000000"/>
                <w:sz w:val="20"/>
                <w:szCs w:val="20"/>
              </w:rPr>
              <w:t>0.9%</w:t>
            </w:r>
          </w:p>
        </w:tc>
      </w:tr>
      <w:tr w:rsidR="002066FA" w:rsidTr="008F2A2D">
        <w:trPr>
          <w:trHeight w:val="255"/>
        </w:trPr>
        <w:tc>
          <w:tcPr>
            <w:tcW w:w="1587" w:type="dxa"/>
            <w:tcBorders>
              <w:top w:val="single" w:sz="4" w:space="0" w:color="000000"/>
              <w:left w:val="single" w:sz="4" w:space="0" w:color="000000"/>
              <w:bottom w:val="single" w:sz="4" w:space="0" w:color="000000"/>
            </w:tcBorders>
            <w:shd w:val="clear" w:color="auto" w:fill="auto"/>
          </w:tcPr>
          <w:p w:rsidR="002066FA" w:rsidRDefault="002066FA">
            <w:pPr>
              <w:rPr>
                <w:rFonts w:ascii="Calibri" w:hAnsi="Calibri"/>
                <w:color w:val="000000"/>
                <w:sz w:val="20"/>
                <w:szCs w:val="20"/>
              </w:rPr>
            </w:pPr>
            <w:r>
              <w:rPr>
                <w:rFonts w:ascii="Calibri" w:hAnsi="Calibri"/>
                <w:color w:val="000000"/>
                <w:sz w:val="20"/>
                <w:szCs w:val="20"/>
                <w:lang w:val="en-US"/>
              </w:rPr>
              <w:t> </w:t>
            </w:r>
          </w:p>
        </w:tc>
        <w:tc>
          <w:tcPr>
            <w:tcW w:w="2126" w:type="dxa"/>
            <w:tcBorders>
              <w:top w:val="single" w:sz="4" w:space="0" w:color="000000"/>
              <w:left w:val="single" w:sz="4" w:space="0" w:color="000000"/>
              <w:bottom w:val="single" w:sz="4" w:space="0" w:color="000000"/>
            </w:tcBorders>
            <w:shd w:val="clear" w:color="auto" w:fill="auto"/>
          </w:tcPr>
          <w:p w:rsidR="002066FA" w:rsidRDefault="002066FA">
            <w:pPr>
              <w:rPr>
                <w:rFonts w:ascii="Calibri" w:hAnsi="Calibri"/>
                <w:color w:val="000000"/>
                <w:sz w:val="20"/>
                <w:szCs w:val="20"/>
              </w:rPr>
            </w:pPr>
            <w:r>
              <w:rPr>
                <w:rFonts w:ascii="Calibri" w:hAnsi="Calibri" w:cs="Calibri"/>
                <w:color w:val="000000"/>
                <w:sz w:val="20"/>
                <w:szCs w:val="20"/>
              </w:rPr>
              <w:t>Education and health</w:t>
            </w:r>
          </w:p>
        </w:tc>
        <w:tc>
          <w:tcPr>
            <w:tcW w:w="850"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85.6</w:t>
            </w:r>
          </w:p>
        </w:tc>
        <w:tc>
          <w:tcPr>
            <w:tcW w:w="851"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108.6</w:t>
            </w:r>
          </w:p>
        </w:tc>
        <w:tc>
          <w:tcPr>
            <w:tcW w:w="900"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114.7</w:t>
            </w:r>
          </w:p>
        </w:tc>
        <w:tc>
          <w:tcPr>
            <w:tcW w:w="851"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26.9%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5.6%</w:t>
            </w:r>
          </w:p>
        </w:tc>
        <w:tc>
          <w:tcPr>
            <w:tcW w:w="992" w:type="dxa"/>
            <w:tcBorders>
              <w:top w:val="single" w:sz="4" w:space="0" w:color="000000"/>
              <w:left w:val="single" w:sz="4" w:space="0" w:color="000000"/>
              <w:bottom w:val="single" w:sz="4" w:space="0" w:color="000000"/>
              <w:right w:val="single" w:sz="4" w:space="0" w:color="000000"/>
            </w:tcBorders>
          </w:tcPr>
          <w:p w:rsidR="002066FA" w:rsidRDefault="002066FA">
            <w:pPr>
              <w:jc w:val="right"/>
              <w:rPr>
                <w:rFonts w:ascii="Calibri" w:hAnsi="Calibri"/>
                <w:color w:val="000000"/>
                <w:sz w:val="20"/>
                <w:szCs w:val="20"/>
              </w:rPr>
            </w:pPr>
            <w:r>
              <w:rPr>
                <w:rFonts w:ascii="Calibri" w:hAnsi="Calibri" w:cs="Calibri"/>
                <w:color w:val="000000"/>
                <w:sz w:val="20"/>
                <w:szCs w:val="20"/>
              </w:rPr>
              <w:t>1.1%</w:t>
            </w:r>
          </w:p>
        </w:tc>
      </w:tr>
      <w:tr w:rsidR="002066FA" w:rsidTr="008F2A2D">
        <w:trPr>
          <w:trHeight w:val="255"/>
        </w:trPr>
        <w:tc>
          <w:tcPr>
            <w:tcW w:w="1587" w:type="dxa"/>
            <w:tcBorders>
              <w:top w:val="single" w:sz="4" w:space="0" w:color="000000"/>
              <w:left w:val="single" w:sz="4" w:space="0" w:color="000000"/>
              <w:bottom w:val="single" w:sz="4" w:space="0" w:color="000000"/>
            </w:tcBorders>
            <w:shd w:val="clear" w:color="auto" w:fill="auto"/>
          </w:tcPr>
          <w:p w:rsidR="002066FA" w:rsidRDefault="002066FA">
            <w:pPr>
              <w:rPr>
                <w:rFonts w:ascii="Calibri" w:hAnsi="Calibri"/>
                <w:color w:val="000000"/>
                <w:sz w:val="20"/>
                <w:szCs w:val="20"/>
              </w:rPr>
            </w:pPr>
            <w:r>
              <w:rPr>
                <w:rFonts w:ascii="Calibri" w:hAnsi="Calibri"/>
                <w:color w:val="000000"/>
                <w:sz w:val="20"/>
                <w:szCs w:val="20"/>
                <w:lang w:val="en-US"/>
              </w:rPr>
              <w:t> </w:t>
            </w:r>
          </w:p>
        </w:tc>
        <w:tc>
          <w:tcPr>
            <w:tcW w:w="2126" w:type="dxa"/>
            <w:tcBorders>
              <w:top w:val="single" w:sz="4" w:space="0" w:color="000000"/>
              <w:left w:val="single" w:sz="4" w:space="0" w:color="000000"/>
              <w:bottom w:val="single" w:sz="4" w:space="0" w:color="000000"/>
            </w:tcBorders>
            <w:shd w:val="clear" w:color="auto" w:fill="auto"/>
          </w:tcPr>
          <w:p w:rsidR="002066FA" w:rsidRDefault="002066FA">
            <w:pPr>
              <w:rPr>
                <w:rFonts w:ascii="Calibri" w:hAnsi="Calibri"/>
                <w:color w:val="000000"/>
                <w:sz w:val="20"/>
                <w:szCs w:val="20"/>
              </w:rPr>
            </w:pPr>
            <w:r>
              <w:rPr>
                <w:rFonts w:ascii="Calibri" w:hAnsi="Calibri" w:cs="Calibri"/>
                <w:color w:val="000000"/>
                <w:sz w:val="20"/>
                <w:szCs w:val="20"/>
              </w:rPr>
              <w:t>Utilities</w:t>
            </w:r>
          </w:p>
        </w:tc>
        <w:tc>
          <w:tcPr>
            <w:tcW w:w="850"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olor w:val="000000"/>
                <w:sz w:val="20"/>
                <w:szCs w:val="20"/>
                <w:lang w:val="en-US"/>
              </w:rPr>
              <w:t> </w:t>
            </w:r>
          </w:p>
        </w:tc>
        <w:tc>
          <w:tcPr>
            <w:tcW w:w="851"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108.0</w:t>
            </w:r>
          </w:p>
        </w:tc>
        <w:tc>
          <w:tcPr>
            <w:tcW w:w="900"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116.9</w:t>
            </w:r>
          </w:p>
        </w:tc>
        <w:tc>
          <w:tcPr>
            <w:tcW w:w="851"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olor w:val="000000"/>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8.2%</w:t>
            </w:r>
          </w:p>
        </w:tc>
        <w:tc>
          <w:tcPr>
            <w:tcW w:w="992" w:type="dxa"/>
            <w:tcBorders>
              <w:top w:val="single" w:sz="4" w:space="0" w:color="000000"/>
              <w:left w:val="single" w:sz="4" w:space="0" w:color="000000"/>
              <w:bottom w:val="single" w:sz="4" w:space="0" w:color="000000"/>
              <w:right w:val="single" w:sz="4" w:space="0" w:color="000000"/>
            </w:tcBorders>
          </w:tcPr>
          <w:p w:rsidR="002066FA" w:rsidRDefault="002066FA">
            <w:pPr>
              <w:jc w:val="right"/>
              <w:rPr>
                <w:rFonts w:ascii="Calibri" w:hAnsi="Calibri"/>
                <w:color w:val="000000"/>
                <w:sz w:val="20"/>
                <w:szCs w:val="20"/>
              </w:rPr>
            </w:pPr>
            <w:r>
              <w:rPr>
                <w:rFonts w:ascii="Calibri" w:hAnsi="Calibri" w:cs="Calibri"/>
                <w:color w:val="000000"/>
                <w:sz w:val="20"/>
                <w:szCs w:val="20"/>
              </w:rPr>
              <w:t>3.6%</w:t>
            </w:r>
          </w:p>
        </w:tc>
      </w:tr>
      <w:tr w:rsidR="002066FA" w:rsidTr="008F2A2D">
        <w:trPr>
          <w:trHeight w:val="510"/>
        </w:trPr>
        <w:tc>
          <w:tcPr>
            <w:tcW w:w="1587" w:type="dxa"/>
            <w:tcBorders>
              <w:top w:val="single" w:sz="4" w:space="0" w:color="000000"/>
              <w:left w:val="single" w:sz="4" w:space="0" w:color="000000"/>
              <w:bottom w:val="single" w:sz="4" w:space="0" w:color="000000"/>
            </w:tcBorders>
            <w:shd w:val="clear" w:color="auto" w:fill="auto"/>
          </w:tcPr>
          <w:p w:rsidR="002066FA" w:rsidRDefault="002066FA">
            <w:pPr>
              <w:rPr>
                <w:rFonts w:ascii="Calibri" w:hAnsi="Calibri"/>
                <w:color w:val="000000"/>
                <w:sz w:val="20"/>
                <w:szCs w:val="20"/>
              </w:rPr>
            </w:pPr>
            <w:r>
              <w:rPr>
                <w:rFonts w:ascii="Calibri" w:hAnsi="Calibri" w:cs="Calibri"/>
                <w:color w:val="000000"/>
                <w:sz w:val="20"/>
                <w:szCs w:val="20"/>
              </w:rPr>
              <w:t>State and local government</w:t>
            </w:r>
          </w:p>
        </w:tc>
        <w:tc>
          <w:tcPr>
            <w:tcW w:w="2126" w:type="dxa"/>
            <w:tcBorders>
              <w:top w:val="single" w:sz="4" w:space="0" w:color="000000"/>
              <w:left w:val="single" w:sz="4" w:space="0" w:color="000000"/>
              <w:bottom w:val="single" w:sz="4" w:space="0" w:color="000000"/>
            </w:tcBorders>
            <w:shd w:val="clear" w:color="auto" w:fill="auto"/>
          </w:tcPr>
          <w:p w:rsidR="002066FA" w:rsidRDefault="002066FA">
            <w:pPr>
              <w:rPr>
                <w:rFonts w:ascii="Calibri" w:hAnsi="Calibri"/>
                <w:color w:val="000000"/>
                <w:sz w:val="20"/>
                <w:szCs w:val="20"/>
              </w:rPr>
            </w:pPr>
            <w:r>
              <w:rPr>
                <w:rFonts w:ascii="Calibri" w:hAnsi="Calibri" w:cs="Calibri"/>
                <w:color w:val="000000"/>
                <w:sz w:val="20"/>
                <w:szCs w:val="20"/>
              </w:rPr>
              <w:t>All</w:t>
            </w:r>
          </w:p>
        </w:tc>
        <w:tc>
          <w:tcPr>
            <w:tcW w:w="850"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87.6</w:t>
            </w:r>
          </w:p>
        </w:tc>
        <w:tc>
          <w:tcPr>
            <w:tcW w:w="851"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107.8</w:t>
            </w:r>
          </w:p>
        </w:tc>
        <w:tc>
          <w:tcPr>
            <w:tcW w:w="900"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114.1</w:t>
            </w:r>
          </w:p>
        </w:tc>
        <w:tc>
          <w:tcPr>
            <w:tcW w:w="851"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23.1%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5.8%</w:t>
            </w:r>
          </w:p>
        </w:tc>
        <w:tc>
          <w:tcPr>
            <w:tcW w:w="992" w:type="dxa"/>
            <w:tcBorders>
              <w:top w:val="single" w:sz="4" w:space="0" w:color="000000"/>
              <w:left w:val="single" w:sz="4" w:space="0" w:color="000000"/>
              <w:bottom w:val="single" w:sz="4" w:space="0" w:color="000000"/>
              <w:right w:val="single" w:sz="4" w:space="0" w:color="000000"/>
            </w:tcBorders>
          </w:tcPr>
          <w:p w:rsidR="002066FA" w:rsidRDefault="002066FA">
            <w:pPr>
              <w:jc w:val="right"/>
              <w:rPr>
                <w:rFonts w:ascii="Calibri" w:hAnsi="Calibri"/>
                <w:color w:val="000000"/>
                <w:sz w:val="20"/>
                <w:szCs w:val="20"/>
              </w:rPr>
            </w:pPr>
            <w:r>
              <w:rPr>
                <w:rFonts w:ascii="Calibri" w:hAnsi="Calibri" w:cs="Calibri"/>
                <w:color w:val="000000"/>
                <w:sz w:val="20"/>
                <w:szCs w:val="20"/>
              </w:rPr>
              <w:t>1.3%</w:t>
            </w:r>
          </w:p>
        </w:tc>
      </w:tr>
      <w:tr w:rsidR="002066FA" w:rsidTr="008F2A2D">
        <w:trPr>
          <w:trHeight w:val="255"/>
        </w:trPr>
        <w:tc>
          <w:tcPr>
            <w:tcW w:w="1587" w:type="dxa"/>
            <w:tcBorders>
              <w:top w:val="single" w:sz="4" w:space="0" w:color="000000"/>
              <w:left w:val="single" w:sz="4" w:space="0" w:color="000000"/>
              <w:bottom w:val="single" w:sz="4" w:space="0" w:color="000000"/>
            </w:tcBorders>
            <w:shd w:val="clear" w:color="auto" w:fill="auto"/>
          </w:tcPr>
          <w:p w:rsidR="002066FA" w:rsidRDefault="002066FA">
            <w:pPr>
              <w:rPr>
                <w:rFonts w:ascii="Calibri" w:hAnsi="Calibri"/>
                <w:color w:val="000000"/>
                <w:sz w:val="20"/>
                <w:szCs w:val="20"/>
              </w:rPr>
            </w:pPr>
            <w:r>
              <w:rPr>
                <w:rFonts w:ascii="Calibri" w:hAnsi="Calibri"/>
                <w:color w:val="000000"/>
                <w:sz w:val="20"/>
                <w:szCs w:val="20"/>
                <w:lang w:val="en-US"/>
              </w:rPr>
              <w:t> </w:t>
            </w:r>
          </w:p>
        </w:tc>
        <w:tc>
          <w:tcPr>
            <w:tcW w:w="2126" w:type="dxa"/>
            <w:tcBorders>
              <w:top w:val="single" w:sz="4" w:space="0" w:color="000000"/>
              <w:left w:val="single" w:sz="4" w:space="0" w:color="000000"/>
              <w:bottom w:val="single" w:sz="4" w:space="0" w:color="000000"/>
            </w:tcBorders>
            <w:shd w:val="clear" w:color="auto" w:fill="auto"/>
          </w:tcPr>
          <w:p w:rsidR="002066FA" w:rsidRDefault="002066FA">
            <w:pPr>
              <w:rPr>
                <w:rFonts w:ascii="Calibri" w:hAnsi="Calibri"/>
                <w:color w:val="000000"/>
                <w:sz w:val="20"/>
                <w:szCs w:val="20"/>
              </w:rPr>
            </w:pPr>
            <w:r>
              <w:rPr>
                <w:rFonts w:ascii="Calibri" w:hAnsi="Calibri" w:cs="Calibri"/>
                <w:color w:val="000000"/>
                <w:sz w:val="20"/>
                <w:szCs w:val="20"/>
              </w:rPr>
              <w:t>Education and health</w:t>
            </w:r>
          </w:p>
        </w:tc>
        <w:tc>
          <w:tcPr>
            <w:tcW w:w="850"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n/a</w:t>
            </w:r>
          </w:p>
        </w:tc>
        <w:tc>
          <w:tcPr>
            <w:tcW w:w="851"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107.6</w:t>
            </w:r>
          </w:p>
        </w:tc>
        <w:tc>
          <w:tcPr>
            <w:tcW w:w="900"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113.9</w:t>
            </w:r>
          </w:p>
        </w:tc>
        <w:tc>
          <w:tcPr>
            <w:tcW w:w="851"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olor w:val="000000"/>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5.9%</w:t>
            </w:r>
          </w:p>
        </w:tc>
        <w:tc>
          <w:tcPr>
            <w:tcW w:w="992" w:type="dxa"/>
            <w:tcBorders>
              <w:top w:val="single" w:sz="4" w:space="0" w:color="000000"/>
              <w:left w:val="single" w:sz="4" w:space="0" w:color="000000"/>
              <w:bottom w:val="single" w:sz="4" w:space="0" w:color="000000"/>
              <w:right w:val="single" w:sz="4" w:space="0" w:color="000000"/>
            </w:tcBorders>
          </w:tcPr>
          <w:p w:rsidR="002066FA" w:rsidRDefault="002066FA">
            <w:pPr>
              <w:jc w:val="right"/>
              <w:rPr>
                <w:rFonts w:ascii="Calibri" w:hAnsi="Calibri"/>
                <w:color w:val="000000"/>
                <w:sz w:val="20"/>
                <w:szCs w:val="20"/>
              </w:rPr>
            </w:pPr>
            <w:r>
              <w:rPr>
                <w:rFonts w:ascii="Calibri" w:hAnsi="Calibri" w:cs="Calibri"/>
                <w:color w:val="000000"/>
                <w:sz w:val="20"/>
                <w:szCs w:val="20"/>
              </w:rPr>
              <w:t>1.3%</w:t>
            </w:r>
          </w:p>
        </w:tc>
      </w:tr>
      <w:tr w:rsidR="002066FA" w:rsidTr="008F2A2D">
        <w:trPr>
          <w:trHeight w:val="255"/>
        </w:trPr>
        <w:tc>
          <w:tcPr>
            <w:tcW w:w="1587" w:type="dxa"/>
            <w:tcBorders>
              <w:top w:val="single" w:sz="4" w:space="0" w:color="000000"/>
              <w:left w:val="single" w:sz="4" w:space="0" w:color="000000"/>
              <w:bottom w:val="single" w:sz="4" w:space="0" w:color="000000"/>
            </w:tcBorders>
            <w:shd w:val="clear" w:color="auto" w:fill="auto"/>
          </w:tcPr>
          <w:p w:rsidR="002066FA" w:rsidRDefault="002066FA">
            <w:pPr>
              <w:rPr>
                <w:rFonts w:ascii="Calibri" w:hAnsi="Calibri"/>
                <w:color w:val="000000"/>
                <w:sz w:val="20"/>
                <w:szCs w:val="20"/>
              </w:rPr>
            </w:pPr>
            <w:r>
              <w:rPr>
                <w:rFonts w:ascii="Calibri" w:hAnsi="Calibri"/>
                <w:color w:val="000000"/>
                <w:sz w:val="20"/>
                <w:szCs w:val="20"/>
                <w:lang w:val="en-US"/>
              </w:rPr>
              <w:t> </w:t>
            </w:r>
          </w:p>
        </w:tc>
        <w:tc>
          <w:tcPr>
            <w:tcW w:w="2126" w:type="dxa"/>
            <w:tcBorders>
              <w:top w:val="single" w:sz="4" w:space="0" w:color="000000"/>
              <w:left w:val="single" w:sz="4" w:space="0" w:color="000000"/>
              <w:bottom w:val="single" w:sz="4" w:space="0" w:color="000000"/>
            </w:tcBorders>
            <w:shd w:val="clear" w:color="auto" w:fill="auto"/>
          </w:tcPr>
          <w:p w:rsidR="002066FA" w:rsidRDefault="002066FA">
            <w:pPr>
              <w:rPr>
                <w:rFonts w:ascii="Calibri" w:hAnsi="Calibri"/>
                <w:color w:val="000000"/>
                <w:sz w:val="20"/>
                <w:szCs w:val="20"/>
              </w:rPr>
            </w:pPr>
            <w:r>
              <w:rPr>
                <w:rFonts w:ascii="Calibri" w:hAnsi="Calibri" w:cs="Calibri"/>
                <w:color w:val="000000"/>
                <w:sz w:val="20"/>
                <w:szCs w:val="20"/>
              </w:rPr>
              <w:t>Public administration</w:t>
            </w:r>
          </w:p>
        </w:tc>
        <w:tc>
          <w:tcPr>
            <w:tcW w:w="850"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n/a</w:t>
            </w:r>
          </w:p>
        </w:tc>
        <w:tc>
          <w:tcPr>
            <w:tcW w:w="851"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108.1</w:t>
            </w:r>
          </w:p>
        </w:tc>
        <w:tc>
          <w:tcPr>
            <w:tcW w:w="900"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114.3</w:t>
            </w:r>
          </w:p>
        </w:tc>
        <w:tc>
          <w:tcPr>
            <w:tcW w:w="851"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olor w:val="000000"/>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66FA" w:rsidRDefault="002066FA">
            <w:pPr>
              <w:jc w:val="right"/>
              <w:rPr>
                <w:rFonts w:ascii="Calibri" w:hAnsi="Calibri"/>
                <w:color w:val="000000"/>
                <w:sz w:val="20"/>
                <w:szCs w:val="20"/>
              </w:rPr>
            </w:pPr>
            <w:r>
              <w:rPr>
                <w:rFonts w:ascii="Calibri" w:hAnsi="Calibri" w:cs="Calibri"/>
                <w:color w:val="000000"/>
                <w:sz w:val="20"/>
                <w:szCs w:val="20"/>
              </w:rPr>
              <w:t>5.7%</w:t>
            </w:r>
          </w:p>
        </w:tc>
        <w:tc>
          <w:tcPr>
            <w:tcW w:w="992" w:type="dxa"/>
            <w:tcBorders>
              <w:top w:val="single" w:sz="4" w:space="0" w:color="000000"/>
              <w:left w:val="single" w:sz="4" w:space="0" w:color="000000"/>
              <w:bottom w:val="single" w:sz="4" w:space="0" w:color="000000"/>
              <w:right w:val="single" w:sz="4" w:space="0" w:color="000000"/>
            </w:tcBorders>
          </w:tcPr>
          <w:p w:rsidR="002066FA" w:rsidRDefault="002066FA">
            <w:pPr>
              <w:jc w:val="right"/>
              <w:rPr>
                <w:rFonts w:ascii="Calibri" w:hAnsi="Calibri"/>
                <w:color w:val="000000"/>
                <w:sz w:val="20"/>
                <w:szCs w:val="20"/>
              </w:rPr>
            </w:pPr>
            <w:r>
              <w:rPr>
                <w:rFonts w:ascii="Calibri" w:hAnsi="Calibri" w:cs="Calibri"/>
                <w:color w:val="000000"/>
                <w:sz w:val="20"/>
                <w:szCs w:val="20"/>
              </w:rPr>
              <w:t>1.2%</w:t>
            </w:r>
          </w:p>
        </w:tc>
      </w:tr>
      <w:tr w:rsidR="002066FA" w:rsidTr="008F2A2D">
        <w:trPr>
          <w:trHeight w:val="255"/>
        </w:trPr>
        <w:tc>
          <w:tcPr>
            <w:tcW w:w="1587" w:type="dxa"/>
            <w:tcBorders>
              <w:top w:val="single" w:sz="4" w:space="0" w:color="000000"/>
              <w:left w:val="single" w:sz="4" w:space="0" w:color="000000"/>
              <w:bottom w:val="single" w:sz="4" w:space="0" w:color="000000"/>
            </w:tcBorders>
            <w:shd w:val="clear" w:color="auto" w:fill="auto"/>
          </w:tcPr>
          <w:p w:rsidR="002066FA" w:rsidRDefault="002066FA">
            <w:pPr>
              <w:rPr>
                <w:rFonts w:ascii="Calibri" w:hAnsi="Calibri"/>
                <w:i/>
                <w:iCs/>
                <w:color w:val="000000"/>
                <w:sz w:val="20"/>
                <w:szCs w:val="20"/>
              </w:rPr>
            </w:pPr>
            <w:r>
              <w:rPr>
                <w:rFonts w:ascii="Calibri" w:hAnsi="Calibri"/>
                <w:i/>
                <w:iCs/>
                <w:color w:val="000000"/>
                <w:sz w:val="20"/>
                <w:szCs w:val="20"/>
                <w:lang w:val="en-US"/>
              </w:rPr>
              <w:lastRenderedPageBreak/>
              <w:t xml:space="preserve">Memo: price inflation </w:t>
            </w:r>
          </w:p>
        </w:tc>
        <w:tc>
          <w:tcPr>
            <w:tcW w:w="2126" w:type="dxa"/>
            <w:tcBorders>
              <w:top w:val="single" w:sz="4" w:space="0" w:color="000000"/>
              <w:left w:val="single" w:sz="4" w:space="0" w:color="000000"/>
              <w:bottom w:val="single" w:sz="4" w:space="0" w:color="000000"/>
            </w:tcBorders>
            <w:shd w:val="clear" w:color="auto" w:fill="auto"/>
          </w:tcPr>
          <w:p w:rsidR="002066FA" w:rsidRDefault="002066FA">
            <w:pPr>
              <w:rPr>
                <w:rFonts w:ascii="Calibri" w:hAnsi="Calibri"/>
                <w:i/>
                <w:iCs/>
                <w:color w:val="000000"/>
                <w:sz w:val="20"/>
                <w:szCs w:val="20"/>
              </w:rPr>
            </w:pPr>
            <w:r>
              <w:rPr>
                <w:rFonts w:ascii="Calibri" w:hAnsi="Calibri"/>
                <w:i/>
                <w:iCs/>
                <w:color w:val="000000"/>
                <w:sz w:val="20"/>
                <w:szCs w:val="20"/>
                <w:lang w:val="en-US"/>
              </w:rPr>
              <w:t>March 2008- march 2011</w:t>
            </w:r>
          </w:p>
        </w:tc>
        <w:tc>
          <w:tcPr>
            <w:tcW w:w="850"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i/>
                <w:iCs/>
                <w:color w:val="000000"/>
                <w:sz w:val="20"/>
                <w:szCs w:val="20"/>
              </w:rPr>
            </w:pPr>
            <w:r>
              <w:rPr>
                <w:rFonts w:ascii="Calibri" w:hAnsi="Calibri" w:cs="Calibri"/>
                <w:i/>
                <w:iCs/>
                <w:color w:val="000000"/>
                <w:sz w:val="20"/>
                <w:szCs w:val="20"/>
              </w:rPr>
              <w:t> </w:t>
            </w:r>
          </w:p>
        </w:tc>
        <w:tc>
          <w:tcPr>
            <w:tcW w:w="851"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i/>
                <w:iCs/>
                <w:color w:val="000000"/>
                <w:sz w:val="20"/>
                <w:szCs w:val="20"/>
              </w:rPr>
            </w:pPr>
            <w:r>
              <w:rPr>
                <w:rFonts w:ascii="Calibri" w:hAnsi="Calibri" w:cs="Calibri"/>
                <w:i/>
                <w:iCs/>
                <w:color w:val="000000"/>
                <w:sz w:val="20"/>
                <w:szCs w:val="20"/>
              </w:rPr>
              <w:t> </w:t>
            </w:r>
          </w:p>
        </w:tc>
        <w:tc>
          <w:tcPr>
            <w:tcW w:w="900"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i/>
                <w:iCs/>
                <w:color w:val="000000"/>
                <w:sz w:val="20"/>
                <w:szCs w:val="20"/>
              </w:rPr>
            </w:pPr>
            <w:r>
              <w:rPr>
                <w:rFonts w:ascii="Calibri" w:hAnsi="Calibri" w:cs="Calibri"/>
                <w:i/>
                <w:iCs/>
                <w:color w:val="000000"/>
                <w:sz w:val="20"/>
                <w:szCs w:val="20"/>
              </w:rPr>
              <w:t> </w:t>
            </w:r>
          </w:p>
        </w:tc>
        <w:tc>
          <w:tcPr>
            <w:tcW w:w="851" w:type="dxa"/>
            <w:tcBorders>
              <w:top w:val="single" w:sz="4" w:space="0" w:color="000000"/>
              <w:left w:val="single" w:sz="4" w:space="0" w:color="000000"/>
              <w:bottom w:val="single" w:sz="4" w:space="0" w:color="000000"/>
            </w:tcBorders>
            <w:shd w:val="clear" w:color="auto" w:fill="auto"/>
          </w:tcPr>
          <w:p w:rsidR="002066FA" w:rsidRDefault="002066FA">
            <w:pPr>
              <w:jc w:val="right"/>
              <w:rPr>
                <w:rFonts w:ascii="Calibri" w:hAnsi="Calibri"/>
                <w:i/>
                <w:iCs/>
                <w:color w:val="000000"/>
                <w:sz w:val="20"/>
                <w:szCs w:val="20"/>
              </w:rPr>
            </w:pPr>
            <w:r>
              <w:rPr>
                <w:rFonts w:ascii="Calibri" w:hAnsi="Calibri" w:cs="Calibri"/>
                <w:i/>
                <w:iCs/>
                <w:color w:val="000000"/>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66FA" w:rsidRDefault="002066FA">
            <w:pPr>
              <w:jc w:val="right"/>
              <w:rPr>
                <w:rFonts w:ascii="Calibri" w:hAnsi="Calibri"/>
                <w:i/>
                <w:iCs/>
                <w:color w:val="000000"/>
                <w:sz w:val="20"/>
                <w:szCs w:val="20"/>
              </w:rPr>
            </w:pPr>
            <w:r>
              <w:rPr>
                <w:rFonts w:ascii="Calibri" w:hAnsi="Calibri" w:cs="Calibri"/>
                <w:i/>
                <w:iCs/>
                <w:color w:val="000000"/>
                <w:sz w:val="20"/>
                <w:szCs w:val="20"/>
              </w:rPr>
              <w:t>4.50%</w:t>
            </w:r>
          </w:p>
        </w:tc>
        <w:tc>
          <w:tcPr>
            <w:tcW w:w="992" w:type="dxa"/>
            <w:tcBorders>
              <w:top w:val="single" w:sz="4" w:space="0" w:color="000000"/>
              <w:left w:val="single" w:sz="4" w:space="0" w:color="000000"/>
              <w:bottom w:val="single" w:sz="4" w:space="0" w:color="000000"/>
              <w:right w:val="single" w:sz="4" w:space="0" w:color="000000"/>
            </w:tcBorders>
          </w:tcPr>
          <w:p w:rsidR="002066FA" w:rsidRDefault="002066FA">
            <w:pPr>
              <w:jc w:val="right"/>
              <w:rPr>
                <w:rFonts w:ascii="Calibri" w:hAnsi="Calibri"/>
                <w:i/>
                <w:iCs/>
                <w:color w:val="000000"/>
                <w:sz w:val="20"/>
                <w:szCs w:val="20"/>
              </w:rPr>
            </w:pPr>
            <w:r>
              <w:rPr>
                <w:rFonts w:ascii="Calibri" w:hAnsi="Calibri" w:cs="Calibri"/>
                <w:i/>
                <w:iCs/>
                <w:color w:val="000000"/>
                <w:sz w:val="20"/>
                <w:szCs w:val="20"/>
              </w:rPr>
              <w:t> </w:t>
            </w:r>
          </w:p>
        </w:tc>
      </w:tr>
    </w:tbl>
    <w:p w:rsidR="00895501" w:rsidRPr="00FA45C5" w:rsidRDefault="00895501">
      <w:pPr>
        <w:autoSpaceDE w:val="0"/>
        <w:rPr>
          <w:bCs/>
          <w:sz w:val="20"/>
          <w:szCs w:val="20"/>
          <w:lang w:val="en-US"/>
        </w:rPr>
      </w:pPr>
      <w:r w:rsidRPr="00FA45C5">
        <w:rPr>
          <w:bCs/>
          <w:sz w:val="20"/>
          <w:szCs w:val="20"/>
          <w:lang w:val="en-US"/>
        </w:rPr>
        <w:t xml:space="preserve">Source: USA BLS </w:t>
      </w:r>
      <w:proofErr w:type="gramStart"/>
      <w:r w:rsidRPr="00FA45C5">
        <w:rPr>
          <w:bCs/>
          <w:sz w:val="20"/>
          <w:szCs w:val="20"/>
          <w:lang w:val="en-US"/>
        </w:rPr>
        <w:t>201</w:t>
      </w:r>
      <w:r w:rsidR="00C96716">
        <w:rPr>
          <w:bCs/>
          <w:sz w:val="20"/>
          <w:szCs w:val="20"/>
          <w:lang w:val="en-US"/>
        </w:rPr>
        <w:t>1</w:t>
      </w:r>
      <w:r w:rsidRPr="00FA45C5">
        <w:rPr>
          <w:bCs/>
          <w:sz w:val="20"/>
          <w:szCs w:val="20"/>
          <w:lang w:val="en-US"/>
        </w:rPr>
        <w:t xml:space="preserve"> .</w:t>
      </w:r>
      <w:proofErr w:type="gramEnd"/>
      <w:r w:rsidRPr="00FA45C5">
        <w:rPr>
          <w:bCs/>
          <w:sz w:val="20"/>
          <w:szCs w:val="20"/>
          <w:lang w:val="en-US"/>
        </w:rPr>
        <w:t xml:space="preserve"> </w:t>
      </w:r>
      <w:proofErr w:type="gramStart"/>
      <w:r w:rsidRPr="00FA45C5">
        <w:rPr>
          <w:bCs/>
          <w:sz w:val="20"/>
          <w:szCs w:val="20"/>
          <w:lang w:val="en-US"/>
        </w:rPr>
        <w:t>Employment Cost Index Historical Listing Current-dollar March 2001 – March 201</w:t>
      </w:r>
      <w:r w:rsidR="00C96716">
        <w:rPr>
          <w:bCs/>
          <w:sz w:val="20"/>
          <w:szCs w:val="20"/>
          <w:lang w:val="en-US"/>
        </w:rPr>
        <w:t>1</w:t>
      </w:r>
      <w:r w:rsidRPr="00FA45C5">
        <w:rPr>
          <w:bCs/>
          <w:sz w:val="20"/>
          <w:szCs w:val="20"/>
          <w:lang w:val="en-US"/>
        </w:rPr>
        <w:t xml:space="preserve"> (December 2005=100) </w:t>
      </w:r>
      <w:hyperlink r:id="rId19" w:history="1">
        <w:r w:rsidRPr="00FA45C5">
          <w:rPr>
            <w:rStyle w:val="Hyperlink"/>
            <w:sz w:val="20"/>
            <w:szCs w:val="20"/>
          </w:rPr>
          <w:t>http://www.bls.gov/web/eci/echistrynaics.pdf</w:t>
        </w:r>
      </w:hyperlink>
      <w:r w:rsidRPr="00FA45C5">
        <w:rPr>
          <w:sz w:val="20"/>
          <w:szCs w:val="20"/>
        </w:rPr>
        <w:t xml:space="preserve">   </w:t>
      </w:r>
      <w:r w:rsidRPr="00FA45C5">
        <w:rPr>
          <w:bCs/>
          <w:sz w:val="20"/>
          <w:szCs w:val="20"/>
          <w:lang w:val="en-US"/>
        </w:rPr>
        <w:t>Table 2.</w:t>
      </w:r>
      <w:proofErr w:type="gramEnd"/>
      <w:r w:rsidRPr="00FA45C5">
        <w:rPr>
          <w:bCs/>
          <w:sz w:val="20"/>
          <w:szCs w:val="20"/>
          <w:lang w:val="en-US"/>
        </w:rPr>
        <w:t xml:space="preserve"> Employment Cost Index for wages and salaries, by occupational group and </w:t>
      </w:r>
      <w:proofErr w:type="gramStart"/>
      <w:r w:rsidRPr="00FA45C5">
        <w:rPr>
          <w:bCs/>
          <w:sz w:val="20"/>
          <w:szCs w:val="20"/>
          <w:lang w:val="en-US"/>
        </w:rPr>
        <w:t xml:space="preserve">industry  </w:t>
      </w:r>
      <w:r w:rsidRPr="00FA45C5">
        <w:rPr>
          <w:sz w:val="20"/>
          <w:szCs w:val="20"/>
          <w:lang w:val="en-US"/>
        </w:rPr>
        <w:t>(</w:t>
      </w:r>
      <w:proofErr w:type="gramEnd"/>
      <w:r w:rsidRPr="00FA45C5">
        <w:rPr>
          <w:sz w:val="20"/>
          <w:szCs w:val="20"/>
          <w:lang w:val="en-US"/>
        </w:rPr>
        <w:t>Seasonally adjusted)</w:t>
      </w:r>
      <w:r w:rsidRPr="00FA45C5">
        <w:rPr>
          <w:bCs/>
          <w:sz w:val="20"/>
          <w:szCs w:val="20"/>
          <w:lang w:val="en-US"/>
        </w:rPr>
        <w:t xml:space="preserve">; inflation rate from US consumer price index </w:t>
      </w:r>
      <w:hyperlink r:id="rId20" w:history="1">
        <w:r w:rsidR="002D22EB" w:rsidRPr="00F20664">
          <w:rPr>
            <w:rStyle w:val="Hyperlink"/>
            <w:sz w:val="20"/>
            <w:szCs w:val="20"/>
          </w:rPr>
          <w:t>http://www.usinflationcalculator.com/inflation/consumer-price-index-and-annual-percent-changes-from-1913-to-2008/</w:t>
        </w:r>
      </w:hyperlink>
      <w:r w:rsidRPr="00FA45C5">
        <w:rPr>
          <w:bCs/>
          <w:sz w:val="20"/>
          <w:szCs w:val="20"/>
          <w:lang w:val="en-US"/>
        </w:rPr>
        <w:t xml:space="preserve"> </w:t>
      </w:r>
    </w:p>
    <w:p w:rsidR="0021143A" w:rsidRDefault="0021143A">
      <w:pPr>
        <w:autoSpaceDE w:val="0"/>
        <w:rPr>
          <w:rFonts w:ascii="Arial" w:hAnsi="Arial" w:cs="Arial"/>
          <w:bCs/>
          <w:sz w:val="20"/>
          <w:szCs w:val="20"/>
          <w:lang w:val="en-US"/>
        </w:rPr>
      </w:pPr>
    </w:p>
    <w:p w:rsidR="00895501" w:rsidRDefault="00895501">
      <w:pPr>
        <w:pStyle w:val="Heading7"/>
      </w:pPr>
      <w:bookmarkStart w:id="23" w:name="_Toc297975163"/>
      <w:r>
        <w:t>USA: index of total compensation, including healthcare and other benefits</w:t>
      </w:r>
      <w:bookmarkEnd w:id="23"/>
      <w:r>
        <w:t xml:space="preserve"> </w:t>
      </w:r>
    </w:p>
    <w:tbl>
      <w:tblPr>
        <w:tblW w:w="0" w:type="auto"/>
        <w:tblInd w:w="31" w:type="dxa"/>
        <w:tblLayout w:type="fixed"/>
        <w:tblLook w:val="0000" w:firstRow="0" w:lastRow="0" w:firstColumn="0" w:lastColumn="0" w:noHBand="0" w:noVBand="0"/>
      </w:tblPr>
      <w:tblGrid>
        <w:gridCol w:w="1587"/>
        <w:gridCol w:w="2126"/>
        <w:gridCol w:w="850"/>
        <w:gridCol w:w="851"/>
        <w:gridCol w:w="900"/>
        <w:gridCol w:w="851"/>
        <w:gridCol w:w="992"/>
        <w:gridCol w:w="992"/>
      </w:tblGrid>
      <w:tr w:rsidR="00E15AB0" w:rsidTr="00E15AB0">
        <w:trPr>
          <w:trHeight w:val="765"/>
        </w:trPr>
        <w:tc>
          <w:tcPr>
            <w:tcW w:w="1587" w:type="dxa"/>
            <w:tcBorders>
              <w:top w:val="single" w:sz="4" w:space="0" w:color="000000"/>
              <w:left w:val="single" w:sz="4" w:space="0" w:color="000000"/>
              <w:bottom w:val="single" w:sz="4" w:space="0" w:color="000000"/>
            </w:tcBorders>
            <w:shd w:val="clear" w:color="auto" w:fill="auto"/>
          </w:tcPr>
          <w:p w:rsidR="00E15AB0" w:rsidRDefault="00E15AB0">
            <w:pPr>
              <w:rPr>
                <w:rFonts w:ascii="Calibri" w:hAnsi="Calibri"/>
                <w:color w:val="000000"/>
                <w:sz w:val="20"/>
                <w:szCs w:val="20"/>
              </w:rPr>
            </w:pPr>
            <w:r>
              <w:rPr>
                <w:rFonts w:ascii="Calibri" w:hAnsi="Calibri"/>
                <w:color w:val="000000"/>
                <w:sz w:val="20"/>
                <w:szCs w:val="20"/>
                <w:lang w:val="en-US"/>
              </w:rPr>
              <w:t> </w:t>
            </w:r>
          </w:p>
        </w:tc>
        <w:tc>
          <w:tcPr>
            <w:tcW w:w="2126" w:type="dxa"/>
            <w:tcBorders>
              <w:top w:val="single" w:sz="4" w:space="0" w:color="000000"/>
              <w:left w:val="single" w:sz="4" w:space="0" w:color="000000"/>
              <w:bottom w:val="single" w:sz="4" w:space="0" w:color="000000"/>
            </w:tcBorders>
            <w:shd w:val="clear" w:color="auto" w:fill="auto"/>
          </w:tcPr>
          <w:p w:rsidR="00E15AB0" w:rsidRDefault="00E15AB0">
            <w:pPr>
              <w:rPr>
                <w:rFonts w:ascii="Calibri" w:hAnsi="Calibri"/>
                <w:color w:val="000000"/>
                <w:sz w:val="20"/>
                <w:szCs w:val="20"/>
              </w:rPr>
            </w:pPr>
            <w:r>
              <w:rPr>
                <w:rFonts w:ascii="Calibri" w:hAnsi="Calibri"/>
                <w:color w:val="000000"/>
                <w:sz w:val="20"/>
                <w:szCs w:val="20"/>
                <w:lang w:val="en-US"/>
              </w:rPr>
              <w:t> </w:t>
            </w:r>
          </w:p>
        </w:tc>
        <w:tc>
          <w:tcPr>
            <w:tcW w:w="850" w:type="dxa"/>
            <w:tcBorders>
              <w:top w:val="single" w:sz="4" w:space="0" w:color="000000"/>
              <w:left w:val="single" w:sz="4" w:space="0" w:color="000000"/>
              <w:bottom w:val="single" w:sz="4" w:space="0" w:color="000000"/>
            </w:tcBorders>
            <w:shd w:val="clear" w:color="auto" w:fill="auto"/>
          </w:tcPr>
          <w:p w:rsidR="00E15AB0" w:rsidRDefault="00E15AB0" w:rsidP="00E15AB0">
            <w:pPr>
              <w:jc w:val="right"/>
              <w:rPr>
                <w:rFonts w:ascii="Calibri" w:hAnsi="Calibri"/>
                <w:color w:val="000000"/>
                <w:sz w:val="20"/>
                <w:szCs w:val="20"/>
              </w:rPr>
            </w:pPr>
            <w:r>
              <w:rPr>
                <w:rFonts w:ascii="Calibri" w:hAnsi="Calibri" w:cs="Calibri"/>
                <w:color w:val="000000"/>
                <w:sz w:val="20"/>
                <w:szCs w:val="20"/>
              </w:rPr>
              <w:t>March 2001</w:t>
            </w:r>
          </w:p>
        </w:tc>
        <w:tc>
          <w:tcPr>
            <w:tcW w:w="851" w:type="dxa"/>
            <w:tcBorders>
              <w:top w:val="single" w:sz="4" w:space="0" w:color="000000"/>
              <w:left w:val="single" w:sz="4" w:space="0" w:color="000000"/>
              <w:bottom w:val="single" w:sz="4" w:space="0" w:color="000000"/>
            </w:tcBorders>
            <w:shd w:val="clear" w:color="auto" w:fill="auto"/>
          </w:tcPr>
          <w:p w:rsidR="00E15AB0" w:rsidRDefault="00E15AB0" w:rsidP="00E15AB0">
            <w:pPr>
              <w:jc w:val="right"/>
              <w:rPr>
                <w:rFonts w:ascii="Calibri" w:hAnsi="Calibri"/>
                <w:color w:val="000000"/>
                <w:sz w:val="20"/>
                <w:szCs w:val="20"/>
              </w:rPr>
            </w:pPr>
            <w:r>
              <w:rPr>
                <w:rFonts w:ascii="Calibri" w:hAnsi="Calibri" w:cs="Calibri"/>
                <w:color w:val="000000"/>
                <w:sz w:val="20"/>
                <w:szCs w:val="20"/>
              </w:rPr>
              <w:t>March 2008</w:t>
            </w:r>
          </w:p>
        </w:tc>
        <w:tc>
          <w:tcPr>
            <w:tcW w:w="900" w:type="dxa"/>
            <w:tcBorders>
              <w:top w:val="single" w:sz="4" w:space="0" w:color="000000"/>
              <w:left w:val="single" w:sz="4" w:space="0" w:color="000000"/>
              <w:bottom w:val="single" w:sz="4" w:space="0" w:color="000000"/>
            </w:tcBorders>
            <w:shd w:val="clear" w:color="auto" w:fill="auto"/>
          </w:tcPr>
          <w:p w:rsidR="00E15AB0" w:rsidRDefault="00E15AB0" w:rsidP="00E15AB0">
            <w:pPr>
              <w:jc w:val="right"/>
              <w:rPr>
                <w:rFonts w:ascii="Calibri" w:hAnsi="Calibri"/>
                <w:color w:val="000000"/>
                <w:sz w:val="20"/>
                <w:szCs w:val="20"/>
              </w:rPr>
            </w:pPr>
            <w:r>
              <w:rPr>
                <w:rFonts w:ascii="Calibri" w:hAnsi="Calibri" w:cs="Calibri"/>
                <w:color w:val="000000"/>
                <w:sz w:val="20"/>
                <w:szCs w:val="20"/>
              </w:rPr>
              <w:t>March 2011</w:t>
            </w:r>
          </w:p>
        </w:tc>
        <w:tc>
          <w:tcPr>
            <w:tcW w:w="851" w:type="dxa"/>
            <w:tcBorders>
              <w:top w:val="single" w:sz="4" w:space="0" w:color="000000"/>
              <w:left w:val="single" w:sz="4" w:space="0" w:color="000000"/>
              <w:bottom w:val="single" w:sz="4" w:space="0" w:color="000000"/>
            </w:tcBorders>
            <w:shd w:val="clear" w:color="auto" w:fill="auto"/>
          </w:tcPr>
          <w:p w:rsidR="00E15AB0" w:rsidRDefault="00E15AB0">
            <w:pPr>
              <w:rPr>
                <w:rFonts w:ascii="Calibri" w:hAnsi="Calibri"/>
                <w:color w:val="000000"/>
                <w:sz w:val="20"/>
                <w:szCs w:val="20"/>
              </w:rPr>
            </w:pPr>
            <w:r>
              <w:rPr>
                <w:rFonts w:ascii="Calibri" w:hAnsi="Calibri" w:cs="Calibri"/>
                <w:color w:val="000000"/>
                <w:sz w:val="20"/>
                <w:szCs w:val="20"/>
              </w:rPr>
              <w:t>%Rise March 2001-march 2008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AB0" w:rsidRDefault="00E15AB0">
            <w:pPr>
              <w:rPr>
                <w:rFonts w:ascii="Calibri" w:hAnsi="Calibri"/>
                <w:color w:val="000000"/>
                <w:sz w:val="20"/>
                <w:szCs w:val="20"/>
              </w:rPr>
            </w:pPr>
            <w:r>
              <w:rPr>
                <w:rFonts w:ascii="Calibri" w:hAnsi="Calibri" w:cs="Calibri"/>
                <w:color w:val="000000"/>
                <w:sz w:val="20"/>
                <w:szCs w:val="20"/>
              </w:rPr>
              <w:t>%Rise March 2008-march 2011</w:t>
            </w:r>
          </w:p>
        </w:tc>
        <w:tc>
          <w:tcPr>
            <w:tcW w:w="992" w:type="dxa"/>
            <w:tcBorders>
              <w:top w:val="single" w:sz="4" w:space="0" w:color="000000"/>
              <w:left w:val="single" w:sz="4" w:space="0" w:color="000000"/>
              <w:bottom w:val="single" w:sz="4" w:space="0" w:color="000000"/>
              <w:right w:val="single" w:sz="4" w:space="0" w:color="000000"/>
            </w:tcBorders>
            <w:vAlign w:val="bottom"/>
          </w:tcPr>
          <w:p w:rsidR="00E15AB0" w:rsidRDefault="00E15AB0">
            <w:pPr>
              <w:rPr>
                <w:rFonts w:ascii="Calibri" w:hAnsi="Calibri"/>
                <w:color w:val="000000"/>
                <w:sz w:val="18"/>
                <w:szCs w:val="18"/>
              </w:rPr>
            </w:pPr>
            <w:r>
              <w:rPr>
                <w:rFonts w:ascii="Calibri" w:hAnsi="Calibri"/>
                <w:color w:val="000000"/>
                <w:sz w:val="18"/>
                <w:szCs w:val="18"/>
              </w:rPr>
              <w:t>real % rise March 2008-March 2011</w:t>
            </w:r>
          </w:p>
        </w:tc>
      </w:tr>
      <w:tr w:rsidR="00E15AB0" w:rsidTr="00E15AB0">
        <w:trPr>
          <w:trHeight w:val="255"/>
        </w:trPr>
        <w:tc>
          <w:tcPr>
            <w:tcW w:w="1587" w:type="dxa"/>
            <w:tcBorders>
              <w:top w:val="single" w:sz="4" w:space="0" w:color="000000"/>
              <w:left w:val="single" w:sz="4" w:space="0" w:color="000000"/>
              <w:bottom w:val="single" w:sz="4" w:space="0" w:color="000000"/>
            </w:tcBorders>
            <w:shd w:val="clear" w:color="auto" w:fill="auto"/>
          </w:tcPr>
          <w:p w:rsidR="00E15AB0" w:rsidRDefault="00E15AB0">
            <w:pPr>
              <w:rPr>
                <w:rFonts w:ascii="Calibri" w:hAnsi="Calibri"/>
                <w:color w:val="000000"/>
                <w:sz w:val="20"/>
                <w:szCs w:val="20"/>
              </w:rPr>
            </w:pPr>
            <w:r>
              <w:rPr>
                <w:rFonts w:ascii="Calibri" w:hAnsi="Calibri" w:cs="Calibri"/>
                <w:color w:val="000000"/>
                <w:sz w:val="20"/>
                <w:szCs w:val="20"/>
              </w:rPr>
              <w:t>All civilian</w:t>
            </w:r>
          </w:p>
        </w:tc>
        <w:tc>
          <w:tcPr>
            <w:tcW w:w="2126" w:type="dxa"/>
            <w:tcBorders>
              <w:top w:val="single" w:sz="4" w:space="0" w:color="000000"/>
              <w:left w:val="single" w:sz="4" w:space="0" w:color="000000"/>
              <w:bottom w:val="single" w:sz="4" w:space="0" w:color="000000"/>
            </w:tcBorders>
            <w:shd w:val="clear" w:color="auto" w:fill="auto"/>
          </w:tcPr>
          <w:p w:rsidR="00E15AB0" w:rsidRDefault="00E15AB0">
            <w:pPr>
              <w:rPr>
                <w:rFonts w:ascii="Calibri" w:hAnsi="Calibri"/>
                <w:color w:val="000000"/>
                <w:sz w:val="20"/>
                <w:szCs w:val="20"/>
              </w:rPr>
            </w:pPr>
            <w:r>
              <w:rPr>
                <w:rFonts w:ascii="Calibri" w:hAnsi="Calibri"/>
                <w:color w:val="000000"/>
                <w:sz w:val="20"/>
                <w:szCs w:val="20"/>
                <w:lang w:val="en-US"/>
              </w:rPr>
              <w:t> </w:t>
            </w:r>
          </w:p>
        </w:tc>
        <w:tc>
          <w:tcPr>
            <w:tcW w:w="850"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84.7</w:t>
            </w:r>
          </w:p>
        </w:tc>
        <w:tc>
          <w:tcPr>
            <w:tcW w:w="851"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107.6</w:t>
            </w:r>
          </w:p>
        </w:tc>
        <w:tc>
          <w:tcPr>
            <w:tcW w:w="900"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114.0</w:t>
            </w:r>
          </w:p>
        </w:tc>
        <w:tc>
          <w:tcPr>
            <w:tcW w:w="851"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27.0%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5.9%</w:t>
            </w:r>
          </w:p>
        </w:tc>
        <w:tc>
          <w:tcPr>
            <w:tcW w:w="992" w:type="dxa"/>
            <w:tcBorders>
              <w:top w:val="single" w:sz="4" w:space="0" w:color="000000"/>
              <w:left w:val="single" w:sz="4" w:space="0" w:color="000000"/>
              <w:bottom w:val="single" w:sz="4" w:space="0" w:color="000000"/>
              <w:right w:val="single" w:sz="4" w:space="0" w:color="000000"/>
            </w:tcBorders>
          </w:tcPr>
          <w:p w:rsidR="00E15AB0" w:rsidRDefault="00E15AB0">
            <w:pPr>
              <w:jc w:val="right"/>
              <w:rPr>
                <w:rFonts w:ascii="Calibri" w:hAnsi="Calibri"/>
                <w:color w:val="000000"/>
                <w:sz w:val="20"/>
                <w:szCs w:val="20"/>
              </w:rPr>
            </w:pPr>
            <w:r>
              <w:rPr>
                <w:rFonts w:ascii="Calibri" w:hAnsi="Calibri" w:cs="Calibri"/>
                <w:color w:val="000000"/>
                <w:sz w:val="20"/>
                <w:szCs w:val="20"/>
              </w:rPr>
              <w:t>1.4%</w:t>
            </w:r>
          </w:p>
        </w:tc>
      </w:tr>
      <w:tr w:rsidR="00E15AB0" w:rsidTr="00E15AB0">
        <w:trPr>
          <w:trHeight w:val="255"/>
        </w:trPr>
        <w:tc>
          <w:tcPr>
            <w:tcW w:w="1587" w:type="dxa"/>
            <w:tcBorders>
              <w:top w:val="single" w:sz="4" w:space="0" w:color="000000"/>
              <w:left w:val="single" w:sz="4" w:space="0" w:color="000000"/>
              <w:bottom w:val="single" w:sz="4" w:space="0" w:color="000000"/>
            </w:tcBorders>
            <w:shd w:val="clear" w:color="auto" w:fill="auto"/>
          </w:tcPr>
          <w:p w:rsidR="00E15AB0" w:rsidRDefault="00E15AB0">
            <w:pPr>
              <w:rPr>
                <w:rFonts w:ascii="Calibri" w:hAnsi="Calibri"/>
                <w:color w:val="000000"/>
                <w:sz w:val="20"/>
                <w:szCs w:val="20"/>
              </w:rPr>
            </w:pPr>
            <w:r>
              <w:rPr>
                <w:rFonts w:ascii="Calibri" w:hAnsi="Calibri" w:cs="Calibri"/>
                <w:color w:val="000000"/>
                <w:sz w:val="20"/>
                <w:szCs w:val="20"/>
              </w:rPr>
              <w:t>Private sector</w:t>
            </w:r>
          </w:p>
        </w:tc>
        <w:tc>
          <w:tcPr>
            <w:tcW w:w="2126" w:type="dxa"/>
            <w:tcBorders>
              <w:top w:val="single" w:sz="4" w:space="0" w:color="000000"/>
              <w:left w:val="single" w:sz="4" w:space="0" w:color="000000"/>
              <w:bottom w:val="single" w:sz="4" w:space="0" w:color="000000"/>
            </w:tcBorders>
            <w:shd w:val="clear" w:color="auto" w:fill="auto"/>
          </w:tcPr>
          <w:p w:rsidR="00E15AB0" w:rsidRDefault="00E15AB0">
            <w:pPr>
              <w:rPr>
                <w:rFonts w:ascii="Calibri" w:hAnsi="Calibri"/>
                <w:color w:val="000000"/>
                <w:sz w:val="20"/>
                <w:szCs w:val="20"/>
              </w:rPr>
            </w:pPr>
            <w:r>
              <w:rPr>
                <w:rFonts w:ascii="Calibri" w:hAnsi="Calibri" w:cs="Calibri"/>
                <w:color w:val="000000"/>
                <w:sz w:val="20"/>
                <w:szCs w:val="20"/>
              </w:rPr>
              <w:t>All</w:t>
            </w:r>
          </w:p>
        </w:tc>
        <w:tc>
          <w:tcPr>
            <w:tcW w:w="850"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85.0</w:t>
            </w:r>
          </w:p>
        </w:tc>
        <w:tc>
          <w:tcPr>
            <w:tcW w:w="851"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107.2</w:t>
            </w:r>
          </w:p>
        </w:tc>
        <w:tc>
          <w:tcPr>
            <w:tcW w:w="900"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113.3</w:t>
            </w:r>
          </w:p>
        </w:tc>
        <w:tc>
          <w:tcPr>
            <w:tcW w:w="851"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26.1%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olor w:val="000000"/>
                <w:sz w:val="20"/>
                <w:szCs w:val="20"/>
                <w:lang w:val="en-US"/>
              </w:rPr>
              <w:t>5.7%</w:t>
            </w:r>
          </w:p>
        </w:tc>
        <w:tc>
          <w:tcPr>
            <w:tcW w:w="992" w:type="dxa"/>
            <w:tcBorders>
              <w:top w:val="single" w:sz="4" w:space="0" w:color="000000"/>
              <w:left w:val="single" w:sz="4" w:space="0" w:color="000000"/>
              <w:bottom w:val="single" w:sz="4" w:space="0" w:color="000000"/>
              <w:right w:val="single" w:sz="4" w:space="0" w:color="000000"/>
            </w:tcBorders>
          </w:tcPr>
          <w:p w:rsidR="00E15AB0" w:rsidRDefault="00E15AB0">
            <w:pPr>
              <w:jc w:val="right"/>
              <w:rPr>
                <w:rFonts w:ascii="Calibri" w:hAnsi="Calibri"/>
                <w:color w:val="000000"/>
                <w:sz w:val="20"/>
                <w:szCs w:val="20"/>
              </w:rPr>
            </w:pPr>
            <w:r>
              <w:rPr>
                <w:rFonts w:ascii="Calibri" w:hAnsi="Calibri"/>
                <w:color w:val="000000"/>
                <w:sz w:val="20"/>
                <w:szCs w:val="20"/>
              </w:rPr>
              <w:t>1.1%</w:t>
            </w:r>
          </w:p>
        </w:tc>
      </w:tr>
      <w:tr w:rsidR="00E15AB0" w:rsidTr="00E15AB0">
        <w:trPr>
          <w:trHeight w:val="255"/>
        </w:trPr>
        <w:tc>
          <w:tcPr>
            <w:tcW w:w="1587" w:type="dxa"/>
            <w:tcBorders>
              <w:top w:val="single" w:sz="4" w:space="0" w:color="000000"/>
              <w:left w:val="single" w:sz="4" w:space="0" w:color="000000"/>
              <w:bottom w:val="single" w:sz="4" w:space="0" w:color="000000"/>
            </w:tcBorders>
            <w:shd w:val="clear" w:color="auto" w:fill="auto"/>
          </w:tcPr>
          <w:p w:rsidR="00E15AB0" w:rsidRDefault="00E15AB0">
            <w:pPr>
              <w:rPr>
                <w:rFonts w:ascii="Calibri" w:hAnsi="Calibri"/>
                <w:color w:val="000000"/>
                <w:sz w:val="20"/>
                <w:szCs w:val="20"/>
              </w:rPr>
            </w:pPr>
            <w:r>
              <w:rPr>
                <w:rFonts w:ascii="Calibri" w:hAnsi="Calibri"/>
                <w:color w:val="000000"/>
                <w:sz w:val="20"/>
                <w:szCs w:val="20"/>
                <w:lang w:val="en-US"/>
              </w:rPr>
              <w:t> </w:t>
            </w:r>
          </w:p>
        </w:tc>
        <w:tc>
          <w:tcPr>
            <w:tcW w:w="2126" w:type="dxa"/>
            <w:tcBorders>
              <w:top w:val="single" w:sz="4" w:space="0" w:color="000000"/>
              <w:left w:val="single" w:sz="4" w:space="0" w:color="000000"/>
              <w:bottom w:val="single" w:sz="4" w:space="0" w:color="000000"/>
            </w:tcBorders>
            <w:shd w:val="clear" w:color="auto" w:fill="auto"/>
          </w:tcPr>
          <w:p w:rsidR="00E15AB0" w:rsidRDefault="00E15AB0">
            <w:pPr>
              <w:rPr>
                <w:rFonts w:ascii="Calibri" w:hAnsi="Calibri"/>
                <w:color w:val="000000"/>
                <w:sz w:val="20"/>
                <w:szCs w:val="20"/>
              </w:rPr>
            </w:pPr>
            <w:r>
              <w:rPr>
                <w:rFonts w:ascii="Calibri" w:hAnsi="Calibri" w:cs="Calibri"/>
                <w:color w:val="000000"/>
                <w:sz w:val="20"/>
                <w:szCs w:val="20"/>
              </w:rPr>
              <w:t xml:space="preserve">Union </w:t>
            </w:r>
          </w:p>
        </w:tc>
        <w:tc>
          <w:tcPr>
            <w:tcW w:w="850"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82.0</w:t>
            </w:r>
          </w:p>
        </w:tc>
        <w:tc>
          <w:tcPr>
            <w:tcW w:w="851"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105.9</w:t>
            </w:r>
          </w:p>
        </w:tc>
        <w:tc>
          <w:tcPr>
            <w:tcW w:w="900"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115.6</w:t>
            </w:r>
          </w:p>
        </w:tc>
        <w:tc>
          <w:tcPr>
            <w:tcW w:w="851"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29.1%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olor w:val="000000"/>
                <w:sz w:val="20"/>
                <w:szCs w:val="20"/>
                <w:lang w:val="en-US"/>
              </w:rPr>
              <w:t>9.2%</w:t>
            </w:r>
          </w:p>
        </w:tc>
        <w:tc>
          <w:tcPr>
            <w:tcW w:w="992" w:type="dxa"/>
            <w:tcBorders>
              <w:top w:val="single" w:sz="4" w:space="0" w:color="000000"/>
              <w:left w:val="single" w:sz="4" w:space="0" w:color="000000"/>
              <w:bottom w:val="single" w:sz="4" w:space="0" w:color="000000"/>
              <w:right w:val="single" w:sz="4" w:space="0" w:color="000000"/>
            </w:tcBorders>
          </w:tcPr>
          <w:p w:rsidR="00E15AB0" w:rsidRDefault="00E15AB0">
            <w:pPr>
              <w:jc w:val="right"/>
              <w:rPr>
                <w:rFonts w:ascii="Calibri" w:hAnsi="Calibri"/>
                <w:color w:val="000000"/>
                <w:sz w:val="20"/>
                <w:szCs w:val="20"/>
              </w:rPr>
            </w:pPr>
            <w:r>
              <w:rPr>
                <w:rFonts w:ascii="Calibri" w:hAnsi="Calibri"/>
                <w:color w:val="000000"/>
                <w:sz w:val="20"/>
                <w:szCs w:val="20"/>
              </w:rPr>
              <w:t>4.5%</w:t>
            </w:r>
          </w:p>
        </w:tc>
      </w:tr>
      <w:tr w:rsidR="00E15AB0" w:rsidTr="00E15AB0">
        <w:trPr>
          <w:trHeight w:val="255"/>
        </w:trPr>
        <w:tc>
          <w:tcPr>
            <w:tcW w:w="1587" w:type="dxa"/>
            <w:tcBorders>
              <w:top w:val="single" w:sz="4" w:space="0" w:color="000000"/>
              <w:left w:val="single" w:sz="4" w:space="0" w:color="000000"/>
              <w:bottom w:val="single" w:sz="4" w:space="0" w:color="000000"/>
            </w:tcBorders>
            <w:shd w:val="clear" w:color="auto" w:fill="auto"/>
          </w:tcPr>
          <w:p w:rsidR="00E15AB0" w:rsidRDefault="00E15AB0">
            <w:pPr>
              <w:rPr>
                <w:rFonts w:ascii="Calibri" w:hAnsi="Calibri"/>
                <w:color w:val="000000"/>
                <w:sz w:val="20"/>
                <w:szCs w:val="20"/>
              </w:rPr>
            </w:pPr>
            <w:r>
              <w:rPr>
                <w:rFonts w:ascii="Calibri" w:hAnsi="Calibri"/>
                <w:color w:val="000000"/>
                <w:sz w:val="20"/>
                <w:szCs w:val="20"/>
                <w:lang w:val="en-US"/>
              </w:rPr>
              <w:t> </w:t>
            </w:r>
          </w:p>
        </w:tc>
        <w:tc>
          <w:tcPr>
            <w:tcW w:w="2126" w:type="dxa"/>
            <w:tcBorders>
              <w:top w:val="single" w:sz="4" w:space="0" w:color="000000"/>
              <w:left w:val="single" w:sz="4" w:space="0" w:color="000000"/>
              <w:bottom w:val="single" w:sz="4" w:space="0" w:color="000000"/>
            </w:tcBorders>
            <w:shd w:val="clear" w:color="auto" w:fill="auto"/>
          </w:tcPr>
          <w:p w:rsidR="00E15AB0" w:rsidRDefault="00E15AB0">
            <w:pPr>
              <w:rPr>
                <w:rFonts w:ascii="Calibri" w:hAnsi="Calibri"/>
                <w:color w:val="000000"/>
                <w:sz w:val="20"/>
                <w:szCs w:val="20"/>
              </w:rPr>
            </w:pPr>
            <w:r>
              <w:rPr>
                <w:rFonts w:ascii="Calibri" w:hAnsi="Calibri" w:cs="Calibri"/>
                <w:color w:val="000000"/>
                <w:sz w:val="20"/>
                <w:szCs w:val="20"/>
              </w:rPr>
              <w:t>Non-union</w:t>
            </w:r>
          </w:p>
        </w:tc>
        <w:tc>
          <w:tcPr>
            <w:tcW w:w="850"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85.5</w:t>
            </w:r>
          </w:p>
        </w:tc>
        <w:tc>
          <w:tcPr>
            <w:tcW w:w="851"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107.5</w:t>
            </w:r>
          </w:p>
        </w:tc>
        <w:tc>
          <w:tcPr>
            <w:tcW w:w="900"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113.0</w:t>
            </w:r>
          </w:p>
        </w:tc>
        <w:tc>
          <w:tcPr>
            <w:tcW w:w="851"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25.7%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olor w:val="000000"/>
                <w:sz w:val="20"/>
                <w:szCs w:val="20"/>
                <w:lang w:val="en-US"/>
              </w:rPr>
              <w:t>5.1%</w:t>
            </w:r>
          </w:p>
        </w:tc>
        <w:tc>
          <w:tcPr>
            <w:tcW w:w="992" w:type="dxa"/>
            <w:tcBorders>
              <w:top w:val="single" w:sz="4" w:space="0" w:color="000000"/>
              <w:left w:val="single" w:sz="4" w:space="0" w:color="000000"/>
              <w:bottom w:val="single" w:sz="4" w:space="0" w:color="000000"/>
              <w:right w:val="single" w:sz="4" w:space="0" w:color="000000"/>
            </w:tcBorders>
          </w:tcPr>
          <w:p w:rsidR="00E15AB0" w:rsidRDefault="00E15AB0">
            <w:pPr>
              <w:jc w:val="right"/>
              <w:rPr>
                <w:rFonts w:ascii="Calibri" w:hAnsi="Calibri"/>
                <w:color w:val="000000"/>
                <w:sz w:val="20"/>
                <w:szCs w:val="20"/>
              </w:rPr>
            </w:pPr>
            <w:r>
              <w:rPr>
                <w:rFonts w:ascii="Calibri" w:hAnsi="Calibri"/>
                <w:color w:val="000000"/>
                <w:sz w:val="20"/>
                <w:szCs w:val="20"/>
              </w:rPr>
              <w:t>0.6%</w:t>
            </w:r>
          </w:p>
        </w:tc>
      </w:tr>
      <w:tr w:rsidR="00E15AB0" w:rsidTr="00E15AB0">
        <w:trPr>
          <w:trHeight w:val="255"/>
        </w:trPr>
        <w:tc>
          <w:tcPr>
            <w:tcW w:w="1587" w:type="dxa"/>
            <w:tcBorders>
              <w:top w:val="single" w:sz="4" w:space="0" w:color="000000"/>
              <w:left w:val="single" w:sz="4" w:space="0" w:color="000000"/>
              <w:bottom w:val="single" w:sz="4" w:space="0" w:color="000000"/>
            </w:tcBorders>
            <w:shd w:val="clear" w:color="auto" w:fill="auto"/>
          </w:tcPr>
          <w:p w:rsidR="00E15AB0" w:rsidRDefault="00E15AB0">
            <w:pPr>
              <w:rPr>
                <w:rFonts w:ascii="Calibri" w:hAnsi="Calibri"/>
                <w:color w:val="000000"/>
                <w:sz w:val="20"/>
                <w:szCs w:val="20"/>
              </w:rPr>
            </w:pPr>
            <w:r>
              <w:rPr>
                <w:rFonts w:ascii="Calibri" w:hAnsi="Calibri"/>
                <w:color w:val="000000"/>
                <w:sz w:val="20"/>
                <w:szCs w:val="20"/>
                <w:lang w:val="en-US"/>
              </w:rPr>
              <w:t> </w:t>
            </w:r>
          </w:p>
        </w:tc>
        <w:tc>
          <w:tcPr>
            <w:tcW w:w="2126" w:type="dxa"/>
            <w:tcBorders>
              <w:top w:val="single" w:sz="4" w:space="0" w:color="000000"/>
              <w:left w:val="single" w:sz="4" w:space="0" w:color="000000"/>
              <w:bottom w:val="single" w:sz="4" w:space="0" w:color="000000"/>
            </w:tcBorders>
            <w:shd w:val="clear" w:color="auto" w:fill="auto"/>
          </w:tcPr>
          <w:p w:rsidR="00E15AB0" w:rsidRDefault="00E15AB0">
            <w:pPr>
              <w:rPr>
                <w:rFonts w:ascii="Calibri" w:hAnsi="Calibri"/>
                <w:color w:val="000000"/>
                <w:sz w:val="20"/>
                <w:szCs w:val="20"/>
              </w:rPr>
            </w:pPr>
            <w:r>
              <w:rPr>
                <w:rFonts w:ascii="Calibri" w:hAnsi="Calibri" w:cs="Calibri"/>
                <w:color w:val="000000"/>
                <w:sz w:val="20"/>
                <w:szCs w:val="20"/>
              </w:rPr>
              <w:t>Education and health</w:t>
            </w:r>
          </w:p>
        </w:tc>
        <w:tc>
          <w:tcPr>
            <w:tcW w:w="850"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83.8</w:t>
            </w:r>
          </w:p>
        </w:tc>
        <w:tc>
          <w:tcPr>
            <w:tcW w:w="851"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108.6</w:t>
            </w:r>
          </w:p>
        </w:tc>
        <w:tc>
          <w:tcPr>
            <w:tcW w:w="900"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115.1</w:t>
            </w:r>
          </w:p>
        </w:tc>
        <w:tc>
          <w:tcPr>
            <w:tcW w:w="851"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29.6%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olor w:val="000000"/>
                <w:sz w:val="20"/>
                <w:szCs w:val="20"/>
                <w:lang w:val="en-US"/>
              </w:rPr>
              <w:t>6.0%</w:t>
            </w:r>
          </w:p>
        </w:tc>
        <w:tc>
          <w:tcPr>
            <w:tcW w:w="992" w:type="dxa"/>
            <w:tcBorders>
              <w:top w:val="single" w:sz="4" w:space="0" w:color="000000"/>
              <w:left w:val="single" w:sz="4" w:space="0" w:color="000000"/>
              <w:bottom w:val="single" w:sz="4" w:space="0" w:color="000000"/>
              <w:right w:val="single" w:sz="4" w:space="0" w:color="000000"/>
            </w:tcBorders>
          </w:tcPr>
          <w:p w:rsidR="00E15AB0" w:rsidRDefault="00E15AB0">
            <w:pPr>
              <w:jc w:val="right"/>
              <w:rPr>
                <w:rFonts w:ascii="Calibri" w:hAnsi="Calibri"/>
                <w:color w:val="000000"/>
                <w:sz w:val="20"/>
                <w:szCs w:val="20"/>
              </w:rPr>
            </w:pPr>
            <w:r>
              <w:rPr>
                <w:rFonts w:ascii="Calibri" w:hAnsi="Calibri"/>
                <w:color w:val="000000"/>
                <w:sz w:val="20"/>
                <w:szCs w:val="20"/>
              </w:rPr>
              <w:t>1.4%</w:t>
            </w:r>
          </w:p>
        </w:tc>
      </w:tr>
      <w:tr w:rsidR="00E15AB0" w:rsidTr="00E15AB0">
        <w:trPr>
          <w:trHeight w:val="255"/>
        </w:trPr>
        <w:tc>
          <w:tcPr>
            <w:tcW w:w="1587" w:type="dxa"/>
            <w:tcBorders>
              <w:top w:val="single" w:sz="4" w:space="0" w:color="000000"/>
              <w:left w:val="single" w:sz="4" w:space="0" w:color="000000"/>
              <w:bottom w:val="single" w:sz="4" w:space="0" w:color="000000"/>
            </w:tcBorders>
            <w:shd w:val="clear" w:color="auto" w:fill="auto"/>
          </w:tcPr>
          <w:p w:rsidR="00E15AB0" w:rsidRDefault="00E15AB0">
            <w:pPr>
              <w:rPr>
                <w:rFonts w:ascii="Calibri" w:hAnsi="Calibri"/>
                <w:color w:val="000000"/>
                <w:sz w:val="20"/>
                <w:szCs w:val="20"/>
              </w:rPr>
            </w:pPr>
            <w:r>
              <w:rPr>
                <w:rFonts w:ascii="Calibri" w:hAnsi="Calibri"/>
                <w:color w:val="000000"/>
                <w:sz w:val="20"/>
                <w:szCs w:val="20"/>
                <w:lang w:val="en-US"/>
              </w:rPr>
              <w:t> </w:t>
            </w:r>
          </w:p>
        </w:tc>
        <w:tc>
          <w:tcPr>
            <w:tcW w:w="2126" w:type="dxa"/>
            <w:tcBorders>
              <w:top w:val="single" w:sz="4" w:space="0" w:color="000000"/>
              <w:left w:val="single" w:sz="4" w:space="0" w:color="000000"/>
              <w:bottom w:val="single" w:sz="4" w:space="0" w:color="000000"/>
            </w:tcBorders>
            <w:shd w:val="clear" w:color="auto" w:fill="auto"/>
          </w:tcPr>
          <w:p w:rsidR="00E15AB0" w:rsidRDefault="00E15AB0">
            <w:pPr>
              <w:rPr>
                <w:rFonts w:ascii="Calibri" w:hAnsi="Calibri"/>
                <w:color w:val="000000"/>
                <w:sz w:val="20"/>
                <w:szCs w:val="20"/>
              </w:rPr>
            </w:pPr>
            <w:r>
              <w:rPr>
                <w:rFonts w:ascii="Calibri" w:hAnsi="Calibri" w:cs="Calibri"/>
                <w:color w:val="000000"/>
                <w:sz w:val="20"/>
                <w:szCs w:val="20"/>
              </w:rPr>
              <w:t>Utilities</w:t>
            </w:r>
          </w:p>
        </w:tc>
        <w:tc>
          <w:tcPr>
            <w:tcW w:w="850"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olor w:val="000000"/>
                <w:sz w:val="20"/>
                <w:szCs w:val="20"/>
                <w:lang w:val="en-US"/>
              </w:rPr>
              <w:t> </w:t>
            </w:r>
          </w:p>
        </w:tc>
        <w:tc>
          <w:tcPr>
            <w:tcW w:w="851"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106.5</w:t>
            </w:r>
          </w:p>
        </w:tc>
        <w:tc>
          <w:tcPr>
            <w:tcW w:w="900"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119.4</w:t>
            </w:r>
          </w:p>
        </w:tc>
        <w:tc>
          <w:tcPr>
            <w:tcW w:w="851"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olor w:val="000000"/>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olor w:val="000000"/>
                <w:sz w:val="20"/>
                <w:szCs w:val="20"/>
                <w:lang w:val="en-US"/>
              </w:rPr>
              <w:t>12.1%</w:t>
            </w:r>
          </w:p>
        </w:tc>
        <w:tc>
          <w:tcPr>
            <w:tcW w:w="992" w:type="dxa"/>
            <w:tcBorders>
              <w:top w:val="single" w:sz="4" w:space="0" w:color="000000"/>
              <w:left w:val="single" w:sz="4" w:space="0" w:color="000000"/>
              <w:bottom w:val="single" w:sz="4" w:space="0" w:color="000000"/>
              <w:right w:val="single" w:sz="4" w:space="0" w:color="000000"/>
            </w:tcBorders>
          </w:tcPr>
          <w:p w:rsidR="00E15AB0" w:rsidRDefault="00E15AB0">
            <w:pPr>
              <w:jc w:val="right"/>
              <w:rPr>
                <w:rFonts w:ascii="Calibri" w:hAnsi="Calibri"/>
                <w:color w:val="000000"/>
                <w:sz w:val="20"/>
                <w:szCs w:val="20"/>
              </w:rPr>
            </w:pPr>
            <w:r>
              <w:rPr>
                <w:rFonts w:ascii="Calibri" w:hAnsi="Calibri"/>
                <w:color w:val="000000"/>
                <w:sz w:val="20"/>
                <w:szCs w:val="20"/>
              </w:rPr>
              <w:t>7.3%</w:t>
            </w:r>
          </w:p>
        </w:tc>
      </w:tr>
      <w:tr w:rsidR="00E15AB0" w:rsidTr="00E15AB0">
        <w:trPr>
          <w:trHeight w:val="510"/>
        </w:trPr>
        <w:tc>
          <w:tcPr>
            <w:tcW w:w="1587" w:type="dxa"/>
            <w:tcBorders>
              <w:top w:val="single" w:sz="4" w:space="0" w:color="000000"/>
              <w:left w:val="single" w:sz="4" w:space="0" w:color="000000"/>
              <w:bottom w:val="single" w:sz="4" w:space="0" w:color="000000"/>
            </w:tcBorders>
            <w:shd w:val="clear" w:color="auto" w:fill="auto"/>
          </w:tcPr>
          <w:p w:rsidR="00E15AB0" w:rsidRDefault="00E15AB0">
            <w:pPr>
              <w:rPr>
                <w:rFonts w:ascii="Calibri" w:hAnsi="Calibri"/>
                <w:color w:val="000000"/>
                <w:sz w:val="20"/>
                <w:szCs w:val="20"/>
              </w:rPr>
            </w:pPr>
            <w:r>
              <w:rPr>
                <w:rFonts w:ascii="Calibri" w:hAnsi="Calibri" w:cs="Calibri"/>
                <w:color w:val="000000"/>
                <w:sz w:val="20"/>
                <w:szCs w:val="20"/>
              </w:rPr>
              <w:t>State and local government</w:t>
            </w:r>
          </w:p>
        </w:tc>
        <w:tc>
          <w:tcPr>
            <w:tcW w:w="2126" w:type="dxa"/>
            <w:tcBorders>
              <w:top w:val="single" w:sz="4" w:space="0" w:color="000000"/>
              <w:left w:val="single" w:sz="4" w:space="0" w:color="000000"/>
              <w:bottom w:val="single" w:sz="4" w:space="0" w:color="000000"/>
            </w:tcBorders>
            <w:shd w:val="clear" w:color="auto" w:fill="auto"/>
          </w:tcPr>
          <w:p w:rsidR="00E15AB0" w:rsidRDefault="00E15AB0">
            <w:pPr>
              <w:rPr>
                <w:rFonts w:ascii="Calibri" w:hAnsi="Calibri"/>
                <w:color w:val="000000"/>
                <w:sz w:val="20"/>
                <w:szCs w:val="20"/>
              </w:rPr>
            </w:pPr>
            <w:r>
              <w:rPr>
                <w:rFonts w:ascii="Calibri" w:hAnsi="Calibri" w:cs="Calibri"/>
                <w:color w:val="000000"/>
                <w:sz w:val="20"/>
                <w:szCs w:val="20"/>
              </w:rPr>
              <w:t>All</w:t>
            </w:r>
          </w:p>
        </w:tc>
        <w:tc>
          <w:tcPr>
            <w:tcW w:w="850"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83.6</w:t>
            </w:r>
          </w:p>
        </w:tc>
        <w:tc>
          <w:tcPr>
            <w:tcW w:w="851"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109.0</w:t>
            </w:r>
          </w:p>
        </w:tc>
        <w:tc>
          <w:tcPr>
            <w:tcW w:w="900"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116.7</w:t>
            </w:r>
          </w:p>
        </w:tc>
        <w:tc>
          <w:tcPr>
            <w:tcW w:w="851"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30.4%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olor w:val="000000"/>
                <w:sz w:val="20"/>
                <w:szCs w:val="20"/>
                <w:lang w:val="en-US"/>
              </w:rPr>
              <w:t>7.1%</w:t>
            </w:r>
          </w:p>
        </w:tc>
        <w:tc>
          <w:tcPr>
            <w:tcW w:w="992" w:type="dxa"/>
            <w:tcBorders>
              <w:top w:val="single" w:sz="4" w:space="0" w:color="000000"/>
              <w:left w:val="single" w:sz="4" w:space="0" w:color="000000"/>
              <w:bottom w:val="single" w:sz="4" w:space="0" w:color="000000"/>
              <w:right w:val="single" w:sz="4" w:space="0" w:color="000000"/>
            </w:tcBorders>
          </w:tcPr>
          <w:p w:rsidR="00E15AB0" w:rsidRDefault="00E15AB0">
            <w:pPr>
              <w:jc w:val="right"/>
              <w:rPr>
                <w:rFonts w:ascii="Calibri" w:hAnsi="Calibri"/>
                <w:color w:val="000000"/>
                <w:sz w:val="20"/>
                <w:szCs w:val="20"/>
              </w:rPr>
            </w:pPr>
            <w:r>
              <w:rPr>
                <w:rFonts w:ascii="Calibri" w:hAnsi="Calibri"/>
                <w:color w:val="000000"/>
                <w:sz w:val="20"/>
                <w:szCs w:val="20"/>
              </w:rPr>
              <w:t>2.5%</w:t>
            </w:r>
          </w:p>
        </w:tc>
      </w:tr>
      <w:tr w:rsidR="00E15AB0" w:rsidTr="00E15AB0">
        <w:trPr>
          <w:trHeight w:val="255"/>
        </w:trPr>
        <w:tc>
          <w:tcPr>
            <w:tcW w:w="1587" w:type="dxa"/>
            <w:tcBorders>
              <w:top w:val="single" w:sz="4" w:space="0" w:color="000000"/>
              <w:left w:val="single" w:sz="4" w:space="0" w:color="000000"/>
              <w:bottom w:val="single" w:sz="4" w:space="0" w:color="000000"/>
            </w:tcBorders>
            <w:shd w:val="clear" w:color="auto" w:fill="auto"/>
          </w:tcPr>
          <w:p w:rsidR="00E15AB0" w:rsidRDefault="00E15AB0">
            <w:pPr>
              <w:rPr>
                <w:rFonts w:ascii="Calibri" w:hAnsi="Calibri"/>
                <w:color w:val="000000"/>
                <w:sz w:val="20"/>
                <w:szCs w:val="20"/>
              </w:rPr>
            </w:pPr>
            <w:r>
              <w:rPr>
                <w:rFonts w:ascii="Calibri" w:hAnsi="Calibri"/>
                <w:color w:val="000000"/>
                <w:sz w:val="20"/>
                <w:szCs w:val="20"/>
                <w:lang w:val="en-US"/>
              </w:rPr>
              <w:t> </w:t>
            </w:r>
          </w:p>
        </w:tc>
        <w:tc>
          <w:tcPr>
            <w:tcW w:w="2126" w:type="dxa"/>
            <w:tcBorders>
              <w:top w:val="single" w:sz="4" w:space="0" w:color="000000"/>
              <w:left w:val="single" w:sz="4" w:space="0" w:color="000000"/>
              <w:bottom w:val="single" w:sz="4" w:space="0" w:color="000000"/>
            </w:tcBorders>
            <w:shd w:val="clear" w:color="auto" w:fill="auto"/>
          </w:tcPr>
          <w:p w:rsidR="00E15AB0" w:rsidRDefault="00E15AB0">
            <w:pPr>
              <w:rPr>
                <w:rFonts w:ascii="Calibri" w:hAnsi="Calibri"/>
                <w:color w:val="000000"/>
                <w:sz w:val="20"/>
                <w:szCs w:val="20"/>
              </w:rPr>
            </w:pPr>
            <w:r>
              <w:rPr>
                <w:rFonts w:ascii="Calibri" w:hAnsi="Calibri" w:cs="Calibri"/>
                <w:color w:val="000000"/>
                <w:sz w:val="20"/>
                <w:szCs w:val="20"/>
              </w:rPr>
              <w:t>Education and health</w:t>
            </w:r>
          </w:p>
        </w:tc>
        <w:tc>
          <w:tcPr>
            <w:tcW w:w="850"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n/a</w:t>
            </w:r>
          </w:p>
        </w:tc>
        <w:tc>
          <w:tcPr>
            <w:tcW w:w="851"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108.7</w:t>
            </w:r>
          </w:p>
        </w:tc>
        <w:tc>
          <w:tcPr>
            <w:tcW w:w="900"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116.1</w:t>
            </w:r>
          </w:p>
        </w:tc>
        <w:tc>
          <w:tcPr>
            <w:tcW w:w="851"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olor w:val="000000"/>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olor w:val="000000"/>
                <w:sz w:val="20"/>
                <w:szCs w:val="20"/>
                <w:lang w:val="en-US"/>
              </w:rPr>
              <w:t>6.8%</w:t>
            </w:r>
          </w:p>
        </w:tc>
        <w:tc>
          <w:tcPr>
            <w:tcW w:w="992" w:type="dxa"/>
            <w:tcBorders>
              <w:top w:val="single" w:sz="4" w:space="0" w:color="000000"/>
              <w:left w:val="single" w:sz="4" w:space="0" w:color="000000"/>
              <w:bottom w:val="single" w:sz="4" w:space="0" w:color="000000"/>
              <w:right w:val="single" w:sz="4" w:space="0" w:color="000000"/>
            </w:tcBorders>
          </w:tcPr>
          <w:p w:rsidR="00E15AB0" w:rsidRDefault="00E15AB0">
            <w:pPr>
              <w:jc w:val="right"/>
              <w:rPr>
                <w:rFonts w:ascii="Calibri" w:hAnsi="Calibri"/>
                <w:color w:val="000000"/>
                <w:sz w:val="20"/>
                <w:szCs w:val="20"/>
              </w:rPr>
            </w:pPr>
            <w:r>
              <w:rPr>
                <w:rFonts w:ascii="Calibri" w:hAnsi="Calibri"/>
                <w:color w:val="000000"/>
                <w:sz w:val="20"/>
                <w:szCs w:val="20"/>
              </w:rPr>
              <w:t>2.2%</w:t>
            </w:r>
          </w:p>
        </w:tc>
      </w:tr>
      <w:tr w:rsidR="00E15AB0" w:rsidTr="00E15AB0">
        <w:trPr>
          <w:trHeight w:val="255"/>
        </w:trPr>
        <w:tc>
          <w:tcPr>
            <w:tcW w:w="1587" w:type="dxa"/>
            <w:tcBorders>
              <w:top w:val="single" w:sz="4" w:space="0" w:color="000000"/>
              <w:left w:val="single" w:sz="4" w:space="0" w:color="000000"/>
              <w:bottom w:val="single" w:sz="4" w:space="0" w:color="000000"/>
            </w:tcBorders>
            <w:shd w:val="clear" w:color="auto" w:fill="auto"/>
          </w:tcPr>
          <w:p w:rsidR="00E15AB0" w:rsidRDefault="00E15AB0">
            <w:pPr>
              <w:rPr>
                <w:rFonts w:ascii="Calibri" w:hAnsi="Calibri"/>
                <w:color w:val="000000"/>
                <w:sz w:val="20"/>
                <w:szCs w:val="20"/>
              </w:rPr>
            </w:pPr>
            <w:r>
              <w:rPr>
                <w:rFonts w:ascii="Calibri" w:hAnsi="Calibri"/>
                <w:color w:val="000000"/>
                <w:sz w:val="20"/>
                <w:szCs w:val="20"/>
                <w:lang w:val="en-US"/>
              </w:rPr>
              <w:t> </w:t>
            </w:r>
          </w:p>
        </w:tc>
        <w:tc>
          <w:tcPr>
            <w:tcW w:w="2126" w:type="dxa"/>
            <w:tcBorders>
              <w:top w:val="single" w:sz="4" w:space="0" w:color="000000"/>
              <w:left w:val="single" w:sz="4" w:space="0" w:color="000000"/>
              <w:bottom w:val="single" w:sz="4" w:space="0" w:color="000000"/>
            </w:tcBorders>
            <w:shd w:val="clear" w:color="auto" w:fill="auto"/>
          </w:tcPr>
          <w:p w:rsidR="00E15AB0" w:rsidRDefault="00E15AB0">
            <w:pPr>
              <w:rPr>
                <w:rFonts w:ascii="Calibri" w:hAnsi="Calibri"/>
                <w:color w:val="000000"/>
                <w:sz w:val="20"/>
                <w:szCs w:val="20"/>
              </w:rPr>
            </w:pPr>
            <w:r>
              <w:rPr>
                <w:rFonts w:ascii="Calibri" w:hAnsi="Calibri" w:cs="Calibri"/>
                <w:color w:val="000000"/>
                <w:sz w:val="20"/>
                <w:szCs w:val="20"/>
              </w:rPr>
              <w:t>Public administration</w:t>
            </w:r>
          </w:p>
        </w:tc>
        <w:tc>
          <w:tcPr>
            <w:tcW w:w="850"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n/a</w:t>
            </w:r>
          </w:p>
        </w:tc>
        <w:tc>
          <w:tcPr>
            <w:tcW w:w="851"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109.6</w:t>
            </w:r>
          </w:p>
        </w:tc>
        <w:tc>
          <w:tcPr>
            <w:tcW w:w="900"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s="Calibri"/>
                <w:color w:val="000000"/>
                <w:sz w:val="20"/>
                <w:szCs w:val="20"/>
              </w:rPr>
              <w:t>117.4</w:t>
            </w:r>
          </w:p>
        </w:tc>
        <w:tc>
          <w:tcPr>
            <w:tcW w:w="851"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olor w:val="000000"/>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AB0" w:rsidRDefault="00E15AB0">
            <w:pPr>
              <w:jc w:val="right"/>
              <w:rPr>
                <w:rFonts w:ascii="Calibri" w:hAnsi="Calibri"/>
                <w:color w:val="000000"/>
                <w:sz w:val="20"/>
                <w:szCs w:val="20"/>
              </w:rPr>
            </w:pPr>
            <w:r>
              <w:rPr>
                <w:rFonts w:ascii="Calibri" w:hAnsi="Calibri"/>
                <w:color w:val="000000"/>
                <w:sz w:val="20"/>
                <w:szCs w:val="20"/>
                <w:lang w:val="en-US"/>
              </w:rPr>
              <w:t>7.1%</w:t>
            </w:r>
          </w:p>
        </w:tc>
        <w:tc>
          <w:tcPr>
            <w:tcW w:w="992" w:type="dxa"/>
            <w:tcBorders>
              <w:top w:val="single" w:sz="4" w:space="0" w:color="000000"/>
              <w:left w:val="single" w:sz="4" w:space="0" w:color="000000"/>
              <w:bottom w:val="single" w:sz="4" w:space="0" w:color="000000"/>
              <w:right w:val="single" w:sz="4" w:space="0" w:color="000000"/>
            </w:tcBorders>
          </w:tcPr>
          <w:p w:rsidR="00E15AB0" w:rsidRDefault="00E15AB0">
            <w:pPr>
              <w:jc w:val="right"/>
              <w:rPr>
                <w:rFonts w:ascii="Calibri" w:hAnsi="Calibri"/>
                <w:color w:val="000000"/>
                <w:sz w:val="20"/>
                <w:szCs w:val="20"/>
              </w:rPr>
            </w:pPr>
            <w:r>
              <w:rPr>
                <w:rFonts w:ascii="Calibri" w:hAnsi="Calibri"/>
                <w:color w:val="000000"/>
                <w:sz w:val="20"/>
                <w:szCs w:val="20"/>
              </w:rPr>
              <w:t>2.5%</w:t>
            </w:r>
          </w:p>
        </w:tc>
      </w:tr>
      <w:tr w:rsidR="00E15AB0" w:rsidTr="00E15AB0">
        <w:trPr>
          <w:trHeight w:val="255"/>
        </w:trPr>
        <w:tc>
          <w:tcPr>
            <w:tcW w:w="1587" w:type="dxa"/>
            <w:tcBorders>
              <w:top w:val="single" w:sz="4" w:space="0" w:color="000000"/>
              <w:left w:val="single" w:sz="4" w:space="0" w:color="000000"/>
              <w:bottom w:val="single" w:sz="4" w:space="0" w:color="000000"/>
            </w:tcBorders>
            <w:shd w:val="clear" w:color="auto" w:fill="auto"/>
          </w:tcPr>
          <w:p w:rsidR="00E15AB0" w:rsidRDefault="00E15AB0">
            <w:pPr>
              <w:rPr>
                <w:rFonts w:ascii="Calibri" w:hAnsi="Calibri"/>
                <w:i/>
                <w:iCs/>
                <w:color w:val="000000"/>
                <w:sz w:val="20"/>
                <w:szCs w:val="20"/>
              </w:rPr>
            </w:pPr>
            <w:r>
              <w:rPr>
                <w:rFonts w:ascii="Calibri" w:hAnsi="Calibri"/>
                <w:i/>
                <w:iCs/>
                <w:color w:val="000000"/>
                <w:sz w:val="20"/>
                <w:szCs w:val="20"/>
                <w:lang w:val="en-US"/>
              </w:rPr>
              <w:t xml:space="preserve">Memo: price inflation </w:t>
            </w:r>
          </w:p>
        </w:tc>
        <w:tc>
          <w:tcPr>
            <w:tcW w:w="2126" w:type="dxa"/>
            <w:tcBorders>
              <w:top w:val="single" w:sz="4" w:space="0" w:color="000000"/>
              <w:left w:val="single" w:sz="4" w:space="0" w:color="000000"/>
              <w:bottom w:val="single" w:sz="4" w:space="0" w:color="000000"/>
            </w:tcBorders>
            <w:shd w:val="clear" w:color="auto" w:fill="auto"/>
          </w:tcPr>
          <w:p w:rsidR="00E15AB0" w:rsidRDefault="00E15AB0">
            <w:pPr>
              <w:rPr>
                <w:rFonts w:ascii="Calibri" w:hAnsi="Calibri"/>
                <w:i/>
                <w:iCs/>
                <w:color w:val="000000"/>
                <w:sz w:val="20"/>
                <w:szCs w:val="20"/>
              </w:rPr>
            </w:pPr>
            <w:r>
              <w:rPr>
                <w:rFonts w:ascii="Calibri" w:hAnsi="Calibri"/>
                <w:i/>
                <w:iCs/>
                <w:color w:val="000000"/>
                <w:sz w:val="20"/>
                <w:szCs w:val="20"/>
                <w:lang w:val="en-US"/>
              </w:rPr>
              <w:t>March 2008- march 2011</w:t>
            </w:r>
          </w:p>
        </w:tc>
        <w:tc>
          <w:tcPr>
            <w:tcW w:w="850"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i/>
                <w:iCs/>
                <w:color w:val="000000"/>
                <w:sz w:val="20"/>
                <w:szCs w:val="20"/>
              </w:rPr>
            </w:pPr>
            <w:r>
              <w:rPr>
                <w:rFonts w:ascii="Calibri" w:hAnsi="Calibri" w:cs="Calibri"/>
                <w:i/>
                <w:iCs/>
                <w:color w:val="000000"/>
                <w:sz w:val="20"/>
                <w:szCs w:val="20"/>
              </w:rPr>
              <w:t> </w:t>
            </w:r>
          </w:p>
        </w:tc>
        <w:tc>
          <w:tcPr>
            <w:tcW w:w="851"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i/>
                <w:iCs/>
                <w:color w:val="000000"/>
                <w:sz w:val="20"/>
                <w:szCs w:val="20"/>
              </w:rPr>
            </w:pPr>
            <w:r>
              <w:rPr>
                <w:rFonts w:ascii="Calibri" w:hAnsi="Calibri" w:cs="Calibri"/>
                <w:i/>
                <w:iCs/>
                <w:color w:val="000000"/>
                <w:sz w:val="20"/>
                <w:szCs w:val="20"/>
              </w:rPr>
              <w:t> </w:t>
            </w:r>
          </w:p>
        </w:tc>
        <w:tc>
          <w:tcPr>
            <w:tcW w:w="900"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i/>
                <w:iCs/>
                <w:color w:val="000000"/>
                <w:sz w:val="20"/>
                <w:szCs w:val="20"/>
              </w:rPr>
            </w:pPr>
            <w:r>
              <w:rPr>
                <w:rFonts w:ascii="Calibri" w:hAnsi="Calibri" w:cs="Calibri"/>
                <w:i/>
                <w:iCs/>
                <w:color w:val="000000"/>
                <w:sz w:val="20"/>
                <w:szCs w:val="20"/>
              </w:rPr>
              <w:t> </w:t>
            </w:r>
          </w:p>
        </w:tc>
        <w:tc>
          <w:tcPr>
            <w:tcW w:w="851" w:type="dxa"/>
            <w:tcBorders>
              <w:top w:val="single" w:sz="4" w:space="0" w:color="000000"/>
              <w:left w:val="single" w:sz="4" w:space="0" w:color="000000"/>
              <w:bottom w:val="single" w:sz="4" w:space="0" w:color="000000"/>
            </w:tcBorders>
            <w:shd w:val="clear" w:color="auto" w:fill="auto"/>
          </w:tcPr>
          <w:p w:rsidR="00E15AB0" w:rsidRDefault="00E15AB0">
            <w:pPr>
              <w:jc w:val="right"/>
              <w:rPr>
                <w:rFonts w:ascii="Calibri" w:hAnsi="Calibri"/>
                <w:i/>
                <w:iCs/>
                <w:color w:val="000000"/>
                <w:sz w:val="20"/>
                <w:szCs w:val="20"/>
              </w:rPr>
            </w:pPr>
            <w:r>
              <w:rPr>
                <w:rFonts w:ascii="Calibri" w:hAnsi="Calibri" w:cs="Calibri"/>
                <w:i/>
                <w:iCs/>
                <w:color w:val="000000"/>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AB0" w:rsidRDefault="00E15AB0">
            <w:pPr>
              <w:jc w:val="right"/>
              <w:rPr>
                <w:rFonts w:ascii="Calibri" w:hAnsi="Calibri"/>
                <w:i/>
                <w:iCs/>
                <w:color w:val="000000"/>
                <w:sz w:val="20"/>
                <w:szCs w:val="20"/>
              </w:rPr>
            </w:pPr>
            <w:r>
              <w:rPr>
                <w:rFonts w:ascii="Calibri" w:hAnsi="Calibri" w:cs="Calibri"/>
                <w:i/>
                <w:iCs/>
                <w:color w:val="000000"/>
                <w:sz w:val="20"/>
                <w:szCs w:val="20"/>
              </w:rPr>
              <w:t>4.50%</w:t>
            </w:r>
          </w:p>
        </w:tc>
        <w:tc>
          <w:tcPr>
            <w:tcW w:w="992" w:type="dxa"/>
            <w:tcBorders>
              <w:top w:val="single" w:sz="4" w:space="0" w:color="000000"/>
              <w:left w:val="single" w:sz="4" w:space="0" w:color="000000"/>
              <w:bottom w:val="single" w:sz="4" w:space="0" w:color="000000"/>
              <w:right w:val="single" w:sz="4" w:space="0" w:color="000000"/>
            </w:tcBorders>
            <w:vAlign w:val="bottom"/>
          </w:tcPr>
          <w:p w:rsidR="00E15AB0" w:rsidRDefault="00E15AB0">
            <w:pPr>
              <w:rPr>
                <w:rFonts w:ascii="Calibri" w:hAnsi="Calibri"/>
                <w:color w:val="000000"/>
                <w:sz w:val="18"/>
                <w:szCs w:val="18"/>
              </w:rPr>
            </w:pPr>
          </w:p>
        </w:tc>
      </w:tr>
    </w:tbl>
    <w:p w:rsidR="00895501" w:rsidRPr="00EF5FAA" w:rsidRDefault="00895501">
      <w:pPr>
        <w:autoSpaceDE w:val="0"/>
        <w:rPr>
          <w:sz w:val="20"/>
          <w:szCs w:val="20"/>
          <w:lang w:val="en-US"/>
        </w:rPr>
      </w:pPr>
      <w:r w:rsidRPr="00EF5FAA">
        <w:rPr>
          <w:bCs/>
          <w:sz w:val="20"/>
          <w:szCs w:val="20"/>
          <w:lang w:val="en-US"/>
        </w:rPr>
        <w:t xml:space="preserve">Source: USA BLS </w:t>
      </w:r>
      <w:proofErr w:type="gramStart"/>
      <w:r w:rsidRPr="00EF5FAA">
        <w:rPr>
          <w:bCs/>
          <w:sz w:val="20"/>
          <w:szCs w:val="20"/>
          <w:lang w:val="en-US"/>
        </w:rPr>
        <w:t>201</w:t>
      </w:r>
      <w:r w:rsidR="00C96716" w:rsidRPr="00EF5FAA">
        <w:rPr>
          <w:bCs/>
          <w:sz w:val="20"/>
          <w:szCs w:val="20"/>
          <w:lang w:val="en-US"/>
        </w:rPr>
        <w:t>1</w:t>
      </w:r>
      <w:r w:rsidRPr="00EF5FAA">
        <w:rPr>
          <w:bCs/>
          <w:sz w:val="20"/>
          <w:szCs w:val="20"/>
          <w:lang w:val="en-US"/>
        </w:rPr>
        <w:t xml:space="preserve"> .</w:t>
      </w:r>
      <w:proofErr w:type="gramEnd"/>
      <w:r w:rsidRPr="00EF5FAA">
        <w:rPr>
          <w:bCs/>
          <w:sz w:val="20"/>
          <w:szCs w:val="20"/>
          <w:lang w:val="en-US"/>
        </w:rPr>
        <w:t xml:space="preserve"> </w:t>
      </w:r>
      <w:proofErr w:type="gramStart"/>
      <w:r w:rsidRPr="00EF5FAA">
        <w:rPr>
          <w:bCs/>
          <w:sz w:val="20"/>
          <w:szCs w:val="20"/>
          <w:lang w:val="en-US"/>
        </w:rPr>
        <w:t>Employment Cost Index Historical Listing Current-dollar March 2001 – March 201</w:t>
      </w:r>
      <w:r w:rsidR="00C96716" w:rsidRPr="00EF5FAA">
        <w:rPr>
          <w:bCs/>
          <w:sz w:val="20"/>
          <w:szCs w:val="20"/>
          <w:lang w:val="en-US"/>
        </w:rPr>
        <w:t xml:space="preserve">1 </w:t>
      </w:r>
      <w:r w:rsidRPr="00EF5FAA">
        <w:rPr>
          <w:bCs/>
          <w:sz w:val="20"/>
          <w:szCs w:val="20"/>
          <w:lang w:val="en-US"/>
        </w:rPr>
        <w:t xml:space="preserve">(December 2005=100) </w:t>
      </w:r>
      <w:hyperlink r:id="rId21" w:history="1">
        <w:r w:rsidRPr="00EF5FAA">
          <w:rPr>
            <w:rStyle w:val="Hyperlink"/>
            <w:sz w:val="20"/>
            <w:szCs w:val="20"/>
          </w:rPr>
          <w:t>http://www.bls.gov/web/eci/echistrynaics.pdf</w:t>
        </w:r>
      </w:hyperlink>
      <w:r w:rsidRPr="00EF5FAA">
        <w:rPr>
          <w:sz w:val="20"/>
          <w:szCs w:val="20"/>
        </w:rPr>
        <w:t xml:space="preserve">   </w:t>
      </w:r>
      <w:r w:rsidRPr="00EF5FAA">
        <w:rPr>
          <w:bCs/>
          <w:sz w:val="20"/>
          <w:szCs w:val="20"/>
          <w:lang w:val="en-US"/>
        </w:rPr>
        <w:t>Table 1.</w:t>
      </w:r>
      <w:proofErr w:type="gramEnd"/>
      <w:r w:rsidRPr="00EF5FAA">
        <w:rPr>
          <w:bCs/>
          <w:sz w:val="20"/>
          <w:szCs w:val="20"/>
          <w:lang w:val="en-US"/>
        </w:rPr>
        <w:t xml:space="preserve"> </w:t>
      </w:r>
      <w:proofErr w:type="gramStart"/>
      <w:r w:rsidRPr="00EF5FAA">
        <w:rPr>
          <w:bCs/>
          <w:sz w:val="20"/>
          <w:szCs w:val="20"/>
          <w:lang w:val="en-US"/>
        </w:rPr>
        <w:t>Employment Cost Index for total compensation</w:t>
      </w:r>
      <w:r w:rsidRPr="00EF5FAA">
        <w:rPr>
          <w:sz w:val="20"/>
          <w:szCs w:val="20"/>
          <w:lang w:val="en-US"/>
        </w:rPr>
        <w:t>1</w:t>
      </w:r>
      <w:r w:rsidRPr="00EF5FAA">
        <w:rPr>
          <w:bCs/>
          <w:sz w:val="20"/>
          <w:szCs w:val="20"/>
          <w:lang w:val="en-US"/>
        </w:rPr>
        <w:t>, by occupational group and industry —; Table 6.</w:t>
      </w:r>
      <w:proofErr w:type="gramEnd"/>
      <w:r w:rsidRPr="00EF5FAA">
        <w:rPr>
          <w:bCs/>
          <w:sz w:val="20"/>
          <w:szCs w:val="20"/>
          <w:lang w:val="en-US"/>
        </w:rPr>
        <w:t xml:space="preserve"> Employment Cost Index for total compensation</w:t>
      </w:r>
      <w:r w:rsidRPr="00EF5FAA">
        <w:rPr>
          <w:sz w:val="20"/>
          <w:szCs w:val="20"/>
          <w:lang w:val="en-US"/>
        </w:rPr>
        <w:t>1</w:t>
      </w:r>
      <w:r w:rsidRPr="00EF5FAA">
        <w:rPr>
          <w:bCs/>
          <w:sz w:val="20"/>
          <w:szCs w:val="20"/>
          <w:lang w:val="en-US"/>
        </w:rPr>
        <w:t xml:space="preserve">, for private industry workers, by bargaining status, census region and division, and metropolitan area status </w:t>
      </w:r>
      <w:r w:rsidRPr="00EF5FAA">
        <w:rPr>
          <w:sz w:val="20"/>
          <w:szCs w:val="20"/>
          <w:lang w:val="en-US"/>
        </w:rPr>
        <w:t>(Not seasonally adjusted)</w:t>
      </w:r>
    </w:p>
    <w:p w:rsidR="00895501" w:rsidRDefault="00895501">
      <w:pPr>
        <w:pStyle w:val="Heading2"/>
      </w:pPr>
      <w:bookmarkStart w:id="24" w:name="__RefHeading__2499_5168522"/>
      <w:bookmarkStart w:id="25" w:name="_Toc297975164"/>
      <w:bookmarkEnd w:id="24"/>
      <w:r>
        <w:t xml:space="preserve">USA: </w:t>
      </w:r>
      <w:r w:rsidR="00EC0F58">
        <w:t>pay cuts, renegotiations, pensions and union rights</w:t>
      </w:r>
      <w:bookmarkEnd w:id="25"/>
    </w:p>
    <w:p w:rsidR="00EC0F58" w:rsidRPr="00EC0F58" w:rsidRDefault="00EC0F58" w:rsidP="00EC0F58">
      <w:pPr>
        <w:rPr>
          <w:bCs/>
          <w:iCs/>
        </w:rPr>
      </w:pPr>
      <w:r w:rsidRPr="00EC0F58">
        <w:rPr>
          <w:bCs/>
          <w:iCs/>
        </w:rPr>
        <w:t>As in other countries, public employees in the USA are mostly paid less than their counterparts in the private sector in similar jobs, but there are political campaigns to cut public sector salaries, as well as the real pressure of the recession.</w:t>
      </w:r>
    </w:p>
    <w:p w:rsidR="00EC0F58" w:rsidRPr="00EC0F58" w:rsidRDefault="00EC0F58" w:rsidP="00EC0F58">
      <w:pPr>
        <w:rPr>
          <w:bCs/>
          <w:iCs/>
        </w:rPr>
      </w:pPr>
    </w:p>
    <w:p w:rsidR="00EC0F58" w:rsidRPr="00EC0F58" w:rsidRDefault="00EC0F58" w:rsidP="00EC0F58">
      <w:pPr>
        <w:rPr>
          <w:bCs/>
          <w:iCs/>
        </w:rPr>
      </w:pPr>
      <w:r>
        <w:t xml:space="preserve">The USA federal government continued in 2009 and 2010 to increase the pay of federal employees in line with the 1990 law on comparability. In 2010, this process resulted in a pay increase of 1.5%. </w:t>
      </w:r>
      <w:r>
        <w:rPr>
          <w:rStyle w:val="EndnoteReference"/>
        </w:rPr>
        <w:endnoteReference w:id="4"/>
      </w:r>
      <w:r>
        <w:t xml:space="preserve"> Finally in December 2010 </w:t>
      </w:r>
      <w:r w:rsidRPr="00EC0F58">
        <w:rPr>
          <w:bCs/>
          <w:iCs/>
        </w:rPr>
        <w:t xml:space="preserve">President Obama </w:t>
      </w:r>
      <w:proofErr w:type="gramStart"/>
      <w:r w:rsidRPr="00EC0F58">
        <w:rPr>
          <w:bCs/>
          <w:iCs/>
        </w:rPr>
        <w:t>announced  a</w:t>
      </w:r>
      <w:proofErr w:type="gramEnd"/>
      <w:r w:rsidRPr="00EC0F58">
        <w:rPr>
          <w:bCs/>
          <w:iCs/>
        </w:rPr>
        <w:t xml:space="preserve"> 2-year freeze on the pay of nearly all 2 million federal civil servants. Republicans are calling for further cuts in pay and jobs.</w:t>
      </w:r>
    </w:p>
    <w:p w:rsidR="00EC0F58" w:rsidRPr="00EC0F58" w:rsidRDefault="00EC0F58" w:rsidP="00EC0F58">
      <w:pPr>
        <w:rPr>
          <w:bCs/>
          <w:iCs/>
        </w:rPr>
      </w:pPr>
    </w:p>
    <w:p w:rsidR="00EC0F58" w:rsidRDefault="00895501">
      <w:pPr>
        <w:rPr>
          <w:bCs/>
          <w:iCs/>
        </w:rPr>
      </w:pPr>
      <w:r>
        <w:t xml:space="preserve">State, county and municipal levels of government have experienced financial problems of reduced revenues, at least partly as a result of the crisis, and some have responded by proposing to freeze or reduce workers’ pay. </w:t>
      </w:r>
      <w:r w:rsidR="00EC0F58" w:rsidRPr="00EC0F58">
        <w:rPr>
          <w:bCs/>
          <w:iCs/>
        </w:rPr>
        <w:t xml:space="preserve">At least 28 states have cut pay and conditions in various ways. One method, used by more than half the states, has been compulsory unpaid </w:t>
      </w:r>
      <w:proofErr w:type="gramStart"/>
      <w:r w:rsidR="00EC0F58" w:rsidRPr="00EC0F58">
        <w:rPr>
          <w:bCs/>
          <w:iCs/>
        </w:rPr>
        <w:t>leave ,</w:t>
      </w:r>
      <w:proofErr w:type="gramEnd"/>
      <w:r w:rsidR="00EC0F58" w:rsidRPr="00EC0F58">
        <w:rPr>
          <w:bCs/>
          <w:iCs/>
        </w:rPr>
        <w:t xml:space="preserve"> known as ‘furloughs’: 250,000 workers were subject to this arbitrary layoff in New York and California alone. </w:t>
      </w:r>
    </w:p>
    <w:p w:rsidR="00EC0F58" w:rsidRPr="00EC0F58" w:rsidRDefault="00EC0F58">
      <w:pPr>
        <w:rPr>
          <w:bCs/>
          <w:iCs/>
        </w:rPr>
      </w:pPr>
    </w:p>
    <w:p w:rsidR="00895501" w:rsidRDefault="00895501">
      <w:r>
        <w:t xml:space="preserve">At this point, the degree of unionisation becomes significant. Where unions have negotiated </w:t>
      </w:r>
      <w:proofErr w:type="spellStart"/>
      <w:r>
        <w:t>labor</w:t>
      </w:r>
      <w:proofErr w:type="spellEnd"/>
      <w:r>
        <w:t xml:space="preserve"> contracts, which are legally binding collective agreements covering a number of years, states may be able to impose cuts for non-union employees, but the unilateral imposition of such cuts is not possible for unionised employees covered by such agreements. Thus in Nebraska, “About 2,900 non-union state employees will have their pay frozen for the 2010-2011 fiscal year…..The Republican governor is also asking the union representing about 11,000 Nebraska state workers to reconsider a pay freeze for union employees.”</w:t>
      </w:r>
      <w:r>
        <w:rPr>
          <w:rStyle w:val="EndnoteCharacters"/>
        </w:rPr>
        <w:endnoteReference w:id="5"/>
      </w:r>
      <w:r>
        <w:t xml:space="preserve"> In San Jose, California, public transport workers were awarded a 3% pay increase in June 2010, in line with the collective agreement.</w:t>
      </w:r>
      <w:r>
        <w:rPr>
          <w:rStyle w:val="EndnoteCharacters"/>
        </w:rPr>
        <w:endnoteReference w:id="6"/>
      </w:r>
      <w:r>
        <w:t xml:space="preserve">  </w:t>
      </w:r>
    </w:p>
    <w:p w:rsidR="00895501" w:rsidRDefault="00895501">
      <w:r>
        <w:t xml:space="preserve"> </w:t>
      </w:r>
    </w:p>
    <w:p w:rsidR="00895501" w:rsidRDefault="00895501">
      <w:r>
        <w:lastRenderedPageBreak/>
        <w:t xml:space="preserve">When </w:t>
      </w:r>
      <w:proofErr w:type="spellStart"/>
      <w:r>
        <w:t>labor</w:t>
      </w:r>
      <w:proofErr w:type="spellEnd"/>
      <w:r>
        <w:t xml:space="preserve"> contracts expire, however, new agreements have to be negotiated, and since 2008 unions have sometimes been settling for very low or zero pay increases. The stated reason for these settlements is to protect jobs. In Akron Ohio, where a new pay agreement the was due for renegotiation, the union AFSCME agreed a new 3-year deal including a pay freeze for 2 years, the deferral of seniority increments, and  4 unpaid days leave per year- as well as the introduction of monthly contributions for the health insurance which had previously been free. </w:t>
      </w:r>
      <w:r>
        <w:rPr>
          <w:rStyle w:val="EndnoteCharacters"/>
        </w:rPr>
        <w:endnoteReference w:id="7"/>
      </w:r>
      <w:r>
        <w:t xml:space="preserve">  In San Bernardino, California, the teachers union agreed to a pay cut of nearly 2%. </w:t>
      </w:r>
      <w:r>
        <w:rPr>
          <w:rStyle w:val="EndnoteCharacters"/>
        </w:rPr>
        <w:endnoteReference w:id="8"/>
      </w:r>
      <w:r>
        <w:t xml:space="preserve"> In New York the mayor sought to anticipate the outcome of negotiations on a new pay agreement for teachers by announcing a 2-year pay freeze.</w:t>
      </w:r>
      <w:r>
        <w:rPr>
          <w:rStyle w:val="EndnoteCharacters"/>
        </w:rPr>
        <w:endnoteReference w:id="9"/>
      </w:r>
      <w:r>
        <w:t xml:space="preserve"> </w:t>
      </w:r>
    </w:p>
    <w:p w:rsidR="00895501" w:rsidRDefault="00895501"/>
    <w:p w:rsidR="00895501" w:rsidRDefault="00895501">
      <w:pPr>
        <w:rPr>
          <w:szCs w:val="22"/>
        </w:rPr>
      </w:pPr>
      <w:r>
        <w:t>Such negotiation of temporary pay freezes has happened previously, and been followed by pay increases linked to fiscal results</w:t>
      </w:r>
      <w:proofErr w:type="gramStart"/>
      <w:r>
        <w:t>..</w:t>
      </w:r>
      <w:proofErr w:type="gramEnd"/>
      <w:r>
        <w:t xml:space="preserve"> In Delaware, state employees pay was cut by 2.5% in 2009, but this was restored in 2010 as tax revenues were higher than forecast.</w:t>
      </w:r>
      <w:r>
        <w:rPr>
          <w:rStyle w:val="EndnoteCharacters"/>
        </w:rPr>
        <w:endnoteReference w:id="10"/>
      </w:r>
      <w:r>
        <w:t xml:space="preserve">  In Virginia, state employees agreed a pay freeze since 2006 in the context of a deficit: in 2010, as the state moved into surplus, the employees became entitled to a 3% bonus.</w:t>
      </w:r>
      <w:r>
        <w:rPr>
          <w:rStyle w:val="EndnoteCharacters"/>
        </w:rPr>
        <w:endnoteReference w:id="11"/>
      </w:r>
      <w:r>
        <w:t xml:space="preserve">  In the Bay area of California, the transport workers’ union has agreed such freezes on two previous occasions:  “In 1992, at the request of the AC Transit District, front-line workers accepted a two-year wage freeze to meet another budget crisis. In 2004, we saved the district up to $3 million by again freezing wages, this time in exchange for improvements to workers' retirement benefits.” </w:t>
      </w:r>
      <w:r>
        <w:rPr>
          <w:rStyle w:val="EndnoteCharacters"/>
        </w:rPr>
        <w:endnoteReference w:id="12"/>
      </w:r>
      <w:r w:rsidR="00EC0F58" w:rsidRPr="00EC0F58">
        <w:rPr>
          <w:bCs/>
          <w:iCs/>
        </w:rPr>
        <w:t xml:space="preserve"> US unions have negotiated many such deals in the public sector at times of crisis, as far back as the crisis in New York City in the 1970s)</w:t>
      </w:r>
    </w:p>
    <w:p w:rsidR="00895501" w:rsidRDefault="00895501">
      <w:pPr>
        <w:rPr>
          <w:szCs w:val="22"/>
        </w:rPr>
      </w:pPr>
    </w:p>
    <w:p w:rsidR="00895501" w:rsidRDefault="00895501">
      <w:pPr>
        <w:rPr>
          <w:szCs w:val="22"/>
        </w:rPr>
      </w:pPr>
      <w:r>
        <w:rPr>
          <w:szCs w:val="22"/>
        </w:rPr>
        <w:t xml:space="preserve">In all these individual cases, the reported driving force is the effect of the crisis on government tax revenues, not a ‘knock-on’ labour market effect.  </w:t>
      </w:r>
    </w:p>
    <w:p w:rsidR="00895501" w:rsidRDefault="00895501"/>
    <w:p w:rsidR="00895501" w:rsidRDefault="00895501">
      <w:pPr>
        <w:rPr>
          <w:rStyle w:val="EndnoteCharacters"/>
          <w:i/>
          <w:iCs/>
          <w:szCs w:val="22"/>
          <w:vertAlign w:val="baseline"/>
        </w:rPr>
      </w:pPr>
      <w:r>
        <w:rPr>
          <w:rStyle w:val="EndnoteCharacters"/>
          <w:i/>
          <w:iCs/>
          <w:szCs w:val="22"/>
          <w:vertAlign w:val="baseline"/>
        </w:rPr>
        <w:t xml:space="preserve">This pattern confirms the findings of an earlier study of local government pay in the USA, which found widespread fiscal constraints </w:t>
      </w:r>
    </w:p>
    <w:p w:rsidR="00470910" w:rsidRDefault="00470910">
      <w:pPr>
        <w:rPr>
          <w:rStyle w:val="EndnoteCharacters"/>
          <w:i/>
          <w:iCs/>
          <w:szCs w:val="22"/>
          <w:vertAlign w:val="baseline"/>
        </w:rPr>
      </w:pPr>
    </w:p>
    <w:p w:rsidR="00EC0F58" w:rsidRPr="00EC0F58" w:rsidRDefault="00EC0F58" w:rsidP="00EC0F58">
      <w:pPr>
        <w:rPr>
          <w:bCs/>
          <w:iCs/>
          <w:szCs w:val="22"/>
        </w:rPr>
      </w:pPr>
      <w:r w:rsidRPr="00EC0F58">
        <w:rPr>
          <w:bCs/>
          <w:iCs/>
          <w:szCs w:val="22"/>
        </w:rPr>
        <w:t>Pension funds for state and municipal employees have deficits which are a result of the recession or past underfunding by employers, which can be dealt with by long-term solutions over many years. But in some states these deficits have been used as an excuse to cut the pensions of public employees or increase their contributions: in the first nine months of 2010 alone, 19 states implemented such cuts. In Illinois, proposals to impose big increases for pensions and healthcare benefits were abandoned in June 2011, after a state-wide campaign generated tens of thousands of phone calls and letters to elected legislators. In June 2011 the federal government was also reported to be considering increasing the pension contributions of federal civil servants.</w:t>
      </w:r>
    </w:p>
    <w:p w:rsidR="00EC0F58" w:rsidRPr="00EC0F58" w:rsidRDefault="00EC0F58" w:rsidP="00EC0F58">
      <w:pPr>
        <w:rPr>
          <w:bCs/>
          <w:i/>
          <w:iCs/>
          <w:szCs w:val="22"/>
        </w:rPr>
      </w:pPr>
    </w:p>
    <w:p w:rsidR="00EF5FAA" w:rsidRPr="00EF5FAA" w:rsidRDefault="00EF5FAA" w:rsidP="00F75586">
      <w:pPr>
        <w:pStyle w:val="Heading3"/>
      </w:pPr>
      <w:bookmarkStart w:id="26" w:name="_Toc297975165"/>
      <w:r w:rsidRPr="00EF5FAA">
        <w:t>Union bargaining rights</w:t>
      </w:r>
      <w:bookmarkEnd w:id="26"/>
    </w:p>
    <w:p w:rsidR="00EF5FAA" w:rsidRPr="00EF5FAA" w:rsidRDefault="00EF5FAA" w:rsidP="00EF5FAA">
      <w:pPr>
        <w:rPr>
          <w:bCs/>
          <w:iCs/>
          <w:szCs w:val="22"/>
        </w:rPr>
      </w:pPr>
      <w:r w:rsidRPr="00EF5FAA">
        <w:rPr>
          <w:bCs/>
          <w:iCs/>
          <w:szCs w:val="22"/>
        </w:rPr>
        <w:t xml:space="preserve">In Wisconsin, Ohio and a few other states, right-wing republicans have used the crisis as an excuse for removing union collective bargaining rights. The governor of Wisconsin, Scott Walker, introduced a budget in 2011 which removes the right of collective bargaining from nearly all state employees, and imposed extra pension contributions equivalent to </w:t>
      </w:r>
      <w:proofErr w:type="gramStart"/>
      <w:r w:rsidRPr="00EF5FAA">
        <w:rPr>
          <w:bCs/>
          <w:iCs/>
          <w:szCs w:val="22"/>
        </w:rPr>
        <w:t>a</w:t>
      </w:r>
      <w:proofErr w:type="gramEnd"/>
      <w:r w:rsidRPr="00EF5FAA">
        <w:rPr>
          <w:bCs/>
          <w:iCs/>
          <w:szCs w:val="22"/>
        </w:rPr>
        <w:t xml:space="preserve"> 8% pay cut. Since February the unions in Wisconsin waged a lengthy campaign, including demonstrations, legal challenges and political campaigns, which won a remarkable level of public support. Tens of thousands of people have attended demonstrations supporting the right to collective bargaining, with students in particular actively maintaining a camp outside the state legislature. Most public opinion polls show a majority of people oppose what the republicans are doing. Unions from all over the world have sent messages of support.</w:t>
      </w:r>
    </w:p>
    <w:p w:rsidR="00EF5FAA" w:rsidRPr="00EF5FAA" w:rsidRDefault="00EF5FAA" w:rsidP="00EF5FAA">
      <w:pPr>
        <w:rPr>
          <w:bCs/>
          <w:iCs/>
          <w:szCs w:val="22"/>
        </w:rPr>
      </w:pPr>
    </w:p>
    <w:p w:rsidR="00EC0F58" w:rsidRDefault="00EF5FAA">
      <w:pPr>
        <w:rPr>
          <w:bCs/>
          <w:iCs/>
          <w:szCs w:val="22"/>
        </w:rPr>
      </w:pPr>
      <w:r w:rsidRPr="00EF5FAA">
        <w:rPr>
          <w:bCs/>
          <w:iCs/>
          <w:szCs w:val="22"/>
        </w:rPr>
        <w:t>Ohio has introduced similar legislation to remove or restrict the bargaining right, and the right to strike, of state employees, but a campaign to submit it to a referendum has been supported by over 700,000 signatures – 3 times the number required – so the law may yet be rejected by voters in November 2011.</w:t>
      </w:r>
      <w:r>
        <w:rPr>
          <w:rStyle w:val="EndnoteReference"/>
          <w:bCs/>
          <w:iCs/>
          <w:szCs w:val="22"/>
        </w:rPr>
        <w:endnoteReference w:id="13"/>
      </w:r>
    </w:p>
    <w:p w:rsidR="00B4304C" w:rsidRDefault="00B4304C">
      <w:pPr>
        <w:rPr>
          <w:bCs/>
          <w:iCs/>
          <w:szCs w:val="22"/>
        </w:rPr>
      </w:pPr>
    </w:p>
    <w:p w:rsidR="00B4304C" w:rsidRPr="00F75586" w:rsidRDefault="00B4304C" w:rsidP="00B4304C">
      <w:pPr>
        <w:pStyle w:val="Heading2"/>
        <w:rPr>
          <w:rStyle w:val="EndnoteCharacters"/>
          <w:iCs w:val="0"/>
          <w:szCs w:val="22"/>
          <w:vertAlign w:val="baseline"/>
        </w:rPr>
      </w:pPr>
      <w:bookmarkStart w:id="27" w:name="_Toc297975166"/>
      <w:r w:rsidRPr="00F75586">
        <w:t>USA: public sector jobs</w:t>
      </w:r>
      <w:bookmarkEnd w:id="27"/>
    </w:p>
    <w:p w:rsidR="00D10E2A" w:rsidRDefault="00D10E2A" w:rsidP="00470910">
      <w:pPr>
        <w:rPr>
          <w:bCs/>
          <w:iCs/>
          <w:lang w:eastAsia="en-US"/>
        </w:rPr>
      </w:pPr>
    </w:p>
    <w:p w:rsidR="00470910" w:rsidRDefault="00470910" w:rsidP="00470910">
      <w:pPr>
        <w:rPr>
          <w:bCs/>
          <w:iCs/>
          <w:lang w:eastAsia="en-US"/>
        </w:rPr>
      </w:pPr>
      <w:r>
        <w:rPr>
          <w:bCs/>
          <w:iCs/>
          <w:lang w:eastAsia="en-US"/>
        </w:rPr>
        <w:t xml:space="preserve">At federal level, where there are just over 2million civil servants, there has been no formal cut or freeze in recruitment. However, the expected growth in civil service is not producing many new vacancies. At state level, loss of tax revenues due to the recession has meant that states still faced a ‘funding gap’ even after the </w:t>
      </w:r>
      <w:r>
        <w:rPr>
          <w:bCs/>
          <w:iCs/>
          <w:lang w:eastAsia="en-US"/>
        </w:rPr>
        <w:lastRenderedPageBreak/>
        <w:t xml:space="preserve">stimulus package money. There were </w:t>
      </w:r>
      <w:proofErr w:type="gramStart"/>
      <w:r>
        <w:rPr>
          <w:bCs/>
          <w:iCs/>
          <w:lang w:eastAsia="en-US"/>
        </w:rPr>
        <w:t>some  tax</w:t>
      </w:r>
      <w:proofErr w:type="gramEnd"/>
      <w:r>
        <w:rPr>
          <w:bCs/>
          <w:iCs/>
          <w:lang w:eastAsia="en-US"/>
        </w:rPr>
        <w:t xml:space="preserve"> increases in some states, but nearly all have reduced spending on services. </w:t>
      </w:r>
    </w:p>
    <w:p w:rsidR="00470910" w:rsidRDefault="00470910" w:rsidP="00470910">
      <w:pPr>
        <w:rPr>
          <w:bCs/>
          <w:iCs/>
          <w:lang w:eastAsia="en-US"/>
        </w:rPr>
      </w:pPr>
    </w:p>
    <w:p w:rsidR="00470910" w:rsidRDefault="00470910" w:rsidP="00470910">
      <w:pPr>
        <w:rPr>
          <w:bCs/>
          <w:iCs/>
          <w:lang w:eastAsia="en-US"/>
        </w:rPr>
      </w:pPr>
      <w:r>
        <w:rPr>
          <w:bCs/>
          <w:iCs/>
          <w:lang w:eastAsia="en-US"/>
        </w:rPr>
        <w:t>As a result, t</w:t>
      </w:r>
      <w:r w:rsidRPr="00953205">
        <w:rPr>
          <w:bCs/>
          <w:iCs/>
          <w:lang w:eastAsia="en-US"/>
        </w:rPr>
        <w:t xml:space="preserve">he number of people employed by state and local governments in the USA fell by </w:t>
      </w:r>
      <w:r>
        <w:rPr>
          <w:bCs/>
          <w:iCs/>
          <w:lang w:eastAsia="en-US"/>
        </w:rPr>
        <w:t>535</w:t>
      </w:r>
      <w:r w:rsidRPr="00953205">
        <w:rPr>
          <w:bCs/>
          <w:iCs/>
          <w:lang w:eastAsia="en-US"/>
        </w:rPr>
        <w:t xml:space="preserve">,000 from August 2008 to </w:t>
      </w:r>
      <w:r>
        <w:rPr>
          <w:bCs/>
          <w:iCs/>
          <w:lang w:eastAsia="en-US"/>
        </w:rPr>
        <w:t>Ma</w:t>
      </w:r>
      <w:r w:rsidRPr="00953205">
        <w:rPr>
          <w:bCs/>
          <w:iCs/>
          <w:lang w:eastAsia="en-US"/>
        </w:rPr>
        <w:t xml:space="preserve">y 2011. </w:t>
      </w:r>
      <w:r>
        <w:rPr>
          <w:bCs/>
          <w:iCs/>
          <w:lang w:eastAsia="en-US"/>
        </w:rPr>
        <w:t xml:space="preserve"> For example, </w:t>
      </w:r>
      <w:r w:rsidRPr="00953205">
        <w:rPr>
          <w:bCs/>
          <w:iCs/>
          <w:lang w:eastAsia="en-US"/>
        </w:rPr>
        <w:t xml:space="preserve">New Jersey and Tennessee </w:t>
      </w:r>
      <w:r>
        <w:rPr>
          <w:bCs/>
          <w:iCs/>
          <w:lang w:eastAsia="en-US"/>
        </w:rPr>
        <w:t xml:space="preserve">have </w:t>
      </w:r>
      <w:r w:rsidRPr="00953205">
        <w:rPr>
          <w:bCs/>
          <w:iCs/>
          <w:lang w:eastAsia="en-US"/>
        </w:rPr>
        <w:t>each cut 2000 jobs through early retirements and layoffs; the state of Washington is cutting 4,000 jobs as the result of a recruitment freeze.</w:t>
      </w:r>
      <w:r>
        <w:rPr>
          <w:bCs/>
          <w:iCs/>
          <w:lang w:eastAsia="en-US"/>
        </w:rPr>
        <w:t xml:space="preserve"> </w:t>
      </w:r>
      <w:r w:rsidRPr="00953205">
        <w:rPr>
          <w:bCs/>
          <w:iCs/>
          <w:lang w:eastAsia="en-US"/>
        </w:rPr>
        <w:t xml:space="preserve">Cuts in 2012 could lead to the loss of </w:t>
      </w:r>
      <w:r>
        <w:rPr>
          <w:bCs/>
          <w:iCs/>
          <w:lang w:eastAsia="en-US"/>
        </w:rPr>
        <w:t xml:space="preserve">a further </w:t>
      </w:r>
      <w:r w:rsidRPr="00953205">
        <w:rPr>
          <w:bCs/>
          <w:iCs/>
          <w:lang w:eastAsia="en-US"/>
        </w:rPr>
        <w:t>650,000 jobs unless federal government support is continued.</w:t>
      </w:r>
    </w:p>
    <w:p w:rsidR="00EF5FAA" w:rsidRDefault="00EF5FAA" w:rsidP="00470910">
      <w:pPr>
        <w:rPr>
          <w:bCs/>
          <w:iCs/>
          <w:lang w:eastAsia="en-US"/>
        </w:rPr>
      </w:pPr>
    </w:p>
    <w:p w:rsidR="00B4304C" w:rsidRDefault="00EF5FAA" w:rsidP="00470910">
      <w:pPr>
        <w:rPr>
          <w:bCs/>
          <w:iCs/>
          <w:lang w:eastAsia="en-US"/>
        </w:rPr>
      </w:pPr>
      <w:r>
        <w:rPr>
          <w:bCs/>
          <w:iCs/>
          <w:lang w:eastAsia="en-US"/>
        </w:rPr>
        <w:t xml:space="preserve">The charts below show this decline, and show the clear difference between the level of jobs in federal government – which were able to continue growing as a result of the stimulus package, which itself was possible because of the freedom to adopt Keynesian deficit-financing to maintain </w:t>
      </w:r>
      <w:r w:rsidR="00B4304C">
        <w:rPr>
          <w:bCs/>
          <w:iCs/>
          <w:lang w:eastAsia="en-US"/>
        </w:rPr>
        <w:t>demand – and the falls in state and municipal employment (a much larger part of the public sector in the USA), where such deficit-financing is illegal.</w:t>
      </w:r>
    </w:p>
    <w:p w:rsidR="00B4304C" w:rsidRDefault="00B4304C" w:rsidP="00470910">
      <w:pPr>
        <w:rPr>
          <w:bCs/>
          <w:iCs/>
          <w:lang w:eastAsia="en-US"/>
        </w:rPr>
      </w:pPr>
    </w:p>
    <w:p w:rsidR="00EF5FAA" w:rsidRDefault="00EF5FAA" w:rsidP="00470910">
      <w:pPr>
        <w:rPr>
          <w:bCs/>
          <w:iCs/>
          <w:lang w:eastAsia="en-US"/>
        </w:rPr>
      </w:pPr>
    </w:p>
    <w:p w:rsidR="00EF5FAA" w:rsidRDefault="00EF5FAA" w:rsidP="00EF5FAA">
      <w:pPr>
        <w:pStyle w:val="Heading8"/>
        <w:rPr>
          <w:lang w:eastAsia="en-US"/>
        </w:rPr>
      </w:pPr>
      <w:bookmarkStart w:id="28" w:name="_Toc297975167"/>
      <w:r>
        <w:rPr>
          <w:lang w:eastAsia="en-US"/>
        </w:rPr>
        <w:t>Employment in government in USA June 2007-December 2010</w:t>
      </w:r>
      <w:bookmarkEnd w:id="28"/>
    </w:p>
    <w:p w:rsidR="00EF5FAA" w:rsidRDefault="004674C3" w:rsidP="00470910">
      <w:pPr>
        <w:rPr>
          <w:bCs/>
          <w:iCs/>
          <w:lang w:eastAsia="en-US"/>
        </w:rPr>
      </w:pPr>
      <w:r>
        <w:rPr>
          <w:bCs/>
          <w:iCs/>
          <w:noProof/>
          <w:lang w:eastAsia="en-GB"/>
        </w:rPr>
        <w:drawing>
          <wp:inline distT="0" distB="0" distL="0" distR="0">
            <wp:extent cx="6115685" cy="37884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685" cy="3788410"/>
                    </a:xfrm>
                    <a:prstGeom prst="rect">
                      <a:avLst/>
                    </a:prstGeom>
                    <a:noFill/>
                    <a:ln>
                      <a:noFill/>
                    </a:ln>
                  </pic:spPr>
                </pic:pic>
              </a:graphicData>
            </a:graphic>
          </wp:inline>
        </w:drawing>
      </w:r>
    </w:p>
    <w:p w:rsidR="00EF5FAA" w:rsidRDefault="00EF5FAA" w:rsidP="00470910">
      <w:pPr>
        <w:rPr>
          <w:bCs/>
          <w:iCs/>
          <w:lang w:eastAsia="en-US"/>
        </w:rPr>
      </w:pPr>
    </w:p>
    <w:p w:rsidR="00EF5FAA" w:rsidRDefault="00EF5FAA" w:rsidP="00470910">
      <w:pPr>
        <w:rPr>
          <w:bCs/>
          <w:iCs/>
          <w:lang w:eastAsia="en-US"/>
        </w:rPr>
      </w:pPr>
      <w:r>
        <w:rPr>
          <w:bCs/>
          <w:iCs/>
          <w:lang w:eastAsia="en-US"/>
        </w:rPr>
        <w:t xml:space="preserve">Source:  BLS 2011 </w:t>
      </w:r>
      <w:r w:rsidRPr="00EF5FAA">
        <w:rPr>
          <w:bCs/>
          <w:iCs/>
          <w:lang w:eastAsia="en-US"/>
        </w:rPr>
        <w:t xml:space="preserve">Employment loss and the 2007–09 recession: an </w:t>
      </w:r>
      <w:proofErr w:type="gramStart"/>
      <w:r w:rsidRPr="00EF5FAA">
        <w:rPr>
          <w:bCs/>
          <w:iCs/>
          <w:lang w:eastAsia="en-US"/>
        </w:rPr>
        <w:t>overview</w:t>
      </w:r>
      <w:r>
        <w:rPr>
          <w:bCs/>
          <w:iCs/>
          <w:lang w:eastAsia="en-US"/>
        </w:rPr>
        <w:t xml:space="preserve">  </w:t>
      </w:r>
      <w:proofErr w:type="gramEnd"/>
      <w:r w:rsidR="0070557E">
        <w:fldChar w:fldCharType="begin"/>
      </w:r>
      <w:r w:rsidR="0070557E">
        <w:instrText xml:space="preserve"> HYPERLINK "http://www.bls.gov/opub/mlr/2011/04/art1full.pdf" </w:instrText>
      </w:r>
      <w:r w:rsidR="0070557E">
        <w:fldChar w:fldCharType="separate"/>
      </w:r>
      <w:r w:rsidRPr="00F20664">
        <w:rPr>
          <w:rStyle w:val="Hyperlink"/>
          <w:bCs/>
          <w:iCs/>
          <w:lang w:eastAsia="en-US"/>
        </w:rPr>
        <w:t>http://www.bls.gov/opub/mlr/2011/04/art1full.pdf</w:t>
      </w:r>
      <w:r w:rsidR="0070557E">
        <w:rPr>
          <w:rStyle w:val="Hyperlink"/>
          <w:bCs/>
          <w:iCs/>
          <w:lang w:eastAsia="en-US"/>
        </w:rPr>
        <w:fldChar w:fldCharType="end"/>
      </w:r>
      <w:r>
        <w:rPr>
          <w:bCs/>
          <w:iCs/>
          <w:lang w:eastAsia="en-US"/>
        </w:rPr>
        <w:t xml:space="preserve"> </w:t>
      </w:r>
    </w:p>
    <w:p w:rsidR="00EF5FAA" w:rsidRDefault="00EF5FAA" w:rsidP="00470910">
      <w:pPr>
        <w:rPr>
          <w:bCs/>
          <w:iCs/>
          <w:lang w:eastAsia="en-US"/>
        </w:rPr>
      </w:pPr>
    </w:p>
    <w:p w:rsidR="00EF5FAA" w:rsidRDefault="00EF5FAA" w:rsidP="00470910">
      <w:pPr>
        <w:rPr>
          <w:bCs/>
          <w:iCs/>
          <w:lang w:eastAsia="en-US"/>
        </w:rPr>
      </w:pPr>
    </w:p>
    <w:p w:rsidR="00EF5FAA" w:rsidRDefault="00EF5FAA" w:rsidP="00470910">
      <w:pPr>
        <w:rPr>
          <w:bCs/>
          <w:iCs/>
          <w:lang w:eastAsia="en-US"/>
        </w:rPr>
      </w:pPr>
    </w:p>
    <w:p w:rsidR="00EF5FAA" w:rsidRDefault="00B4304C" w:rsidP="00B4304C">
      <w:pPr>
        <w:pStyle w:val="Heading8"/>
        <w:rPr>
          <w:lang w:eastAsia="en-US"/>
        </w:rPr>
      </w:pPr>
      <w:bookmarkStart w:id="29" w:name="_Toc297975168"/>
      <w:r>
        <w:rPr>
          <w:lang w:eastAsia="en-US"/>
        </w:rPr>
        <w:t>Decline in state and municipal jobs</w:t>
      </w:r>
      <w:bookmarkEnd w:id="29"/>
    </w:p>
    <w:p w:rsidR="00EF5FAA" w:rsidRDefault="00EF5FAA" w:rsidP="00470910">
      <w:pPr>
        <w:rPr>
          <w:bCs/>
          <w:iCs/>
          <w:lang w:eastAsia="en-US"/>
        </w:rPr>
      </w:pPr>
    </w:p>
    <w:p w:rsidR="00470910" w:rsidRDefault="004674C3" w:rsidP="00470910">
      <w:pPr>
        <w:rPr>
          <w:noProof/>
          <w:lang w:eastAsia="en-GB"/>
        </w:rPr>
      </w:pPr>
      <w:r>
        <w:rPr>
          <w:noProof/>
          <w:lang w:eastAsia="en-GB"/>
        </w:rPr>
        <w:lastRenderedPageBreak/>
        <w:drawing>
          <wp:inline distT="0" distB="0" distL="0" distR="0">
            <wp:extent cx="2945130" cy="2683510"/>
            <wp:effectExtent l="0" t="0" r="762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45130" cy="2683510"/>
                    </a:xfrm>
                    <a:prstGeom prst="rect">
                      <a:avLst/>
                    </a:prstGeom>
                    <a:noFill/>
                    <a:ln>
                      <a:noFill/>
                    </a:ln>
                  </pic:spPr>
                </pic:pic>
              </a:graphicData>
            </a:graphic>
          </wp:inline>
        </w:drawing>
      </w:r>
    </w:p>
    <w:p w:rsidR="00B4304C" w:rsidRDefault="00B4304C" w:rsidP="00470910">
      <w:pPr>
        <w:rPr>
          <w:noProof/>
          <w:lang w:eastAsia="en-GB"/>
        </w:rPr>
      </w:pPr>
    </w:p>
    <w:p w:rsidR="00B4304C" w:rsidRDefault="00B4304C" w:rsidP="00470910">
      <w:pPr>
        <w:rPr>
          <w:noProof/>
          <w:lang w:eastAsia="en-GB"/>
        </w:rPr>
      </w:pPr>
    </w:p>
    <w:p w:rsidR="00B4304C" w:rsidRPr="00B4304C" w:rsidRDefault="00B4304C" w:rsidP="00B4304C">
      <w:pPr>
        <w:rPr>
          <w:bCs/>
          <w:iCs/>
          <w:noProof/>
          <w:lang w:eastAsia="en-GB"/>
        </w:rPr>
      </w:pPr>
      <w:r w:rsidRPr="00B4304C">
        <w:rPr>
          <w:bCs/>
          <w:iCs/>
          <w:noProof/>
          <w:lang w:eastAsia="en-GB"/>
        </w:rPr>
        <w:t>These job trends are not related to demand for services – in a recession, demand for public services increases.</w:t>
      </w:r>
    </w:p>
    <w:p w:rsidR="00B4304C" w:rsidRPr="00B4304C" w:rsidRDefault="00B4304C" w:rsidP="00B4304C">
      <w:pPr>
        <w:rPr>
          <w:bCs/>
          <w:iCs/>
          <w:noProof/>
          <w:lang w:eastAsia="en-GB"/>
        </w:rPr>
      </w:pPr>
    </w:p>
    <w:p w:rsidR="00B4304C" w:rsidRPr="00B4304C" w:rsidRDefault="00B4304C" w:rsidP="00B4304C">
      <w:pPr>
        <w:rPr>
          <w:bCs/>
          <w:iCs/>
          <w:noProof/>
          <w:lang w:eastAsia="en-GB"/>
        </w:rPr>
      </w:pPr>
      <w:r w:rsidRPr="00B4304C">
        <w:rPr>
          <w:bCs/>
          <w:iCs/>
          <w:noProof/>
          <w:lang w:eastAsia="en-GB"/>
        </w:rPr>
        <w:t xml:space="preserve">These trends are now have a demonstrable negative effect on economic recovery in the USA. The June 2011 employment figures showed a rise of 57,000 jobs in the private sector </w:t>
      </w:r>
      <w:r w:rsidR="00EE5744">
        <w:rPr>
          <w:bCs/>
          <w:iCs/>
          <w:noProof/>
          <w:lang w:eastAsia="en-GB"/>
        </w:rPr>
        <w:t>in the previous month, offset by a proportionately sharper fall in public sector jobs. The private sector employed  nearly 1.7 million extra people compared  with</w:t>
      </w:r>
      <w:r w:rsidRPr="00B4304C">
        <w:rPr>
          <w:bCs/>
          <w:iCs/>
          <w:noProof/>
          <w:lang w:eastAsia="en-GB"/>
        </w:rPr>
        <w:t xml:space="preserve"> 12 months </w:t>
      </w:r>
      <w:r w:rsidR="00EE5744">
        <w:rPr>
          <w:bCs/>
          <w:iCs/>
          <w:noProof/>
          <w:lang w:eastAsia="en-GB"/>
        </w:rPr>
        <w:t xml:space="preserve"> earlier, but in that period the public sector had shed  nearly 660,000 jobs, thus offsetting  about 40% of the job gains in the private sector.</w:t>
      </w:r>
      <w:r w:rsidRPr="00B4304C">
        <w:rPr>
          <w:bCs/>
          <w:iCs/>
          <w:noProof/>
          <w:lang w:eastAsia="en-GB"/>
        </w:rPr>
        <w:t xml:space="preserve">   </w:t>
      </w:r>
    </w:p>
    <w:p w:rsidR="00B4304C" w:rsidRDefault="00B4304C" w:rsidP="00B4304C">
      <w:pPr>
        <w:pStyle w:val="Heading7"/>
        <w:rPr>
          <w:lang w:eastAsia="en-GB"/>
        </w:rPr>
      </w:pPr>
      <w:bookmarkStart w:id="30" w:name="_Toc297975169"/>
      <w:r>
        <w:rPr>
          <w:noProof/>
          <w:lang w:eastAsia="en-GB"/>
        </w:rPr>
        <w:t>Job changes in USA June 2010-June 2011</w:t>
      </w:r>
      <w:r w:rsidR="00F75586">
        <w:rPr>
          <w:noProof/>
          <w:lang w:eastAsia="en-GB"/>
        </w:rPr>
        <w:t xml:space="preserve"> (thousands) (seasonally adjusted)</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642"/>
        <w:gridCol w:w="1642"/>
        <w:gridCol w:w="1136"/>
        <w:gridCol w:w="1134"/>
        <w:gridCol w:w="992"/>
        <w:gridCol w:w="992"/>
      </w:tblGrid>
      <w:tr w:rsidR="00F75586" w:rsidRPr="00070336" w:rsidTr="00070336">
        <w:tc>
          <w:tcPr>
            <w:tcW w:w="1642" w:type="dxa"/>
          </w:tcPr>
          <w:p w:rsidR="00F75586" w:rsidRPr="00070336" w:rsidRDefault="00F75586" w:rsidP="00B4304C">
            <w:pPr>
              <w:rPr>
                <w:rFonts w:ascii="Calibri" w:hAnsi="Calibri"/>
                <w:sz w:val="20"/>
                <w:szCs w:val="20"/>
                <w:lang w:eastAsia="en-GB"/>
              </w:rPr>
            </w:pPr>
          </w:p>
        </w:tc>
        <w:tc>
          <w:tcPr>
            <w:tcW w:w="1642" w:type="dxa"/>
          </w:tcPr>
          <w:p w:rsidR="00F75586" w:rsidRPr="00070336" w:rsidRDefault="00F75586" w:rsidP="00B4304C">
            <w:pPr>
              <w:rPr>
                <w:rFonts w:ascii="Calibri" w:hAnsi="Calibri"/>
                <w:sz w:val="20"/>
                <w:szCs w:val="20"/>
                <w:lang w:eastAsia="en-GB"/>
              </w:rPr>
            </w:pPr>
            <w:r w:rsidRPr="00070336">
              <w:rPr>
                <w:rFonts w:ascii="Calibri" w:hAnsi="Calibri"/>
                <w:sz w:val="20"/>
                <w:szCs w:val="20"/>
                <w:lang w:eastAsia="en-GB"/>
              </w:rPr>
              <w:t>June 2010</w:t>
            </w:r>
          </w:p>
        </w:tc>
        <w:tc>
          <w:tcPr>
            <w:tcW w:w="1642" w:type="dxa"/>
          </w:tcPr>
          <w:p w:rsidR="00F75586" w:rsidRPr="00070336" w:rsidRDefault="00F75586" w:rsidP="00B4304C">
            <w:pPr>
              <w:rPr>
                <w:rFonts w:ascii="Calibri" w:hAnsi="Calibri"/>
                <w:sz w:val="20"/>
                <w:szCs w:val="20"/>
                <w:lang w:eastAsia="en-GB"/>
              </w:rPr>
            </w:pPr>
            <w:r w:rsidRPr="00070336">
              <w:rPr>
                <w:rFonts w:ascii="Calibri" w:hAnsi="Calibri"/>
                <w:sz w:val="20"/>
                <w:szCs w:val="20"/>
                <w:lang w:eastAsia="en-GB"/>
              </w:rPr>
              <w:t>May 2011</w:t>
            </w:r>
          </w:p>
        </w:tc>
        <w:tc>
          <w:tcPr>
            <w:tcW w:w="1136" w:type="dxa"/>
          </w:tcPr>
          <w:p w:rsidR="00F75586" w:rsidRPr="00070336" w:rsidRDefault="00F75586" w:rsidP="00B4304C">
            <w:pPr>
              <w:rPr>
                <w:rFonts w:ascii="Calibri" w:hAnsi="Calibri"/>
                <w:sz w:val="20"/>
                <w:szCs w:val="20"/>
                <w:lang w:eastAsia="en-GB"/>
              </w:rPr>
            </w:pPr>
            <w:r w:rsidRPr="00070336">
              <w:rPr>
                <w:rFonts w:ascii="Calibri" w:hAnsi="Calibri"/>
                <w:sz w:val="20"/>
                <w:szCs w:val="20"/>
                <w:lang w:eastAsia="en-GB"/>
              </w:rPr>
              <w:t>June 2011</w:t>
            </w:r>
          </w:p>
        </w:tc>
        <w:tc>
          <w:tcPr>
            <w:tcW w:w="1134" w:type="dxa"/>
          </w:tcPr>
          <w:p w:rsidR="00F75586" w:rsidRPr="00070336" w:rsidRDefault="00F75586" w:rsidP="00B4304C">
            <w:pPr>
              <w:rPr>
                <w:rFonts w:ascii="Calibri" w:hAnsi="Calibri"/>
                <w:sz w:val="20"/>
                <w:szCs w:val="20"/>
                <w:lang w:eastAsia="en-GB"/>
              </w:rPr>
            </w:pPr>
            <w:r w:rsidRPr="00070336">
              <w:rPr>
                <w:rFonts w:ascii="Calibri" w:hAnsi="Calibri"/>
                <w:sz w:val="20"/>
                <w:szCs w:val="20"/>
                <w:lang w:eastAsia="en-GB"/>
              </w:rPr>
              <w:t>% change annual</w:t>
            </w:r>
          </w:p>
        </w:tc>
        <w:tc>
          <w:tcPr>
            <w:tcW w:w="992" w:type="dxa"/>
          </w:tcPr>
          <w:p w:rsidR="00F75586" w:rsidRPr="00070336" w:rsidRDefault="00F75586" w:rsidP="00B4304C">
            <w:pPr>
              <w:rPr>
                <w:rFonts w:ascii="Calibri" w:hAnsi="Calibri"/>
                <w:sz w:val="20"/>
                <w:szCs w:val="20"/>
                <w:lang w:eastAsia="en-GB"/>
              </w:rPr>
            </w:pPr>
            <w:r w:rsidRPr="00070336">
              <w:rPr>
                <w:rFonts w:ascii="Calibri" w:hAnsi="Calibri"/>
                <w:sz w:val="20"/>
                <w:szCs w:val="20"/>
                <w:lang w:eastAsia="en-GB"/>
              </w:rPr>
              <w:t>Nos. Change annual</w:t>
            </w:r>
          </w:p>
        </w:tc>
        <w:tc>
          <w:tcPr>
            <w:tcW w:w="992" w:type="dxa"/>
          </w:tcPr>
          <w:p w:rsidR="00F75586" w:rsidRPr="00070336" w:rsidRDefault="00F75586" w:rsidP="00B4304C">
            <w:pPr>
              <w:rPr>
                <w:rFonts w:ascii="Calibri" w:hAnsi="Calibri"/>
                <w:sz w:val="20"/>
                <w:szCs w:val="20"/>
                <w:lang w:eastAsia="en-GB"/>
              </w:rPr>
            </w:pPr>
            <w:r w:rsidRPr="00070336">
              <w:rPr>
                <w:rFonts w:ascii="Calibri" w:hAnsi="Calibri"/>
                <w:sz w:val="20"/>
                <w:szCs w:val="20"/>
                <w:lang w:eastAsia="en-GB"/>
              </w:rPr>
              <w:t>Nos. Change month</w:t>
            </w:r>
          </w:p>
        </w:tc>
      </w:tr>
      <w:tr w:rsidR="00F75586" w:rsidRPr="00070336" w:rsidTr="00070336">
        <w:tc>
          <w:tcPr>
            <w:tcW w:w="1642" w:type="dxa"/>
          </w:tcPr>
          <w:p w:rsidR="00F75586" w:rsidRPr="00070336" w:rsidRDefault="00F75586" w:rsidP="00B4304C">
            <w:pPr>
              <w:rPr>
                <w:rFonts w:ascii="Calibri" w:hAnsi="Calibri"/>
                <w:sz w:val="20"/>
                <w:szCs w:val="20"/>
                <w:lang w:eastAsia="en-GB"/>
              </w:rPr>
            </w:pPr>
            <w:r w:rsidRPr="00070336">
              <w:rPr>
                <w:rFonts w:ascii="Calibri" w:hAnsi="Calibri"/>
                <w:sz w:val="20"/>
                <w:szCs w:val="20"/>
                <w:lang w:eastAsia="en-GB"/>
              </w:rPr>
              <w:t>Private sector</w:t>
            </w:r>
          </w:p>
        </w:tc>
        <w:tc>
          <w:tcPr>
            <w:tcW w:w="1642" w:type="dxa"/>
          </w:tcPr>
          <w:p w:rsidR="00F75586" w:rsidRPr="00070336" w:rsidRDefault="00F75586" w:rsidP="00070336">
            <w:pPr>
              <w:jc w:val="right"/>
              <w:rPr>
                <w:rFonts w:ascii="Calibri" w:hAnsi="Calibri"/>
                <w:sz w:val="20"/>
                <w:szCs w:val="20"/>
                <w:lang w:eastAsia="en-GB"/>
              </w:rPr>
            </w:pPr>
            <w:r w:rsidRPr="00070336">
              <w:rPr>
                <w:rFonts w:ascii="Calibri" w:hAnsi="Calibri"/>
                <w:sz w:val="20"/>
                <w:szCs w:val="20"/>
                <w:lang w:eastAsia="en-GB"/>
              </w:rPr>
              <w:t>107,258</w:t>
            </w:r>
          </w:p>
        </w:tc>
        <w:tc>
          <w:tcPr>
            <w:tcW w:w="1642" w:type="dxa"/>
          </w:tcPr>
          <w:p w:rsidR="00F75586" w:rsidRPr="00070336" w:rsidRDefault="00F75586" w:rsidP="00070336">
            <w:pPr>
              <w:jc w:val="right"/>
              <w:rPr>
                <w:rFonts w:ascii="Calibri" w:hAnsi="Calibri"/>
                <w:sz w:val="20"/>
                <w:szCs w:val="20"/>
                <w:lang w:eastAsia="en-GB"/>
              </w:rPr>
            </w:pPr>
            <w:r w:rsidRPr="00070336">
              <w:rPr>
                <w:rFonts w:ascii="Calibri" w:hAnsi="Calibri"/>
                <w:sz w:val="20"/>
                <w:szCs w:val="20"/>
                <w:lang w:eastAsia="en-GB"/>
              </w:rPr>
              <w:t>108,896</w:t>
            </w:r>
          </w:p>
        </w:tc>
        <w:tc>
          <w:tcPr>
            <w:tcW w:w="1136" w:type="dxa"/>
          </w:tcPr>
          <w:p w:rsidR="00F75586" w:rsidRPr="00070336" w:rsidRDefault="00F75586" w:rsidP="00070336">
            <w:pPr>
              <w:jc w:val="right"/>
              <w:rPr>
                <w:rFonts w:ascii="Calibri" w:hAnsi="Calibri"/>
                <w:sz w:val="20"/>
                <w:szCs w:val="20"/>
                <w:lang w:eastAsia="en-GB"/>
              </w:rPr>
            </w:pPr>
            <w:r w:rsidRPr="00070336">
              <w:rPr>
                <w:rFonts w:ascii="Calibri" w:hAnsi="Calibri"/>
                <w:sz w:val="20"/>
                <w:szCs w:val="20"/>
                <w:lang w:eastAsia="en-GB"/>
              </w:rPr>
              <w:t>108,953</w:t>
            </w:r>
          </w:p>
        </w:tc>
        <w:tc>
          <w:tcPr>
            <w:tcW w:w="1134" w:type="dxa"/>
          </w:tcPr>
          <w:p w:rsidR="00F75586" w:rsidRPr="00070336" w:rsidRDefault="00F75586" w:rsidP="00070336">
            <w:pPr>
              <w:jc w:val="right"/>
              <w:rPr>
                <w:rFonts w:ascii="Calibri" w:hAnsi="Calibri"/>
                <w:sz w:val="20"/>
                <w:szCs w:val="20"/>
                <w:lang w:eastAsia="en-GB"/>
              </w:rPr>
            </w:pPr>
            <w:r w:rsidRPr="00070336">
              <w:rPr>
                <w:rFonts w:ascii="Calibri" w:hAnsi="Calibri"/>
                <w:sz w:val="20"/>
                <w:szCs w:val="20"/>
                <w:lang w:eastAsia="en-GB"/>
              </w:rPr>
              <w:t>+1.6%</w:t>
            </w:r>
          </w:p>
        </w:tc>
        <w:tc>
          <w:tcPr>
            <w:tcW w:w="992" w:type="dxa"/>
            <w:vAlign w:val="bottom"/>
          </w:tcPr>
          <w:p w:rsidR="00F75586" w:rsidRPr="00070336" w:rsidRDefault="00F75586" w:rsidP="00070336">
            <w:pPr>
              <w:jc w:val="right"/>
              <w:rPr>
                <w:rFonts w:ascii="Calibri" w:hAnsi="Calibri"/>
                <w:color w:val="000000"/>
                <w:sz w:val="20"/>
                <w:szCs w:val="20"/>
              </w:rPr>
            </w:pPr>
            <w:r w:rsidRPr="00070336">
              <w:rPr>
                <w:rFonts w:ascii="Calibri" w:hAnsi="Calibri"/>
                <w:color w:val="000000"/>
                <w:sz w:val="20"/>
                <w:szCs w:val="20"/>
              </w:rPr>
              <w:t>1,695</w:t>
            </w:r>
          </w:p>
        </w:tc>
        <w:tc>
          <w:tcPr>
            <w:tcW w:w="992" w:type="dxa"/>
          </w:tcPr>
          <w:p w:rsidR="00F75586" w:rsidRPr="00070336" w:rsidRDefault="00F75586" w:rsidP="00070336">
            <w:pPr>
              <w:jc w:val="right"/>
              <w:rPr>
                <w:rFonts w:ascii="Calibri" w:hAnsi="Calibri"/>
                <w:sz w:val="20"/>
                <w:szCs w:val="20"/>
                <w:lang w:eastAsia="en-GB"/>
              </w:rPr>
            </w:pPr>
            <w:r w:rsidRPr="00070336">
              <w:rPr>
                <w:rFonts w:ascii="Calibri" w:hAnsi="Calibri"/>
                <w:sz w:val="20"/>
                <w:szCs w:val="20"/>
                <w:lang w:eastAsia="en-GB"/>
              </w:rPr>
              <w:t>+57</w:t>
            </w:r>
          </w:p>
        </w:tc>
      </w:tr>
      <w:tr w:rsidR="00F75586" w:rsidRPr="00070336" w:rsidTr="00070336">
        <w:tc>
          <w:tcPr>
            <w:tcW w:w="1642" w:type="dxa"/>
          </w:tcPr>
          <w:p w:rsidR="00F75586" w:rsidRPr="00070336" w:rsidRDefault="00F75586" w:rsidP="00B4304C">
            <w:pPr>
              <w:rPr>
                <w:rFonts w:ascii="Calibri" w:hAnsi="Calibri"/>
                <w:sz w:val="20"/>
                <w:szCs w:val="20"/>
                <w:lang w:eastAsia="en-GB"/>
              </w:rPr>
            </w:pPr>
            <w:r w:rsidRPr="00070336">
              <w:rPr>
                <w:rFonts w:ascii="Calibri" w:hAnsi="Calibri"/>
                <w:sz w:val="20"/>
                <w:szCs w:val="20"/>
                <w:lang w:eastAsia="en-GB"/>
              </w:rPr>
              <w:t>Government</w:t>
            </w:r>
          </w:p>
        </w:tc>
        <w:tc>
          <w:tcPr>
            <w:tcW w:w="1642" w:type="dxa"/>
          </w:tcPr>
          <w:p w:rsidR="00F75586" w:rsidRPr="00070336" w:rsidRDefault="00F75586" w:rsidP="00070336">
            <w:pPr>
              <w:jc w:val="right"/>
              <w:rPr>
                <w:rFonts w:ascii="Calibri" w:hAnsi="Calibri"/>
                <w:sz w:val="20"/>
                <w:szCs w:val="20"/>
                <w:lang w:eastAsia="en-GB"/>
              </w:rPr>
            </w:pPr>
            <w:r w:rsidRPr="00070336">
              <w:rPr>
                <w:rFonts w:ascii="Calibri" w:hAnsi="Calibri"/>
                <w:sz w:val="20"/>
                <w:szCs w:val="20"/>
                <w:lang w:eastAsia="en-GB"/>
              </w:rPr>
              <w:t>22,723</w:t>
            </w:r>
          </w:p>
        </w:tc>
        <w:tc>
          <w:tcPr>
            <w:tcW w:w="1642" w:type="dxa"/>
          </w:tcPr>
          <w:p w:rsidR="00F75586" w:rsidRPr="00070336" w:rsidRDefault="00F75586" w:rsidP="00070336">
            <w:pPr>
              <w:jc w:val="right"/>
              <w:rPr>
                <w:rFonts w:ascii="Calibri" w:hAnsi="Calibri"/>
                <w:sz w:val="20"/>
                <w:szCs w:val="20"/>
                <w:lang w:eastAsia="en-GB"/>
              </w:rPr>
            </w:pPr>
            <w:r w:rsidRPr="00070336">
              <w:rPr>
                <w:rFonts w:ascii="Calibri" w:hAnsi="Calibri"/>
                <w:sz w:val="20"/>
                <w:szCs w:val="20"/>
                <w:lang w:eastAsia="en-GB"/>
              </w:rPr>
              <w:t>22,103</w:t>
            </w:r>
          </w:p>
        </w:tc>
        <w:tc>
          <w:tcPr>
            <w:tcW w:w="1136" w:type="dxa"/>
          </w:tcPr>
          <w:p w:rsidR="00F75586" w:rsidRPr="00070336" w:rsidRDefault="00F75586" w:rsidP="00070336">
            <w:pPr>
              <w:jc w:val="right"/>
              <w:rPr>
                <w:rFonts w:ascii="Calibri" w:hAnsi="Calibri"/>
                <w:sz w:val="20"/>
                <w:szCs w:val="20"/>
                <w:lang w:eastAsia="en-GB"/>
              </w:rPr>
            </w:pPr>
            <w:r w:rsidRPr="00070336">
              <w:rPr>
                <w:rFonts w:ascii="Calibri" w:hAnsi="Calibri"/>
                <w:sz w:val="20"/>
                <w:szCs w:val="20"/>
                <w:lang w:eastAsia="en-GB"/>
              </w:rPr>
              <w:t>22,064</w:t>
            </w:r>
          </w:p>
        </w:tc>
        <w:tc>
          <w:tcPr>
            <w:tcW w:w="1134" w:type="dxa"/>
          </w:tcPr>
          <w:p w:rsidR="00F75586" w:rsidRPr="00070336" w:rsidRDefault="00F75586" w:rsidP="00070336">
            <w:pPr>
              <w:jc w:val="right"/>
              <w:rPr>
                <w:rFonts w:ascii="Calibri" w:hAnsi="Calibri"/>
                <w:sz w:val="20"/>
                <w:szCs w:val="20"/>
                <w:lang w:eastAsia="en-GB"/>
              </w:rPr>
            </w:pPr>
            <w:r w:rsidRPr="00070336">
              <w:rPr>
                <w:rFonts w:ascii="Calibri" w:hAnsi="Calibri"/>
                <w:sz w:val="20"/>
                <w:szCs w:val="20"/>
                <w:lang w:eastAsia="en-GB"/>
              </w:rPr>
              <w:t>-2.9%</w:t>
            </w:r>
          </w:p>
        </w:tc>
        <w:tc>
          <w:tcPr>
            <w:tcW w:w="992" w:type="dxa"/>
            <w:vAlign w:val="bottom"/>
          </w:tcPr>
          <w:p w:rsidR="00F75586" w:rsidRPr="00070336" w:rsidRDefault="00F75586" w:rsidP="00070336">
            <w:pPr>
              <w:jc w:val="right"/>
              <w:rPr>
                <w:rFonts w:ascii="Calibri" w:hAnsi="Calibri"/>
                <w:color w:val="000000"/>
                <w:sz w:val="20"/>
                <w:szCs w:val="20"/>
              </w:rPr>
            </w:pPr>
            <w:r w:rsidRPr="00070336">
              <w:rPr>
                <w:rFonts w:ascii="Calibri" w:hAnsi="Calibri"/>
                <w:color w:val="000000"/>
                <w:sz w:val="20"/>
                <w:szCs w:val="20"/>
              </w:rPr>
              <w:t>-659</w:t>
            </w:r>
          </w:p>
        </w:tc>
        <w:tc>
          <w:tcPr>
            <w:tcW w:w="992" w:type="dxa"/>
          </w:tcPr>
          <w:p w:rsidR="00F75586" w:rsidRPr="00070336" w:rsidRDefault="00F75586" w:rsidP="00070336">
            <w:pPr>
              <w:jc w:val="right"/>
              <w:rPr>
                <w:rFonts w:ascii="Calibri" w:hAnsi="Calibri"/>
                <w:sz w:val="20"/>
                <w:szCs w:val="20"/>
                <w:lang w:eastAsia="en-GB"/>
              </w:rPr>
            </w:pPr>
            <w:r w:rsidRPr="00070336">
              <w:rPr>
                <w:rFonts w:ascii="Calibri" w:hAnsi="Calibri"/>
                <w:sz w:val="20"/>
                <w:szCs w:val="20"/>
                <w:lang w:eastAsia="en-GB"/>
              </w:rPr>
              <w:t>-39</w:t>
            </w:r>
          </w:p>
        </w:tc>
      </w:tr>
    </w:tbl>
    <w:p w:rsidR="00B4304C" w:rsidRDefault="00F75586" w:rsidP="00F75586">
      <w:r>
        <w:rPr>
          <w:lang w:eastAsia="en-GB"/>
        </w:rPr>
        <w:t xml:space="preserve">Source: </w:t>
      </w:r>
      <w:proofErr w:type="gramStart"/>
      <w:r>
        <w:rPr>
          <w:lang w:eastAsia="en-GB"/>
        </w:rPr>
        <w:t>BLS  July</w:t>
      </w:r>
      <w:proofErr w:type="gramEnd"/>
      <w:r>
        <w:rPr>
          <w:lang w:eastAsia="en-GB"/>
        </w:rPr>
        <w:t xml:space="preserve"> 2011 </w:t>
      </w:r>
      <w:r>
        <w:t>Employees on nonfarm payrolls by industry sector and selected industry detail</w:t>
      </w:r>
      <w:r>
        <w:rPr>
          <w:lang w:eastAsia="en-GB"/>
        </w:rPr>
        <w:t xml:space="preserve">  </w:t>
      </w:r>
      <w:hyperlink r:id="rId24" w:history="1">
        <w:r w:rsidRPr="00F20664">
          <w:rPr>
            <w:rStyle w:val="Hyperlink"/>
            <w:lang w:eastAsia="en-GB"/>
          </w:rPr>
          <w:t>http://www.bls.gov/news.release/empsit.t17.htm</w:t>
        </w:r>
      </w:hyperlink>
      <w:r>
        <w:rPr>
          <w:lang w:eastAsia="en-GB"/>
        </w:rPr>
        <w:t xml:space="preserve"> </w:t>
      </w:r>
    </w:p>
    <w:p w:rsidR="00B4304C" w:rsidRDefault="00B4304C" w:rsidP="00B4304C">
      <w:pPr>
        <w:rPr>
          <w:lang w:eastAsia="en-GB"/>
        </w:rPr>
      </w:pPr>
    </w:p>
    <w:p w:rsidR="00470910" w:rsidRPr="00F35337" w:rsidRDefault="00470910" w:rsidP="00470910">
      <w:pPr>
        <w:pStyle w:val="Heading2"/>
      </w:pPr>
      <w:bookmarkStart w:id="31" w:name="_Toc297975170"/>
      <w:r>
        <w:t>Impact on public services</w:t>
      </w:r>
      <w:bookmarkEnd w:id="31"/>
    </w:p>
    <w:p w:rsidR="00470910" w:rsidRDefault="00470910" w:rsidP="00470910">
      <w:pPr>
        <w:pStyle w:val="Heading3"/>
        <w:rPr>
          <w:lang w:eastAsia="en-US"/>
        </w:rPr>
      </w:pPr>
      <w:bookmarkStart w:id="32" w:name="_Toc297035861"/>
      <w:bookmarkStart w:id="33" w:name="_Toc297975171"/>
      <w:r w:rsidRPr="000F75EA">
        <w:rPr>
          <w:lang w:eastAsia="en-US"/>
        </w:rPr>
        <w:t>Healthcare</w:t>
      </w:r>
      <w:bookmarkEnd w:id="32"/>
      <w:bookmarkEnd w:id="33"/>
    </w:p>
    <w:p w:rsidR="00470910" w:rsidRPr="00334141" w:rsidRDefault="00470910" w:rsidP="00470910">
      <w:pPr>
        <w:rPr>
          <w:bCs/>
          <w:iCs/>
          <w:lang w:eastAsia="en-US"/>
        </w:rPr>
      </w:pPr>
      <w:r w:rsidRPr="00334141">
        <w:rPr>
          <w:bCs/>
          <w:iCs/>
          <w:lang w:eastAsia="en-US"/>
        </w:rPr>
        <w:t xml:space="preserve">President Obama succeeded in introducing some improvements in public spending on healthcare in the USA, but with little expansion of public sector services. In 2011 the Republican </w:t>
      </w:r>
      <w:proofErr w:type="gramStart"/>
      <w:r w:rsidRPr="00334141">
        <w:rPr>
          <w:bCs/>
          <w:iCs/>
          <w:lang w:eastAsia="en-US"/>
        </w:rPr>
        <w:t>party</w:t>
      </w:r>
      <w:proofErr w:type="gramEnd"/>
      <w:r w:rsidRPr="00334141">
        <w:rPr>
          <w:bCs/>
          <w:iCs/>
          <w:lang w:eastAsia="en-US"/>
        </w:rPr>
        <w:t xml:space="preserve"> opposition are attempting to cut federal spending on healthcare.</w:t>
      </w:r>
    </w:p>
    <w:p w:rsidR="00470910" w:rsidRDefault="00470910" w:rsidP="00470910">
      <w:pPr>
        <w:rPr>
          <w:b/>
          <w:bCs/>
          <w:iCs/>
          <w:lang w:eastAsia="en-US"/>
        </w:rPr>
      </w:pPr>
    </w:p>
    <w:p w:rsidR="00470910" w:rsidRPr="00334141" w:rsidRDefault="00470910" w:rsidP="00470910">
      <w:pPr>
        <w:rPr>
          <w:bCs/>
          <w:iCs/>
          <w:lang w:eastAsia="en-US"/>
        </w:rPr>
      </w:pPr>
      <w:r w:rsidRPr="00334141">
        <w:rPr>
          <w:bCs/>
          <w:iCs/>
          <w:lang w:eastAsia="en-US"/>
        </w:rPr>
        <w:t xml:space="preserve">The pressure on states and local government has </w:t>
      </w:r>
      <w:r>
        <w:rPr>
          <w:bCs/>
          <w:iCs/>
          <w:lang w:eastAsia="en-US"/>
        </w:rPr>
        <w:t xml:space="preserve">already </w:t>
      </w:r>
      <w:r w:rsidRPr="00334141">
        <w:rPr>
          <w:bCs/>
          <w:iCs/>
          <w:lang w:eastAsia="en-US"/>
        </w:rPr>
        <w:t>led to cuts various healthcare programs</w:t>
      </w:r>
      <w:r>
        <w:rPr>
          <w:bCs/>
          <w:iCs/>
          <w:lang w:eastAsia="en-US"/>
        </w:rPr>
        <w:t xml:space="preserve"> in</w:t>
      </w:r>
      <w:r w:rsidRPr="00334141">
        <w:rPr>
          <w:bCs/>
          <w:iCs/>
          <w:lang w:eastAsia="en-US"/>
        </w:rPr>
        <w:t xml:space="preserve"> over 31 states</w:t>
      </w:r>
      <w:r>
        <w:rPr>
          <w:bCs/>
          <w:iCs/>
          <w:lang w:eastAsia="en-US"/>
        </w:rPr>
        <w:t xml:space="preserve">. </w:t>
      </w:r>
      <w:r w:rsidRPr="00334141">
        <w:rPr>
          <w:bCs/>
          <w:iCs/>
          <w:lang w:eastAsia="en-US"/>
        </w:rPr>
        <w:t>For example</w:t>
      </w:r>
      <w:r>
        <w:rPr>
          <w:bCs/>
          <w:iCs/>
          <w:lang w:eastAsia="en-US"/>
        </w:rPr>
        <w:t>:</w:t>
      </w:r>
    </w:p>
    <w:p w:rsidR="00470910" w:rsidRPr="006423CD" w:rsidRDefault="00470910" w:rsidP="00470910">
      <w:pPr>
        <w:pStyle w:val="ListParagraph"/>
        <w:numPr>
          <w:ilvl w:val="0"/>
          <w:numId w:val="28"/>
        </w:numPr>
        <w:suppressAutoHyphens w:val="0"/>
        <w:contextualSpacing/>
        <w:rPr>
          <w:bCs/>
          <w:iCs/>
          <w:lang w:eastAsia="en-US"/>
        </w:rPr>
      </w:pPr>
      <w:r w:rsidRPr="006423CD">
        <w:rPr>
          <w:bCs/>
          <w:iCs/>
          <w:lang w:eastAsia="en-US"/>
        </w:rPr>
        <w:t>California cut nearly all funding for services for HIV/AIDS patients, the state’s domestic violence shelter program and maternal, child, and adolescent health programs. It also cut funding for the medical needs of the poorest: according to CBPP “to make up for the lost funds, the nearly 1 million children in the program will have to pay more for visits to health care providers, and many will have to pay higher premiums as well.”</w:t>
      </w:r>
    </w:p>
    <w:p w:rsidR="00470910" w:rsidRPr="006423CD" w:rsidRDefault="00470910" w:rsidP="00470910">
      <w:pPr>
        <w:pStyle w:val="ListParagraph"/>
        <w:numPr>
          <w:ilvl w:val="0"/>
          <w:numId w:val="28"/>
        </w:numPr>
        <w:suppressAutoHyphens w:val="0"/>
        <w:contextualSpacing/>
        <w:rPr>
          <w:bCs/>
          <w:iCs/>
          <w:lang w:eastAsia="en-US"/>
        </w:rPr>
      </w:pPr>
      <w:r w:rsidRPr="006423CD">
        <w:rPr>
          <w:bCs/>
          <w:iCs/>
          <w:lang w:eastAsia="en-US"/>
        </w:rPr>
        <w:t xml:space="preserve">Massachusetts cut HIV/AIDS prevention programs and cut support for dental care for 700,000 people on low incomes. </w:t>
      </w:r>
    </w:p>
    <w:p w:rsidR="00470910" w:rsidRPr="000F75EA" w:rsidRDefault="00470910" w:rsidP="00470910">
      <w:pPr>
        <w:rPr>
          <w:b/>
          <w:bCs/>
          <w:iCs/>
          <w:lang w:eastAsia="en-US"/>
        </w:rPr>
      </w:pPr>
    </w:p>
    <w:p w:rsidR="00470910" w:rsidRDefault="00470910" w:rsidP="00470910">
      <w:pPr>
        <w:pStyle w:val="Heading3"/>
        <w:rPr>
          <w:lang w:eastAsia="en-US"/>
        </w:rPr>
      </w:pPr>
      <w:bookmarkStart w:id="34" w:name="_Toc297035862"/>
      <w:bookmarkStart w:id="35" w:name="_Toc297975172"/>
      <w:r w:rsidRPr="000F75EA">
        <w:rPr>
          <w:lang w:eastAsia="en-US"/>
        </w:rPr>
        <w:lastRenderedPageBreak/>
        <w:t>Pensions</w:t>
      </w:r>
      <w:bookmarkEnd w:id="34"/>
      <w:bookmarkEnd w:id="35"/>
    </w:p>
    <w:p w:rsidR="00470910" w:rsidRDefault="00470910" w:rsidP="00470910">
      <w:pPr>
        <w:rPr>
          <w:lang w:eastAsia="en-US"/>
        </w:rPr>
      </w:pPr>
      <w:r>
        <w:rPr>
          <w:lang w:eastAsia="en-US"/>
        </w:rPr>
        <w:t xml:space="preserve">In the USA old age pensions are part of the social security programme, funded by social insurance contributions. Under laws passed in 1983, the retirement age is being gradually increased from 65 to 67. As of June 2011, social security benefits have not been reduced, but social insurance contributions have been cut to provide ‘tax breaks’ for workers and employers. There is now growing pressure to cut pensions too, by measures such as </w:t>
      </w:r>
      <w:proofErr w:type="gramStart"/>
      <w:r>
        <w:rPr>
          <w:lang w:eastAsia="en-US"/>
        </w:rPr>
        <w:t>raising</w:t>
      </w:r>
      <w:proofErr w:type="gramEnd"/>
      <w:r>
        <w:rPr>
          <w:lang w:eastAsia="en-US"/>
        </w:rPr>
        <w:t xml:space="preserve"> retirement age, cutting benefits.  </w:t>
      </w:r>
    </w:p>
    <w:p w:rsidR="00470910" w:rsidRDefault="00470910" w:rsidP="00470910">
      <w:pPr>
        <w:rPr>
          <w:lang w:eastAsia="en-US"/>
        </w:rPr>
      </w:pPr>
      <w:bookmarkStart w:id="36" w:name="_Toc297035863"/>
    </w:p>
    <w:p w:rsidR="00470910" w:rsidRDefault="00470910" w:rsidP="00470910">
      <w:pPr>
        <w:pStyle w:val="Heading3"/>
        <w:rPr>
          <w:lang w:eastAsia="en-US"/>
        </w:rPr>
      </w:pPr>
      <w:bookmarkStart w:id="37" w:name="_Toc297975173"/>
      <w:r w:rsidRPr="000F75EA">
        <w:rPr>
          <w:lang w:eastAsia="en-US"/>
        </w:rPr>
        <w:t>Other</w:t>
      </w:r>
      <w:r>
        <w:rPr>
          <w:lang w:eastAsia="en-US"/>
        </w:rPr>
        <w:t xml:space="preserve"> services</w:t>
      </w:r>
      <w:bookmarkEnd w:id="37"/>
    </w:p>
    <w:p w:rsidR="00470910" w:rsidRPr="00334141" w:rsidRDefault="00470910" w:rsidP="00470910">
      <w:pPr>
        <w:rPr>
          <w:bCs/>
          <w:iCs/>
          <w:lang w:eastAsia="en-US"/>
        </w:rPr>
      </w:pPr>
      <w:r>
        <w:rPr>
          <w:bCs/>
          <w:iCs/>
          <w:lang w:eastAsia="en-US"/>
        </w:rPr>
        <w:t xml:space="preserve">States have also cut other services, including </w:t>
      </w:r>
      <w:r w:rsidRPr="00334141">
        <w:rPr>
          <w:bCs/>
          <w:iCs/>
          <w:lang w:eastAsia="en-US"/>
        </w:rPr>
        <w:t xml:space="preserve">services to the elderly and </w:t>
      </w:r>
      <w:proofErr w:type="gramStart"/>
      <w:r w:rsidRPr="00334141">
        <w:rPr>
          <w:bCs/>
          <w:iCs/>
          <w:lang w:eastAsia="en-US"/>
        </w:rPr>
        <w:t>disabled ,</w:t>
      </w:r>
      <w:proofErr w:type="gramEnd"/>
      <w:r w:rsidRPr="00334141">
        <w:rPr>
          <w:bCs/>
          <w:iCs/>
          <w:lang w:eastAsia="en-US"/>
        </w:rPr>
        <w:t xml:space="preserve"> education, and higher education.</w:t>
      </w:r>
      <w:r>
        <w:rPr>
          <w:bCs/>
          <w:iCs/>
          <w:lang w:eastAsia="en-US"/>
        </w:rPr>
        <w:t xml:space="preserve">  E</w:t>
      </w:r>
      <w:r w:rsidRPr="00334141">
        <w:rPr>
          <w:bCs/>
          <w:iCs/>
          <w:lang w:eastAsia="en-US"/>
        </w:rPr>
        <w:t>xample</w:t>
      </w:r>
      <w:r>
        <w:rPr>
          <w:bCs/>
          <w:iCs/>
          <w:lang w:eastAsia="en-US"/>
        </w:rPr>
        <w:t>s include</w:t>
      </w:r>
      <w:r w:rsidRPr="00334141">
        <w:rPr>
          <w:bCs/>
          <w:iCs/>
          <w:lang w:eastAsia="en-US"/>
        </w:rPr>
        <w:t>:</w:t>
      </w:r>
    </w:p>
    <w:p w:rsidR="00470910" w:rsidRPr="00334141" w:rsidRDefault="00470910" w:rsidP="00470910">
      <w:pPr>
        <w:pStyle w:val="ListParagraph"/>
        <w:numPr>
          <w:ilvl w:val="0"/>
          <w:numId w:val="29"/>
        </w:numPr>
        <w:suppressAutoHyphens w:val="0"/>
        <w:contextualSpacing/>
        <w:rPr>
          <w:bCs/>
          <w:iCs/>
          <w:lang w:eastAsia="en-US"/>
        </w:rPr>
      </w:pPr>
      <w:r w:rsidRPr="00334141">
        <w:rPr>
          <w:bCs/>
          <w:iCs/>
          <w:lang w:eastAsia="en-US"/>
        </w:rPr>
        <w:t xml:space="preserve">Arizona “eliminated a host of </w:t>
      </w:r>
      <w:proofErr w:type="spellStart"/>
      <w:r w:rsidRPr="00334141">
        <w:rPr>
          <w:bCs/>
          <w:iCs/>
          <w:lang w:eastAsia="en-US"/>
        </w:rPr>
        <w:t>behavioral</w:t>
      </w:r>
      <w:proofErr w:type="spellEnd"/>
      <w:r w:rsidRPr="00334141">
        <w:rPr>
          <w:bCs/>
          <w:iCs/>
          <w:lang w:eastAsia="en-US"/>
        </w:rPr>
        <w:t xml:space="preserve"> health services for 4,000 children ineligible to receive such services through Medicaid, and has also cut case management, therapy, and transportation services for 14,500 individuals participating in a non-Medicaid program for the seriously mentally ill.”, according to CBPP.</w:t>
      </w:r>
    </w:p>
    <w:p w:rsidR="00470910" w:rsidRPr="00334141" w:rsidRDefault="00470910" w:rsidP="00470910">
      <w:pPr>
        <w:pStyle w:val="ListParagraph"/>
        <w:numPr>
          <w:ilvl w:val="0"/>
          <w:numId w:val="29"/>
        </w:numPr>
        <w:suppressAutoHyphens w:val="0"/>
        <w:contextualSpacing/>
        <w:rPr>
          <w:bCs/>
          <w:iCs/>
          <w:lang w:eastAsia="en-US"/>
        </w:rPr>
      </w:pPr>
      <w:r w:rsidRPr="00334141">
        <w:rPr>
          <w:bCs/>
          <w:iCs/>
          <w:lang w:eastAsia="en-US"/>
        </w:rPr>
        <w:t xml:space="preserve">Michigan froze </w:t>
      </w:r>
      <w:proofErr w:type="spellStart"/>
      <w:r w:rsidRPr="00334141">
        <w:rPr>
          <w:bCs/>
          <w:iCs/>
          <w:lang w:eastAsia="en-US"/>
        </w:rPr>
        <w:t>enrollment</w:t>
      </w:r>
      <w:proofErr w:type="spellEnd"/>
      <w:r w:rsidRPr="00334141">
        <w:rPr>
          <w:bCs/>
          <w:iCs/>
          <w:lang w:eastAsia="en-US"/>
        </w:rPr>
        <w:t xml:space="preserve"> for long term care and supports to help the developmentally disabled avoid institutionalization, so 300 people were instead placed on a waiting list.</w:t>
      </w:r>
    </w:p>
    <w:p w:rsidR="00470910" w:rsidRPr="00334141" w:rsidRDefault="00470910" w:rsidP="00470910">
      <w:pPr>
        <w:pStyle w:val="ListParagraph"/>
        <w:numPr>
          <w:ilvl w:val="0"/>
          <w:numId w:val="29"/>
        </w:numPr>
        <w:suppressAutoHyphens w:val="0"/>
        <w:contextualSpacing/>
        <w:rPr>
          <w:bCs/>
          <w:iCs/>
          <w:lang w:eastAsia="en-US"/>
        </w:rPr>
      </w:pPr>
      <w:r w:rsidRPr="00334141">
        <w:rPr>
          <w:bCs/>
          <w:iCs/>
          <w:lang w:eastAsia="en-US"/>
        </w:rPr>
        <w:t>Hawaii cut the school year by 17 days and laid teachers off without pay for those days.</w:t>
      </w:r>
    </w:p>
    <w:p w:rsidR="00470910" w:rsidRPr="00334141" w:rsidRDefault="00470910" w:rsidP="00470910">
      <w:pPr>
        <w:pStyle w:val="ListParagraph"/>
        <w:numPr>
          <w:ilvl w:val="0"/>
          <w:numId w:val="29"/>
        </w:numPr>
        <w:suppressAutoHyphens w:val="0"/>
        <w:contextualSpacing/>
        <w:rPr>
          <w:bCs/>
          <w:iCs/>
          <w:lang w:eastAsia="en-US"/>
        </w:rPr>
      </w:pPr>
      <w:r w:rsidRPr="00334141">
        <w:rPr>
          <w:bCs/>
          <w:iCs/>
          <w:lang w:eastAsia="en-US"/>
        </w:rPr>
        <w:t>Virginia saved $500 million by cutting 13,000 support staff such as janitors, school nurses, and school psychologists</w:t>
      </w:r>
    </w:p>
    <w:p w:rsidR="00470910" w:rsidRPr="00F75586" w:rsidRDefault="00470910" w:rsidP="00F75586">
      <w:pPr>
        <w:pStyle w:val="ListParagraph"/>
        <w:numPr>
          <w:ilvl w:val="0"/>
          <w:numId w:val="29"/>
        </w:numPr>
        <w:suppressAutoHyphens w:val="0"/>
        <w:contextualSpacing/>
        <w:rPr>
          <w:bCs/>
          <w:iCs/>
          <w:lang w:eastAsia="en-US"/>
        </w:rPr>
      </w:pPr>
      <w:r w:rsidRPr="00334141">
        <w:rPr>
          <w:bCs/>
          <w:iCs/>
          <w:lang w:eastAsia="en-US"/>
        </w:rPr>
        <w:t>The South Carolina Department of Juvenile Justice has lost almost one-fourth of its state funding, resulting in over 260 layoffs and the closing of five group homes, two dormitories, and 25 after-school programs.</w:t>
      </w:r>
      <w:r w:rsidR="00F75586">
        <w:rPr>
          <w:rStyle w:val="EndnoteReference"/>
          <w:bCs/>
          <w:iCs/>
          <w:lang w:eastAsia="en-US"/>
        </w:rPr>
        <w:endnoteReference w:id="14"/>
      </w:r>
      <w:r>
        <w:rPr>
          <w:lang w:eastAsia="en-US"/>
        </w:rPr>
        <w:t xml:space="preserve"> </w:t>
      </w:r>
    </w:p>
    <w:p w:rsidR="00470910" w:rsidRDefault="00470910" w:rsidP="00470910">
      <w:pPr>
        <w:rPr>
          <w:b/>
          <w:bCs/>
          <w:iCs/>
          <w:lang w:eastAsia="en-US"/>
        </w:rPr>
      </w:pPr>
    </w:p>
    <w:p w:rsidR="00470910" w:rsidRDefault="00470910" w:rsidP="00470910">
      <w:pPr>
        <w:pStyle w:val="Heading2"/>
      </w:pPr>
      <w:bookmarkStart w:id="38" w:name="_Toc297975174"/>
      <w:r>
        <w:t>Privatisation</w:t>
      </w:r>
      <w:bookmarkEnd w:id="38"/>
    </w:p>
    <w:p w:rsidR="00470910" w:rsidRDefault="00470910" w:rsidP="00470910">
      <w:pPr>
        <w:rPr>
          <w:b/>
          <w:bCs/>
          <w:iCs/>
          <w:lang w:eastAsia="en-US"/>
        </w:rPr>
      </w:pPr>
      <w:r>
        <w:rPr>
          <w:lang w:eastAsia="en-US"/>
        </w:rPr>
        <w:t>Privatisation has not been a major part of the cuts programmes, but there is a constant threat of contracting-out of services like garbage collection. One city in California dismissed all its 100 employees and contracted-out all services in 2010. In Ohio, the state budget includes privatisation of 5 prisons and a major toll road. Unions succeeded in preventing the threat of privatisation of the service</w:t>
      </w:r>
      <w:r w:rsidRPr="003B3F6F">
        <w:rPr>
          <w:lang w:eastAsia="en-US"/>
        </w:rPr>
        <w:t xml:space="preserve"> </w:t>
      </w:r>
      <w:r>
        <w:rPr>
          <w:lang w:eastAsia="en-US"/>
        </w:rPr>
        <w:t>in Memphis, Tennessee</w:t>
      </w:r>
      <w:proofErr w:type="gramStart"/>
      <w:r>
        <w:rPr>
          <w:lang w:eastAsia="en-US"/>
        </w:rPr>
        <w:t>,  where</w:t>
      </w:r>
      <w:proofErr w:type="gramEnd"/>
      <w:r>
        <w:rPr>
          <w:lang w:eastAsia="en-US"/>
        </w:rPr>
        <w:t xml:space="preserve"> Martin Luther King was assassinated in 1968 while supporting garbage workers on strike for safer working conditions.</w:t>
      </w:r>
      <w:r w:rsidR="00B4304C">
        <w:rPr>
          <w:rStyle w:val="EndnoteReference"/>
          <w:lang w:eastAsia="en-US"/>
        </w:rPr>
        <w:endnoteReference w:id="15"/>
      </w:r>
    </w:p>
    <w:p w:rsidR="00470910" w:rsidRDefault="00470910" w:rsidP="00470910">
      <w:pPr>
        <w:rPr>
          <w:b/>
          <w:bCs/>
          <w:iCs/>
          <w:lang w:eastAsia="en-US"/>
        </w:rPr>
      </w:pPr>
    </w:p>
    <w:bookmarkEnd w:id="36"/>
    <w:p w:rsidR="00470910" w:rsidRPr="00F167CD" w:rsidRDefault="00470910" w:rsidP="00470910">
      <w:pPr>
        <w:rPr>
          <w:lang w:eastAsia="en-US"/>
        </w:rPr>
      </w:pPr>
    </w:p>
    <w:p w:rsidR="00470910" w:rsidRPr="00470910" w:rsidRDefault="00470910">
      <w:pPr>
        <w:rPr>
          <w:rStyle w:val="EndnoteCharacters"/>
          <w:iCs/>
          <w:szCs w:val="22"/>
          <w:vertAlign w:val="baseline"/>
        </w:rPr>
      </w:pPr>
    </w:p>
    <w:p w:rsidR="00895501" w:rsidRDefault="00895501">
      <w:pPr>
        <w:pStyle w:val="Heading1"/>
      </w:pPr>
      <w:bookmarkStart w:id="39" w:name="__RefHeading__2501_5168522"/>
      <w:bookmarkStart w:id="40" w:name="_Toc297975175"/>
      <w:bookmarkEnd w:id="39"/>
      <w:r>
        <w:t>Europe</w:t>
      </w:r>
      <w:bookmarkEnd w:id="40"/>
    </w:p>
    <w:p w:rsidR="00895501" w:rsidRDefault="00895501">
      <w:pPr>
        <w:pStyle w:val="Heading2"/>
      </w:pPr>
      <w:bookmarkStart w:id="41" w:name="__RefHeading__2503_5168522"/>
      <w:bookmarkStart w:id="42" w:name="_Toc297975176"/>
      <w:bookmarkEnd w:id="41"/>
      <w:r>
        <w:t>Euro</w:t>
      </w:r>
      <w:r w:rsidR="004C5A9B">
        <w:t>pe: pay rises in public and private sector</w:t>
      </w:r>
      <w:bookmarkEnd w:id="42"/>
      <w:r w:rsidR="00D75B02">
        <w:t xml:space="preserve"> in the recession</w:t>
      </w:r>
    </w:p>
    <w:p w:rsidR="00D75B02" w:rsidRDefault="00D75B02"/>
    <w:p w:rsidR="00895501" w:rsidRDefault="00895501">
      <w:r>
        <w:t xml:space="preserve">The table below sets out data for European countries on the changes in wages and salaries costs for the public and private sectors, from data of Eurostat, the EU statistics agency. </w:t>
      </w:r>
    </w:p>
    <w:p w:rsidR="00895501" w:rsidRDefault="00895501"/>
    <w:p w:rsidR="00BF1F03" w:rsidRPr="00BF1F03" w:rsidRDefault="00F51568" w:rsidP="00BF1F03">
      <w:r>
        <w:t>The pay increases in each sector have been calculated from Eurostat data</w:t>
      </w:r>
      <w:r w:rsidR="00D75B02">
        <w:t xml:space="preserve"> on wages and salaries. </w:t>
      </w:r>
      <w:r w:rsidR="00BF1F03" w:rsidRPr="00BF1F03">
        <w:t xml:space="preserve">Data is incomplete for a number of countries: the table includes only the 20countries with data covering the whole of the public/private sectors, as defined above, for both 2008 Q1 and 2011 Q1 (except for the Netherlands, where data covers a period one quarter earlier </w:t>
      </w:r>
      <w:proofErr w:type="spellStart"/>
      <w:r w:rsidR="00BF1F03" w:rsidRPr="00BF1F03">
        <w:t>i.e</w:t>
      </w:r>
      <w:proofErr w:type="spellEnd"/>
      <w:r w:rsidR="00BF1F03" w:rsidRPr="00BF1F03">
        <w:t xml:space="preserve"> 2007Q4 to 2010Q4).  </w:t>
      </w:r>
    </w:p>
    <w:p w:rsidR="00BF1F03" w:rsidRDefault="00BF1F03"/>
    <w:p w:rsidR="003500F3" w:rsidRDefault="00D75B02">
      <w:r>
        <w:t>The</w:t>
      </w:r>
      <w:r w:rsidR="00BF1F03">
        <w:t xml:space="preserve"> money pay increases</w:t>
      </w:r>
      <w:r>
        <w:t xml:space="preserve"> have then been</w:t>
      </w:r>
      <w:r w:rsidR="00F51568">
        <w:t xml:space="preserve"> </w:t>
      </w:r>
      <w:r w:rsidR="003500F3">
        <w:t xml:space="preserve">adjusted for inflation using the </w:t>
      </w:r>
      <w:r w:rsidR="00243CA5">
        <w:t>average annual rises for 2008,</w:t>
      </w:r>
      <w:r w:rsidR="002C2BD8">
        <w:t xml:space="preserve"> </w:t>
      </w:r>
      <w:r w:rsidR="00243CA5">
        <w:t xml:space="preserve">2009, and 2010 in the </w:t>
      </w:r>
      <w:r w:rsidR="003500F3">
        <w:t xml:space="preserve">Eurostat </w:t>
      </w:r>
      <w:r w:rsidR="00243CA5">
        <w:t xml:space="preserve">harmonised consumer price index </w:t>
      </w:r>
      <w:r>
        <w:t xml:space="preserve">data. </w:t>
      </w:r>
      <w:proofErr w:type="gramStart"/>
      <w:r>
        <w:t xml:space="preserve">This </w:t>
      </w:r>
      <w:r w:rsidR="00B374A0">
        <w:t xml:space="preserve"> </w:t>
      </w:r>
      <w:r w:rsidR="00BF1F03">
        <w:t>removes</w:t>
      </w:r>
      <w:proofErr w:type="gramEnd"/>
      <w:r w:rsidR="00BF1F03">
        <w:t xml:space="preserve"> the wide variations in money pay rises due to varying levels of inflation, and so </w:t>
      </w:r>
      <w:r w:rsidR="00B374A0">
        <w:t xml:space="preserve">enables meaningful comparison of cross-country data.  </w:t>
      </w:r>
    </w:p>
    <w:p w:rsidR="00BF1F03" w:rsidRDefault="00BF1F03"/>
    <w:p w:rsidR="00BF1F03" w:rsidRDefault="00BF1F03">
      <w:r w:rsidRPr="00BF1F03">
        <w:t xml:space="preserve">The </w:t>
      </w:r>
      <w:r>
        <w:t xml:space="preserve">private sector is defined as </w:t>
      </w:r>
      <w:r w:rsidRPr="00BF1F03">
        <w:t>Eurostat’s ‘business economy’ (B-N in the NACE2 classification), which includes the whole of sectors from mining to administrative services, including all utilities s</w:t>
      </w:r>
      <w:r>
        <w:t xml:space="preserve">uch as electricity and telecoms. The </w:t>
      </w:r>
      <w:r w:rsidRPr="00BF1F03">
        <w:t xml:space="preserve">public sector </w:t>
      </w:r>
      <w:r>
        <w:t xml:space="preserve">is defined as </w:t>
      </w:r>
      <w:r w:rsidRPr="00BF1F03">
        <w:t xml:space="preserve">public administration, education, healthcare and others (NACE2 codes O-S). This </w:t>
      </w:r>
      <w:r>
        <w:t xml:space="preserve">is a rough approximation of the boundary of the public sector, and ignores the </w:t>
      </w:r>
      <w:proofErr w:type="gramStart"/>
      <w:r>
        <w:t xml:space="preserve">overlaps </w:t>
      </w:r>
      <w:r w:rsidRPr="00BF1F03">
        <w:t xml:space="preserve"> </w:t>
      </w:r>
      <w:r>
        <w:t>of</w:t>
      </w:r>
      <w:proofErr w:type="gramEnd"/>
      <w:r>
        <w:t xml:space="preserve"> public and private ownership in different sectors e.g. the electricity sector</w:t>
      </w:r>
      <w:r w:rsidRPr="00BF1F03">
        <w:t xml:space="preserve"> is assigned entirely to </w:t>
      </w:r>
      <w:r w:rsidRPr="00BF1F03">
        <w:lastRenderedPageBreak/>
        <w:t xml:space="preserve">the ‘business economy’, and ‘health’ entirely to the public sector, although there are both public and private employers in these sectors in most European countries. </w:t>
      </w:r>
    </w:p>
    <w:p w:rsidR="00895501" w:rsidRDefault="00895501">
      <w:pPr>
        <w:pStyle w:val="Heading7"/>
      </w:pPr>
      <w:bookmarkStart w:id="43" w:name="_Toc297975177"/>
      <w:r>
        <w:t xml:space="preserve">Change in </w:t>
      </w:r>
      <w:r w:rsidR="00F51568">
        <w:t xml:space="preserve">real </w:t>
      </w:r>
      <w:r>
        <w:t>wages and salaries, Europe, 2008Q1-201</w:t>
      </w:r>
      <w:r w:rsidR="00C60EE0">
        <w:t>1</w:t>
      </w:r>
      <w:r>
        <w:t>Q1</w:t>
      </w:r>
      <w:bookmarkEnd w:id="43"/>
    </w:p>
    <w:tbl>
      <w:tblPr>
        <w:tblW w:w="9639" w:type="dxa"/>
        <w:tblInd w:w="108" w:type="dxa"/>
        <w:tblLook w:val="04A0" w:firstRow="1" w:lastRow="0" w:firstColumn="1" w:lastColumn="0" w:noHBand="0" w:noVBand="1"/>
      </w:tblPr>
      <w:tblGrid>
        <w:gridCol w:w="2085"/>
        <w:gridCol w:w="1500"/>
        <w:gridCol w:w="1500"/>
        <w:gridCol w:w="2255"/>
        <w:gridCol w:w="2299"/>
      </w:tblGrid>
      <w:tr w:rsidR="00243CA5" w:rsidRPr="00243CA5" w:rsidTr="002C2BD8">
        <w:trPr>
          <w:trHeight w:val="230"/>
        </w:trPr>
        <w:tc>
          <w:tcPr>
            <w:tcW w:w="2085" w:type="dxa"/>
            <w:tcBorders>
              <w:top w:val="nil"/>
              <w:left w:val="nil"/>
              <w:bottom w:val="nil"/>
              <w:right w:val="nil"/>
            </w:tcBorders>
            <w:shd w:val="clear" w:color="auto" w:fill="auto"/>
            <w:noWrap/>
            <w:vAlign w:val="bottom"/>
            <w:hideMark/>
          </w:tcPr>
          <w:p w:rsidR="00243CA5" w:rsidRPr="00243CA5" w:rsidRDefault="00243CA5" w:rsidP="00243CA5">
            <w:pPr>
              <w:suppressAutoHyphens w:val="0"/>
              <w:rPr>
                <w:rFonts w:ascii="Calibri" w:hAnsi="Calibri" w:cs="Arial"/>
                <w:sz w:val="20"/>
                <w:szCs w:val="20"/>
                <w:lang w:eastAsia="en-GB"/>
              </w:rPr>
            </w:pP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rPr>
                <w:rFonts w:ascii="Calibri" w:hAnsi="Calibri" w:cs="Arial"/>
                <w:sz w:val="20"/>
                <w:szCs w:val="20"/>
                <w:lang w:eastAsia="en-GB"/>
              </w:rPr>
            </w:pPr>
            <w:r w:rsidRPr="00243CA5">
              <w:rPr>
                <w:rFonts w:ascii="Calibri" w:hAnsi="Calibri" w:cs="Arial"/>
                <w:sz w:val="20"/>
                <w:szCs w:val="20"/>
                <w:lang w:eastAsia="en-GB"/>
              </w:rPr>
              <w:t>Business sector</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rPr>
                <w:rFonts w:ascii="Calibri" w:hAnsi="Calibri" w:cs="Arial"/>
                <w:sz w:val="20"/>
                <w:szCs w:val="20"/>
                <w:lang w:eastAsia="en-GB"/>
              </w:rPr>
            </w:pPr>
            <w:r w:rsidRPr="00243CA5">
              <w:rPr>
                <w:rFonts w:ascii="Calibri" w:hAnsi="Calibri" w:cs="Arial"/>
                <w:sz w:val="20"/>
                <w:szCs w:val="20"/>
                <w:lang w:eastAsia="en-GB"/>
              </w:rPr>
              <w:t>Public sector</w:t>
            </w:r>
          </w:p>
        </w:tc>
        <w:tc>
          <w:tcPr>
            <w:tcW w:w="2255" w:type="dxa"/>
            <w:tcBorders>
              <w:top w:val="nil"/>
              <w:left w:val="nil"/>
              <w:bottom w:val="nil"/>
              <w:right w:val="nil"/>
            </w:tcBorders>
            <w:shd w:val="clear" w:color="auto" w:fill="auto"/>
            <w:noWrap/>
            <w:vAlign w:val="bottom"/>
            <w:hideMark/>
          </w:tcPr>
          <w:p w:rsidR="00243CA5" w:rsidRPr="00243CA5" w:rsidRDefault="00243CA5" w:rsidP="00BF1F03">
            <w:pPr>
              <w:suppressAutoHyphens w:val="0"/>
              <w:rPr>
                <w:rFonts w:ascii="Calibri" w:hAnsi="Calibri" w:cs="Arial"/>
                <w:sz w:val="20"/>
                <w:szCs w:val="20"/>
                <w:lang w:eastAsia="en-GB"/>
              </w:rPr>
            </w:pPr>
            <w:r w:rsidRPr="00243CA5">
              <w:rPr>
                <w:rFonts w:ascii="Calibri" w:hAnsi="Calibri" w:cs="Arial"/>
                <w:sz w:val="20"/>
                <w:szCs w:val="20"/>
                <w:lang w:eastAsia="en-GB"/>
              </w:rPr>
              <w:t xml:space="preserve">Public sector </w:t>
            </w:r>
            <w:r w:rsidR="00BF1F03">
              <w:rPr>
                <w:rFonts w:ascii="Calibri" w:hAnsi="Calibri" w:cs="Arial"/>
                <w:sz w:val="20"/>
                <w:szCs w:val="20"/>
                <w:lang w:eastAsia="en-GB"/>
              </w:rPr>
              <w:t>differential</w:t>
            </w:r>
          </w:p>
        </w:tc>
        <w:tc>
          <w:tcPr>
            <w:tcW w:w="2299" w:type="dxa"/>
            <w:tcBorders>
              <w:top w:val="nil"/>
              <w:left w:val="nil"/>
              <w:bottom w:val="nil"/>
              <w:right w:val="nil"/>
            </w:tcBorders>
          </w:tcPr>
          <w:p w:rsidR="00243CA5" w:rsidRPr="00243CA5" w:rsidRDefault="002C2BD8" w:rsidP="002C2BD8">
            <w:pPr>
              <w:suppressAutoHyphens w:val="0"/>
              <w:rPr>
                <w:rFonts w:ascii="Calibri" w:hAnsi="Calibri" w:cs="Arial"/>
                <w:sz w:val="20"/>
                <w:szCs w:val="20"/>
                <w:lang w:eastAsia="en-GB"/>
              </w:rPr>
            </w:pPr>
            <w:r>
              <w:rPr>
                <w:rFonts w:ascii="Calibri" w:hAnsi="Calibri" w:cs="Arial"/>
                <w:sz w:val="20"/>
                <w:szCs w:val="20"/>
                <w:lang w:eastAsia="en-GB"/>
              </w:rPr>
              <w:t xml:space="preserve">IMF programme in 2008 or 2009 </w:t>
            </w:r>
          </w:p>
        </w:tc>
      </w:tr>
      <w:tr w:rsidR="00243CA5" w:rsidRPr="00243CA5" w:rsidTr="002C2BD8">
        <w:trPr>
          <w:trHeight w:val="230"/>
        </w:trPr>
        <w:tc>
          <w:tcPr>
            <w:tcW w:w="2085" w:type="dxa"/>
            <w:tcBorders>
              <w:top w:val="nil"/>
              <w:left w:val="nil"/>
              <w:bottom w:val="nil"/>
              <w:right w:val="nil"/>
            </w:tcBorders>
            <w:shd w:val="clear" w:color="auto" w:fill="auto"/>
            <w:noWrap/>
            <w:vAlign w:val="bottom"/>
            <w:hideMark/>
          </w:tcPr>
          <w:p w:rsidR="00243CA5" w:rsidRPr="00243CA5" w:rsidRDefault="00243CA5" w:rsidP="00243CA5">
            <w:pPr>
              <w:suppressAutoHyphens w:val="0"/>
              <w:rPr>
                <w:rFonts w:ascii="Calibri" w:hAnsi="Calibri" w:cs="Arial"/>
                <w:sz w:val="20"/>
                <w:szCs w:val="20"/>
                <w:lang w:eastAsia="en-GB"/>
              </w:rPr>
            </w:pPr>
            <w:r w:rsidRPr="00243CA5">
              <w:rPr>
                <w:rFonts w:ascii="Calibri" w:hAnsi="Calibri" w:cs="Arial"/>
                <w:sz w:val="20"/>
                <w:szCs w:val="20"/>
                <w:lang w:eastAsia="en-GB"/>
              </w:rPr>
              <w:t>Bulgaria</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21.8%</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14.1%</w:t>
            </w:r>
          </w:p>
        </w:tc>
        <w:tc>
          <w:tcPr>
            <w:tcW w:w="2255"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-7.7%</w:t>
            </w:r>
          </w:p>
        </w:tc>
        <w:tc>
          <w:tcPr>
            <w:tcW w:w="2299" w:type="dxa"/>
            <w:tcBorders>
              <w:top w:val="nil"/>
              <w:left w:val="nil"/>
              <w:bottom w:val="nil"/>
              <w:right w:val="nil"/>
            </w:tcBorders>
          </w:tcPr>
          <w:p w:rsidR="00243CA5" w:rsidRPr="00243CA5" w:rsidRDefault="00243CA5" w:rsidP="00243CA5">
            <w:pPr>
              <w:suppressAutoHyphens w:val="0"/>
              <w:jc w:val="right"/>
              <w:rPr>
                <w:rFonts w:ascii="Calibri" w:hAnsi="Calibri" w:cs="Arial"/>
                <w:sz w:val="20"/>
                <w:szCs w:val="20"/>
                <w:lang w:eastAsia="en-GB"/>
              </w:rPr>
            </w:pPr>
          </w:p>
        </w:tc>
      </w:tr>
      <w:tr w:rsidR="00243CA5" w:rsidRPr="00243CA5" w:rsidTr="002C2BD8">
        <w:trPr>
          <w:trHeight w:val="230"/>
        </w:trPr>
        <w:tc>
          <w:tcPr>
            <w:tcW w:w="2085" w:type="dxa"/>
            <w:tcBorders>
              <w:top w:val="nil"/>
              <w:left w:val="nil"/>
              <w:bottom w:val="nil"/>
              <w:right w:val="nil"/>
            </w:tcBorders>
            <w:shd w:val="clear" w:color="auto" w:fill="auto"/>
            <w:noWrap/>
            <w:vAlign w:val="bottom"/>
            <w:hideMark/>
          </w:tcPr>
          <w:p w:rsidR="00243CA5" w:rsidRPr="00243CA5" w:rsidRDefault="00243CA5" w:rsidP="00243CA5">
            <w:pPr>
              <w:suppressAutoHyphens w:val="0"/>
              <w:rPr>
                <w:rFonts w:ascii="Calibri" w:hAnsi="Calibri" w:cs="Arial"/>
                <w:sz w:val="20"/>
                <w:szCs w:val="20"/>
                <w:lang w:eastAsia="en-GB"/>
              </w:rPr>
            </w:pPr>
            <w:r w:rsidRPr="00243CA5">
              <w:rPr>
                <w:rFonts w:ascii="Calibri" w:hAnsi="Calibri" w:cs="Arial"/>
                <w:sz w:val="20"/>
                <w:szCs w:val="20"/>
                <w:lang w:eastAsia="en-GB"/>
              </w:rPr>
              <w:t>Cyprus</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0.7%</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2.9%</w:t>
            </w:r>
          </w:p>
        </w:tc>
        <w:tc>
          <w:tcPr>
            <w:tcW w:w="2255"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2.2%</w:t>
            </w:r>
          </w:p>
        </w:tc>
        <w:tc>
          <w:tcPr>
            <w:tcW w:w="2299" w:type="dxa"/>
            <w:tcBorders>
              <w:top w:val="nil"/>
              <w:left w:val="nil"/>
              <w:bottom w:val="nil"/>
              <w:right w:val="nil"/>
            </w:tcBorders>
          </w:tcPr>
          <w:p w:rsidR="00243CA5" w:rsidRPr="00243CA5" w:rsidRDefault="00243CA5" w:rsidP="00243CA5">
            <w:pPr>
              <w:suppressAutoHyphens w:val="0"/>
              <w:jc w:val="right"/>
              <w:rPr>
                <w:rFonts w:ascii="Calibri" w:hAnsi="Calibri" w:cs="Arial"/>
                <w:sz w:val="20"/>
                <w:szCs w:val="20"/>
                <w:lang w:eastAsia="en-GB"/>
              </w:rPr>
            </w:pPr>
          </w:p>
        </w:tc>
      </w:tr>
      <w:tr w:rsidR="00243CA5" w:rsidRPr="00243CA5" w:rsidTr="002C2BD8">
        <w:trPr>
          <w:trHeight w:val="230"/>
        </w:trPr>
        <w:tc>
          <w:tcPr>
            <w:tcW w:w="2085" w:type="dxa"/>
            <w:tcBorders>
              <w:top w:val="nil"/>
              <w:left w:val="nil"/>
              <w:bottom w:val="nil"/>
              <w:right w:val="nil"/>
            </w:tcBorders>
            <w:shd w:val="clear" w:color="auto" w:fill="auto"/>
            <w:noWrap/>
            <w:vAlign w:val="bottom"/>
            <w:hideMark/>
          </w:tcPr>
          <w:p w:rsidR="00243CA5" w:rsidRPr="00243CA5" w:rsidRDefault="00243CA5" w:rsidP="00243CA5">
            <w:pPr>
              <w:suppressAutoHyphens w:val="0"/>
              <w:rPr>
                <w:rFonts w:ascii="Calibri" w:hAnsi="Calibri" w:cs="Arial"/>
                <w:sz w:val="20"/>
                <w:szCs w:val="20"/>
                <w:lang w:eastAsia="en-GB"/>
              </w:rPr>
            </w:pPr>
            <w:r w:rsidRPr="00243CA5">
              <w:rPr>
                <w:rFonts w:ascii="Calibri" w:hAnsi="Calibri" w:cs="Arial"/>
                <w:sz w:val="20"/>
                <w:szCs w:val="20"/>
                <w:lang w:eastAsia="en-GB"/>
              </w:rPr>
              <w:t>Czech Republic</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2.2%</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4.4%</w:t>
            </w:r>
          </w:p>
        </w:tc>
        <w:tc>
          <w:tcPr>
            <w:tcW w:w="2255"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2.2%</w:t>
            </w:r>
          </w:p>
        </w:tc>
        <w:tc>
          <w:tcPr>
            <w:tcW w:w="2299" w:type="dxa"/>
            <w:tcBorders>
              <w:top w:val="nil"/>
              <w:left w:val="nil"/>
              <w:bottom w:val="nil"/>
              <w:right w:val="nil"/>
            </w:tcBorders>
          </w:tcPr>
          <w:p w:rsidR="00243CA5" w:rsidRPr="00243CA5" w:rsidRDefault="00243CA5" w:rsidP="00243CA5">
            <w:pPr>
              <w:suppressAutoHyphens w:val="0"/>
              <w:jc w:val="right"/>
              <w:rPr>
                <w:rFonts w:ascii="Calibri" w:hAnsi="Calibri" w:cs="Arial"/>
                <w:sz w:val="20"/>
                <w:szCs w:val="20"/>
                <w:lang w:eastAsia="en-GB"/>
              </w:rPr>
            </w:pPr>
          </w:p>
        </w:tc>
      </w:tr>
      <w:tr w:rsidR="00243CA5" w:rsidRPr="00243CA5" w:rsidTr="002C2BD8">
        <w:trPr>
          <w:trHeight w:val="230"/>
        </w:trPr>
        <w:tc>
          <w:tcPr>
            <w:tcW w:w="2085" w:type="dxa"/>
            <w:tcBorders>
              <w:top w:val="nil"/>
              <w:left w:val="nil"/>
              <w:bottom w:val="nil"/>
              <w:right w:val="nil"/>
            </w:tcBorders>
            <w:shd w:val="clear" w:color="auto" w:fill="auto"/>
            <w:noWrap/>
            <w:vAlign w:val="bottom"/>
            <w:hideMark/>
          </w:tcPr>
          <w:p w:rsidR="00243CA5" w:rsidRPr="00243CA5" w:rsidRDefault="00243CA5" w:rsidP="00243CA5">
            <w:pPr>
              <w:suppressAutoHyphens w:val="0"/>
              <w:rPr>
                <w:rFonts w:ascii="Calibri" w:hAnsi="Calibri" w:cs="Arial"/>
                <w:sz w:val="20"/>
                <w:szCs w:val="20"/>
                <w:lang w:eastAsia="en-GB"/>
              </w:rPr>
            </w:pPr>
            <w:r w:rsidRPr="00243CA5">
              <w:rPr>
                <w:rFonts w:ascii="Calibri" w:hAnsi="Calibri" w:cs="Arial"/>
                <w:sz w:val="20"/>
                <w:szCs w:val="20"/>
                <w:lang w:eastAsia="en-GB"/>
              </w:rPr>
              <w:t>Estonia</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-12.3%</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-12.2%</w:t>
            </w:r>
          </w:p>
        </w:tc>
        <w:tc>
          <w:tcPr>
            <w:tcW w:w="2255"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0.1%</w:t>
            </w:r>
          </w:p>
        </w:tc>
        <w:tc>
          <w:tcPr>
            <w:tcW w:w="2299" w:type="dxa"/>
            <w:tcBorders>
              <w:top w:val="nil"/>
              <w:left w:val="nil"/>
              <w:bottom w:val="nil"/>
              <w:right w:val="nil"/>
            </w:tcBorders>
          </w:tcPr>
          <w:p w:rsidR="00243CA5" w:rsidRPr="00243CA5" w:rsidRDefault="00243CA5" w:rsidP="00243CA5">
            <w:pPr>
              <w:suppressAutoHyphens w:val="0"/>
              <w:jc w:val="right"/>
              <w:rPr>
                <w:rFonts w:ascii="Calibri" w:hAnsi="Calibri" w:cs="Arial"/>
                <w:sz w:val="20"/>
                <w:szCs w:val="20"/>
                <w:lang w:eastAsia="en-GB"/>
              </w:rPr>
            </w:pPr>
          </w:p>
        </w:tc>
      </w:tr>
      <w:tr w:rsidR="00243CA5" w:rsidRPr="00243CA5" w:rsidTr="002C2BD8">
        <w:trPr>
          <w:trHeight w:val="230"/>
        </w:trPr>
        <w:tc>
          <w:tcPr>
            <w:tcW w:w="2085" w:type="dxa"/>
            <w:tcBorders>
              <w:top w:val="nil"/>
              <w:left w:val="nil"/>
              <w:bottom w:val="nil"/>
              <w:right w:val="nil"/>
            </w:tcBorders>
            <w:shd w:val="clear" w:color="auto" w:fill="auto"/>
            <w:noWrap/>
            <w:vAlign w:val="bottom"/>
            <w:hideMark/>
          </w:tcPr>
          <w:p w:rsidR="00243CA5" w:rsidRPr="00243CA5" w:rsidRDefault="00243CA5" w:rsidP="00243CA5">
            <w:pPr>
              <w:suppressAutoHyphens w:val="0"/>
              <w:rPr>
                <w:rFonts w:ascii="Calibri" w:hAnsi="Calibri" w:cs="Arial"/>
                <w:sz w:val="20"/>
                <w:szCs w:val="20"/>
                <w:lang w:eastAsia="en-GB"/>
              </w:rPr>
            </w:pPr>
            <w:r w:rsidRPr="00243CA5">
              <w:rPr>
                <w:rFonts w:ascii="Calibri" w:hAnsi="Calibri" w:cs="Arial"/>
                <w:sz w:val="20"/>
                <w:szCs w:val="20"/>
                <w:lang w:eastAsia="en-GB"/>
              </w:rPr>
              <w:t>France</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1.3%</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1.6%</w:t>
            </w:r>
          </w:p>
        </w:tc>
        <w:tc>
          <w:tcPr>
            <w:tcW w:w="2255"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0.3%</w:t>
            </w:r>
          </w:p>
        </w:tc>
        <w:tc>
          <w:tcPr>
            <w:tcW w:w="2299" w:type="dxa"/>
            <w:tcBorders>
              <w:top w:val="nil"/>
              <w:left w:val="nil"/>
              <w:bottom w:val="nil"/>
              <w:right w:val="nil"/>
            </w:tcBorders>
          </w:tcPr>
          <w:p w:rsidR="00243CA5" w:rsidRPr="00243CA5" w:rsidRDefault="00243CA5" w:rsidP="00243CA5">
            <w:pPr>
              <w:suppressAutoHyphens w:val="0"/>
              <w:jc w:val="right"/>
              <w:rPr>
                <w:rFonts w:ascii="Calibri" w:hAnsi="Calibri" w:cs="Arial"/>
                <w:sz w:val="20"/>
                <w:szCs w:val="20"/>
                <w:lang w:eastAsia="en-GB"/>
              </w:rPr>
            </w:pPr>
          </w:p>
        </w:tc>
      </w:tr>
      <w:tr w:rsidR="00243CA5" w:rsidRPr="00243CA5" w:rsidTr="002C2BD8">
        <w:trPr>
          <w:trHeight w:val="230"/>
        </w:trPr>
        <w:tc>
          <w:tcPr>
            <w:tcW w:w="2085" w:type="dxa"/>
            <w:tcBorders>
              <w:top w:val="nil"/>
              <w:left w:val="nil"/>
              <w:bottom w:val="nil"/>
              <w:right w:val="nil"/>
            </w:tcBorders>
            <w:shd w:val="clear" w:color="auto" w:fill="auto"/>
            <w:noWrap/>
            <w:vAlign w:val="bottom"/>
            <w:hideMark/>
          </w:tcPr>
          <w:p w:rsidR="00243CA5" w:rsidRPr="00243CA5" w:rsidRDefault="00243CA5" w:rsidP="00243CA5">
            <w:pPr>
              <w:suppressAutoHyphens w:val="0"/>
              <w:rPr>
                <w:rFonts w:ascii="Calibri" w:hAnsi="Calibri" w:cs="Arial"/>
                <w:sz w:val="20"/>
                <w:szCs w:val="20"/>
                <w:lang w:eastAsia="en-GB"/>
              </w:rPr>
            </w:pPr>
            <w:r w:rsidRPr="00243CA5">
              <w:rPr>
                <w:rFonts w:ascii="Calibri" w:hAnsi="Calibri" w:cs="Arial"/>
                <w:sz w:val="20"/>
                <w:szCs w:val="20"/>
                <w:lang w:eastAsia="en-GB"/>
              </w:rPr>
              <w:t>Germany</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1.5%</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1.9%</w:t>
            </w:r>
          </w:p>
        </w:tc>
        <w:tc>
          <w:tcPr>
            <w:tcW w:w="2255"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0.4%</w:t>
            </w:r>
          </w:p>
        </w:tc>
        <w:tc>
          <w:tcPr>
            <w:tcW w:w="2299" w:type="dxa"/>
            <w:tcBorders>
              <w:top w:val="nil"/>
              <w:left w:val="nil"/>
              <w:bottom w:val="nil"/>
              <w:right w:val="nil"/>
            </w:tcBorders>
          </w:tcPr>
          <w:p w:rsidR="00243CA5" w:rsidRPr="00243CA5" w:rsidRDefault="00243CA5" w:rsidP="00243CA5">
            <w:pPr>
              <w:suppressAutoHyphens w:val="0"/>
              <w:jc w:val="right"/>
              <w:rPr>
                <w:rFonts w:ascii="Calibri" w:hAnsi="Calibri" w:cs="Arial"/>
                <w:sz w:val="20"/>
                <w:szCs w:val="20"/>
                <w:lang w:eastAsia="en-GB"/>
              </w:rPr>
            </w:pPr>
          </w:p>
        </w:tc>
      </w:tr>
      <w:tr w:rsidR="00243CA5" w:rsidRPr="00243CA5" w:rsidTr="002C2BD8">
        <w:trPr>
          <w:trHeight w:val="230"/>
        </w:trPr>
        <w:tc>
          <w:tcPr>
            <w:tcW w:w="2085" w:type="dxa"/>
            <w:tcBorders>
              <w:top w:val="nil"/>
              <w:left w:val="nil"/>
              <w:bottom w:val="nil"/>
              <w:right w:val="nil"/>
            </w:tcBorders>
            <w:shd w:val="clear" w:color="auto" w:fill="auto"/>
            <w:noWrap/>
            <w:vAlign w:val="bottom"/>
            <w:hideMark/>
          </w:tcPr>
          <w:p w:rsidR="00243CA5" w:rsidRPr="00243CA5" w:rsidRDefault="00243CA5" w:rsidP="00243CA5">
            <w:pPr>
              <w:suppressAutoHyphens w:val="0"/>
              <w:rPr>
                <w:rFonts w:ascii="Calibri" w:hAnsi="Calibri" w:cs="Arial"/>
                <w:sz w:val="20"/>
                <w:szCs w:val="20"/>
                <w:lang w:eastAsia="en-GB"/>
              </w:rPr>
            </w:pPr>
            <w:r w:rsidRPr="00243CA5">
              <w:rPr>
                <w:rFonts w:ascii="Calibri" w:hAnsi="Calibri" w:cs="Arial"/>
                <w:sz w:val="20"/>
                <w:szCs w:val="20"/>
                <w:lang w:eastAsia="en-GB"/>
              </w:rPr>
              <w:t>Greece</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-6.7%</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-17.2%</w:t>
            </w:r>
          </w:p>
        </w:tc>
        <w:tc>
          <w:tcPr>
            <w:tcW w:w="2255"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-10.5%</w:t>
            </w:r>
          </w:p>
        </w:tc>
        <w:tc>
          <w:tcPr>
            <w:tcW w:w="2299" w:type="dxa"/>
            <w:tcBorders>
              <w:top w:val="nil"/>
              <w:left w:val="nil"/>
              <w:bottom w:val="nil"/>
              <w:right w:val="nil"/>
            </w:tcBorders>
          </w:tcPr>
          <w:p w:rsidR="00243CA5" w:rsidRPr="00243CA5" w:rsidRDefault="00243CA5" w:rsidP="00243CA5">
            <w:pPr>
              <w:suppressAutoHyphens w:val="0"/>
              <w:jc w:val="right"/>
              <w:rPr>
                <w:rFonts w:ascii="Calibri" w:hAnsi="Calibri" w:cs="Arial"/>
                <w:sz w:val="20"/>
                <w:szCs w:val="20"/>
                <w:lang w:eastAsia="en-GB"/>
              </w:rPr>
            </w:pPr>
            <w:r>
              <w:rPr>
                <w:rFonts w:ascii="Calibri" w:hAnsi="Calibri" w:cs="Arial"/>
                <w:sz w:val="20"/>
                <w:szCs w:val="20"/>
                <w:lang w:eastAsia="en-GB"/>
              </w:rPr>
              <w:t>2009</w:t>
            </w:r>
          </w:p>
        </w:tc>
      </w:tr>
      <w:tr w:rsidR="00243CA5" w:rsidRPr="00243CA5" w:rsidTr="002C2BD8">
        <w:trPr>
          <w:trHeight w:val="230"/>
        </w:trPr>
        <w:tc>
          <w:tcPr>
            <w:tcW w:w="2085" w:type="dxa"/>
            <w:tcBorders>
              <w:top w:val="nil"/>
              <w:left w:val="nil"/>
              <w:bottom w:val="nil"/>
              <w:right w:val="nil"/>
            </w:tcBorders>
            <w:shd w:val="clear" w:color="auto" w:fill="auto"/>
            <w:noWrap/>
            <w:vAlign w:val="bottom"/>
            <w:hideMark/>
          </w:tcPr>
          <w:p w:rsidR="00243CA5" w:rsidRPr="00243CA5" w:rsidRDefault="00243CA5" w:rsidP="00243CA5">
            <w:pPr>
              <w:suppressAutoHyphens w:val="0"/>
              <w:rPr>
                <w:rFonts w:ascii="Calibri" w:hAnsi="Calibri" w:cs="Arial"/>
                <w:sz w:val="20"/>
                <w:szCs w:val="20"/>
                <w:lang w:eastAsia="en-GB"/>
              </w:rPr>
            </w:pPr>
            <w:r w:rsidRPr="00243CA5">
              <w:rPr>
                <w:rFonts w:ascii="Calibri" w:hAnsi="Calibri" w:cs="Arial"/>
                <w:sz w:val="20"/>
                <w:szCs w:val="20"/>
                <w:lang w:eastAsia="en-GB"/>
              </w:rPr>
              <w:t>Hungary</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-0.9%</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-21.2%</w:t>
            </w:r>
          </w:p>
        </w:tc>
        <w:tc>
          <w:tcPr>
            <w:tcW w:w="2255"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-20.3%</w:t>
            </w:r>
          </w:p>
        </w:tc>
        <w:tc>
          <w:tcPr>
            <w:tcW w:w="2299" w:type="dxa"/>
            <w:tcBorders>
              <w:top w:val="nil"/>
              <w:left w:val="nil"/>
              <w:bottom w:val="nil"/>
              <w:right w:val="nil"/>
            </w:tcBorders>
          </w:tcPr>
          <w:p w:rsidR="00243CA5" w:rsidRPr="00243CA5" w:rsidRDefault="00243CA5" w:rsidP="00243CA5">
            <w:pPr>
              <w:suppressAutoHyphens w:val="0"/>
              <w:jc w:val="right"/>
              <w:rPr>
                <w:rFonts w:ascii="Calibri" w:hAnsi="Calibri" w:cs="Arial"/>
                <w:sz w:val="20"/>
                <w:szCs w:val="20"/>
                <w:lang w:eastAsia="en-GB"/>
              </w:rPr>
            </w:pPr>
            <w:r>
              <w:rPr>
                <w:rFonts w:ascii="Calibri" w:hAnsi="Calibri" w:cs="Arial"/>
                <w:sz w:val="20"/>
                <w:szCs w:val="20"/>
                <w:lang w:eastAsia="en-GB"/>
              </w:rPr>
              <w:t>2008</w:t>
            </w:r>
          </w:p>
        </w:tc>
      </w:tr>
      <w:tr w:rsidR="00243CA5" w:rsidRPr="00243CA5" w:rsidTr="002C2BD8">
        <w:trPr>
          <w:trHeight w:val="230"/>
        </w:trPr>
        <w:tc>
          <w:tcPr>
            <w:tcW w:w="2085" w:type="dxa"/>
            <w:tcBorders>
              <w:top w:val="nil"/>
              <w:left w:val="nil"/>
              <w:bottom w:val="nil"/>
              <w:right w:val="nil"/>
            </w:tcBorders>
            <w:shd w:val="clear" w:color="auto" w:fill="auto"/>
            <w:noWrap/>
            <w:vAlign w:val="bottom"/>
            <w:hideMark/>
          </w:tcPr>
          <w:p w:rsidR="00243CA5" w:rsidRPr="00243CA5" w:rsidRDefault="00243CA5" w:rsidP="00243CA5">
            <w:pPr>
              <w:suppressAutoHyphens w:val="0"/>
              <w:rPr>
                <w:rFonts w:ascii="Calibri" w:hAnsi="Calibri" w:cs="Arial"/>
                <w:sz w:val="20"/>
                <w:szCs w:val="20"/>
                <w:lang w:eastAsia="en-GB"/>
              </w:rPr>
            </w:pPr>
            <w:r w:rsidRPr="00243CA5">
              <w:rPr>
                <w:rFonts w:ascii="Calibri" w:hAnsi="Calibri" w:cs="Arial"/>
                <w:sz w:val="20"/>
                <w:szCs w:val="20"/>
                <w:lang w:eastAsia="en-GB"/>
              </w:rPr>
              <w:t>Latvia</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-13.1%</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-26.8%</w:t>
            </w:r>
          </w:p>
        </w:tc>
        <w:tc>
          <w:tcPr>
            <w:tcW w:w="2255"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-13.7%</w:t>
            </w:r>
          </w:p>
        </w:tc>
        <w:tc>
          <w:tcPr>
            <w:tcW w:w="2299" w:type="dxa"/>
            <w:tcBorders>
              <w:top w:val="nil"/>
              <w:left w:val="nil"/>
              <w:bottom w:val="nil"/>
              <w:right w:val="nil"/>
            </w:tcBorders>
          </w:tcPr>
          <w:p w:rsidR="00243CA5" w:rsidRPr="00243CA5" w:rsidRDefault="00243CA5" w:rsidP="00243CA5">
            <w:pPr>
              <w:suppressAutoHyphens w:val="0"/>
              <w:jc w:val="right"/>
              <w:rPr>
                <w:rFonts w:ascii="Calibri" w:hAnsi="Calibri" w:cs="Arial"/>
                <w:sz w:val="20"/>
                <w:szCs w:val="20"/>
                <w:lang w:eastAsia="en-GB"/>
              </w:rPr>
            </w:pPr>
            <w:r>
              <w:rPr>
                <w:rFonts w:ascii="Calibri" w:hAnsi="Calibri" w:cs="Arial"/>
                <w:sz w:val="20"/>
                <w:szCs w:val="20"/>
                <w:lang w:eastAsia="en-GB"/>
              </w:rPr>
              <w:t>2008</w:t>
            </w:r>
          </w:p>
        </w:tc>
      </w:tr>
      <w:tr w:rsidR="00243CA5" w:rsidRPr="00243CA5" w:rsidTr="002C2BD8">
        <w:trPr>
          <w:trHeight w:val="230"/>
        </w:trPr>
        <w:tc>
          <w:tcPr>
            <w:tcW w:w="2085" w:type="dxa"/>
            <w:tcBorders>
              <w:top w:val="nil"/>
              <w:left w:val="nil"/>
              <w:bottom w:val="nil"/>
              <w:right w:val="nil"/>
            </w:tcBorders>
            <w:shd w:val="clear" w:color="auto" w:fill="auto"/>
            <w:noWrap/>
            <w:vAlign w:val="bottom"/>
            <w:hideMark/>
          </w:tcPr>
          <w:p w:rsidR="00243CA5" w:rsidRPr="00243CA5" w:rsidRDefault="00243CA5" w:rsidP="00243CA5">
            <w:pPr>
              <w:suppressAutoHyphens w:val="0"/>
              <w:rPr>
                <w:rFonts w:ascii="Calibri" w:hAnsi="Calibri" w:cs="Arial"/>
                <w:sz w:val="20"/>
                <w:szCs w:val="20"/>
                <w:lang w:eastAsia="en-GB"/>
              </w:rPr>
            </w:pPr>
            <w:r w:rsidRPr="00243CA5">
              <w:rPr>
                <w:rFonts w:ascii="Calibri" w:hAnsi="Calibri" w:cs="Arial"/>
                <w:sz w:val="20"/>
                <w:szCs w:val="20"/>
                <w:lang w:eastAsia="en-GB"/>
              </w:rPr>
              <w:t>Lithuania</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-21.6%</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-17.8%</w:t>
            </w:r>
          </w:p>
        </w:tc>
        <w:tc>
          <w:tcPr>
            <w:tcW w:w="2255"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3.9%</w:t>
            </w:r>
          </w:p>
        </w:tc>
        <w:tc>
          <w:tcPr>
            <w:tcW w:w="2299" w:type="dxa"/>
            <w:tcBorders>
              <w:top w:val="nil"/>
              <w:left w:val="nil"/>
              <w:bottom w:val="nil"/>
              <w:right w:val="nil"/>
            </w:tcBorders>
          </w:tcPr>
          <w:p w:rsidR="00243CA5" w:rsidRPr="00243CA5" w:rsidRDefault="00243CA5" w:rsidP="00243CA5">
            <w:pPr>
              <w:suppressAutoHyphens w:val="0"/>
              <w:jc w:val="right"/>
              <w:rPr>
                <w:rFonts w:ascii="Calibri" w:hAnsi="Calibri" w:cs="Arial"/>
                <w:sz w:val="20"/>
                <w:szCs w:val="20"/>
                <w:lang w:eastAsia="en-GB"/>
              </w:rPr>
            </w:pPr>
          </w:p>
        </w:tc>
      </w:tr>
      <w:tr w:rsidR="00243CA5" w:rsidRPr="00243CA5" w:rsidTr="002C2BD8">
        <w:trPr>
          <w:trHeight w:val="230"/>
        </w:trPr>
        <w:tc>
          <w:tcPr>
            <w:tcW w:w="2085" w:type="dxa"/>
            <w:tcBorders>
              <w:top w:val="nil"/>
              <w:left w:val="nil"/>
              <w:bottom w:val="nil"/>
              <w:right w:val="nil"/>
            </w:tcBorders>
            <w:shd w:val="clear" w:color="auto" w:fill="auto"/>
            <w:noWrap/>
            <w:vAlign w:val="bottom"/>
            <w:hideMark/>
          </w:tcPr>
          <w:p w:rsidR="00243CA5" w:rsidRPr="00243CA5" w:rsidRDefault="00243CA5" w:rsidP="00243CA5">
            <w:pPr>
              <w:suppressAutoHyphens w:val="0"/>
              <w:rPr>
                <w:rFonts w:ascii="Calibri" w:hAnsi="Calibri" w:cs="Arial"/>
                <w:sz w:val="20"/>
                <w:szCs w:val="20"/>
                <w:lang w:eastAsia="en-GB"/>
              </w:rPr>
            </w:pPr>
            <w:r w:rsidRPr="00243CA5">
              <w:rPr>
                <w:rFonts w:ascii="Calibri" w:hAnsi="Calibri" w:cs="Arial"/>
                <w:sz w:val="20"/>
                <w:szCs w:val="20"/>
                <w:lang w:eastAsia="en-GB"/>
              </w:rPr>
              <w:t>Luxembourg</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3.5%</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3.7%</w:t>
            </w:r>
          </w:p>
        </w:tc>
        <w:tc>
          <w:tcPr>
            <w:tcW w:w="2255"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0.2%</w:t>
            </w:r>
          </w:p>
        </w:tc>
        <w:tc>
          <w:tcPr>
            <w:tcW w:w="2299" w:type="dxa"/>
            <w:tcBorders>
              <w:top w:val="nil"/>
              <w:left w:val="nil"/>
              <w:bottom w:val="nil"/>
              <w:right w:val="nil"/>
            </w:tcBorders>
          </w:tcPr>
          <w:p w:rsidR="00243CA5" w:rsidRPr="00243CA5" w:rsidRDefault="00243CA5" w:rsidP="00243CA5">
            <w:pPr>
              <w:suppressAutoHyphens w:val="0"/>
              <w:jc w:val="right"/>
              <w:rPr>
                <w:rFonts w:ascii="Calibri" w:hAnsi="Calibri" w:cs="Arial"/>
                <w:sz w:val="20"/>
                <w:szCs w:val="20"/>
                <w:lang w:eastAsia="en-GB"/>
              </w:rPr>
            </w:pPr>
          </w:p>
        </w:tc>
      </w:tr>
      <w:tr w:rsidR="00243CA5" w:rsidRPr="00243CA5" w:rsidTr="002C2BD8">
        <w:trPr>
          <w:trHeight w:val="230"/>
        </w:trPr>
        <w:tc>
          <w:tcPr>
            <w:tcW w:w="2085" w:type="dxa"/>
            <w:tcBorders>
              <w:top w:val="nil"/>
              <w:left w:val="nil"/>
              <w:bottom w:val="nil"/>
              <w:right w:val="nil"/>
            </w:tcBorders>
            <w:shd w:val="clear" w:color="auto" w:fill="auto"/>
            <w:noWrap/>
            <w:vAlign w:val="bottom"/>
            <w:hideMark/>
          </w:tcPr>
          <w:p w:rsidR="00243CA5" w:rsidRPr="00243CA5" w:rsidRDefault="00243CA5" w:rsidP="00243CA5">
            <w:pPr>
              <w:suppressAutoHyphens w:val="0"/>
              <w:rPr>
                <w:rFonts w:ascii="Calibri" w:hAnsi="Calibri" w:cs="Arial"/>
                <w:sz w:val="20"/>
                <w:szCs w:val="20"/>
                <w:lang w:eastAsia="en-GB"/>
              </w:rPr>
            </w:pPr>
            <w:r w:rsidRPr="00243CA5">
              <w:rPr>
                <w:rFonts w:ascii="Calibri" w:hAnsi="Calibri" w:cs="Arial"/>
                <w:sz w:val="20"/>
                <w:szCs w:val="20"/>
                <w:lang w:eastAsia="en-GB"/>
              </w:rPr>
              <w:t>Malta</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-5.3%</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-7.5%</w:t>
            </w:r>
          </w:p>
        </w:tc>
        <w:tc>
          <w:tcPr>
            <w:tcW w:w="2255"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-2.1%</w:t>
            </w:r>
          </w:p>
        </w:tc>
        <w:tc>
          <w:tcPr>
            <w:tcW w:w="2299" w:type="dxa"/>
            <w:tcBorders>
              <w:top w:val="nil"/>
              <w:left w:val="nil"/>
              <w:bottom w:val="nil"/>
              <w:right w:val="nil"/>
            </w:tcBorders>
          </w:tcPr>
          <w:p w:rsidR="00243CA5" w:rsidRPr="00243CA5" w:rsidRDefault="00243CA5" w:rsidP="00243CA5">
            <w:pPr>
              <w:suppressAutoHyphens w:val="0"/>
              <w:jc w:val="right"/>
              <w:rPr>
                <w:rFonts w:ascii="Calibri" w:hAnsi="Calibri" w:cs="Arial"/>
                <w:sz w:val="20"/>
                <w:szCs w:val="20"/>
                <w:lang w:eastAsia="en-GB"/>
              </w:rPr>
            </w:pPr>
          </w:p>
        </w:tc>
      </w:tr>
      <w:tr w:rsidR="00243CA5" w:rsidRPr="00243CA5" w:rsidTr="002C2BD8">
        <w:trPr>
          <w:trHeight w:val="230"/>
        </w:trPr>
        <w:tc>
          <w:tcPr>
            <w:tcW w:w="2085" w:type="dxa"/>
            <w:tcBorders>
              <w:top w:val="nil"/>
              <w:left w:val="nil"/>
              <w:bottom w:val="nil"/>
              <w:right w:val="nil"/>
            </w:tcBorders>
            <w:shd w:val="clear" w:color="auto" w:fill="auto"/>
            <w:noWrap/>
            <w:vAlign w:val="bottom"/>
            <w:hideMark/>
          </w:tcPr>
          <w:p w:rsidR="00243CA5" w:rsidRPr="00243CA5" w:rsidRDefault="00243CA5" w:rsidP="00243CA5">
            <w:pPr>
              <w:suppressAutoHyphens w:val="0"/>
              <w:rPr>
                <w:rFonts w:ascii="Calibri" w:hAnsi="Calibri" w:cs="Arial"/>
                <w:sz w:val="20"/>
                <w:szCs w:val="20"/>
                <w:lang w:eastAsia="en-GB"/>
              </w:rPr>
            </w:pPr>
            <w:r w:rsidRPr="00243CA5">
              <w:rPr>
                <w:rFonts w:ascii="Calibri" w:hAnsi="Calibri" w:cs="Arial"/>
                <w:sz w:val="20"/>
                <w:szCs w:val="20"/>
                <w:lang w:eastAsia="en-GB"/>
              </w:rPr>
              <w:t>Netherlands*q4</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0.0%</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4.0%</w:t>
            </w:r>
          </w:p>
        </w:tc>
        <w:tc>
          <w:tcPr>
            <w:tcW w:w="2255"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3.9%</w:t>
            </w:r>
          </w:p>
        </w:tc>
        <w:tc>
          <w:tcPr>
            <w:tcW w:w="2299" w:type="dxa"/>
            <w:tcBorders>
              <w:top w:val="nil"/>
              <w:left w:val="nil"/>
              <w:bottom w:val="nil"/>
              <w:right w:val="nil"/>
            </w:tcBorders>
          </w:tcPr>
          <w:p w:rsidR="00243CA5" w:rsidRPr="00243CA5" w:rsidRDefault="00243CA5" w:rsidP="00243CA5">
            <w:pPr>
              <w:suppressAutoHyphens w:val="0"/>
              <w:jc w:val="right"/>
              <w:rPr>
                <w:rFonts w:ascii="Calibri" w:hAnsi="Calibri" w:cs="Arial"/>
                <w:sz w:val="20"/>
                <w:szCs w:val="20"/>
                <w:lang w:eastAsia="en-GB"/>
              </w:rPr>
            </w:pPr>
          </w:p>
        </w:tc>
      </w:tr>
      <w:tr w:rsidR="00243CA5" w:rsidRPr="00243CA5" w:rsidTr="002C2BD8">
        <w:trPr>
          <w:trHeight w:val="230"/>
        </w:trPr>
        <w:tc>
          <w:tcPr>
            <w:tcW w:w="2085" w:type="dxa"/>
            <w:tcBorders>
              <w:top w:val="nil"/>
              <w:left w:val="nil"/>
              <w:bottom w:val="nil"/>
              <w:right w:val="nil"/>
            </w:tcBorders>
            <w:shd w:val="clear" w:color="auto" w:fill="auto"/>
            <w:noWrap/>
            <w:vAlign w:val="bottom"/>
            <w:hideMark/>
          </w:tcPr>
          <w:p w:rsidR="00243CA5" w:rsidRPr="00243CA5" w:rsidRDefault="00243CA5" w:rsidP="00243CA5">
            <w:pPr>
              <w:suppressAutoHyphens w:val="0"/>
              <w:rPr>
                <w:rFonts w:ascii="Calibri" w:hAnsi="Calibri" w:cs="Arial"/>
                <w:sz w:val="20"/>
                <w:szCs w:val="20"/>
                <w:lang w:eastAsia="en-GB"/>
              </w:rPr>
            </w:pPr>
            <w:r w:rsidRPr="00243CA5">
              <w:rPr>
                <w:rFonts w:ascii="Calibri" w:hAnsi="Calibri" w:cs="Arial"/>
                <w:sz w:val="20"/>
                <w:szCs w:val="20"/>
                <w:lang w:eastAsia="en-GB"/>
              </w:rPr>
              <w:t>Poland</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0.9%</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7.2%</w:t>
            </w:r>
          </w:p>
        </w:tc>
        <w:tc>
          <w:tcPr>
            <w:tcW w:w="2255"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6.2%</w:t>
            </w:r>
          </w:p>
        </w:tc>
        <w:tc>
          <w:tcPr>
            <w:tcW w:w="2299" w:type="dxa"/>
            <w:tcBorders>
              <w:top w:val="nil"/>
              <w:left w:val="nil"/>
              <w:bottom w:val="nil"/>
              <w:right w:val="nil"/>
            </w:tcBorders>
          </w:tcPr>
          <w:p w:rsidR="00243CA5" w:rsidRPr="00243CA5" w:rsidRDefault="00243CA5" w:rsidP="00243CA5">
            <w:pPr>
              <w:suppressAutoHyphens w:val="0"/>
              <w:jc w:val="right"/>
              <w:rPr>
                <w:rFonts w:ascii="Calibri" w:hAnsi="Calibri" w:cs="Arial"/>
                <w:sz w:val="20"/>
                <w:szCs w:val="20"/>
                <w:lang w:eastAsia="en-GB"/>
              </w:rPr>
            </w:pPr>
          </w:p>
        </w:tc>
      </w:tr>
      <w:tr w:rsidR="00243CA5" w:rsidRPr="00243CA5" w:rsidTr="002C2BD8">
        <w:trPr>
          <w:trHeight w:val="230"/>
        </w:trPr>
        <w:tc>
          <w:tcPr>
            <w:tcW w:w="2085" w:type="dxa"/>
            <w:tcBorders>
              <w:top w:val="nil"/>
              <w:left w:val="nil"/>
              <w:bottom w:val="nil"/>
              <w:right w:val="nil"/>
            </w:tcBorders>
            <w:shd w:val="clear" w:color="auto" w:fill="auto"/>
            <w:noWrap/>
            <w:vAlign w:val="bottom"/>
            <w:hideMark/>
          </w:tcPr>
          <w:p w:rsidR="00243CA5" w:rsidRPr="00243CA5" w:rsidRDefault="00243CA5" w:rsidP="00243CA5">
            <w:pPr>
              <w:suppressAutoHyphens w:val="0"/>
              <w:rPr>
                <w:rFonts w:ascii="Calibri" w:hAnsi="Calibri" w:cs="Arial"/>
                <w:sz w:val="20"/>
                <w:szCs w:val="20"/>
                <w:lang w:eastAsia="en-GB"/>
              </w:rPr>
            </w:pPr>
            <w:r w:rsidRPr="00243CA5">
              <w:rPr>
                <w:rFonts w:ascii="Calibri" w:hAnsi="Calibri" w:cs="Arial"/>
                <w:sz w:val="20"/>
                <w:szCs w:val="20"/>
                <w:lang w:eastAsia="en-GB"/>
              </w:rPr>
              <w:t>Portugal</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1.4%</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-5.0%</w:t>
            </w:r>
          </w:p>
        </w:tc>
        <w:tc>
          <w:tcPr>
            <w:tcW w:w="2255"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-6.4%</w:t>
            </w:r>
          </w:p>
        </w:tc>
        <w:tc>
          <w:tcPr>
            <w:tcW w:w="2299" w:type="dxa"/>
            <w:tcBorders>
              <w:top w:val="nil"/>
              <w:left w:val="nil"/>
              <w:bottom w:val="nil"/>
              <w:right w:val="nil"/>
            </w:tcBorders>
          </w:tcPr>
          <w:p w:rsidR="00243CA5" w:rsidRPr="00243CA5" w:rsidRDefault="00243CA5" w:rsidP="00243CA5">
            <w:pPr>
              <w:suppressAutoHyphens w:val="0"/>
              <w:jc w:val="right"/>
              <w:rPr>
                <w:rFonts w:ascii="Calibri" w:hAnsi="Calibri" w:cs="Arial"/>
                <w:sz w:val="20"/>
                <w:szCs w:val="20"/>
                <w:lang w:eastAsia="en-GB"/>
              </w:rPr>
            </w:pPr>
          </w:p>
        </w:tc>
      </w:tr>
      <w:tr w:rsidR="00243CA5" w:rsidRPr="00243CA5" w:rsidTr="002C2BD8">
        <w:trPr>
          <w:trHeight w:val="230"/>
        </w:trPr>
        <w:tc>
          <w:tcPr>
            <w:tcW w:w="2085" w:type="dxa"/>
            <w:tcBorders>
              <w:top w:val="nil"/>
              <w:left w:val="nil"/>
              <w:bottom w:val="nil"/>
              <w:right w:val="nil"/>
            </w:tcBorders>
            <w:shd w:val="clear" w:color="auto" w:fill="auto"/>
            <w:noWrap/>
            <w:vAlign w:val="bottom"/>
            <w:hideMark/>
          </w:tcPr>
          <w:p w:rsidR="00243CA5" w:rsidRPr="00243CA5" w:rsidRDefault="00243CA5" w:rsidP="00243CA5">
            <w:pPr>
              <w:suppressAutoHyphens w:val="0"/>
              <w:rPr>
                <w:rFonts w:ascii="Calibri" w:hAnsi="Calibri" w:cs="Arial"/>
                <w:sz w:val="20"/>
                <w:szCs w:val="20"/>
                <w:lang w:eastAsia="en-GB"/>
              </w:rPr>
            </w:pPr>
            <w:r w:rsidRPr="00243CA5">
              <w:rPr>
                <w:rFonts w:ascii="Calibri" w:hAnsi="Calibri" w:cs="Arial"/>
                <w:sz w:val="20"/>
                <w:szCs w:val="20"/>
                <w:lang w:eastAsia="en-GB"/>
              </w:rPr>
              <w:t>Romania</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8.9%</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-25.1%</w:t>
            </w:r>
          </w:p>
        </w:tc>
        <w:tc>
          <w:tcPr>
            <w:tcW w:w="2255"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-34.0%</w:t>
            </w:r>
          </w:p>
        </w:tc>
        <w:tc>
          <w:tcPr>
            <w:tcW w:w="2299" w:type="dxa"/>
            <w:tcBorders>
              <w:top w:val="nil"/>
              <w:left w:val="nil"/>
              <w:bottom w:val="nil"/>
              <w:right w:val="nil"/>
            </w:tcBorders>
          </w:tcPr>
          <w:p w:rsidR="00243CA5" w:rsidRPr="00243CA5" w:rsidRDefault="00243CA5" w:rsidP="00243CA5">
            <w:pPr>
              <w:suppressAutoHyphens w:val="0"/>
              <w:jc w:val="right"/>
              <w:rPr>
                <w:rFonts w:ascii="Calibri" w:hAnsi="Calibri" w:cs="Arial"/>
                <w:sz w:val="20"/>
                <w:szCs w:val="20"/>
                <w:lang w:eastAsia="en-GB"/>
              </w:rPr>
            </w:pPr>
            <w:r>
              <w:rPr>
                <w:rFonts w:ascii="Calibri" w:hAnsi="Calibri" w:cs="Arial"/>
                <w:sz w:val="20"/>
                <w:szCs w:val="20"/>
                <w:lang w:eastAsia="en-GB"/>
              </w:rPr>
              <w:t>2009</w:t>
            </w:r>
          </w:p>
        </w:tc>
      </w:tr>
      <w:tr w:rsidR="00243CA5" w:rsidRPr="00243CA5" w:rsidTr="002C2BD8">
        <w:trPr>
          <w:trHeight w:val="230"/>
        </w:trPr>
        <w:tc>
          <w:tcPr>
            <w:tcW w:w="2085" w:type="dxa"/>
            <w:tcBorders>
              <w:top w:val="nil"/>
              <w:left w:val="nil"/>
              <w:bottom w:val="nil"/>
              <w:right w:val="nil"/>
            </w:tcBorders>
            <w:shd w:val="clear" w:color="auto" w:fill="auto"/>
            <w:noWrap/>
            <w:vAlign w:val="bottom"/>
            <w:hideMark/>
          </w:tcPr>
          <w:p w:rsidR="00243CA5" w:rsidRPr="00243CA5" w:rsidRDefault="00243CA5" w:rsidP="00243CA5">
            <w:pPr>
              <w:suppressAutoHyphens w:val="0"/>
              <w:rPr>
                <w:rFonts w:ascii="Calibri" w:hAnsi="Calibri" w:cs="Arial"/>
                <w:sz w:val="20"/>
                <w:szCs w:val="20"/>
                <w:lang w:eastAsia="en-GB"/>
              </w:rPr>
            </w:pPr>
            <w:r w:rsidRPr="00243CA5">
              <w:rPr>
                <w:rFonts w:ascii="Calibri" w:hAnsi="Calibri" w:cs="Arial"/>
                <w:sz w:val="20"/>
                <w:szCs w:val="20"/>
                <w:lang w:eastAsia="en-GB"/>
              </w:rPr>
              <w:t>Slovakia</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3.4%</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8.1%</w:t>
            </w:r>
          </w:p>
        </w:tc>
        <w:tc>
          <w:tcPr>
            <w:tcW w:w="2255"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4.7%</w:t>
            </w:r>
          </w:p>
        </w:tc>
        <w:tc>
          <w:tcPr>
            <w:tcW w:w="2299" w:type="dxa"/>
            <w:tcBorders>
              <w:top w:val="nil"/>
              <w:left w:val="nil"/>
              <w:bottom w:val="nil"/>
              <w:right w:val="nil"/>
            </w:tcBorders>
          </w:tcPr>
          <w:p w:rsidR="00243CA5" w:rsidRPr="00243CA5" w:rsidRDefault="00243CA5" w:rsidP="00243CA5">
            <w:pPr>
              <w:suppressAutoHyphens w:val="0"/>
              <w:jc w:val="right"/>
              <w:rPr>
                <w:rFonts w:ascii="Calibri" w:hAnsi="Calibri" w:cs="Arial"/>
                <w:sz w:val="20"/>
                <w:szCs w:val="20"/>
                <w:lang w:eastAsia="en-GB"/>
              </w:rPr>
            </w:pPr>
          </w:p>
        </w:tc>
      </w:tr>
      <w:tr w:rsidR="00243CA5" w:rsidRPr="00243CA5" w:rsidTr="002C2BD8">
        <w:trPr>
          <w:trHeight w:val="230"/>
        </w:trPr>
        <w:tc>
          <w:tcPr>
            <w:tcW w:w="2085" w:type="dxa"/>
            <w:tcBorders>
              <w:top w:val="nil"/>
              <w:left w:val="nil"/>
              <w:bottom w:val="nil"/>
              <w:right w:val="nil"/>
            </w:tcBorders>
            <w:shd w:val="clear" w:color="auto" w:fill="auto"/>
            <w:noWrap/>
            <w:vAlign w:val="bottom"/>
            <w:hideMark/>
          </w:tcPr>
          <w:p w:rsidR="00243CA5" w:rsidRPr="00243CA5" w:rsidRDefault="00243CA5" w:rsidP="00243CA5">
            <w:pPr>
              <w:suppressAutoHyphens w:val="0"/>
              <w:rPr>
                <w:rFonts w:ascii="Calibri" w:hAnsi="Calibri" w:cs="Arial"/>
                <w:sz w:val="20"/>
                <w:szCs w:val="20"/>
                <w:lang w:eastAsia="en-GB"/>
              </w:rPr>
            </w:pPr>
            <w:r w:rsidRPr="00243CA5">
              <w:rPr>
                <w:rFonts w:ascii="Calibri" w:hAnsi="Calibri" w:cs="Arial"/>
                <w:sz w:val="20"/>
                <w:szCs w:val="20"/>
                <w:lang w:eastAsia="en-GB"/>
              </w:rPr>
              <w:t>Slovenia</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5.9%</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6.0%</w:t>
            </w:r>
          </w:p>
        </w:tc>
        <w:tc>
          <w:tcPr>
            <w:tcW w:w="2255"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0.1%</w:t>
            </w:r>
          </w:p>
        </w:tc>
        <w:tc>
          <w:tcPr>
            <w:tcW w:w="2299" w:type="dxa"/>
            <w:tcBorders>
              <w:top w:val="nil"/>
              <w:left w:val="nil"/>
              <w:bottom w:val="nil"/>
              <w:right w:val="nil"/>
            </w:tcBorders>
          </w:tcPr>
          <w:p w:rsidR="00243CA5" w:rsidRPr="00243CA5" w:rsidRDefault="00243CA5" w:rsidP="00243CA5">
            <w:pPr>
              <w:suppressAutoHyphens w:val="0"/>
              <w:jc w:val="right"/>
              <w:rPr>
                <w:rFonts w:ascii="Calibri" w:hAnsi="Calibri" w:cs="Arial"/>
                <w:sz w:val="20"/>
                <w:szCs w:val="20"/>
                <w:lang w:eastAsia="en-GB"/>
              </w:rPr>
            </w:pPr>
          </w:p>
        </w:tc>
      </w:tr>
      <w:tr w:rsidR="00243CA5" w:rsidRPr="00243CA5" w:rsidTr="002C2BD8">
        <w:trPr>
          <w:trHeight w:val="230"/>
        </w:trPr>
        <w:tc>
          <w:tcPr>
            <w:tcW w:w="2085" w:type="dxa"/>
            <w:tcBorders>
              <w:top w:val="nil"/>
              <w:left w:val="nil"/>
              <w:bottom w:val="nil"/>
              <w:right w:val="nil"/>
            </w:tcBorders>
            <w:shd w:val="clear" w:color="auto" w:fill="auto"/>
            <w:noWrap/>
            <w:vAlign w:val="bottom"/>
            <w:hideMark/>
          </w:tcPr>
          <w:p w:rsidR="00243CA5" w:rsidRPr="00243CA5" w:rsidRDefault="00243CA5" w:rsidP="00243CA5">
            <w:pPr>
              <w:suppressAutoHyphens w:val="0"/>
              <w:rPr>
                <w:rFonts w:ascii="Calibri" w:hAnsi="Calibri" w:cs="Arial"/>
                <w:sz w:val="20"/>
                <w:szCs w:val="20"/>
                <w:lang w:eastAsia="en-GB"/>
              </w:rPr>
            </w:pPr>
            <w:r w:rsidRPr="00243CA5">
              <w:rPr>
                <w:rFonts w:ascii="Calibri" w:hAnsi="Calibri" w:cs="Arial"/>
                <w:sz w:val="20"/>
                <w:szCs w:val="20"/>
                <w:lang w:eastAsia="en-GB"/>
              </w:rPr>
              <w:t>Spain</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2.8%</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-2.5%</w:t>
            </w:r>
          </w:p>
        </w:tc>
        <w:tc>
          <w:tcPr>
            <w:tcW w:w="2255"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-5.3%</w:t>
            </w:r>
          </w:p>
        </w:tc>
        <w:tc>
          <w:tcPr>
            <w:tcW w:w="2299" w:type="dxa"/>
            <w:tcBorders>
              <w:top w:val="nil"/>
              <w:left w:val="nil"/>
              <w:bottom w:val="nil"/>
              <w:right w:val="nil"/>
            </w:tcBorders>
          </w:tcPr>
          <w:p w:rsidR="00243CA5" w:rsidRPr="00243CA5" w:rsidRDefault="00243CA5" w:rsidP="00243CA5">
            <w:pPr>
              <w:suppressAutoHyphens w:val="0"/>
              <w:jc w:val="right"/>
              <w:rPr>
                <w:rFonts w:ascii="Calibri" w:hAnsi="Calibri" w:cs="Arial"/>
                <w:sz w:val="20"/>
                <w:szCs w:val="20"/>
                <w:lang w:eastAsia="en-GB"/>
              </w:rPr>
            </w:pPr>
          </w:p>
        </w:tc>
      </w:tr>
      <w:tr w:rsidR="00243CA5" w:rsidRPr="00243CA5" w:rsidTr="002C2BD8">
        <w:trPr>
          <w:trHeight w:val="230"/>
        </w:trPr>
        <w:tc>
          <w:tcPr>
            <w:tcW w:w="2085" w:type="dxa"/>
            <w:tcBorders>
              <w:top w:val="nil"/>
              <w:left w:val="nil"/>
              <w:bottom w:val="nil"/>
              <w:right w:val="nil"/>
            </w:tcBorders>
            <w:shd w:val="clear" w:color="auto" w:fill="auto"/>
            <w:noWrap/>
            <w:vAlign w:val="bottom"/>
            <w:hideMark/>
          </w:tcPr>
          <w:p w:rsidR="00243CA5" w:rsidRPr="00243CA5" w:rsidRDefault="00243CA5" w:rsidP="00243CA5">
            <w:pPr>
              <w:suppressAutoHyphens w:val="0"/>
              <w:rPr>
                <w:rFonts w:ascii="Calibri" w:hAnsi="Calibri" w:cs="Arial"/>
                <w:sz w:val="20"/>
                <w:szCs w:val="20"/>
                <w:lang w:eastAsia="en-GB"/>
              </w:rPr>
            </w:pPr>
            <w:r w:rsidRPr="00243CA5">
              <w:rPr>
                <w:rFonts w:ascii="Calibri" w:hAnsi="Calibri" w:cs="Arial"/>
                <w:sz w:val="20"/>
                <w:szCs w:val="20"/>
                <w:lang w:eastAsia="en-GB"/>
              </w:rPr>
              <w:t>United Kingdom</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-7.7%</w:t>
            </w:r>
          </w:p>
        </w:tc>
        <w:tc>
          <w:tcPr>
            <w:tcW w:w="1500"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-6.6%</w:t>
            </w:r>
          </w:p>
        </w:tc>
        <w:tc>
          <w:tcPr>
            <w:tcW w:w="2255" w:type="dxa"/>
            <w:tcBorders>
              <w:top w:val="nil"/>
              <w:left w:val="nil"/>
              <w:bottom w:val="nil"/>
              <w:right w:val="nil"/>
            </w:tcBorders>
            <w:shd w:val="clear" w:color="auto" w:fill="auto"/>
            <w:noWrap/>
            <w:vAlign w:val="bottom"/>
            <w:hideMark/>
          </w:tcPr>
          <w:p w:rsidR="00243CA5" w:rsidRPr="00243CA5" w:rsidRDefault="00243CA5" w:rsidP="00243CA5">
            <w:pPr>
              <w:suppressAutoHyphens w:val="0"/>
              <w:jc w:val="right"/>
              <w:rPr>
                <w:rFonts w:ascii="Calibri" w:hAnsi="Calibri" w:cs="Arial"/>
                <w:sz w:val="20"/>
                <w:szCs w:val="20"/>
                <w:lang w:eastAsia="en-GB"/>
              </w:rPr>
            </w:pPr>
            <w:r w:rsidRPr="00243CA5">
              <w:rPr>
                <w:rFonts w:ascii="Calibri" w:hAnsi="Calibri" w:cs="Arial"/>
                <w:sz w:val="20"/>
                <w:szCs w:val="20"/>
                <w:lang w:eastAsia="en-GB"/>
              </w:rPr>
              <w:t>1.1%</w:t>
            </w:r>
          </w:p>
        </w:tc>
        <w:tc>
          <w:tcPr>
            <w:tcW w:w="2299" w:type="dxa"/>
            <w:tcBorders>
              <w:top w:val="nil"/>
              <w:left w:val="nil"/>
              <w:bottom w:val="nil"/>
              <w:right w:val="nil"/>
            </w:tcBorders>
          </w:tcPr>
          <w:p w:rsidR="00243CA5" w:rsidRPr="00243CA5" w:rsidRDefault="00243CA5" w:rsidP="00243CA5">
            <w:pPr>
              <w:suppressAutoHyphens w:val="0"/>
              <w:jc w:val="right"/>
              <w:rPr>
                <w:rFonts w:ascii="Calibri" w:hAnsi="Calibri" w:cs="Arial"/>
                <w:sz w:val="20"/>
                <w:szCs w:val="20"/>
                <w:lang w:eastAsia="en-GB"/>
              </w:rPr>
            </w:pPr>
          </w:p>
        </w:tc>
      </w:tr>
    </w:tbl>
    <w:p w:rsidR="003500F3" w:rsidRPr="00C60EE0" w:rsidRDefault="00895501">
      <w:pPr>
        <w:rPr>
          <w:sz w:val="20"/>
          <w:szCs w:val="20"/>
        </w:rPr>
      </w:pPr>
      <w:r w:rsidRPr="00C60EE0">
        <w:rPr>
          <w:sz w:val="20"/>
          <w:szCs w:val="20"/>
        </w:rPr>
        <w:t>Source</w:t>
      </w:r>
      <w:r w:rsidR="00C60EE0">
        <w:rPr>
          <w:sz w:val="20"/>
          <w:szCs w:val="20"/>
        </w:rPr>
        <w:t>s</w:t>
      </w:r>
      <w:r w:rsidRPr="00C60EE0">
        <w:rPr>
          <w:sz w:val="20"/>
          <w:szCs w:val="20"/>
        </w:rPr>
        <w:t>: Eurostat Labour Cost Index - Wages and salaries – quarterly data - Seasonally adjusted and adjusted data by working days - Index, 2008=100 NACE 2.0 sector classifications</w:t>
      </w:r>
      <w:r w:rsidR="00C60EE0" w:rsidRPr="00C60EE0">
        <w:rPr>
          <w:sz w:val="20"/>
          <w:szCs w:val="20"/>
        </w:rPr>
        <w:t xml:space="preserve"> (lc_lci_r2_q)</w:t>
      </w:r>
      <w:r w:rsidRPr="00C60EE0">
        <w:rPr>
          <w:sz w:val="20"/>
          <w:szCs w:val="20"/>
        </w:rPr>
        <w:t xml:space="preserve">. Downloaded </w:t>
      </w:r>
      <w:r w:rsidR="003500F3" w:rsidRPr="00C60EE0">
        <w:rPr>
          <w:sz w:val="20"/>
          <w:szCs w:val="20"/>
        </w:rPr>
        <w:t>07-07-11</w:t>
      </w:r>
      <w:r w:rsidR="00C60EE0" w:rsidRPr="00C60EE0">
        <w:rPr>
          <w:sz w:val="20"/>
          <w:szCs w:val="20"/>
        </w:rPr>
        <w:t xml:space="preserve"> </w:t>
      </w:r>
      <w:hyperlink r:id="rId25" w:history="1">
        <w:r w:rsidR="00C60EE0" w:rsidRPr="00C60EE0">
          <w:rPr>
            <w:rStyle w:val="Hyperlink"/>
            <w:sz w:val="20"/>
            <w:szCs w:val="20"/>
          </w:rPr>
          <w:t>http://epp.eurostat.ec.europa.eu/portal/page/portal/labour_market/labour_costs/database</w:t>
        </w:r>
      </w:hyperlink>
      <w:r w:rsidR="00C60EE0" w:rsidRPr="00C60EE0">
        <w:rPr>
          <w:sz w:val="20"/>
          <w:szCs w:val="20"/>
        </w:rPr>
        <w:t xml:space="preserve"> </w:t>
      </w:r>
      <w:r w:rsidR="00C60EE0">
        <w:rPr>
          <w:sz w:val="20"/>
          <w:szCs w:val="20"/>
        </w:rPr>
        <w:t xml:space="preserve">; </w:t>
      </w:r>
    </w:p>
    <w:p w:rsidR="00895501" w:rsidRDefault="003500F3" w:rsidP="00C60EE0">
      <w:pPr>
        <w:suppressAutoHyphens w:val="0"/>
        <w:rPr>
          <w:bCs/>
          <w:sz w:val="20"/>
          <w:szCs w:val="20"/>
        </w:rPr>
      </w:pPr>
      <w:r w:rsidRPr="00C60EE0">
        <w:rPr>
          <w:sz w:val="20"/>
          <w:szCs w:val="20"/>
        </w:rPr>
        <w:t xml:space="preserve">Eurostat </w:t>
      </w:r>
      <w:r w:rsidR="00C60EE0" w:rsidRPr="00C60EE0">
        <w:rPr>
          <w:sz w:val="20"/>
          <w:szCs w:val="20"/>
        </w:rPr>
        <w:t xml:space="preserve">Harmonized Indices of Consumer Prices (HICP) </w:t>
      </w:r>
      <w:r w:rsidRPr="00C60EE0">
        <w:rPr>
          <w:sz w:val="20"/>
          <w:szCs w:val="20"/>
          <w:lang w:eastAsia="en-GB"/>
        </w:rPr>
        <w:t>HICP - all items - annual average inflation rate 2008</w:t>
      </w:r>
      <w:proofErr w:type="gramStart"/>
      <w:r w:rsidRPr="00C60EE0">
        <w:rPr>
          <w:sz w:val="20"/>
          <w:szCs w:val="20"/>
          <w:lang w:eastAsia="en-GB"/>
        </w:rPr>
        <w:t>,2009,2010</w:t>
      </w:r>
      <w:proofErr w:type="gramEnd"/>
      <w:r w:rsidR="00C60EE0" w:rsidRPr="00C60EE0">
        <w:rPr>
          <w:sz w:val="20"/>
          <w:szCs w:val="20"/>
          <w:lang w:eastAsia="en-GB"/>
        </w:rPr>
        <w:t xml:space="preserve">  </w:t>
      </w:r>
      <w:r w:rsidR="00C60EE0" w:rsidRPr="00C60EE0">
        <w:rPr>
          <w:sz w:val="20"/>
          <w:szCs w:val="20"/>
        </w:rPr>
        <w:t xml:space="preserve">Downloaded 07-07-11 </w:t>
      </w:r>
      <w:hyperlink r:id="rId26" w:history="1">
        <w:r w:rsidR="00C60EE0" w:rsidRPr="00C60EE0">
          <w:rPr>
            <w:rStyle w:val="Hyperlink"/>
            <w:sz w:val="20"/>
            <w:szCs w:val="20"/>
            <w:lang w:eastAsia="en-GB"/>
          </w:rPr>
          <w:t>http://epp.eurostat.ec.europa.eu/tgm/table.do?tab=table&amp;init=1&amp;plugin=1&amp;language=en&amp;pcode=tsieb060</w:t>
        </w:r>
      </w:hyperlink>
      <w:r w:rsidR="00C60EE0">
        <w:rPr>
          <w:sz w:val="20"/>
          <w:szCs w:val="20"/>
          <w:lang w:eastAsia="en-GB"/>
        </w:rPr>
        <w:t xml:space="preserve"> </w:t>
      </w:r>
      <w:r w:rsidR="00895501" w:rsidRPr="00C60EE0">
        <w:rPr>
          <w:bCs/>
          <w:color w:val="0000FF"/>
          <w:sz w:val="20"/>
          <w:szCs w:val="20"/>
        </w:rPr>
        <w:t xml:space="preserve">; </w:t>
      </w:r>
      <w:r w:rsidR="00895501" w:rsidRPr="00C60EE0">
        <w:rPr>
          <w:bCs/>
          <w:sz w:val="20"/>
          <w:szCs w:val="20"/>
        </w:rPr>
        <w:t>and PSIRU calculations</w:t>
      </w:r>
    </w:p>
    <w:p w:rsidR="002C2BD8" w:rsidRDefault="002C2BD8" w:rsidP="002C2BD8"/>
    <w:p w:rsidR="002C2BD8" w:rsidRDefault="00BF1F03" w:rsidP="002C2BD8">
      <w:r>
        <w:t xml:space="preserve">The table below shows the resulting real pay increases for the </w:t>
      </w:r>
      <w:r w:rsidR="00B374A0">
        <w:t xml:space="preserve">business and public sectors, </w:t>
      </w:r>
      <w:r>
        <w:t>and the third column shows the ‘difference between the two figures. The</w:t>
      </w:r>
      <w:r w:rsidR="00B374A0">
        <w:t>re are a number of striking features</w:t>
      </w:r>
      <w:r>
        <w:t xml:space="preserve"> in these differentials</w:t>
      </w:r>
      <w:r w:rsidR="00B374A0">
        <w:t>. Firstly, there is a strong</w:t>
      </w:r>
      <w:r w:rsidR="002A1270">
        <w:t xml:space="preserve"> clustering </w:t>
      </w:r>
      <w:r w:rsidR="00B374A0">
        <w:t xml:space="preserve">around zero – in 5 countries out of 20, including two of the large economies, Germany and France, the difference is actually less than 1 percentage point; in another 4, including the UK, the difference is less than 2.5 percentage points. </w:t>
      </w:r>
      <w:r w:rsidR="002A1270">
        <w:t xml:space="preserve">Secondly, there are two countries where the public sector has more than 4 percentage points advantage over the Business sector – Slovakia and Poland – and three countries where the Business </w:t>
      </w:r>
      <w:r w:rsidR="00F51568">
        <w:t>s</w:t>
      </w:r>
      <w:r w:rsidR="002A1270">
        <w:t xml:space="preserve">ector did better by between 5 and 8 percentage points: Spain, Portugal and Bulgaria. Thirdly, there are four </w:t>
      </w:r>
      <w:r w:rsidR="00F51568">
        <w:t xml:space="preserve">‘outlying’ </w:t>
      </w:r>
      <w:r w:rsidR="002A1270">
        <w:t xml:space="preserve">countries where the Public sector has fallen more than 10 percentage points behind: Greece, Latvia, Hungary and Romania. </w:t>
      </w:r>
      <w:r w:rsidR="00B374A0">
        <w:t xml:space="preserve"> </w:t>
      </w:r>
      <w:r w:rsidR="002C2BD8">
        <w:t xml:space="preserve"> </w:t>
      </w:r>
      <w:r w:rsidR="0058678A">
        <w:t xml:space="preserve">These four countries were all subject to the conditions of IMF programmes </w:t>
      </w:r>
      <w:r w:rsidR="00C4279B">
        <w:t xml:space="preserve">for much of this period, and the only countries in the table which were subject to IMF programmes during the period </w:t>
      </w:r>
      <w:r w:rsidR="0058678A">
        <w:t>(the IMF programme for Portugal was not applied until 2011).</w:t>
      </w:r>
    </w:p>
    <w:p w:rsidR="00486D54" w:rsidRDefault="00486D54" w:rsidP="002C2BD8"/>
    <w:p w:rsidR="00F51568" w:rsidRDefault="0058678A" w:rsidP="002C2BD8">
      <w:r>
        <w:t xml:space="preserve">The graphs show these aspects visually, with a strong clustering around a trend line, and four marked outliers well below this line.  The second graph omits the four outlying countries, and shows the very strong </w:t>
      </w:r>
      <w:proofErr w:type="spellStart"/>
      <w:r>
        <w:t>trendline</w:t>
      </w:r>
      <w:proofErr w:type="spellEnd"/>
      <w:r>
        <w:t xml:space="preserve"> passing through zero and almost exactly balanced at 45 degrees.</w:t>
      </w:r>
    </w:p>
    <w:p w:rsidR="00F51568" w:rsidRDefault="00F51568" w:rsidP="002C2BD8"/>
    <w:p w:rsidR="00B02EE9" w:rsidRDefault="00486D54" w:rsidP="002C2BD8">
      <w:r>
        <w:t>The</w:t>
      </w:r>
      <w:r w:rsidR="0058678A">
        <w:t xml:space="preserve"> position of the outliers can be interpreted as showing </w:t>
      </w:r>
      <w:r>
        <w:t xml:space="preserve">the </w:t>
      </w:r>
      <w:r w:rsidR="0058678A">
        <w:t xml:space="preserve">potentially </w:t>
      </w:r>
      <w:r>
        <w:t>dramatic effect of political action by an institution, in this case the IMF, as The 3 countries with the next largest gaps may also be considered to have been influenced by the possibility of an IMF programme: Bulgaria, Portugal and Spain.</w:t>
      </w:r>
    </w:p>
    <w:p w:rsidR="00B02EE9" w:rsidRDefault="00B02EE9" w:rsidP="002C2BD8"/>
    <w:p w:rsidR="00B02EE9" w:rsidRDefault="00B02EE9" w:rsidP="002C2BD8"/>
    <w:p w:rsidR="00B02EE9" w:rsidRDefault="00B02EE9" w:rsidP="002C2BD8"/>
    <w:p w:rsidR="00B02EE9" w:rsidRDefault="00B02EE9" w:rsidP="002C2BD8"/>
    <w:p w:rsidR="00B02EE9" w:rsidRDefault="00B02EE9" w:rsidP="002C2BD8"/>
    <w:p w:rsidR="00B02EE9" w:rsidRDefault="00B02EE9" w:rsidP="002C2BD8"/>
    <w:p w:rsidR="00B02EE9" w:rsidRDefault="00B02EE9" w:rsidP="002C2BD8"/>
    <w:p w:rsidR="00B02EE9" w:rsidRDefault="00B02EE9" w:rsidP="002C2BD8"/>
    <w:p w:rsidR="00B02EE9" w:rsidRDefault="00B02EE9" w:rsidP="002C2BD8"/>
    <w:p w:rsidR="00B02EE9" w:rsidRDefault="00B02EE9" w:rsidP="002C2BD8"/>
    <w:p w:rsidR="00B02EE9" w:rsidRDefault="00B02EE9" w:rsidP="002C2BD8"/>
    <w:p w:rsidR="00B02EE9" w:rsidRDefault="00B02EE9" w:rsidP="002C2BD8"/>
    <w:p w:rsidR="00486D54" w:rsidRDefault="00486D54" w:rsidP="002C2BD8">
      <w:r>
        <w:t xml:space="preserve"> </w:t>
      </w:r>
    </w:p>
    <w:p w:rsidR="00FA45C5" w:rsidRDefault="00486D54" w:rsidP="00486D54">
      <w:pPr>
        <w:pStyle w:val="Heading8"/>
      </w:pPr>
      <w:bookmarkStart w:id="44" w:name="_Toc297975178"/>
      <w:r>
        <w:t>Real</w:t>
      </w:r>
      <w:r w:rsidR="00FA45C5">
        <w:t xml:space="preserve"> wage increases business vs. public sector</w:t>
      </w:r>
      <w:bookmarkEnd w:id="44"/>
      <w:r w:rsidR="00FA45C5">
        <w:t xml:space="preserve"> </w:t>
      </w:r>
    </w:p>
    <w:p w:rsidR="00E94AB7" w:rsidRPr="00FA45C5" w:rsidRDefault="00FA45C5" w:rsidP="00FA45C5">
      <w:pPr>
        <w:rPr>
          <w:sz w:val="20"/>
          <w:szCs w:val="20"/>
        </w:rPr>
      </w:pPr>
      <w:r w:rsidRPr="00FA45C5">
        <w:rPr>
          <w:sz w:val="20"/>
          <w:szCs w:val="20"/>
        </w:rPr>
        <w:t>2008Q1-2011Q1</w:t>
      </w:r>
      <w:r w:rsidR="00486D54" w:rsidRPr="00FA45C5">
        <w:rPr>
          <w:sz w:val="20"/>
          <w:szCs w:val="20"/>
        </w:rPr>
        <w:t xml:space="preserve"> (20 EU countries)</w:t>
      </w:r>
    </w:p>
    <w:p w:rsidR="00E94AB7" w:rsidRDefault="004674C3">
      <w:pPr>
        <w:rPr>
          <w:noProof/>
          <w:lang w:eastAsia="en-GB"/>
        </w:rPr>
      </w:pPr>
      <w:r>
        <w:rPr>
          <w:noProof/>
          <w:lang w:eastAsia="en-GB"/>
        </w:rPr>
        <w:drawing>
          <wp:inline distT="0" distB="0" distL="0" distR="0">
            <wp:extent cx="3390265" cy="2840990"/>
            <wp:effectExtent l="0" t="0" r="19685" b="16510"/>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02EE9" w:rsidRDefault="00B02EE9">
      <w:pPr>
        <w:rPr>
          <w:noProof/>
          <w:lang w:eastAsia="en-GB"/>
        </w:rPr>
      </w:pPr>
    </w:p>
    <w:p w:rsidR="00B02EE9" w:rsidRDefault="00B02EE9"/>
    <w:p w:rsidR="00FA45C5" w:rsidRDefault="00FA45C5" w:rsidP="00FA45C5">
      <w:pPr>
        <w:pStyle w:val="Heading8"/>
      </w:pPr>
      <w:bookmarkStart w:id="45" w:name="_Toc297975179"/>
      <w:r>
        <w:t xml:space="preserve">Real wage increases business vs. public </w:t>
      </w:r>
      <w:proofErr w:type="gramStart"/>
      <w:r>
        <w:t>sector  (</w:t>
      </w:r>
      <w:proofErr w:type="gramEnd"/>
      <w:r>
        <w:t>excluding IMF countries)</w:t>
      </w:r>
      <w:bookmarkEnd w:id="45"/>
    </w:p>
    <w:p w:rsidR="00FA45C5" w:rsidRPr="00FA45C5" w:rsidRDefault="00FA45C5" w:rsidP="00FA45C5">
      <w:pPr>
        <w:rPr>
          <w:sz w:val="20"/>
          <w:szCs w:val="20"/>
        </w:rPr>
      </w:pPr>
      <w:r w:rsidRPr="00FA45C5">
        <w:rPr>
          <w:sz w:val="20"/>
          <w:szCs w:val="20"/>
        </w:rPr>
        <w:t>2008Q1-2011Q1 (16 EU countries)</w:t>
      </w:r>
    </w:p>
    <w:p w:rsidR="00E94AB7" w:rsidRDefault="004674C3">
      <w:r>
        <w:rPr>
          <w:noProof/>
          <w:lang w:eastAsia="en-GB"/>
        </w:rPr>
        <w:drawing>
          <wp:inline distT="0" distB="0" distL="0" distR="0">
            <wp:extent cx="3592195" cy="3042920"/>
            <wp:effectExtent l="0" t="0" r="27305" b="24130"/>
            <wp:docPr id="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94AB7" w:rsidRPr="00FA45C5" w:rsidRDefault="00FA45C5">
      <w:pPr>
        <w:rPr>
          <w:sz w:val="20"/>
          <w:szCs w:val="20"/>
        </w:rPr>
      </w:pPr>
      <w:r w:rsidRPr="00FA45C5">
        <w:rPr>
          <w:sz w:val="20"/>
          <w:szCs w:val="20"/>
        </w:rPr>
        <w:t>Sources: see Table</w:t>
      </w:r>
    </w:p>
    <w:p w:rsidR="00E94AB7" w:rsidRDefault="00E94AB7"/>
    <w:p w:rsidR="00895501" w:rsidRDefault="00895501">
      <w:pPr>
        <w:pStyle w:val="Heading2"/>
      </w:pPr>
      <w:bookmarkStart w:id="46" w:name="__RefHeading__2505_5168522"/>
      <w:bookmarkStart w:id="47" w:name="_Toc297975180"/>
      <w:bookmarkEnd w:id="46"/>
      <w:r>
        <w:lastRenderedPageBreak/>
        <w:t>EIRO: agreed increases</w:t>
      </w:r>
      <w:bookmarkEnd w:id="47"/>
    </w:p>
    <w:p w:rsidR="00895501" w:rsidRDefault="00895501">
      <w:r>
        <w:t xml:space="preserve">Further data comes from the EIRO survey of collective agreements in the EU in 2009. This  shows that, for the whole economy, the average nominal increase agreed was 4.2% in 2009,  Although this was a fall from a level of 5.0% in 2008, it represented a higher level of increase in real pay rates, of 2.9% compared with a rise of only 0.5% on real terms in 2008.  This was consistent across all countries: except for Norway, real increases were higher in 2009 </w:t>
      </w:r>
      <w:r w:rsidR="00470910">
        <w:t>than</w:t>
      </w:r>
      <w:r>
        <w:t xml:space="preserve"> 2008.  The EIRO data for 2009 excludes Ireland, Estonia, Latvia, Lithuania – which would be expected to have a downward effect on the figures – but also Bulgaria, which would have had an upward effect, and France.</w:t>
      </w:r>
    </w:p>
    <w:p w:rsidR="00895501" w:rsidRDefault="00895501"/>
    <w:p w:rsidR="00895501" w:rsidRDefault="00895501">
      <w:r>
        <w:t>Data on earnings, taken from national sources, shows a much lower average nominal rise of only 1.8% in 2009. In some countries – Lithuania, Latvia, Estonia, Ireland, and, slightly, Germany, there was a fall in nominal average earnings.  This is far below the average rise in earnings of 8.5% in 2008, and means that earnings are growing more slowly than agreed rises, for the first time in some years. As EIRO comments, this is consistent with a growth in short-time working and similar measures to reduce the effects on employment</w:t>
      </w:r>
      <w:proofErr w:type="gramStart"/>
      <w:r>
        <w:t>..</w:t>
      </w:r>
      <w:proofErr w:type="gramEnd"/>
    </w:p>
    <w:p w:rsidR="00895501" w:rsidRDefault="00895501"/>
    <w:p w:rsidR="00895501" w:rsidRDefault="00895501">
      <w:pPr>
        <w:rPr>
          <w:szCs w:val="22"/>
        </w:rPr>
      </w:pPr>
      <w:r>
        <w:rPr>
          <w:szCs w:val="22"/>
        </w:rPr>
        <w:t xml:space="preserve">EIRO also examines sector specific agreements in retail, chemicals and for civil servants. The increases agreed in 2009 for civil servants were the lowest of the three sectors, at an average nominal increase of 2.9%, 1.3% below the average for all agreements (they had also been below average in 2008).  In some cases there were explicit pay freezes for government workers, including Belgium, Bulgaria, Estonia, Hungary, Greece, Ireland and Slovenia (and Latvia and Lithuania were not included in the data).  EIRO does not compare earnings figures for civil servants, but notes that the further measures taken in countries such as Hungary and Ireland to cut bonuses and other elements of earnings. </w:t>
      </w:r>
    </w:p>
    <w:p w:rsidR="00B02EE9" w:rsidRDefault="00B02EE9">
      <w:pPr>
        <w:rPr>
          <w:szCs w:val="22"/>
        </w:rPr>
      </w:pPr>
    </w:p>
    <w:p w:rsidR="00895501" w:rsidRDefault="00895501">
      <w:pPr>
        <w:pStyle w:val="Heading7"/>
      </w:pPr>
      <w:bookmarkStart w:id="48" w:name="_Toc297975181"/>
      <w:r>
        <w:t>Pay increases in collective agreements in EU (27 countries)</w:t>
      </w:r>
      <w:bookmarkEnd w:id="48"/>
    </w:p>
    <w:tbl>
      <w:tblPr>
        <w:tblW w:w="0" w:type="auto"/>
        <w:tblInd w:w="486" w:type="dxa"/>
        <w:tblLayout w:type="fixed"/>
        <w:tblLook w:val="0000" w:firstRow="0" w:lastRow="0" w:firstColumn="0" w:lastColumn="0" w:noHBand="0" w:noVBand="0"/>
      </w:tblPr>
      <w:tblGrid>
        <w:gridCol w:w="1841"/>
        <w:gridCol w:w="1415"/>
        <w:gridCol w:w="1449"/>
        <w:gridCol w:w="1704"/>
        <w:gridCol w:w="1408"/>
      </w:tblGrid>
      <w:tr w:rsidR="00895501" w:rsidRPr="00B607B6">
        <w:tc>
          <w:tcPr>
            <w:tcW w:w="1841" w:type="dxa"/>
            <w:tcBorders>
              <w:top w:val="single" w:sz="4" w:space="0" w:color="000000"/>
              <w:left w:val="single" w:sz="4" w:space="0" w:color="000000"/>
              <w:bottom w:val="single" w:sz="4" w:space="0" w:color="000000"/>
            </w:tcBorders>
            <w:shd w:val="clear" w:color="auto" w:fill="auto"/>
          </w:tcPr>
          <w:p w:rsidR="00895501" w:rsidRPr="00B607B6" w:rsidRDefault="00895501">
            <w:pPr>
              <w:snapToGrid w:val="0"/>
              <w:rPr>
                <w:rFonts w:ascii="Calibri" w:hAnsi="Calibri" w:cs="Calibri"/>
                <w:sz w:val="20"/>
                <w:szCs w:val="20"/>
              </w:rPr>
            </w:pPr>
          </w:p>
        </w:tc>
        <w:tc>
          <w:tcPr>
            <w:tcW w:w="1415" w:type="dxa"/>
            <w:tcBorders>
              <w:top w:val="single" w:sz="4" w:space="0" w:color="000000"/>
              <w:left w:val="single" w:sz="4" w:space="0" w:color="000000"/>
              <w:bottom w:val="single" w:sz="4" w:space="0" w:color="000000"/>
            </w:tcBorders>
            <w:shd w:val="clear" w:color="auto" w:fill="auto"/>
          </w:tcPr>
          <w:p w:rsidR="00895501" w:rsidRPr="00B607B6" w:rsidRDefault="00895501">
            <w:pPr>
              <w:snapToGrid w:val="0"/>
              <w:rPr>
                <w:rFonts w:ascii="Calibri" w:hAnsi="Calibri" w:cs="Calibri"/>
                <w:sz w:val="20"/>
                <w:szCs w:val="20"/>
              </w:rPr>
            </w:pPr>
            <w:r w:rsidRPr="00B607B6">
              <w:rPr>
                <w:rFonts w:ascii="Calibri" w:hAnsi="Calibri" w:cs="Calibri"/>
                <w:sz w:val="20"/>
                <w:szCs w:val="20"/>
              </w:rPr>
              <w:t>2008</w:t>
            </w:r>
          </w:p>
        </w:tc>
        <w:tc>
          <w:tcPr>
            <w:tcW w:w="1449" w:type="dxa"/>
            <w:tcBorders>
              <w:top w:val="single" w:sz="4" w:space="0" w:color="000000"/>
              <w:left w:val="single" w:sz="4" w:space="0" w:color="000000"/>
              <w:bottom w:val="single" w:sz="4" w:space="0" w:color="000000"/>
            </w:tcBorders>
            <w:shd w:val="clear" w:color="auto" w:fill="auto"/>
          </w:tcPr>
          <w:p w:rsidR="00895501" w:rsidRPr="00B607B6" w:rsidRDefault="00895501">
            <w:pPr>
              <w:snapToGrid w:val="0"/>
              <w:rPr>
                <w:rFonts w:ascii="Calibri" w:hAnsi="Calibri" w:cs="Calibri"/>
                <w:sz w:val="20"/>
                <w:szCs w:val="20"/>
              </w:rPr>
            </w:pPr>
          </w:p>
        </w:tc>
        <w:tc>
          <w:tcPr>
            <w:tcW w:w="1704" w:type="dxa"/>
            <w:tcBorders>
              <w:top w:val="single" w:sz="4" w:space="0" w:color="000000"/>
              <w:left w:val="single" w:sz="4" w:space="0" w:color="000000"/>
              <w:bottom w:val="single" w:sz="4" w:space="0" w:color="000000"/>
            </w:tcBorders>
            <w:shd w:val="clear" w:color="auto" w:fill="auto"/>
          </w:tcPr>
          <w:p w:rsidR="00895501" w:rsidRPr="00B607B6" w:rsidRDefault="00895501">
            <w:pPr>
              <w:snapToGrid w:val="0"/>
              <w:rPr>
                <w:rFonts w:ascii="Calibri" w:hAnsi="Calibri" w:cs="Calibri"/>
                <w:sz w:val="20"/>
                <w:szCs w:val="20"/>
              </w:rPr>
            </w:pPr>
            <w:r w:rsidRPr="00B607B6">
              <w:rPr>
                <w:rFonts w:ascii="Calibri" w:hAnsi="Calibri" w:cs="Calibri"/>
                <w:sz w:val="20"/>
                <w:szCs w:val="20"/>
              </w:rPr>
              <w:t>2009</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895501" w:rsidRPr="00B607B6" w:rsidRDefault="00895501">
            <w:pPr>
              <w:snapToGrid w:val="0"/>
              <w:rPr>
                <w:rFonts w:ascii="Calibri" w:hAnsi="Calibri" w:cs="Calibri"/>
                <w:sz w:val="20"/>
                <w:szCs w:val="20"/>
              </w:rPr>
            </w:pPr>
          </w:p>
        </w:tc>
      </w:tr>
      <w:tr w:rsidR="00895501" w:rsidRPr="00B607B6">
        <w:tc>
          <w:tcPr>
            <w:tcW w:w="1841" w:type="dxa"/>
            <w:tcBorders>
              <w:top w:val="single" w:sz="4" w:space="0" w:color="000000"/>
              <w:left w:val="single" w:sz="4" w:space="0" w:color="000000"/>
              <w:bottom w:val="single" w:sz="4" w:space="0" w:color="000000"/>
            </w:tcBorders>
            <w:shd w:val="clear" w:color="auto" w:fill="auto"/>
          </w:tcPr>
          <w:p w:rsidR="00895501" w:rsidRPr="00B607B6" w:rsidRDefault="00895501">
            <w:pPr>
              <w:snapToGrid w:val="0"/>
              <w:rPr>
                <w:rFonts w:ascii="Calibri" w:hAnsi="Calibri" w:cs="Calibri"/>
                <w:sz w:val="20"/>
                <w:szCs w:val="20"/>
              </w:rPr>
            </w:pPr>
          </w:p>
        </w:tc>
        <w:tc>
          <w:tcPr>
            <w:tcW w:w="1415" w:type="dxa"/>
            <w:tcBorders>
              <w:top w:val="single" w:sz="4" w:space="0" w:color="000000"/>
              <w:left w:val="single" w:sz="4" w:space="0" w:color="000000"/>
              <w:bottom w:val="single" w:sz="4" w:space="0" w:color="000000"/>
            </w:tcBorders>
            <w:shd w:val="clear" w:color="auto" w:fill="auto"/>
          </w:tcPr>
          <w:p w:rsidR="00895501" w:rsidRPr="00B607B6" w:rsidRDefault="00895501">
            <w:pPr>
              <w:snapToGrid w:val="0"/>
              <w:rPr>
                <w:rFonts w:ascii="Calibri" w:hAnsi="Calibri" w:cs="Calibri"/>
                <w:sz w:val="20"/>
                <w:szCs w:val="20"/>
              </w:rPr>
            </w:pPr>
            <w:r w:rsidRPr="00B607B6">
              <w:rPr>
                <w:rFonts w:ascii="Calibri" w:hAnsi="Calibri" w:cs="Calibri"/>
                <w:sz w:val="20"/>
                <w:szCs w:val="20"/>
              </w:rPr>
              <w:t>Nominal increase %</w:t>
            </w:r>
          </w:p>
        </w:tc>
        <w:tc>
          <w:tcPr>
            <w:tcW w:w="1449" w:type="dxa"/>
            <w:tcBorders>
              <w:top w:val="single" w:sz="4" w:space="0" w:color="000000"/>
              <w:left w:val="single" w:sz="4" w:space="0" w:color="000000"/>
              <w:bottom w:val="single" w:sz="4" w:space="0" w:color="000000"/>
            </w:tcBorders>
            <w:shd w:val="clear" w:color="auto" w:fill="auto"/>
          </w:tcPr>
          <w:p w:rsidR="00895501" w:rsidRPr="00B607B6" w:rsidRDefault="00895501">
            <w:pPr>
              <w:snapToGrid w:val="0"/>
              <w:rPr>
                <w:rFonts w:ascii="Calibri" w:hAnsi="Calibri" w:cs="Calibri"/>
                <w:sz w:val="20"/>
                <w:szCs w:val="20"/>
              </w:rPr>
            </w:pPr>
            <w:r w:rsidRPr="00B607B6">
              <w:rPr>
                <w:rFonts w:ascii="Calibri" w:hAnsi="Calibri" w:cs="Calibri"/>
                <w:sz w:val="20"/>
                <w:szCs w:val="20"/>
              </w:rPr>
              <w:t>Real increase %</w:t>
            </w:r>
          </w:p>
        </w:tc>
        <w:tc>
          <w:tcPr>
            <w:tcW w:w="1704" w:type="dxa"/>
            <w:tcBorders>
              <w:top w:val="single" w:sz="4" w:space="0" w:color="000000"/>
              <w:left w:val="single" w:sz="4" w:space="0" w:color="000000"/>
              <w:bottom w:val="single" w:sz="4" w:space="0" w:color="000000"/>
            </w:tcBorders>
            <w:shd w:val="clear" w:color="auto" w:fill="auto"/>
          </w:tcPr>
          <w:p w:rsidR="00895501" w:rsidRPr="00B607B6" w:rsidRDefault="00895501">
            <w:pPr>
              <w:snapToGrid w:val="0"/>
              <w:rPr>
                <w:rFonts w:ascii="Calibri" w:hAnsi="Calibri" w:cs="Calibri"/>
                <w:sz w:val="20"/>
                <w:szCs w:val="20"/>
              </w:rPr>
            </w:pPr>
            <w:r w:rsidRPr="00B607B6">
              <w:rPr>
                <w:rFonts w:ascii="Calibri" w:hAnsi="Calibri" w:cs="Calibri"/>
                <w:sz w:val="20"/>
                <w:szCs w:val="20"/>
              </w:rPr>
              <w:t>Nominal increase %</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895501" w:rsidRPr="00B607B6" w:rsidRDefault="00895501">
            <w:pPr>
              <w:snapToGrid w:val="0"/>
              <w:rPr>
                <w:rFonts w:ascii="Calibri" w:hAnsi="Calibri" w:cs="Calibri"/>
                <w:sz w:val="20"/>
                <w:szCs w:val="20"/>
              </w:rPr>
            </w:pPr>
            <w:r w:rsidRPr="00B607B6">
              <w:rPr>
                <w:rFonts w:ascii="Calibri" w:hAnsi="Calibri" w:cs="Calibri"/>
                <w:sz w:val="20"/>
                <w:szCs w:val="20"/>
              </w:rPr>
              <w:t>Real increase %</w:t>
            </w:r>
          </w:p>
        </w:tc>
      </w:tr>
      <w:tr w:rsidR="00895501" w:rsidRPr="00B607B6">
        <w:tc>
          <w:tcPr>
            <w:tcW w:w="1841" w:type="dxa"/>
            <w:tcBorders>
              <w:top w:val="single" w:sz="4" w:space="0" w:color="000000"/>
              <w:left w:val="single" w:sz="4" w:space="0" w:color="000000"/>
              <w:bottom w:val="single" w:sz="4" w:space="0" w:color="000000"/>
            </w:tcBorders>
            <w:shd w:val="clear" w:color="auto" w:fill="auto"/>
          </w:tcPr>
          <w:p w:rsidR="00895501" w:rsidRPr="00B607B6" w:rsidRDefault="00895501">
            <w:pPr>
              <w:snapToGrid w:val="0"/>
              <w:rPr>
                <w:rFonts w:ascii="Calibri" w:hAnsi="Calibri" w:cs="Calibri"/>
                <w:sz w:val="20"/>
                <w:szCs w:val="20"/>
              </w:rPr>
            </w:pPr>
            <w:r w:rsidRPr="00B607B6">
              <w:rPr>
                <w:rFonts w:ascii="Calibri" w:hAnsi="Calibri" w:cs="Calibri"/>
                <w:sz w:val="20"/>
                <w:szCs w:val="20"/>
              </w:rPr>
              <w:t>All sectors</w:t>
            </w:r>
          </w:p>
        </w:tc>
        <w:tc>
          <w:tcPr>
            <w:tcW w:w="1415" w:type="dxa"/>
            <w:tcBorders>
              <w:top w:val="single" w:sz="4" w:space="0" w:color="000000"/>
              <w:left w:val="single" w:sz="4" w:space="0" w:color="000000"/>
              <w:bottom w:val="single" w:sz="4" w:space="0" w:color="000000"/>
            </w:tcBorders>
            <w:shd w:val="clear" w:color="auto" w:fill="auto"/>
          </w:tcPr>
          <w:p w:rsidR="00895501" w:rsidRPr="00B607B6" w:rsidRDefault="00895501">
            <w:pPr>
              <w:snapToGrid w:val="0"/>
              <w:rPr>
                <w:rFonts w:ascii="Calibri" w:hAnsi="Calibri" w:cs="Calibri"/>
                <w:sz w:val="20"/>
                <w:szCs w:val="20"/>
              </w:rPr>
            </w:pPr>
            <w:r w:rsidRPr="00B607B6">
              <w:rPr>
                <w:rFonts w:ascii="Calibri" w:hAnsi="Calibri" w:cs="Calibri"/>
                <w:sz w:val="20"/>
                <w:szCs w:val="20"/>
              </w:rPr>
              <w:t>5.0</w:t>
            </w:r>
          </w:p>
        </w:tc>
        <w:tc>
          <w:tcPr>
            <w:tcW w:w="1449" w:type="dxa"/>
            <w:tcBorders>
              <w:top w:val="single" w:sz="4" w:space="0" w:color="000000"/>
              <w:left w:val="single" w:sz="4" w:space="0" w:color="000000"/>
              <w:bottom w:val="single" w:sz="4" w:space="0" w:color="000000"/>
            </w:tcBorders>
            <w:shd w:val="clear" w:color="auto" w:fill="auto"/>
          </w:tcPr>
          <w:p w:rsidR="00895501" w:rsidRPr="00B607B6" w:rsidRDefault="00895501">
            <w:pPr>
              <w:snapToGrid w:val="0"/>
              <w:rPr>
                <w:rFonts w:ascii="Calibri" w:hAnsi="Calibri" w:cs="Calibri"/>
                <w:sz w:val="20"/>
                <w:szCs w:val="20"/>
              </w:rPr>
            </w:pPr>
            <w:r w:rsidRPr="00B607B6">
              <w:rPr>
                <w:rFonts w:ascii="Calibri" w:hAnsi="Calibri" w:cs="Calibri"/>
                <w:sz w:val="20"/>
                <w:szCs w:val="20"/>
              </w:rPr>
              <w:t>0.5</w:t>
            </w:r>
          </w:p>
        </w:tc>
        <w:tc>
          <w:tcPr>
            <w:tcW w:w="1704" w:type="dxa"/>
            <w:tcBorders>
              <w:top w:val="single" w:sz="4" w:space="0" w:color="000000"/>
              <w:left w:val="single" w:sz="4" w:space="0" w:color="000000"/>
              <w:bottom w:val="single" w:sz="4" w:space="0" w:color="000000"/>
            </w:tcBorders>
            <w:shd w:val="clear" w:color="auto" w:fill="auto"/>
          </w:tcPr>
          <w:p w:rsidR="00895501" w:rsidRPr="00B607B6" w:rsidRDefault="00895501">
            <w:pPr>
              <w:snapToGrid w:val="0"/>
              <w:rPr>
                <w:rFonts w:ascii="Calibri" w:hAnsi="Calibri" w:cs="Calibri"/>
                <w:sz w:val="20"/>
                <w:szCs w:val="20"/>
              </w:rPr>
            </w:pPr>
            <w:r w:rsidRPr="00B607B6">
              <w:rPr>
                <w:rFonts w:ascii="Calibri" w:hAnsi="Calibri" w:cs="Calibri"/>
                <w:sz w:val="20"/>
                <w:szCs w:val="20"/>
              </w:rPr>
              <w:t>4.2</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895501" w:rsidRPr="00B607B6" w:rsidRDefault="00895501">
            <w:pPr>
              <w:snapToGrid w:val="0"/>
              <w:rPr>
                <w:rFonts w:ascii="Calibri" w:hAnsi="Calibri" w:cs="Calibri"/>
                <w:sz w:val="20"/>
                <w:szCs w:val="20"/>
              </w:rPr>
            </w:pPr>
            <w:r w:rsidRPr="00B607B6">
              <w:rPr>
                <w:rFonts w:ascii="Calibri" w:hAnsi="Calibri" w:cs="Calibri"/>
                <w:sz w:val="20"/>
                <w:szCs w:val="20"/>
              </w:rPr>
              <w:t>2.9</w:t>
            </w:r>
          </w:p>
        </w:tc>
      </w:tr>
      <w:tr w:rsidR="00895501" w:rsidRPr="00B607B6">
        <w:tc>
          <w:tcPr>
            <w:tcW w:w="1841" w:type="dxa"/>
            <w:tcBorders>
              <w:top w:val="single" w:sz="4" w:space="0" w:color="000000"/>
              <w:left w:val="single" w:sz="4" w:space="0" w:color="000000"/>
              <w:bottom w:val="single" w:sz="4" w:space="0" w:color="000000"/>
            </w:tcBorders>
            <w:shd w:val="clear" w:color="auto" w:fill="auto"/>
          </w:tcPr>
          <w:p w:rsidR="00895501" w:rsidRPr="00B607B6" w:rsidRDefault="00895501">
            <w:pPr>
              <w:snapToGrid w:val="0"/>
              <w:rPr>
                <w:rFonts w:ascii="Calibri" w:hAnsi="Calibri" w:cs="Calibri"/>
                <w:sz w:val="20"/>
                <w:szCs w:val="20"/>
              </w:rPr>
            </w:pPr>
            <w:r w:rsidRPr="00B607B6">
              <w:rPr>
                <w:rFonts w:ascii="Calibri" w:hAnsi="Calibri" w:cs="Calibri"/>
                <w:sz w:val="20"/>
                <w:szCs w:val="20"/>
              </w:rPr>
              <w:t>Civil servants</w:t>
            </w:r>
          </w:p>
        </w:tc>
        <w:tc>
          <w:tcPr>
            <w:tcW w:w="1415" w:type="dxa"/>
            <w:tcBorders>
              <w:top w:val="single" w:sz="4" w:space="0" w:color="000000"/>
              <w:left w:val="single" w:sz="4" w:space="0" w:color="000000"/>
              <w:bottom w:val="single" w:sz="4" w:space="0" w:color="000000"/>
            </w:tcBorders>
            <w:shd w:val="clear" w:color="auto" w:fill="auto"/>
          </w:tcPr>
          <w:p w:rsidR="00895501" w:rsidRPr="00B607B6" w:rsidRDefault="00895501">
            <w:pPr>
              <w:snapToGrid w:val="0"/>
              <w:rPr>
                <w:rFonts w:ascii="Calibri" w:hAnsi="Calibri" w:cs="Calibri"/>
                <w:sz w:val="20"/>
                <w:szCs w:val="20"/>
              </w:rPr>
            </w:pPr>
            <w:r w:rsidRPr="00B607B6">
              <w:rPr>
                <w:rFonts w:ascii="Calibri" w:hAnsi="Calibri" w:cs="Calibri"/>
                <w:sz w:val="20"/>
                <w:szCs w:val="20"/>
              </w:rPr>
              <w:t>4.2</w:t>
            </w:r>
          </w:p>
        </w:tc>
        <w:tc>
          <w:tcPr>
            <w:tcW w:w="1449" w:type="dxa"/>
            <w:tcBorders>
              <w:top w:val="single" w:sz="4" w:space="0" w:color="000000"/>
              <w:left w:val="single" w:sz="4" w:space="0" w:color="000000"/>
              <w:bottom w:val="single" w:sz="4" w:space="0" w:color="000000"/>
            </w:tcBorders>
            <w:shd w:val="clear" w:color="auto" w:fill="auto"/>
          </w:tcPr>
          <w:p w:rsidR="00895501" w:rsidRPr="00B607B6" w:rsidRDefault="00895501">
            <w:pPr>
              <w:snapToGrid w:val="0"/>
              <w:rPr>
                <w:rFonts w:ascii="Calibri" w:hAnsi="Calibri" w:cs="Calibri"/>
                <w:sz w:val="20"/>
                <w:szCs w:val="20"/>
              </w:rPr>
            </w:pPr>
          </w:p>
        </w:tc>
        <w:tc>
          <w:tcPr>
            <w:tcW w:w="1704" w:type="dxa"/>
            <w:tcBorders>
              <w:top w:val="single" w:sz="4" w:space="0" w:color="000000"/>
              <w:left w:val="single" w:sz="4" w:space="0" w:color="000000"/>
              <w:bottom w:val="single" w:sz="4" w:space="0" w:color="000000"/>
            </w:tcBorders>
            <w:shd w:val="clear" w:color="auto" w:fill="auto"/>
          </w:tcPr>
          <w:p w:rsidR="00895501" w:rsidRPr="00B607B6" w:rsidRDefault="00895501">
            <w:pPr>
              <w:snapToGrid w:val="0"/>
              <w:rPr>
                <w:rFonts w:ascii="Calibri" w:hAnsi="Calibri" w:cs="Calibri"/>
                <w:sz w:val="20"/>
                <w:szCs w:val="20"/>
              </w:rPr>
            </w:pPr>
            <w:r w:rsidRPr="00B607B6">
              <w:rPr>
                <w:rFonts w:ascii="Calibri" w:hAnsi="Calibri" w:cs="Calibri"/>
                <w:sz w:val="20"/>
                <w:szCs w:val="20"/>
              </w:rPr>
              <w:t>2.9</w:t>
            </w:r>
          </w:p>
        </w:tc>
        <w:tc>
          <w:tcPr>
            <w:tcW w:w="1408" w:type="dxa"/>
            <w:tcBorders>
              <w:top w:val="single" w:sz="4" w:space="0" w:color="000000"/>
              <w:left w:val="single" w:sz="4" w:space="0" w:color="000000"/>
              <w:bottom w:val="single" w:sz="4" w:space="0" w:color="000000"/>
              <w:right w:val="single" w:sz="4" w:space="0" w:color="000000"/>
            </w:tcBorders>
            <w:shd w:val="clear" w:color="auto" w:fill="auto"/>
          </w:tcPr>
          <w:p w:rsidR="00895501" w:rsidRPr="00B607B6" w:rsidRDefault="00895501">
            <w:pPr>
              <w:snapToGrid w:val="0"/>
              <w:rPr>
                <w:rFonts w:ascii="Calibri" w:hAnsi="Calibri" w:cs="Calibri"/>
                <w:sz w:val="20"/>
                <w:szCs w:val="20"/>
              </w:rPr>
            </w:pPr>
          </w:p>
        </w:tc>
      </w:tr>
    </w:tbl>
    <w:p w:rsidR="00895501" w:rsidRPr="00B607B6" w:rsidRDefault="00895501">
      <w:pPr>
        <w:pStyle w:val="WW-Default"/>
        <w:rPr>
          <w:rFonts w:ascii="Calibri" w:hAnsi="Calibri" w:cs="Calibri"/>
          <w:sz w:val="20"/>
          <w:szCs w:val="20"/>
        </w:rPr>
      </w:pPr>
      <w:r w:rsidRPr="00B607B6">
        <w:rPr>
          <w:rFonts w:ascii="Calibri" w:hAnsi="Calibri" w:cs="Calibri"/>
          <w:sz w:val="20"/>
          <w:szCs w:val="20"/>
        </w:rPr>
        <w:t xml:space="preserve">Source: </w:t>
      </w:r>
      <w:proofErr w:type="gramStart"/>
      <w:r w:rsidRPr="00B607B6">
        <w:rPr>
          <w:rFonts w:ascii="Calibri" w:hAnsi="Calibri" w:cs="Calibri"/>
          <w:sz w:val="20"/>
          <w:szCs w:val="20"/>
        </w:rPr>
        <w:t>EIRO  Pay</w:t>
      </w:r>
      <w:proofErr w:type="gramEnd"/>
      <w:r w:rsidRPr="00B607B6">
        <w:rPr>
          <w:rFonts w:ascii="Calibri" w:hAnsi="Calibri" w:cs="Calibri"/>
          <w:sz w:val="20"/>
          <w:szCs w:val="20"/>
        </w:rPr>
        <w:t xml:space="preserve"> developments – 2009 </w:t>
      </w:r>
      <w:hyperlink r:id="rId29" w:history="1">
        <w:r w:rsidRPr="00B607B6">
          <w:rPr>
            <w:rStyle w:val="Hyperlink"/>
            <w:rFonts w:ascii="Calibri" w:hAnsi="Calibri" w:cs="Calibri"/>
            <w:sz w:val="20"/>
            <w:szCs w:val="20"/>
          </w:rPr>
          <w:t>http://www.eurofound.europa.eu/eiro/studies/tn1004029s/tn1004029s.htm</w:t>
        </w:r>
      </w:hyperlink>
      <w:r w:rsidRPr="00B607B6">
        <w:rPr>
          <w:rFonts w:ascii="Calibri" w:hAnsi="Calibri" w:cs="Calibri"/>
          <w:sz w:val="20"/>
          <w:szCs w:val="20"/>
        </w:rPr>
        <w:t xml:space="preserve"> </w:t>
      </w:r>
    </w:p>
    <w:p w:rsidR="00895501" w:rsidRDefault="00895501"/>
    <w:p w:rsidR="00895501" w:rsidRDefault="00895501">
      <w:pPr>
        <w:rPr>
          <w:szCs w:val="22"/>
        </w:rPr>
      </w:pPr>
      <w:r>
        <w:t>EIRO comments that the recession “</w:t>
      </w:r>
      <w:r>
        <w:rPr>
          <w:szCs w:val="22"/>
        </w:rPr>
        <w:t>was undoubtedly a factor” in the 0.8 percentage point fall in agreed nominal pay increases in the whole economy, but it is not clear how this fits with a significantly higher level of settlement in real terms. It then adds that “there was generally no simple correlation between the severity of the recession and the degree of pay moderation, with agreed increases falling back only slightly in some countries suffering protracted and deep downturns, such as Hungary and Spain.”</w:t>
      </w:r>
    </w:p>
    <w:p w:rsidR="00895501" w:rsidRDefault="00895501">
      <w:pPr>
        <w:rPr>
          <w:szCs w:val="22"/>
        </w:rPr>
      </w:pPr>
    </w:p>
    <w:p w:rsidR="00895501" w:rsidRDefault="00895501">
      <w:pPr>
        <w:rPr>
          <w:szCs w:val="22"/>
        </w:rPr>
      </w:pPr>
      <w:r>
        <w:rPr>
          <w:szCs w:val="22"/>
        </w:rPr>
        <w:t xml:space="preserve">A further EIRO study on working time confirms the importance of reduced working time as a way of limiting redundancies caused by falling demand. </w:t>
      </w:r>
      <w:r>
        <w:rPr>
          <w:rStyle w:val="EndnoteCharacters"/>
          <w:szCs w:val="22"/>
        </w:rPr>
        <w:endnoteReference w:id="16"/>
      </w:r>
      <w:r>
        <w:rPr>
          <w:szCs w:val="22"/>
        </w:rPr>
        <w:t xml:space="preserve">  Average actual hours worked in the EU in the 4</w:t>
      </w:r>
      <w:r>
        <w:rPr>
          <w:szCs w:val="22"/>
          <w:vertAlign w:val="superscript"/>
        </w:rPr>
        <w:t>th</w:t>
      </w:r>
      <w:r>
        <w:rPr>
          <w:szCs w:val="22"/>
        </w:rPr>
        <w:t xml:space="preserve"> quarter of 2009 were 39.3, a fall of 0.3 in the year since the 4</w:t>
      </w:r>
      <w:r>
        <w:rPr>
          <w:szCs w:val="22"/>
          <w:vertAlign w:val="superscript"/>
        </w:rPr>
        <w:t>th</w:t>
      </w:r>
      <w:r>
        <w:rPr>
          <w:szCs w:val="22"/>
        </w:rPr>
        <w:t xml:space="preserve"> quarter of 2008. This use of short-time working relies on state subsidies to maintain workers’ income</w:t>
      </w:r>
      <w:proofErr w:type="gramStart"/>
      <w:r>
        <w:rPr>
          <w:szCs w:val="22"/>
        </w:rPr>
        <w:t>,  and</w:t>
      </w:r>
      <w:proofErr w:type="gramEnd"/>
      <w:r>
        <w:rPr>
          <w:szCs w:val="22"/>
        </w:rPr>
        <w:t xml:space="preserve"> is implemented by negotiation with unions: </w:t>
      </w:r>
    </w:p>
    <w:p w:rsidR="00895501" w:rsidRDefault="00895501">
      <w:pPr>
        <w:rPr>
          <w:szCs w:val="22"/>
        </w:rPr>
      </w:pPr>
    </w:p>
    <w:p w:rsidR="00895501" w:rsidRDefault="00895501">
      <w:pPr>
        <w:autoSpaceDE w:val="0"/>
        <w:ind w:left="720"/>
      </w:pPr>
      <w:r>
        <w:rPr>
          <w:szCs w:val="22"/>
        </w:rPr>
        <w:t>“</w:t>
      </w:r>
      <w:r>
        <w:rPr>
          <w:rFonts w:cs="TimesNewRomanPSMT"/>
          <w:szCs w:val="22"/>
        </w:rPr>
        <w:t xml:space="preserve">The most prominent working time issue in 2009 was undoubtedly the use of short-time work as a means of responding to falling demand during the recession and preventing redundancies, usually relying on state-subsidised schemes that compensate employees for part of their loss of earnings resulting from reduced working hours.  Short-time work was used extensively in most countries, and was an issue for collective bargaining in many cases, sometimes at national </w:t>
      </w:r>
      <w:proofErr w:type="spellStart"/>
      <w:r>
        <w:rPr>
          <w:rFonts w:cs="TimesNewRomanPSMT"/>
          <w:szCs w:val="22"/>
        </w:rPr>
        <w:t>intersectoral</w:t>
      </w:r>
      <w:proofErr w:type="spellEnd"/>
      <w:r>
        <w:rPr>
          <w:rFonts w:cs="TimesNewRomanPSMT"/>
          <w:szCs w:val="22"/>
        </w:rPr>
        <w:t xml:space="preserve"> level (as in France and Poland) or </w:t>
      </w:r>
      <w:proofErr w:type="spellStart"/>
      <w:r>
        <w:rPr>
          <w:rFonts w:cs="TimesNewRomanPSMT"/>
          <w:szCs w:val="22"/>
        </w:rPr>
        <w:t>sectoral</w:t>
      </w:r>
      <w:proofErr w:type="spellEnd"/>
      <w:r>
        <w:rPr>
          <w:rFonts w:cs="TimesNewRomanPSMT"/>
          <w:szCs w:val="22"/>
        </w:rPr>
        <w:t xml:space="preserve"> level (for example, in the Swedish manufacturing industry, or a number of German industries, such as metalworking), but mainly at company level (as, for example, in Belgium, the Czech Republic, Denmark, Germany, Italy and Sweden).”</w:t>
      </w:r>
      <w:r>
        <w:rPr>
          <w:rStyle w:val="EndnoteCharacters"/>
          <w:szCs w:val="22"/>
        </w:rPr>
        <w:t xml:space="preserve"> </w:t>
      </w:r>
      <w:r>
        <w:rPr>
          <w:rStyle w:val="EndnoteCharacters"/>
          <w:szCs w:val="22"/>
        </w:rPr>
        <w:endnoteReference w:id="17"/>
      </w:r>
    </w:p>
    <w:p w:rsidR="00D10E2A" w:rsidRDefault="00D10E2A" w:rsidP="00D10E2A">
      <w:pPr>
        <w:pStyle w:val="Heading2"/>
      </w:pPr>
      <w:bookmarkStart w:id="49" w:name="_Toc297975182"/>
      <w:r>
        <w:t>Europe: employment in private and public sectors</w:t>
      </w:r>
      <w:bookmarkEnd w:id="49"/>
    </w:p>
    <w:p w:rsidR="00D10E2A" w:rsidRDefault="00EE5744">
      <w:pPr>
        <w:autoSpaceDE w:val="0"/>
      </w:pPr>
      <w:r>
        <w:t xml:space="preserve">The overall picture in Europe is set out in the table below. The Eurostat quarterly data does not have a public-private sector classification, so the table sets out data assuming that all jobs in public administration, education and healthcare are public sector. This in effect exaggerates the size of the public sector, as some of </w:t>
      </w:r>
      <w:r>
        <w:lastRenderedPageBreak/>
        <w:t>this work is done privately. In the UK for example this approach assigns nearly 9 million workers to the public sector, whereas</w:t>
      </w:r>
      <w:r w:rsidR="00B02EE9">
        <w:t xml:space="preserve"> official statistics assign less than 6 million. </w:t>
      </w:r>
    </w:p>
    <w:p w:rsidR="00B02EE9" w:rsidRDefault="00B02EE9">
      <w:pPr>
        <w:autoSpaceDE w:val="0"/>
      </w:pPr>
    </w:p>
    <w:p w:rsidR="00B02EE9" w:rsidRDefault="00B02EE9">
      <w:pPr>
        <w:autoSpaceDE w:val="0"/>
      </w:pPr>
      <w:r>
        <w:t xml:space="preserve">The table shows that on this </w:t>
      </w:r>
      <w:proofErr w:type="gramStart"/>
      <w:r>
        <w:t>broad  definition</w:t>
      </w:r>
      <w:proofErr w:type="gramEnd"/>
      <w:r>
        <w:t xml:space="preserve">  public sector job growth has partly offset the job losses suffered in the private sector. Even in Germany, where there are 414,000 more jobs than there years ago, all these have come in the (broad) public sector – in no country has the private sector yet recovered to the same level of employment as in 2007.  In contrast to the USA, public employment in Europe is higher than before the crisis. </w:t>
      </w:r>
    </w:p>
    <w:p w:rsidR="00B02EE9" w:rsidRDefault="00B02EE9">
      <w:pPr>
        <w:autoSpaceDE w:val="0"/>
      </w:pPr>
    </w:p>
    <w:p w:rsidR="00B02EE9" w:rsidRDefault="00B02EE9">
      <w:pPr>
        <w:autoSpaceDE w:val="0"/>
      </w:pPr>
      <w:r>
        <w:t xml:space="preserve">However, this picture is already changing in some countries with sharp ‘exit </w:t>
      </w:r>
      <w:proofErr w:type="gramStart"/>
      <w:r>
        <w:t>strategies’ :</w:t>
      </w:r>
      <w:proofErr w:type="gramEnd"/>
      <w:r>
        <w:t xml:space="preserve"> n the </w:t>
      </w:r>
      <w:proofErr w:type="spellStart"/>
      <w:r>
        <w:t>Uk</w:t>
      </w:r>
      <w:proofErr w:type="spellEnd"/>
      <w:r>
        <w:t xml:space="preserve"> for example employment in government sectors peaked at the end of 2009 and has fallen by 120,000 a year later.</w:t>
      </w:r>
    </w:p>
    <w:p w:rsidR="00D10E2A" w:rsidRDefault="00D10E2A">
      <w:pPr>
        <w:autoSpaceDE w:val="0"/>
      </w:pPr>
    </w:p>
    <w:p w:rsidR="00D10E2A" w:rsidRDefault="00D10E2A" w:rsidP="00D10E2A">
      <w:pPr>
        <w:pStyle w:val="Heading7"/>
        <w:autoSpaceDE w:val="0"/>
      </w:pPr>
      <w:bookmarkStart w:id="50" w:name="_Toc297975183"/>
      <w:r>
        <w:t>Employment changes in EU during crisis</w:t>
      </w:r>
      <w:bookmarkEnd w:id="50"/>
    </w:p>
    <w:p w:rsidR="00D10E2A" w:rsidRPr="00D10E2A" w:rsidRDefault="00D10E2A" w:rsidP="00D10E2A">
      <w:r>
        <w:t>Changes between 2007 Q$ and 2010 Q4</w:t>
      </w:r>
    </w:p>
    <w:tbl>
      <w:tblPr>
        <w:tblW w:w="7670" w:type="dxa"/>
        <w:tblInd w:w="93" w:type="dxa"/>
        <w:tblLook w:val="04A0" w:firstRow="1" w:lastRow="0" w:firstColumn="1" w:lastColumn="0" w:noHBand="0" w:noVBand="1"/>
      </w:tblPr>
      <w:tblGrid>
        <w:gridCol w:w="4856"/>
        <w:gridCol w:w="1538"/>
        <w:gridCol w:w="1276"/>
      </w:tblGrid>
      <w:tr w:rsidR="00D10E2A" w:rsidRPr="00D10E2A" w:rsidTr="00D10E2A">
        <w:trPr>
          <w:trHeight w:val="450"/>
        </w:trPr>
        <w:tc>
          <w:tcPr>
            <w:tcW w:w="4856" w:type="dxa"/>
            <w:tcBorders>
              <w:top w:val="nil"/>
              <w:left w:val="nil"/>
              <w:bottom w:val="nil"/>
              <w:right w:val="nil"/>
            </w:tcBorders>
            <w:shd w:val="clear" w:color="auto" w:fill="auto"/>
            <w:vAlign w:val="bottom"/>
            <w:hideMark/>
          </w:tcPr>
          <w:p w:rsidR="00D10E2A" w:rsidRPr="00D10E2A" w:rsidRDefault="00D10E2A" w:rsidP="00D10E2A">
            <w:pPr>
              <w:suppressAutoHyphens w:val="0"/>
              <w:rPr>
                <w:rFonts w:ascii="Calibri" w:hAnsi="Calibri" w:cs="Calibri"/>
                <w:sz w:val="20"/>
                <w:szCs w:val="20"/>
                <w:lang w:eastAsia="en-GB"/>
              </w:rPr>
            </w:pPr>
          </w:p>
        </w:tc>
        <w:tc>
          <w:tcPr>
            <w:tcW w:w="1538" w:type="dxa"/>
            <w:tcBorders>
              <w:top w:val="nil"/>
              <w:left w:val="nil"/>
              <w:bottom w:val="nil"/>
              <w:right w:val="nil"/>
            </w:tcBorders>
            <w:shd w:val="clear" w:color="auto" w:fill="auto"/>
            <w:vAlign w:val="bottom"/>
            <w:hideMark/>
          </w:tcPr>
          <w:p w:rsidR="00D10E2A" w:rsidRPr="00D10E2A" w:rsidRDefault="00D10E2A" w:rsidP="00D10E2A">
            <w:pPr>
              <w:suppressAutoHyphens w:val="0"/>
              <w:jc w:val="center"/>
              <w:rPr>
                <w:rFonts w:ascii="Calibri" w:hAnsi="Calibri" w:cs="Calibri"/>
                <w:sz w:val="20"/>
                <w:szCs w:val="20"/>
                <w:lang w:eastAsia="en-GB"/>
              </w:rPr>
            </w:pPr>
            <w:r w:rsidRPr="00D10E2A">
              <w:rPr>
                <w:rFonts w:ascii="Calibri" w:hAnsi="Calibri" w:cs="Calibri"/>
                <w:sz w:val="20"/>
                <w:szCs w:val="20"/>
                <w:lang w:eastAsia="en-GB"/>
              </w:rPr>
              <w:t>Numbers (‘000s)</w:t>
            </w:r>
          </w:p>
        </w:tc>
        <w:tc>
          <w:tcPr>
            <w:tcW w:w="1276" w:type="dxa"/>
            <w:tcBorders>
              <w:top w:val="nil"/>
              <w:left w:val="nil"/>
              <w:bottom w:val="nil"/>
              <w:right w:val="nil"/>
            </w:tcBorders>
            <w:shd w:val="clear" w:color="auto" w:fill="auto"/>
            <w:vAlign w:val="bottom"/>
            <w:hideMark/>
          </w:tcPr>
          <w:p w:rsidR="00D10E2A" w:rsidRPr="00D10E2A" w:rsidRDefault="00D10E2A" w:rsidP="00D10E2A">
            <w:pPr>
              <w:suppressAutoHyphens w:val="0"/>
              <w:jc w:val="center"/>
              <w:rPr>
                <w:rFonts w:ascii="Calibri" w:hAnsi="Calibri" w:cs="Calibri"/>
                <w:sz w:val="20"/>
                <w:szCs w:val="20"/>
                <w:lang w:eastAsia="en-GB"/>
              </w:rPr>
            </w:pPr>
            <w:r w:rsidRPr="00D10E2A">
              <w:rPr>
                <w:rFonts w:ascii="Calibri" w:hAnsi="Calibri" w:cs="Calibri"/>
                <w:sz w:val="20"/>
                <w:szCs w:val="20"/>
                <w:lang w:eastAsia="en-GB"/>
              </w:rPr>
              <w:t>%</w:t>
            </w:r>
          </w:p>
        </w:tc>
      </w:tr>
      <w:tr w:rsidR="00D10E2A" w:rsidRPr="00D10E2A" w:rsidTr="00D10E2A">
        <w:trPr>
          <w:trHeight w:val="285"/>
        </w:trPr>
        <w:tc>
          <w:tcPr>
            <w:tcW w:w="4856" w:type="dxa"/>
            <w:tcBorders>
              <w:top w:val="nil"/>
              <w:left w:val="nil"/>
              <w:bottom w:val="nil"/>
              <w:right w:val="nil"/>
            </w:tcBorders>
            <w:shd w:val="clear" w:color="auto" w:fill="auto"/>
            <w:noWrap/>
            <w:vAlign w:val="bottom"/>
            <w:hideMark/>
          </w:tcPr>
          <w:p w:rsidR="00D10E2A" w:rsidRPr="00D10E2A" w:rsidRDefault="00D10E2A" w:rsidP="00D10E2A">
            <w:pPr>
              <w:suppressAutoHyphens w:val="0"/>
              <w:rPr>
                <w:rFonts w:ascii="Calibri" w:hAnsi="Calibri" w:cs="Calibri"/>
                <w:sz w:val="20"/>
                <w:szCs w:val="20"/>
                <w:lang w:eastAsia="en-GB"/>
              </w:rPr>
            </w:pPr>
          </w:p>
        </w:tc>
        <w:tc>
          <w:tcPr>
            <w:tcW w:w="1538" w:type="dxa"/>
            <w:tcBorders>
              <w:top w:val="nil"/>
              <w:left w:val="nil"/>
              <w:bottom w:val="nil"/>
              <w:right w:val="nil"/>
            </w:tcBorders>
            <w:shd w:val="clear" w:color="auto" w:fill="auto"/>
            <w:noWrap/>
            <w:vAlign w:val="bottom"/>
            <w:hideMark/>
          </w:tcPr>
          <w:p w:rsidR="00D10E2A" w:rsidRPr="00D10E2A" w:rsidRDefault="00D10E2A" w:rsidP="00D10E2A">
            <w:pPr>
              <w:suppressAutoHyphens w:val="0"/>
              <w:rPr>
                <w:rFonts w:ascii="Arial" w:hAnsi="Arial" w:cs="Arial"/>
                <w:sz w:val="20"/>
                <w:szCs w:val="20"/>
                <w:lang w:eastAsia="en-GB"/>
              </w:rPr>
            </w:pPr>
          </w:p>
        </w:tc>
        <w:tc>
          <w:tcPr>
            <w:tcW w:w="1276" w:type="dxa"/>
            <w:tcBorders>
              <w:top w:val="nil"/>
              <w:left w:val="nil"/>
              <w:bottom w:val="nil"/>
              <w:right w:val="nil"/>
            </w:tcBorders>
            <w:shd w:val="clear" w:color="auto" w:fill="auto"/>
            <w:noWrap/>
            <w:vAlign w:val="bottom"/>
            <w:hideMark/>
          </w:tcPr>
          <w:p w:rsidR="00D10E2A" w:rsidRPr="00D10E2A" w:rsidRDefault="00D10E2A" w:rsidP="00D10E2A">
            <w:pPr>
              <w:suppressAutoHyphens w:val="0"/>
              <w:rPr>
                <w:rFonts w:ascii="Arial" w:hAnsi="Arial" w:cs="Arial"/>
                <w:sz w:val="20"/>
                <w:szCs w:val="20"/>
                <w:lang w:eastAsia="en-GB"/>
              </w:rPr>
            </w:pPr>
          </w:p>
        </w:tc>
      </w:tr>
      <w:tr w:rsidR="00D10E2A" w:rsidRPr="00D10E2A" w:rsidTr="00D10E2A">
        <w:trPr>
          <w:trHeight w:val="285"/>
        </w:trPr>
        <w:tc>
          <w:tcPr>
            <w:tcW w:w="4856" w:type="dxa"/>
            <w:tcBorders>
              <w:top w:val="nil"/>
              <w:left w:val="nil"/>
              <w:bottom w:val="nil"/>
              <w:right w:val="nil"/>
            </w:tcBorders>
            <w:shd w:val="clear" w:color="auto" w:fill="auto"/>
            <w:noWrap/>
            <w:vAlign w:val="bottom"/>
            <w:hideMark/>
          </w:tcPr>
          <w:p w:rsidR="00D10E2A" w:rsidRPr="00D10E2A" w:rsidRDefault="00D10E2A" w:rsidP="00D10E2A">
            <w:pPr>
              <w:suppressAutoHyphens w:val="0"/>
              <w:rPr>
                <w:rFonts w:ascii="Calibri" w:hAnsi="Calibri" w:cs="Calibri"/>
                <w:sz w:val="20"/>
                <w:szCs w:val="20"/>
                <w:lang w:eastAsia="en-GB"/>
              </w:rPr>
            </w:pPr>
            <w:r w:rsidRPr="00D10E2A">
              <w:rPr>
                <w:rFonts w:ascii="Calibri" w:hAnsi="Calibri" w:cs="Calibri"/>
                <w:sz w:val="20"/>
                <w:szCs w:val="20"/>
                <w:lang w:eastAsia="en-GB"/>
              </w:rPr>
              <w:t>Total</w:t>
            </w:r>
          </w:p>
        </w:tc>
        <w:tc>
          <w:tcPr>
            <w:tcW w:w="1538" w:type="dxa"/>
            <w:tcBorders>
              <w:top w:val="nil"/>
              <w:left w:val="nil"/>
              <w:bottom w:val="nil"/>
              <w:right w:val="nil"/>
            </w:tcBorders>
            <w:shd w:val="clear" w:color="auto" w:fill="auto"/>
            <w:noWrap/>
            <w:vAlign w:val="bottom"/>
            <w:hideMark/>
          </w:tcPr>
          <w:p w:rsidR="00D10E2A" w:rsidRPr="00D10E2A" w:rsidRDefault="00D10E2A" w:rsidP="00D10E2A">
            <w:pPr>
              <w:suppressAutoHyphens w:val="0"/>
              <w:jc w:val="right"/>
              <w:rPr>
                <w:rFonts w:ascii="Calibri" w:hAnsi="Calibri" w:cs="Calibri"/>
                <w:sz w:val="20"/>
                <w:szCs w:val="20"/>
                <w:lang w:eastAsia="en-GB"/>
              </w:rPr>
            </w:pPr>
            <w:r w:rsidRPr="00D10E2A">
              <w:rPr>
                <w:rFonts w:ascii="Calibri" w:hAnsi="Calibri" w:cs="Calibri"/>
                <w:sz w:val="20"/>
                <w:szCs w:val="20"/>
                <w:lang w:eastAsia="en-GB"/>
              </w:rPr>
              <w:t>-3,679</w:t>
            </w:r>
          </w:p>
        </w:tc>
        <w:tc>
          <w:tcPr>
            <w:tcW w:w="1276" w:type="dxa"/>
            <w:tcBorders>
              <w:top w:val="nil"/>
              <w:left w:val="nil"/>
              <w:bottom w:val="nil"/>
              <w:right w:val="nil"/>
            </w:tcBorders>
            <w:shd w:val="clear" w:color="auto" w:fill="auto"/>
            <w:noWrap/>
            <w:vAlign w:val="bottom"/>
            <w:hideMark/>
          </w:tcPr>
          <w:p w:rsidR="00D10E2A" w:rsidRPr="00D10E2A" w:rsidRDefault="00D10E2A" w:rsidP="00D10E2A">
            <w:pPr>
              <w:suppressAutoHyphens w:val="0"/>
              <w:jc w:val="right"/>
              <w:rPr>
                <w:rFonts w:ascii="Calibri" w:hAnsi="Calibri" w:cs="Calibri"/>
                <w:sz w:val="20"/>
                <w:szCs w:val="20"/>
                <w:lang w:eastAsia="en-GB"/>
              </w:rPr>
            </w:pPr>
            <w:r w:rsidRPr="00D10E2A">
              <w:rPr>
                <w:rFonts w:ascii="Calibri" w:hAnsi="Calibri" w:cs="Calibri"/>
                <w:sz w:val="20"/>
                <w:szCs w:val="20"/>
                <w:lang w:eastAsia="en-GB"/>
              </w:rPr>
              <w:t>-1.7%</w:t>
            </w:r>
          </w:p>
        </w:tc>
      </w:tr>
      <w:tr w:rsidR="00D10E2A" w:rsidRPr="00D10E2A" w:rsidTr="00D10E2A">
        <w:trPr>
          <w:trHeight w:val="285"/>
        </w:trPr>
        <w:tc>
          <w:tcPr>
            <w:tcW w:w="4856" w:type="dxa"/>
            <w:tcBorders>
              <w:top w:val="nil"/>
              <w:left w:val="nil"/>
              <w:bottom w:val="nil"/>
              <w:right w:val="nil"/>
            </w:tcBorders>
            <w:shd w:val="clear" w:color="auto" w:fill="auto"/>
            <w:noWrap/>
            <w:vAlign w:val="bottom"/>
            <w:hideMark/>
          </w:tcPr>
          <w:p w:rsidR="00D10E2A" w:rsidRPr="00D10E2A" w:rsidRDefault="00D10E2A" w:rsidP="00D10E2A">
            <w:pPr>
              <w:suppressAutoHyphens w:val="0"/>
              <w:rPr>
                <w:rFonts w:ascii="Calibri" w:hAnsi="Calibri" w:cs="Calibri"/>
                <w:sz w:val="20"/>
                <w:szCs w:val="20"/>
                <w:lang w:eastAsia="en-GB"/>
              </w:rPr>
            </w:pPr>
            <w:r w:rsidRPr="00D10E2A">
              <w:rPr>
                <w:rFonts w:ascii="Calibri" w:hAnsi="Calibri" w:cs="Calibri"/>
                <w:sz w:val="20"/>
                <w:szCs w:val="20"/>
                <w:lang w:eastAsia="en-GB"/>
              </w:rPr>
              <w:t>Private</w:t>
            </w:r>
          </w:p>
        </w:tc>
        <w:tc>
          <w:tcPr>
            <w:tcW w:w="1538" w:type="dxa"/>
            <w:tcBorders>
              <w:top w:val="nil"/>
              <w:left w:val="nil"/>
              <w:bottom w:val="nil"/>
              <w:right w:val="nil"/>
            </w:tcBorders>
            <w:shd w:val="clear" w:color="auto" w:fill="auto"/>
            <w:noWrap/>
            <w:vAlign w:val="bottom"/>
            <w:hideMark/>
          </w:tcPr>
          <w:p w:rsidR="00D10E2A" w:rsidRPr="00D10E2A" w:rsidRDefault="00D10E2A" w:rsidP="00D10E2A">
            <w:pPr>
              <w:suppressAutoHyphens w:val="0"/>
              <w:jc w:val="right"/>
              <w:rPr>
                <w:rFonts w:ascii="Calibri" w:hAnsi="Calibri" w:cs="Calibri"/>
                <w:sz w:val="20"/>
                <w:szCs w:val="20"/>
                <w:lang w:eastAsia="en-GB"/>
              </w:rPr>
            </w:pPr>
            <w:r w:rsidRPr="00D10E2A">
              <w:rPr>
                <w:rFonts w:ascii="Calibri" w:hAnsi="Calibri" w:cs="Calibri"/>
                <w:sz w:val="20"/>
                <w:szCs w:val="20"/>
                <w:lang w:eastAsia="en-GB"/>
              </w:rPr>
              <w:t>-5,790</w:t>
            </w:r>
          </w:p>
        </w:tc>
        <w:tc>
          <w:tcPr>
            <w:tcW w:w="1276" w:type="dxa"/>
            <w:tcBorders>
              <w:top w:val="nil"/>
              <w:left w:val="nil"/>
              <w:bottom w:val="nil"/>
              <w:right w:val="nil"/>
            </w:tcBorders>
            <w:shd w:val="clear" w:color="auto" w:fill="auto"/>
            <w:noWrap/>
            <w:vAlign w:val="bottom"/>
            <w:hideMark/>
          </w:tcPr>
          <w:p w:rsidR="00D10E2A" w:rsidRPr="00D10E2A" w:rsidRDefault="00D10E2A" w:rsidP="00D10E2A">
            <w:pPr>
              <w:suppressAutoHyphens w:val="0"/>
              <w:jc w:val="right"/>
              <w:rPr>
                <w:rFonts w:ascii="Calibri" w:hAnsi="Calibri" w:cs="Calibri"/>
                <w:sz w:val="20"/>
                <w:szCs w:val="20"/>
                <w:lang w:eastAsia="en-GB"/>
              </w:rPr>
            </w:pPr>
            <w:r w:rsidRPr="00D10E2A">
              <w:rPr>
                <w:rFonts w:ascii="Calibri" w:hAnsi="Calibri" w:cs="Calibri"/>
                <w:sz w:val="20"/>
                <w:szCs w:val="20"/>
                <w:lang w:eastAsia="en-GB"/>
              </w:rPr>
              <w:t>-3.5%</w:t>
            </w:r>
          </w:p>
        </w:tc>
      </w:tr>
      <w:tr w:rsidR="00D10E2A" w:rsidRPr="00D10E2A" w:rsidTr="00D10E2A">
        <w:trPr>
          <w:trHeight w:val="285"/>
        </w:trPr>
        <w:tc>
          <w:tcPr>
            <w:tcW w:w="4856" w:type="dxa"/>
            <w:tcBorders>
              <w:top w:val="nil"/>
              <w:left w:val="nil"/>
              <w:bottom w:val="nil"/>
              <w:right w:val="nil"/>
            </w:tcBorders>
            <w:shd w:val="clear" w:color="auto" w:fill="auto"/>
            <w:noWrap/>
            <w:vAlign w:val="bottom"/>
            <w:hideMark/>
          </w:tcPr>
          <w:p w:rsidR="00D10E2A" w:rsidRPr="00D10E2A" w:rsidRDefault="00D10E2A" w:rsidP="00D10E2A">
            <w:pPr>
              <w:suppressAutoHyphens w:val="0"/>
              <w:rPr>
                <w:rFonts w:ascii="Calibri" w:hAnsi="Calibri" w:cs="Calibri"/>
                <w:sz w:val="20"/>
                <w:szCs w:val="20"/>
                <w:lang w:eastAsia="en-GB"/>
              </w:rPr>
            </w:pPr>
            <w:r w:rsidRPr="00D10E2A">
              <w:rPr>
                <w:rFonts w:ascii="Calibri" w:hAnsi="Calibri" w:cs="Calibri"/>
                <w:sz w:val="20"/>
                <w:szCs w:val="20"/>
                <w:lang w:eastAsia="en-GB"/>
              </w:rPr>
              <w:t>Public sector</w:t>
            </w:r>
          </w:p>
        </w:tc>
        <w:tc>
          <w:tcPr>
            <w:tcW w:w="1538" w:type="dxa"/>
            <w:tcBorders>
              <w:top w:val="nil"/>
              <w:left w:val="nil"/>
              <w:bottom w:val="nil"/>
              <w:right w:val="nil"/>
            </w:tcBorders>
            <w:shd w:val="clear" w:color="auto" w:fill="auto"/>
            <w:noWrap/>
            <w:vAlign w:val="bottom"/>
            <w:hideMark/>
          </w:tcPr>
          <w:p w:rsidR="00D10E2A" w:rsidRPr="00D10E2A" w:rsidRDefault="00D10E2A" w:rsidP="00D10E2A">
            <w:pPr>
              <w:suppressAutoHyphens w:val="0"/>
              <w:jc w:val="right"/>
              <w:rPr>
                <w:rFonts w:ascii="Calibri" w:hAnsi="Calibri" w:cs="Calibri"/>
                <w:sz w:val="20"/>
                <w:szCs w:val="20"/>
                <w:lang w:eastAsia="en-GB"/>
              </w:rPr>
            </w:pPr>
            <w:r w:rsidRPr="00D10E2A">
              <w:rPr>
                <w:rFonts w:ascii="Calibri" w:hAnsi="Calibri" w:cs="Calibri"/>
                <w:sz w:val="20"/>
                <w:szCs w:val="20"/>
                <w:lang w:eastAsia="en-GB"/>
              </w:rPr>
              <w:t>2,111</w:t>
            </w:r>
          </w:p>
        </w:tc>
        <w:tc>
          <w:tcPr>
            <w:tcW w:w="1276" w:type="dxa"/>
            <w:tcBorders>
              <w:top w:val="nil"/>
              <w:left w:val="nil"/>
              <w:bottom w:val="nil"/>
              <w:right w:val="nil"/>
            </w:tcBorders>
            <w:shd w:val="clear" w:color="auto" w:fill="auto"/>
            <w:noWrap/>
            <w:vAlign w:val="bottom"/>
            <w:hideMark/>
          </w:tcPr>
          <w:p w:rsidR="00D10E2A" w:rsidRPr="00D10E2A" w:rsidRDefault="00D10E2A" w:rsidP="00D10E2A">
            <w:pPr>
              <w:suppressAutoHyphens w:val="0"/>
              <w:jc w:val="right"/>
              <w:rPr>
                <w:rFonts w:ascii="Calibri" w:hAnsi="Calibri" w:cs="Calibri"/>
                <w:sz w:val="20"/>
                <w:szCs w:val="20"/>
                <w:lang w:eastAsia="en-GB"/>
              </w:rPr>
            </w:pPr>
            <w:r w:rsidRPr="00D10E2A">
              <w:rPr>
                <w:rFonts w:ascii="Calibri" w:hAnsi="Calibri" w:cs="Calibri"/>
                <w:sz w:val="20"/>
                <w:szCs w:val="20"/>
                <w:lang w:eastAsia="en-GB"/>
              </w:rPr>
              <w:t>3.9%</w:t>
            </w:r>
          </w:p>
        </w:tc>
      </w:tr>
      <w:tr w:rsidR="00D10E2A" w:rsidRPr="00D10E2A" w:rsidTr="00D10E2A">
        <w:trPr>
          <w:trHeight w:val="285"/>
        </w:trPr>
        <w:tc>
          <w:tcPr>
            <w:tcW w:w="4856" w:type="dxa"/>
            <w:tcBorders>
              <w:top w:val="nil"/>
              <w:left w:val="nil"/>
              <w:bottom w:val="nil"/>
              <w:right w:val="nil"/>
            </w:tcBorders>
            <w:shd w:val="clear" w:color="auto" w:fill="auto"/>
            <w:noWrap/>
            <w:vAlign w:val="bottom"/>
            <w:hideMark/>
          </w:tcPr>
          <w:p w:rsidR="00D10E2A" w:rsidRPr="00D10E2A" w:rsidRDefault="00D10E2A" w:rsidP="00D10E2A">
            <w:pPr>
              <w:suppressAutoHyphens w:val="0"/>
              <w:ind w:firstLineChars="100" w:firstLine="200"/>
              <w:rPr>
                <w:rFonts w:ascii="Calibri" w:hAnsi="Calibri" w:cs="Calibri"/>
                <w:i/>
                <w:iCs/>
                <w:sz w:val="20"/>
                <w:szCs w:val="20"/>
                <w:lang w:eastAsia="en-GB"/>
              </w:rPr>
            </w:pPr>
            <w:r w:rsidRPr="00D10E2A">
              <w:rPr>
                <w:rFonts w:ascii="Calibri" w:hAnsi="Calibri" w:cs="Calibri"/>
                <w:i/>
                <w:iCs/>
                <w:sz w:val="20"/>
                <w:szCs w:val="20"/>
                <w:lang w:eastAsia="en-GB"/>
              </w:rPr>
              <w:t>of which:</w:t>
            </w:r>
          </w:p>
        </w:tc>
        <w:tc>
          <w:tcPr>
            <w:tcW w:w="1538" w:type="dxa"/>
            <w:tcBorders>
              <w:top w:val="nil"/>
              <w:left w:val="nil"/>
              <w:bottom w:val="nil"/>
              <w:right w:val="nil"/>
            </w:tcBorders>
            <w:shd w:val="clear" w:color="auto" w:fill="auto"/>
            <w:noWrap/>
            <w:vAlign w:val="bottom"/>
            <w:hideMark/>
          </w:tcPr>
          <w:p w:rsidR="00D10E2A" w:rsidRPr="00D10E2A" w:rsidRDefault="00D10E2A" w:rsidP="00D10E2A">
            <w:pPr>
              <w:suppressAutoHyphens w:val="0"/>
              <w:rPr>
                <w:rFonts w:ascii="Calibri" w:hAnsi="Calibri" w:cs="Calibri"/>
                <w:sz w:val="20"/>
                <w:szCs w:val="20"/>
                <w:lang w:eastAsia="en-GB"/>
              </w:rPr>
            </w:pPr>
          </w:p>
        </w:tc>
        <w:tc>
          <w:tcPr>
            <w:tcW w:w="1276" w:type="dxa"/>
            <w:tcBorders>
              <w:top w:val="nil"/>
              <w:left w:val="nil"/>
              <w:bottom w:val="nil"/>
              <w:right w:val="nil"/>
            </w:tcBorders>
            <w:shd w:val="clear" w:color="auto" w:fill="auto"/>
            <w:noWrap/>
            <w:vAlign w:val="bottom"/>
            <w:hideMark/>
          </w:tcPr>
          <w:p w:rsidR="00D10E2A" w:rsidRPr="00D10E2A" w:rsidRDefault="00D10E2A" w:rsidP="00D10E2A">
            <w:pPr>
              <w:suppressAutoHyphens w:val="0"/>
              <w:rPr>
                <w:rFonts w:ascii="Calibri" w:hAnsi="Calibri" w:cs="Calibri"/>
                <w:sz w:val="20"/>
                <w:szCs w:val="20"/>
                <w:lang w:eastAsia="en-GB"/>
              </w:rPr>
            </w:pPr>
          </w:p>
        </w:tc>
      </w:tr>
      <w:tr w:rsidR="00D10E2A" w:rsidRPr="00D10E2A" w:rsidTr="00D10E2A">
        <w:trPr>
          <w:trHeight w:val="285"/>
        </w:trPr>
        <w:tc>
          <w:tcPr>
            <w:tcW w:w="4856" w:type="dxa"/>
            <w:tcBorders>
              <w:top w:val="nil"/>
              <w:left w:val="nil"/>
              <w:bottom w:val="nil"/>
              <w:right w:val="nil"/>
            </w:tcBorders>
            <w:shd w:val="clear" w:color="auto" w:fill="auto"/>
            <w:noWrap/>
            <w:vAlign w:val="bottom"/>
            <w:hideMark/>
          </w:tcPr>
          <w:p w:rsidR="00D10E2A" w:rsidRPr="00D10E2A" w:rsidRDefault="00D10E2A" w:rsidP="00D10E2A">
            <w:pPr>
              <w:suppressAutoHyphens w:val="0"/>
              <w:ind w:firstLineChars="100" w:firstLine="200"/>
              <w:rPr>
                <w:rFonts w:ascii="Calibri" w:hAnsi="Calibri" w:cs="Calibri"/>
                <w:i/>
                <w:iCs/>
                <w:sz w:val="20"/>
                <w:szCs w:val="20"/>
                <w:lang w:eastAsia="en-GB"/>
              </w:rPr>
            </w:pPr>
            <w:r w:rsidRPr="00D10E2A">
              <w:rPr>
                <w:rFonts w:ascii="Calibri" w:hAnsi="Calibri" w:cs="Calibri"/>
                <w:i/>
                <w:iCs/>
                <w:sz w:val="20"/>
                <w:szCs w:val="20"/>
                <w:lang w:eastAsia="en-GB"/>
              </w:rPr>
              <w:t>Public administration and defence; compulsory social security</w:t>
            </w:r>
          </w:p>
        </w:tc>
        <w:tc>
          <w:tcPr>
            <w:tcW w:w="1538" w:type="dxa"/>
            <w:tcBorders>
              <w:top w:val="nil"/>
              <w:left w:val="nil"/>
              <w:bottom w:val="nil"/>
              <w:right w:val="nil"/>
            </w:tcBorders>
            <w:shd w:val="clear" w:color="auto" w:fill="auto"/>
            <w:noWrap/>
            <w:vAlign w:val="bottom"/>
            <w:hideMark/>
          </w:tcPr>
          <w:p w:rsidR="00D10E2A" w:rsidRPr="00D10E2A" w:rsidRDefault="00D10E2A" w:rsidP="00D10E2A">
            <w:pPr>
              <w:suppressAutoHyphens w:val="0"/>
              <w:jc w:val="right"/>
              <w:rPr>
                <w:rFonts w:ascii="Calibri" w:hAnsi="Calibri" w:cs="Calibri"/>
                <w:sz w:val="20"/>
                <w:szCs w:val="20"/>
                <w:lang w:eastAsia="en-GB"/>
              </w:rPr>
            </w:pPr>
            <w:r w:rsidRPr="00D10E2A">
              <w:rPr>
                <w:rFonts w:ascii="Calibri" w:hAnsi="Calibri" w:cs="Calibri"/>
                <w:sz w:val="20"/>
                <w:szCs w:val="20"/>
                <w:lang w:eastAsia="en-GB"/>
              </w:rPr>
              <w:t>-54</w:t>
            </w:r>
          </w:p>
        </w:tc>
        <w:tc>
          <w:tcPr>
            <w:tcW w:w="1276" w:type="dxa"/>
            <w:tcBorders>
              <w:top w:val="nil"/>
              <w:left w:val="nil"/>
              <w:bottom w:val="nil"/>
              <w:right w:val="nil"/>
            </w:tcBorders>
            <w:shd w:val="clear" w:color="auto" w:fill="auto"/>
            <w:noWrap/>
            <w:vAlign w:val="bottom"/>
            <w:hideMark/>
          </w:tcPr>
          <w:p w:rsidR="00D10E2A" w:rsidRPr="00D10E2A" w:rsidRDefault="00D10E2A" w:rsidP="00D10E2A">
            <w:pPr>
              <w:suppressAutoHyphens w:val="0"/>
              <w:jc w:val="right"/>
              <w:rPr>
                <w:rFonts w:ascii="Calibri" w:hAnsi="Calibri" w:cs="Calibri"/>
                <w:sz w:val="20"/>
                <w:szCs w:val="20"/>
                <w:lang w:eastAsia="en-GB"/>
              </w:rPr>
            </w:pPr>
            <w:r w:rsidRPr="00D10E2A">
              <w:rPr>
                <w:rFonts w:ascii="Calibri" w:hAnsi="Calibri" w:cs="Calibri"/>
                <w:sz w:val="20"/>
                <w:szCs w:val="20"/>
                <w:lang w:eastAsia="en-GB"/>
              </w:rPr>
              <w:t>-0.3%</w:t>
            </w:r>
          </w:p>
        </w:tc>
      </w:tr>
      <w:tr w:rsidR="00D10E2A" w:rsidRPr="00D10E2A" w:rsidTr="00D10E2A">
        <w:trPr>
          <w:trHeight w:val="285"/>
        </w:trPr>
        <w:tc>
          <w:tcPr>
            <w:tcW w:w="4856" w:type="dxa"/>
            <w:tcBorders>
              <w:top w:val="nil"/>
              <w:left w:val="nil"/>
              <w:bottom w:val="nil"/>
              <w:right w:val="nil"/>
            </w:tcBorders>
            <w:shd w:val="clear" w:color="auto" w:fill="auto"/>
            <w:noWrap/>
            <w:vAlign w:val="bottom"/>
            <w:hideMark/>
          </w:tcPr>
          <w:p w:rsidR="00D10E2A" w:rsidRPr="00D10E2A" w:rsidRDefault="00D10E2A" w:rsidP="00D10E2A">
            <w:pPr>
              <w:suppressAutoHyphens w:val="0"/>
              <w:ind w:firstLineChars="100" w:firstLine="200"/>
              <w:rPr>
                <w:rFonts w:ascii="Calibri" w:hAnsi="Calibri" w:cs="Calibri"/>
                <w:i/>
                <w:iCs/>
                <w:sz w:val="20"/>
                <w:szCs w:val="20"/>
                <w:lang w:eastAsia="en-GB"/>
              </w:rPr>
            </w:pPr>
            <w:r w:rsidRPr="00D10E2A">
              <w:rPr>
                <w:rFonts w:ascii="Calibri" w:hAnsi="Calibri" w:cs="Calibri"/>
                <w:i/>
                <w:iCs/>
                <w:sz w:val="20"/>
                <w:szCs w:val="20"/>
                <w:lang w:eastAsia="en-GB"/>
              </w:rPr>
              <w:t>Education</w:t>
            </w:r>
          </w:p>
        </w:tc>
        <w:tc>
          <w:tcPr>
            <w:tcW w:w="1538" w:type="dxa"/>
            <w:tcBorders>
              <w:top w:val="nil"/>
              <w:left w:val="nil"/>
              <w:bottom w:val="nil"/>
              <w:right w:val="nil"/>
            </w:tcBorders>
            <w:shd w:val="clear" w:color="auto" w:fill="auto"/>
            <w:noWrap/>
            <w:vAlign w:val="bottom"/>
            <w:hideMark/>
          </w:tcPr>
          <w:p w:rsidR="00D10E2A" w:rsidRPr="00D10E2A" w:rsidRDefault="00D10E2A" w:rsidP="00D10E2A">
            <w:pPr>
              <w:suppressAutoHyphens w:val="0"/>
              <w:jc w:val="right"/>
              <w:rPr>
                <w:rFonts w:ascii="Calibri" w:hAnsi="Calibri" w:cs="Calibri"/>
                <w:sz w:val="20"/>
                <w:szCs w:val="20"/>
                <w:lang w:eastAsia="en-GB"/>
              </w:rPr>
            </w:pPr>
            <w:r w:rsidRPr="00D10E2A">
              <w:rPr>
                <w:rFonts w:ascii="Calibri" w:hAnsi="Calibri" w:cs="Calibri"/>
                <w:sz w:val="20"/>
                <w:szCs w:val="20"/>
                <w:lang w:eastAsia="en-GB"/>
              </w:rPr>
              <w:t>884</w:t>
            </w:r>
          </w:p>
        </w:tc>
        <w:tc>
          <w:tcPr>
            <w:tcW w:w="1276" w:type="dxa"/>
            <w:tcBorders>
              <w:top w:val="nil"/>
              <w:left w:val="nil"/>
              <w:bottom w:val="nil"/>
              <w:right w:val="nil"/>
            </w:tcBorders>
            <w:shd w:val="clear" w:color="auto" w:fill="auto"/>
            <w:noWrap/>
            <w:vAlign w:val="bottom"/>
            <w:hideMark/>
          </w:tcPr>
          <w:p w:rsidR="00D10E2A" w:rsidRPr="00D10E2A" w:rsidRDefault="00D10E2A" w:rsidP="00D10E2A">
            <w:pPr>
              <w:suppressAutoHyphens w:val="0"/>
              <w:jc w:val="right"/>
              <w:rPr>
                <w:rFonts w:ascii="Calibri" w:hAnsi="Calibri" w:cs="Calibri"/>
                <w:sz w:val="20"/>
                <w:szCs w:val="20"/>
                <w:lang w:eastAsia="en-GB"/>
              </w:rPr>
            </w:pPr>
            <w:r w:rsidRPr="00D10E2A">
              <w:rPr>
                <w:rFonts w:ascii="Calibri" w:hAnsi="Calibri" w:cs="Calibri"/>
                <w:sz w:val="20"/>
                <w:szCs w:val="20"/>
                <w:lang w:eastAsia="en-GB"/>
              </w:rPr>
              <w:t>5.8%</w:t>
            </w:r>
          </w:p>
        </w:tc>
      </w:tr>
      <w:tr w:rsidR="00D10E2A" w:rsidRPr="00D10E2A" w:rsidTr="00D10E2A">
        <w:trPr>
          <w:trHeight w:val="285"/>
        </w:trPr>
        <w:tc>
          <w:tcPr>
            <w:tcW w:w="4856" w:type="dxa"/>
            <w:tcBorders>
              <w:top w:val="nil"/>
              <w:left w:val="nil"/>
              <w:bottom w:val="nil"/>
              <w:right w:val="nil"/>
            </w:tcBorders>
            <w:shd w:val="clear" w:color="auto" w:fill="auto"/>
            <w:noWrap/>
            <w:vAlign w:val="bottom"/>
            <w:hideMark/>
          </w:tcPr>
          <w:p w:rsidR="00D10E2A" w:rsidRPr="00D10E2A" w:rsidRDefault="00D10E2A" w:rsidP="00D10E2A">
            <w:pPr>
              <w:suppressAutoHyphens w:val="0"/>
              <w:ind w:firstLineChars="100" w:firstLine="200"/>
              <w:rPr>
                <w:rFonts w:ascii="Calibri" w:hAnsi="Calibri" w:cs="Calibri"/>
                <w:i/>
                <w:iCs/>
                <w:sz w:val="20"/>
                <w:szCs w:val="20"/>
                <w:lang w:eastAsia="en-GB"/>
              </w:rPr>
            </w:pPr>
            <w:r w:rsidRPr="00D10E2A">
              <w:rPr>
                <w:rFonts w:ascii="Calibri" w:hAnsi="Calibri" w:cs="Calibri"/>
                <w:i/>
                <w:iCs/>
                <w:sz w:val="20"/>
                <w:szCs w:val="20"/>
                <w:lang w:eastAsia="en-GB"/>
              </w:rPr>
              <w:t>Human health and social work activities</w:t>
            </w:r>
          </w:p>
        </w:tc>
        <w:tc>
          <w:tcPr>
            <w:tcW w:w="1538" w:type="dxa"/>
            <w:tcBorders>
              <w:top w:val="nil"/>
              <w:left w:val="nil"/>
              <w:bottom w:val="nil"/>
              <w:right w:val="nil"/>
            </w:tcBorders>
            <w:shd w:val="clear" w:color="auto" w:fill="auto"/>
            <w:noWrap/>
            <w:vAlign w:val="bottom"/>
            <w:hideMark/>
          </w:tcPr>
          <w:p w:rsidR="00D10E2A" w:rsidRPr="00D10E2A" w:rsidRDefault="00D10E2A" w:rsidP="00D10E2A">
            <w:pPr>
              <w:suppressAutoHyphens w:val="0"/>
              <w:jc w:val="right"/>
              <w:rPr>
                <w:rFonts w:ascii="Calibri" w:hAnsi="Calibri" w:cs="Calibri"/>
                <w:sz w:val="20"/>
                <w:szCs w:val="20"/>
                <w:lang w:eastAsia="en-GB"/>
              </w:rPr>
            </w:pPr>
            <w:r w:rsidRPr="00D10E2A">
              <w:rPr>
                <w:rFonts w:ascii="Calibri" w:hAnsi="Calibri" w:cs="Calibri"/>
                <w:sz w:val="20"/>
                <w:szCs w:val="20"/>
                <w:lang w:eastAsia="en-GB"/>
              </w:rPr>
              <w:t>1,256</w:t>
            </w:r>
          </w:p>
        </w:tc>
        <w:tc>
          <w:tcPr>
            <w:tcW w:w="1276" w:type="dxa"/>
            <w:tcBorders>
              <w:top w:val="nil"/>
              <w:left w:val="nil"/>
              <w:bottom w:val="nil"/>
              <w:right w:val="nil"/>
            </w:tcBorders>
            <w:shd w:val="clear" w:color="auto" w:fill="auto"/>
            <w:noWrap/>
            <w:vAlign w:val="bottom"/>
            <w:hideMark/>
          </w:tcPr>
          <w:p w:rsidR="00D10E2A" w:rsidRPr="00D10E2A" w:rsidRDefault="00D10E2A" w:rsidP="00D10E2A">
            <w:pPr>
              <w:suppressAutoHyphens w:val="0"/>
              <w:jc w:val="right"/>
              <w:rPr>
                <w:rFonts w:ascii="Calibri" w:hAnsi="Calibri" w:cs="Calibri"/>
                <w:sz w:val="20"/>
                <w:szCs w:val="20"/>
                <w:lang w:eastAsia="en-GB"/>
              </w:rPr>
            </w:pPr>
            <w:r w:rsidRPr="00D10E2A">
              <w:rPr>
                <w:rFonts w:ascii="Calibri" w:hAnsi="Calibri" w:cs="Calibri"/>
                <w:sz w:val="20"/>
                <w:szCs w:val="20"/>
                <w:lang w:eastAsia="en-GB"/>
              </w:rPr>
              <w:t>5.9%</w:t>
            </w:r>
          </w:p>
        </w:tc>
      </w:tr>
      <w:tr w:rsidR="00D10E2A" w:rsidRPr="00D10E2A" w:rsidTr="00D10E2A">
        <w:trPr>
          <w:trHeight w:val="285"/>
        </w:trPr>
        <w:tc>
          <w:tcPr>
            <w:tcW w:w="4856" w:type="dxa"/>
            <w:tcBorders>
              <w:top w:val="nil"/>
              <w:left w:val="nil"/>
              <w:bottom w:val="nil"/>
              <w:right w:val="nil"/>
            </w:tcBorders>
            <w:shd w:val="clear" w:color="auto" w:fill="auto"/>
            <w:noWrap/>
            <w:vAlign w:val="bottom"/>
            <w:hideMark/>
          </w:tcPr>
          <w:p w:rsidR="00D10E2A" w:rsidRPr="00D10E2A" w:rsidRDefault="00D10E2A" w:rsidP="00D10E2A">
            <w:pPr>
              <w:suppressAutoHyphens w:val="0"/>
              <w:ind w:firstLineChars="100" w:firstLine="200"/>
              <w:rPr>
                <w:rFonts w:ascii="Calibri" w:hAnsi="Calibri" w:cs="Calibri"/>
                <w:i/>
                <w:iCs/>
                <w:sz w:val="20"/>
                <w:szCs w:val="20"/>
                <w:lang w:eastAsia="en-GB"/>
              </w:rPr>
            </w:pPr>
            <w:r w:rsidRPr="00D10E2A">
              <w:rPr>
                <w:rFonts w:ascii="Calibri" w:hAnsi="Calibri" w:cs="Calibri"/>
                <w:i/>
                <w:iCs/>
                <w:sz w:val="20"/>
                <w:szCs w:val="20"/>
                <w:lang w:eastAsia="en-GB"/>
              </w:rPr>
              <w:t>Water, sewerage, waste management and remediation activities</w:t>
            </w:r>
          </w:p>
        </w:tc>
        <w:tc>
          <w:tcPr>
            <w:tcW w:w="1538" w:type="dxa"/>
            <w:tcBorders>
              <w:top w:val="nil"/>
              <w:left w:val="nil"/>
              <w:bottom w:val="nil"/>
              <w:right w:val="nil"/>
            </w:tcBorders>
            <w:shd w:val="clear" w:color="auto" w:fill="auto"/>
            <w:noWrap/>
            <w:vAlign w:val="bottom"/>
            <w:hideMark/>
          </w:tcPr>
          <w:p w:rsidR="00D10E2A" w:rsidRPr="00D10E2A" w:rsidRDefault="00D10E2A" w:rsidP="00D10E2A">
            <w:pPr>
              <w:suppressAutoHyphens w:val="0"/>
              <w:jc w:val="right"/>
              <w:rPr>
                <w:rFonts w:ascii="Calibri" w:hAnsi="Calibri" w:cs="Calibri"/>
                <w:sz w:val="20"/>
                <w:szCs w:val="20"/>
                <w:lang w:eastAsia="en-GB"/>
              </w:rPr>
            </w:pPr>
            <w:r w:rsidRPr="00D10E2A">
              <w:rPr>
                <w:rFonts w:ascii="Calibri" w:hAnsi="Calibri" w:cs="Calibri"/>
                <w:sz w:val="20"/>
                <w:szCs w:val="20"/>
                <w:lang w:eastAsia="en-GB"/>
              </w:rPr>
              <w:t>25</w:t>
            </w:r>
          </w:p>
        </w:tc>
        <w:tc>
          <w:tcPr>
            <w:tcW w:w="1276" w:type="dxa"/>
            <w:tcBorders>
              <w:top w:val="nil"/>
              <w:left w:val="nil"/>
              <w:bottom w:val="nil"/>
              <w:right w:val="nil"/>
            </w:tcBorders>
            <w:shd w:val="clear" w:color="auto" w:fill="auto"/>
            <w:noWrap/>
            <w:vAlign w:val="bottom"/>
            <w:hideMark/>
          </w:tcPr>
          <w:p w:rsidR="00D10E2A" w:rsidRPr="00D10E2A" w:rsidRDefault="00D10E2A" w:rsidP="00D10E2A">
            <w:pPr>
              <w:suppressAutoHyphens w:val="0"/>
              <w:jc w:val="right"/>
              <w:rPr>
                <w:rFonts w:ascii="Calibri" w:hAnsi="Calibri" w:cs="Calibri"/>
                <w:sz w:val="20"/>
                <w:szCs w:val="20"/>
                <w:lang w:eastAsia="en-GB"/>
              </w:rPr>
            </w:pPr>
            <w:r w:rsidRPr="00D10E2A">
              <w:rPr>
                <w:rFonts w:ascii="Calibri" w:hAnsi="Calibri" w:cs="Calibri"/>
                <w:sz w:val="20"/>
                <w:szCs w:val="20"/>
                <w:lang w:eastAsia="en-GB"/>
              </w:rPr>
              <w:t>1.6%</w:t>
            </w:r>
          </w:p>
        </w:tc>
      </w:tr>
    </w:tbl>
    <w:p w:rsidR="00D10E2A" w:rsidRDefault="00D10E2A">
      <w:pPr>
        <w:autoSpaceDE w:val="0"/>
      </w:pPr>
      <w:r>
        <w:t xml:space="preserve">Sources: Eurostat database Employment </w:t>
      </w:r>
      <w:r w:rsidRPr="00D10E2A">
        <w:t>(lfsq_egan2</w:t>
      </w:r>
      <w:r>
        <w:t xml:space="preserve">, </w:t>
      </w:r>
      <w:proofErr w:type="spellStart"/>
      <w:r w:rsidRPr="00D10E2A">
        <w:t>lfsq_egana</w:t>
      </w:r>
      <w:proofErr w:type="spellEnd"/>
      <w:r>
        <w:t xml:space="preserve">) downloaded 08/07/2011 </w:t>
      </w:r>
      <w:hyperlink r:id="rId30" w:history="1">
        <w:r w:rsidRPr="000B1307">
          <w:rPr>
            <w:rStyle w:val="Hyperlink"/>
          </w:rPr>
          <w:t>http://epp.eurostat.ec.europa.eu/portal/page/portal/employment_unemployment_lfs/data/database</w:t>
        </w:r>
      </w:hyperlink>
      <w:r>
        <w:t xml:space="preserve"> </w:t>
      </w:r>
    </w:p>
    <w:p w:rsidR="00D10E2A" w:rsidRDefault="00D10E2A">
      <w:pPr>
        <w:autoSpaceDE w:val="0"/>
      </w:pPr>
    </w:p>
    <w:p w:rsidR="007F1D73" w:rsidRDefault="007F1D73">
      <w:pPr>
        <w:pStyle w:val="Heading2"/>
      </w:pPr>
      <w:bookmarkStart w:id="51" w:name="__RefHeading__2509_5168522"/>
      <w:bookmarkStart w:id="52" w:name="_Toc297975184"/>
      <w:bookmarkEnd w:id="51"/>
      <w:r>
        <w:t>Greece</w:t>
      </w:r>
      <w:bookmarkEnd w:id="52"/>
    </w:p>
    <w:p w:rsidR="009C5E23" w:rsidRDefault="009C5E23" w:rsidP="009C5E23">
      <w:pPr>
        <w:pStyle w:val="Heading3"/>
      </w:pPr>
      <w:bookmarkStart w:id="53" w:name="_Toc297975185"/>
      <w:r>
        <w:t>The 2010 and 2011 packages</w:t>
      </w:r>
      <w:bookmarkEnd w:id="53"/>
    </w:p>
    <w:p w:rsidR="009C5E23" w:rsidRDefault="007F1D73" w:rsidP="007F1D73">
      <w:pPr>
        <w:pStyle w:val="ListParagraph"/>
        <w:suppressAutoHyphens w:val="0"/>
        <w:ind w:left="0"/>
        <w:contextualSpacing/>
        <w:rPr>
          <w:bCs/>
          <w:szCs w:val="22"/>
        </w:rPr>
      </w:pPr>
      <w:r>
        <w:t xml:space="preserve">Between February and July 2010, the government of Greece adopted a series of packages of cuts in public spending which cuts in earnings for all public sector employees. These were connected with the agreement in March 2010 by the EC, the IMF, and the European Central Bank on a support package for Greece which included a ‘Memorandum of understanding’ on economic and fiscal policies. </w:t>
      </w:r>
      <w:r>
        <w:rPr>
          <w:rStyle w:val="EndnoteReference"/>
        </w:rPr>
        <w:endnoteReference w:id="18"/>
      </w:r>
      <w:r>
        <w:t xml:space="preserve">  The effects were summarised by the ETUI: “</w:t>
      </w:r>
      <w:r>
        <w:rPr>
          <w:lang w:eastAsia="en-US"/>
        </w:rPr>
        <w:t>It is estimated that cuts in wages and bonuses will result in a de facto loss of income for public sector workers of 12 to 20%.  Trade unions strongly rejected the ‘emergency package’ and repeatedly took industrial action, including several general strikes in 2010, with the most recent in October.” (</w:t>
      </w:r>
      <w:r w:rsidRPr="00F9007D">
        <w:rPr>
          <w:szCs w:val="22"/>
        </w:rPr>
        <w:t xml:space="preserve">ETUI 2010 Vera </w:t>
      </w:r>
      <w:proofErr w:type="spellStart"/>
      <w:r w:rsidRPr="00F9007D">
        <w:rPr>
          <w:szCs w:val="22"/>
        </w:rPr>
        <w:t>Glassner</w:t>
      </w:r>
      <w:proofErr w:type="spellEnd"/>
      <w:r w:rsidRPr="00F9007D">
        <w:rPr>
          <w:szCs w:val="22"/>
          <w:lang w:eastAsia="en-US"/>
        </w:rPr>
        <w:t xml:space="preserve"> </w:t>
      </w:r>
      <w:hyperlink r:id="rId31" w:history="1">
        <w:r w:rsidRPr="00F9007D">
          <w:rPr>
            <w:rStyle w:val="Hyperlink"/>
            <w:szCs w:val="22"/>
          </w:rPr>
          <w:t>The public sector in the crisis</w:t>
        </w:r>
      </w:hyperlink>
      <w:r w:rsidRPr="00F9007D">
        <w:rPr>
          <w:szCs w:val="22"/>
          <w:lang w:eastAsia="en-US"/>
        </w:rPr>
        <w:t xml:space="preserve"> </w:t>
      </w:r>
      <w:r w:rsidRPr="00F9007D">
        <w:rPr>
          <w:bCs/>
          <w:szCs w:val="22"/>
        </w:rPr>
        <w:t>Working Paper 2010.07</w:t>
      </w:r>
      <w:r w:rsidR="009C5E23">
        <w:rPr>
          <w:bCs/>
          <w:szCs w:val="22"/>
        </w:rPr>
        <w:t>)</w:t>
      </w:r>
    </w:p>
    <w:p w:rsidR="009C5E23" w:rsidRDefault="009C5E23" w:rsidP="007F1D73">
      <w:pPr>
        <w:pStyle w:val="ListParagraph"/>
        <w:suppressAutoHyphens w:val="0"/>
        <w:ind w:left="0"/>
        <w:contextualSpacing/>
        <w:rPr>
          <w:bCs/>
          <w:szCs w:val="22"/>
        </w:rPr>
      </w:pPr>
    </w:p>
    <w:p w:rsidR="009C5E23" w:rsidRDefault="009C5E23" w:rsidP="009C5E23">
      <w:pPr>
        <w:rPr>
          <w:lang w:eastAsia="en-US"/>
        </w:rPr>
      </w:pPr>
      <w:r>
        <w:rPr>
          <w:lang w:eastAsia="en-US"/>
        </w:rPr>
        <w:t>In June 2011 the Greek government agreed to impose a set of cuts required by the European Commission and the IMF as a condition for supporting the value of Greek sovereign debt.  In total, this and the previous package amount to a re-adjustment of 15% of GDP</w:t>
      </w:r>
    </w:p>
    <w:p w:rsidR="009C5E23" w:rsidRDefault="009C5E23" w:rsidP="009C5E23">
      <w:pPr>
        <w:pStyle w:val="Heading7"/>
        <w:numPr>
          <w:ilvl w:val="0"/>
          <w:numId w:val="35"/>
        </w:numPr>
        <w:suppressAutoHyphens w:val="0"/>
      </w:pPr>
      <w:bookmarkStart w:id="54" w:name="_Toc297975186"/>
      <w:r>
        <w:t>Impact of cuts and tax rises as % of GDP 2011 package</w:t>
      </w:r>
      <w:bookmarkEnd w:id="54"/>
    </w:p>
    <w:p w:rsidR="009C5E23" w:rsidRDefault="009C5E23" w:rsidP="009C5E23">
      <w:pPr>
        <w:rPr>
          <w:lang w:eastAsia="en-US"/>
        </w:rPr>
      </w:pPr>
      <w:proofErr w:type="gramStart"/>
      <w:r w:rsidRPr="009C5E23">
        <w:rPr>
          <w:rFonts w:ascii="Calibri" w:hAnsi="Calibri"/>
          <w:sz w:val="20"/>
          <w:szCs w:val="20"/>
        </w:rPr>
        <w:t>cumulative</w:t>
      </w:r>
      <w:proofErr w:type="gramEnd"/>
      <w:r w:rsidRPr="009C5E23">
        <w:rPr>
          <w:rFonts w:ascii="Calibri" w:hAnsi="Calibri"/>
          <w:sz w:val="20"/>
          <w:szCs w:val="20"/>
        </w:rPr>
        <w:t xml:space="preserve"> impact as % of GDP by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685"/>
        <w:gridCol w:w="1952"/>
      </w:tblGrid>
      <w:tr w:rsidR="009C5E23" w:rsidRPr="002D7EDA" w:rsidTr="009C5E23">
        <w:trPr>
          <w:trHeight w:val="101"/>
        </w:trPr>
        <w:tc>
          <w:tcPr>
            <w:tcW w:w="1526" w:type="dxa"/>
          </w:tcPr>
          <w:p w:rsidR="009C5E23" w:rsidRPr="009C5E23" w:rsidRDefault="009C5E23" w:rsidP="009C5E23">
            <w:pPr>
              <w:jc w:val="right"/>
              <w:rPr>
                <w:rFonts w:ascii="Calibri" w:hAnsi="Calibri"/>
                <w:b/>
                <w:bCs/>
                <w:sz w:val="20"/>
                <w:szCs w:val="20"/>
              </w:rPr>
            </w:pPr>
          </w:p>
        </w:tc>
        <w:tc>
          <w:tcPr>
            <w:tcW w:w="3685" w:type="dxa"/>
          </w:tcPr>
          <w:p w:rsidR="009C5E23" w:rsidRPr="009C5E23" w:rsidRDefault="009C5E23" w:rsidP="009C5E23">
            <w:pPr>
              <w:rPr>
                <w:rFonts w:ascii="Calibri" w:hAnsi="Calibri"/>
                <w:b/>
                <w:sz w:val="20"/>
                <w:szCs w:val="20"/>
              </w:rPr>
            </w:pPr>
          </w:p>
        </w:tc>
        <w:tc>
          <w:tcPr>
            <w:tcW w:w="1952" w:type="dxa"/>
          </w:tcPr>
          <w:p w:rsidR="009C5E23" w:rsidRPr="009C5E23" w:rsidRDefault="009C5E23" w:rsidP="009C5E23">
            <w:pPr>
              <w:jc w:val="right"/>
              <w:rPr>
                <w:rFonts w:ascii="Calibri" w:hAnsi="Calibri"/>
                <w:b/>
                <w:sz w:val="20"/>
                <w:szCs w:val="20"/>
              </w:rPr>
            </w:pPr>
            <w:r w:rsidRPr="009C5E23">
              <w:rPr>
                <w:rFonts w:ascii="Calibri" w:hAnsi="Calibri"/>
                <w:b/>
                <w:sz w:val="20"/>
                <w:szCs w:val="20"/>
              </w:rPr>
              <w:t xml:space="preserve">change by 2014 as % of GDP </w:t>
            </w:r>
          </w:p>
        </w:tc>
      </w:tr>
      <w:tr w:rsidR="009C5E23" w:rsidRPr="0095538D" w:rsidTr="009C5E23">
        <w:trPr>
          <w:trHeight w:val="190"/>
        </w:trPr>
        <w:tc>
          <w:tcPr>
            <w:tcW w:w="1526" w:type="dxa"/>
          </w:tcPr>
          <w:p w:rsidR="009C5E23" w:rsidRPr="009C5E23" w:rsidRDefault="009C5E23" w:rsidP="009C5E23">
            <w:pPr>
              <w:jc w:val="right"/>
              <w:rPr>
                <w:rFonts w:ascii="Calibri" w:hAnsi="Calibri"/>
                <w:b/>
                <w:bCs/>
                <w:sz w:val="20"/>
                <w:szCs w:val="20"/>
              </w:rPr>
            </w:pPr>
            <w:r w:rsidRPr="009C5E23">
              <w:rPr>
                <w:rFonts w:ascii="Calibri" w:hAnsi="Calibri"/>
                <w:b/>
                <w:bCs/>
                <w:sz w:val="20"/>
                <w:szCs w:val="20"/>
              </w:rPr>
              <w:t xml:space="preserve">Total </w:t>
            </w:r>
          </w:p>
        </w:tc>
        <w:tc>
          <w:tcPr>
            <w:tcW w:w="3685" w:type="dxa"/>
            <w:vAlign w:val="center"/>
          </w:tcPr>
          <w:p w:rsidR="009C5E23" w:rsidRPr="009C5E23" w:rsidRDefault="009C5E23" w:rsidP="009C5E23">
            <w:pPr>
              <w:rPr>
                <w:rFonts w:ascii="Calibri" w:hAnsi="Calibri"/>
                <w:sz w:val="20"/>
                <w:szCs w:val="20"/>
              </w:rPr>
            </w:pPr>
          </w:p>
        </w:tc>
        <w:tc>
          <w:tcPr>
            <w:tcW w:w="1952" w:type="dxa"/>
            <w:vAlign w:val="center"/>
          </w:tcPr>
          <w:p w:rsidR="009C5E23" w:rsidRPr="009C5E23" w:rsidRDefault="009C5E23" w:rsidP="009C5E23">
            <w:pPr>
              <w:jc w:val="right"/>
              <w:rPr>
                <w:rFonts w:ascii="Calibri" w:hAnsi="Calibri"/>
                <w:sz w:val="20"/>
                <w:szCs w:val="20"/>
              </w:rPr>
            </w:pPr>
            <w:r w:rsidRPr="009C5E23">
              <w:rPr>
                <w:rFonts w:ascii="Calibri" w:hAnsi="Calibri"/>
                <w:bCs/>
                <w:sz w:val="20"/>
                <w:szCs w:val="20"/>
              </w:rPr>
              <w:t xml:space="preserve">10.5 </w:t>
            </w:r>
          </w:p>
        </w:tc>
      </w:tr>
      <w:tr w:rsidR="009C5E23" w:rsidRPr="0095538D" w:rsidTr="009C5E23">
        <w:trPr>
          <w:trHeight w:val="186"/>
        </w:trPr>
        <w:tc>
          <w:tcPr>
            <w:tcW w:w="1526" w:type="dxa"/>
          </w:tcPr>
          <w:p w:rsidR="009C5E23" w:rsidRPr="009C5E23" w:rsidRDefault="009C5E23" w:rsidP="009C5E23">
            <w:pPr>
              <w:jc w:val="right"/>
              <w:rPr>
                <w:rFonts w:ascii="Calibri" w:hAnsi="Calibri"/>
                <w:b/>
                <w:sz w:val="20"/>
                <w:szCs w:val="20"/>
              </w:rPr>
            </w:pPr>
            <w:r w:rsidRPr="009C5E23">
              <w:rPr>
                <w:rFonts w:ascii="Calibri" w:hAnsi="Calibri"/>
                <w:b/>
                <w:sz w:val="20"/>
                <w:szCs w:val="20"/>
              </w:rPr>
              <w:t>Spending cuts</w:t>
            </w:r>
          </w:p>
        </w:tc>
        <w:tc>
          <w:tcPr>
            <w:tcW w:w="3685" w:type="dxa"/>
            <w:vAlign w:val="center"/>
          </w:tcPr>
          <w:p w:rsidR="009C5E23" w:rsidRPr="009C5E23" w:rsidRDefault="009C5E23" w:rsidP="009C5E23">
            <w:pPr>
              <w:rPr>
                <w:rFonts w:ascii="Calibri" w:hAnsi="Calibri"/>
                <w:bCs/>
                <w:sz w:val="20"/>
                <w:szCs w:val="20"/>
              </w:rPr>
            </w:pPr>
          </w:p>
        </w:tc>
        <w:tc>
          <w:tcPr>
            <w:tcW w:w="1952" w:type="dxa"/>
            <w:vAlign w:val="center"/>
          </w:tcPr>
          <w:p w:rsidR="009C5E23" w:rsidRPr="009C5E23" w:rsidRDefault="009C5E23" w:rsidP="009C5E23">
            <w:pPr>
              <w:jc w:val="right"/>
              <w:rPr>
                <w:rFonts w:ascii="Calibri" w:hAnsi="Calibri"/>
                <w:sz w:val="20"/>
                <w:szCs w:val="20"/>
              </w:rPr>
            </w:pPr>
          </w:p>
        </w:tc>
      </w:tr>
      <w:tr w:rsidR="009C5E23" w:rsidRPr="0095538D" w:rsidTr="009C5E23">
        <w:trPr>
          <w:trHeight w:val="162"/>
        </w:trPr>
        <w:tc>
          <w:tcPr>
            <w:tcW w:w="1526" w:type="dxa"/>
          </w:tcPr>
          <w:p w:rsidR="009C5E23" w:rsidRPr="009C5E23" w:rsidRDefault="009C5E23" w:rsidP="009C5E23">
            <w:pPr>
              <w:jc w:val="right"/>
              <w:rPr>
                <w:rFonts w:ascii="Calibri" w:hAnsi="Calibri"/>
                <w:b/>
                <w:sz w:val="20"/>
                <w:szCs w:val="20"/>
              </w:rPr>
            </w:pPr>
          </w:p>
        </w:tc>
        <w:tc>
          <w:tcPr>
            <w:tcW w:w="3685" w:type="dxa"/>
            <w:vAlign w:val="center"/>
          </w:tcPr>
          <w:p w:rsidR="009C5E23" w:rsidRPr="009C5E23" w:rsidRDefault="009C5E23" w:rsidP="009C5E23">
            <w:pPr>
              <w:rPr>
                <w:rFonts w:ascii="Calibri" w:hAnsi="Calibri"/>
                <w:sz w:val="20"/>
                <w:szCs w:val="20"/>
              </w:rPr>
            </w:pPr>
            <w:r w:rsidRPr="009C5E23">
              <w:rPr>
                <w:rFonts w:ascii="Calibri" w:hAnsi="Calibri"/>
                <w:bCs/>
                <w:sz w:val="20"/>
                <w:szCs w:val="20"/>
              </w:rPr>
              <w:t xml:space="preserve">Social benefits </w:t>
            </w:r>
          </w:p>
        </w:tc>
        <w:tc>
          <w:tcPr>
            <w:tcW w:w="1952" w:type="dxa"/>
            <w:vAlign w:val="center"/>
          </w:tcPr>
          <w:p w:rsidR="009C5E23" w:rsidRPr="009C5E23" w:rsidRDefault="009C5E23" w:rsidP="009C5E23">
            <w:pPr>
              <w:jc w:val="right"/>
              <w:rPr>
                <w:rFonts w:ascii="Calibri" w:hAnsi="Calibri"/>
                <w:sz w:val="20"/>
                <w:szCs w:val="20"/>
              </w:rPr>
            </w:pPr>
            <w:r w:rsidRPr="009C5E23">
              <w:rPr>
                <w:rFonts w:ascii="Calibri" w:hAnsi="Calibri"/>
                <w:sz w:val="20"/>
                <w:szCs w:val="20"/>
              </w:rPr>
              <w:t xml:space="preserve">1.9 </w:t>
            </w:r>
          </w:p>
        </w:tc>
      </w:tr>
      <w:tr w:rsidR="009C5E23" w:rsidRPr="0095538D" w:rsidTr="009C5E23">
        <w:trPr>
          <w:trHeight w:val="186"/>
        </w:trPr>
        <w:tc>
          <w:tcPr>
            <w:tcW w:w="1526" w:type="dxa"/>
          </w:tcPr>
          <w:p w:rsidR="009C5E23" w:rsidRPr="009C5E23" w:rsidRDefault="009C5E23" w:rsidP="009C5E23">
            <w:pPr>
              <w:jc w:val="right"/>
              <w:rPr>
                <w:rFonts w:ascii="Calibri" w:hAnsi="Calibri"/>
                <w:b/>
                <w:sz w:val="20"/>
                <w:szCs w:val="20"/>
              </w:rPr>
            </w:pPr>
          </w:p>
        </w:tc>
        <w:tc>
          <w:tcPr>
            <w:tcW w:w="3685" w:type="dxa"/>
            <w:vAlign w:val="center"/>
          </w:tcPr>
          <w:p w:rsidR="009C5E23" w:rsidRPr="009C5E23" w:rsidRDefault="009C5E23" w:rsidP="009C5E23">
            <w:pPr>
              <w:rPr>
                <w:rFonts w:ascii="Calibri" w:hAnsi="Calibri"/>
                <w:bCs/>
                <w:sz w:val="20"/>
                <w:szCs w:val="20"/>
              </w:rPr>
            </w:pPr>
          </w:p>
        </w:tc>
        <w:tc>
          <w:tcPr>
            <w:tcW w:w="1952" w:type="dxa"/>
            <w:vAlign w:val="center"/>
          </w:tcPr>
          <w:p w:rsidR="009C5E23" w:rsidRPr="009C5E23" w:rsidRDefault="009C5E23" w:rsidP="009C5E23">
            <w:pPr>
              <w:jc w:val="right"/>
              <w:rPr>
                <w:rFonts w:ascii="Calibri" w:hAnsi="Calibri"/>
                <w:sz w:val="20"/>
                <w:szCs w:val="20"/>
              </w:rPr>
            </w:pPr>
          </w:p>
        </w:tc>
      </w:tr>
      <w:tr w:rsidR="009C5E23" w:rsidRPr="0095538D" w:rsidTr="009C5E23">
        <w:trPr>
          <w:trHeight w:val="186"/>
        </w:trPr>
        <w:tc>
          <w:tcPr>
            <w:tcW w:w="1526" w:type="dxa"/>
          </w:tcPr>
          <w:p w:rsidR="009C5E23" w:rsidRPr="009C5E23" w:rsidRDefault="009C5E23" w:rsidP="009C5E23">
            <w:pPr>
              <w:jc w:val="right"/>
              <w:rPr>
                <w:rFonts w:ascii="Calibri" w:hAnsi="Calibri"/>
                <w:b/>
                <w:sz w:val="20"/>
                <w:szCs w:val="20"/>
              </w:rPr>
            </w:pPr>
          </w:p>
        </w:tc>
        <w:tc>
          <w:tcPr>
            <w:tcW w:w="3685" w:type="dxa"/>
            <w:vAlign w:val="center"/>
          </w:tcPr>
          <w:p w:rsidR="009C5E23" w:rsidRPr="009C5E23" w:rsidRDefault="009C5E23" w:rsidP="009C5E23">
            <w:pPr>
              <w:rPr>
                <w:rFonts w:ascii="Calibri" w:hAnsi="Calibri"/>
                <w:sz w:val="20"/>
                <w:szCs w:val="20"/>
              </w:rPr>
            </w:pPr>
            <w:r w:rsidRPr="009C5E23">
              <w:rPr>
                <w:rFonts w:ascii="Calibri" w:hAnsi="Calibri"/>
                <w:bCs/>
                <w:sz w:val="20"/>
                <w:szCs w:val="20"/>
              </w:rPr>
              <w:t xml:space="preserve">Wage bill </w:t>
            </w:r>
          </w:p>
        </w:tc>
        <w:tc>
          <w:tcPr>
            <w:tcW w:w="1952" w:type="dxa"/>
            <w:vAlign w:val="center"/>
          </w:tcPr>
          <w:p w:rsidR="009C5E23" w:rsidRPr="009C5E23" w:rsidRDefault="009C5E23" w:rsidP="009C5E23">
            <w:pPr>
              <w:jc w:val="right"/>
              <w:rPr>
                <w:rFonts w:ascii="Calibri" w:hAnsi="Calibri"/>
                <w:sz w:val="20"/>
                <w:szCs w:val="20"/>
              </w:rPr>
            </w:pPr>
            <w:r w:rsidRPr="009C5E23">
              <w:rPr>
                <w:rFonts w:ascii="Calibri" w:hAnsi="Calibri"/>
                <w:sz w:val="20"/>
                <w:szCs w:val="20"/>
              </w:rPr>
              <w:t xml:space="preserve">0.9 </w:t>
            </w:r>
          </w:p>
        </w:tc>
      </w:tr>
      <w:tr w:rsidR="009C5E23" w:rsidRPr="0095538D" w:rsidTr="009C5E23">
        <w:trPr>
          <w:trHeight w:val="186"/>
        </w:trPr>
        <w:tc>
          <w:tcPr>
            <w:tcW w:w="1526" w:type="dxa"/>
          </w:tcPr>
          <w:p w:rsidR="009C5E23" w:rsidRPr="009C5E23" w:rsidRDefault="009C5E23" w:rsidP="009C5E23">
            <w:pPr>
              <w:jc w:val="right"/>
              <w:rPr>
                <w:rFonts w:ascii="Calibri" w:hAnsi="Calibri"/>
                <w:b/>
                <w:sz w:val="20"/>
                <w:szCs w:val="20"/>
              </w:rPr>
            </w:pPr>
          </w:p>
        </w:tc>
        <w:tc>
          <w:tcPr>
            <w:tcW w:w="3685" w:type="dxa"/>
            <w:vAlign w:val="center"/>
          </w:tcPr>
          <w:p w:rsidR="009C5E23" w:rsidRPr="009C5E23" w:rsidRDefault="009C5E23" w:rsidP="009C5E23">
            <w:pPr>
              <w:rPr>
                <w:rFonts w:ascii="Calibri" w:hAnsi="Calibri"/>
                <w:bCs/>
                <w:sz w:val="20"/>
                <w:szCs w:val="20"/>
              </w:rPr>
            </w:pPr>
          </w:p>
        </w:tc>
        <w:tc>
          <w:tcPr>
            <w:tcW w:w="1952" w:type="dxa"/>
            <w:vAlign w:val="center"/>
          </w:tcPr>
          <w:p w:rsidR="009C5E23" w:rsidRPr="009C5E23" w:rsidRDefault="009C5E23" w:rsidP="009C5E23">
            <w:pPr>
              <w:jc w:val="right"/>
              <w:rPr>
                <w:rFonts w:ascii="Calibri" w:hAnsi="Calibri"/>
                <w:sz w:val="20"/>
                <w:szCs w:val="20"/>
              </w:rPr>
            </w:pPr>
          </w:p>
        </w:tc>
      </w:tr>
      <w:tr w:rsidR="009C5E23" w:rsidRPr="0095538D" w:rsidTr="009C5E23">
        <w:trPr>
          <w:trHeight w:val="186"/>
        </w:trPr>
        <w:tc>
          <w:tcPr>
            <w:tcW w:w="1526" w:type="dxa"/>
          </w:tcPr>
          <w:p w:rsidR="009C5E23" w:rsidRPr="009C5E23" w:rsidRDefault="009C5E23" w:rsidP="009C5E23">
            <w:pPr>
              <w:jc w:val="right"/>
              <w:rPr>
                <w:rFonts w:ascii="Calibri" w:hAnsi="Calibri"/>
                <w:b/>
                <w:sz w:val="20"/>
                <w:szCs w:val="20"/>
              </w:rPr>
            </w:pPr>
          </w:p>
        </w:tc>
        <w:tc>
          <w:tcPr>
            <w:tcW w:w="3685" w:type="dxa"/>
            <w:vAlign w:val="center"/>
          </w:tcPr>
          <w:p w:rsidR="009C5E23" w:rsidRPr="009C5E23" w:rsidRDefault="009C5E23" w:rsidP="009C5E23">
            <w:pPr>
              <w:rPr>
                <w:rFonts w:ascii="Calibri" w:hAnsi="Calibri"/>
                <w:sz w:val="20"/>
                <w:szCs w:val="20"/>
              </w:rPr>
            </w:pPr>
            <w:r w:rsidRPr="009C5E23">
              <w:rPr>
                <w:rFonts w:ascii="Calibri" w:hAnsi="Calibri"/>
                <w:bCs/>
                <w:sz w:val="20"/>
                <w:szCs w:val="20"/>
              </w:rPr>
              <w:t xml:space="preserve">Pharmaceutical spending </w:t>
            </w:r>
          </w:p>
        </w:tc>
        <w:tc>
          <w:tcPr>
            <w:tcW w:w="1952" w:type="dxa"/>
            <w:vAlign w:val="center"/>
          </w:tcPr>
          <w:p w:rsidR="009C5E23" w:rsidRPr="009C5E23" w:rsidRDefault="009C5E23" w:rsidP="009C5E23">
            <w:pPr>
              <w:jc w:val="right"/>
              <w:rPr>
                <w:rFonts w:ascii="Calibri" w:hAnsi="Calibri"/>
                <w:sz w:val="20"/>
                <w:szCs w:val="20"/>
              </w:rPr>
            </w:pPr>
            <w:r w:rsidRPr="009C5E23">
              <w:rPr>
                <w:rFonts w:ascii="Calibri" w:hAnsi="Calibri"/>
                <w:sz w:val="20"/>
                <w:szCs w:val="20"/>
              </w:rPr>
              <w:t xml:space="preserve">0.5 </w:t>
            </w:r>
          </w:p>
        </w:tc>
      </w:tr>
      <w:tr w:rsidR="009C5E23" w:rsidRPr="0095538D" w:rsidTr="009C5E23">
        <w:trPr>
          <w:trHeight w:val="161"/>
        </w:trPr>
        <w:tc>
          <w:tcPr>
            <w:tcW w:w="1526" w:type="dxa"/>
          </w:tcPr>
          <w:p w:rsidR="009C5E23" w:rsidRPr="009C5E23" w:rsidRDefault="009C5E23" w:rsidP="009C5E23">
            <w:pPr>
              <w:jc w:val="right"/>
              <w:rPr>
                <w:rFonts w:ascii="Calibri" w:hAnsi="Calibri"/>
                <w:b/>
                <w:sz w:val="20"/>
                <w:szCs w:val="20"/>
              </w:rPr>
            </w:pPr>
          </w:p>
        </w:tc>
        <w:tc>
          <w:tcPr>
            <w:tcW w:w="3685" w:type="dxa"/>
            <w:vAlign w:val="center"/>
          </w:tcPr>
          <w:p w:rsidR="009C5E23" w:rsidRPr="009C5E23" w:rsidRDefault="009C5E23" w:rsidP="009C5E23">
            <w:pPr>
              <w:rPr>
                <w:rFonts w:ascii="Calibri" w:hAnsi="Calibri"/>
                <w:sz w:val="20"/>
                <w:szCs w:val="20"/>
              </w:rPr>
            </w:pPr>
            <w:r w:rsidRPr="009C5E23">
              <w:rPr>
                <w:rFonts w:ascii="Calibri" w:hAnsi="Calibri"/>
                <w:bCs/>
                <w:sz w:val="20"/>
                <w:szCs w:val="20"/>
              </w:rPr>
              <w:t xml:space="preserve">Health care </w:t>
            </w:r>
          </w:p>
        </w:tc>
        <w:tc>
          <w:tcPr>
            <w:tcW w:w="1952" w:type="dxa"/>
            <w:vAlign w:val="center"/>
          </w:tcPr>
          <w:p w:rsidR="009C5E23" w:rsidRPr="009C5E23" w:rsidRDefault="009C5E23" w:rsidP="009C5E23">
            <w:pPr>
              <w:jc w:val="right"/>
              <w:rPr>
                <w:rFonts w:ascii="Calibri" w:hAnsi="Calibri"/>
                <w:sz w:val="20"/>
                <w:szCs w:val="20"/>
              </w:rPr>
            </w:pPr>
            <w:r w:rsidRPr="009C5E23">
              <w:rPr>
                <w:rFonts w:ascii="Calibri" w:hAnsi="Calibri"/>
                <w:sz w:val="20"/>
                <w:szCs w:val="20"/>
              </w:rPr>
              <w:t xml:space="preserve">0.3 </w:t>
            </w:r>
          </w:p>
        </w:tc>
      </w:tr>
      <w:tr w:rsidR="009C5E23" w:rsidRPr="0095538D" w:rsidTr="009C5E23">
        <w:trPr>
          <w:trHeight w:val="177"/>
        </w:trPr>
        <w:tc>
          <w:tcPr>
            <w:tcW w:w="1526" w:type="dxa"/>
          </w:tcPr>
          <w:p w:rsidR="009C5E23" w:rsidRPr="009C5E23" w:rsidRDefault="009C5E23" w:rsidP="009C5E23">
            <w:pPr>
              <w:jc w:val="right"/>
              <w:rPr>
                <w:rFonts w:ascii="Calibri" w:hAnsi="Calibri"/>
                <w:b/>
                <w:sz w:val="20"/>
                <w:szCs w:val="20"/>
              </w:rPr>
            </w:pPr>
          </w:p>
        </w:tc>
        <w:tc>
          <w:tcPr>
            <w:tcW w:w="3685" w:type="dxa"/>
            <w:vAlign w:val="center"/>
          </w:tcPr>
          <w:p w:rsidR="009C5E23" w:rsidRPr="009C5E23" w:rsidRDefault="009C5E23" w:rsidP="009C5E23">
            <w:pPr>
              <w:rPr>
                <w:rFonts w:ascii="Calibri" w:hAnsi="Calibri"/>
                <w:bCs/>
                <w:sz w:val="20"/>
                <w:szCs w:val="20"/>
              </w:rPr>
            </w:pPr>
          </w:p>
        </w:tc>
        <w:tc>
          <w:tcPr>
            <w:tcW w:w="1952" w:type="dxa"/>
            <w:vAlign w:val="center"/>
          </w:tcPr>
          <w:p w:rsidR="009C5E23" w:rsidRPr="009C5E23" w:rsidRDefault="009C5E23" w:rsidP="009C5E23">
            <w:pPr>
              <w:jc w:val="right"/>
              <w:rPr>
                <w:rFonts w:ascii="Calibri" w:hAnsi="Calibri"/>
                <w:sz w:val="20"/>
                <w:szCs w:val="20"/>
              </w:rPr>
            </w:pPr>
          </w:p>
        </w:tc>
      </w:tr>
      <w:tr w:rsidR="009C5E23" w:rsidRPr="0095538D" w:rsidTr="009C5E23">
        <w:trPr>
          <w:trHeight w:val="177"/>
        </w:trPr>
        <w:tc>
          <w:tcPr>
            <w:tcW w:w="1526" w:type="dxa"/>
          </w:tcPr>
          <w:p w:rsidR="009C5E23" w:rsidRPr="009C5E23" w:rsidRDefault="009C5E23" w:rsidP="009C5E23">
            <w:pPr>
              <w:jc w:val="right"/>
              <w:rPr>
                <w:rFonts w:ascii="Calibri" w:hAnsi="Calibri"/>
                <w:b/>
                <w:sz w:val="20"/>
                <w:szCs w:val="20"/>
              </w:rPr>
            </w:pPr>
          </w:p>
        </w:tc>
        <w:tc>
          <w:tcPr>
            <w:tcW w:w="3685" w:type="dxa"/>
            <w:vAlign w:val="center"/>
          </w:tcPr>
          <w:p w:rsidR="009C5E23" w:rsidRPr="009C5E23" w:rsidRDefault="009C5E23" w:rsidP="009C5E23">
            <w:pPr>
              <w:rPr>
                <w:rFonts w:ascii="Calibri" w:hAnsi="Calibri"/>
                <w:sz w:val="20"/>
                <w:szCs w:val="20"/>
              </w:rPr>
            </w:pPr>
            <w:r w:rsidRPr="009C5E23">
              <w:rPr>
                <w:rFonts w:ascii="Calibri" w:hAnsi="Calibri"/>
                <w:bCs/>
                <w:sz w:val="20"/>
                <w:szCs w:val="20"/>
              </w:rPr>
              <w:t>Extra-budgetary funds  (finance for non-government agencies)</w:t>
            </w:r>
          </w:p>
        </w:tc>
        <w:tc>
          <w:tcPr>
            <w:tcW w:w="1952" w:type="dxa"/>
            <w:vAlign w:val="center"/>
          </w:tcPr>
          <w:p w:rsidR="009C5E23" w:rsidRPr="009C5E23" w:rsidRDefault="009C5E23" w:rsidP="009C5E23">
            <w:pPr>
              <w:jc w:val="right"/>
              <w:rPr>
                <w:rFonts w:ascii="Calibri" w:hAnsi="Calibri"/>
                <w:sz w:val="20"/>
                <w:szCs w:val="20"/>
              </w:rPr>
            </w:pPr>
            <w:r w:rsidRPr="009C5E23">
              <w:rPr>
                <w:rFonts w:ascii="Calibri" w:hAnsi="Calibri"/>
                <w:sz w:val="20"/>
                <w:szCs w:val="20"/>
              </w:rPr>
              <w:t xml:space="preserve">0.5 </w:t>
            </w:r>
          </w:p>
        </w:tc>
      </w:tr>
      <w:tr w:rsidR="009C5E23" w:rsidRPr="0095538D" w:rsidTr="009C5E23">
        <w:trPr>
          <w:trHeight w:val="173"/>
        </w:trPr>
        <w:tc>
          <w:tcPr>
            <w:tcW w:w="1526" w:type="dxa"/>
          </w:tcPr>
          <w:p w:rsidR="009C5E23" w:rsidRPr="009C5E23" w:rsidRDefault="009C5E23" w:rsidP="009C5E23">
            <w:pPr>
              <w:jc w:val="right"/>
              <w:rPr>
                <w:rFonts w:ascii="Calibri" w:hAnsi="Calibri"/>
                <w:b/>
                <w:sz w:val="20"/>
                <w:szCs w:val="20"/>
              </w:rPr>
            </w:pPr>
          </w:p>
        </w:tc>
        <w:tc>
          <w:tcPr>
            <w:tcW w:w="3685" w:type="dxa"/>
            <w:vAlign w:val="center"/>
          </w:tcPr>
          <w:p w:rsidR="009C5E23" w:rsidRPr="009C5E23" w:rsidRDefault="009C5E23" w:rsidP="009C5E23">
            <w:pPr>
              <w:rPr>
                <w:rFonts w:ascii="Calibri" w:hAnsi="Calibri"/>
                <w:sz w:val="20"/>
                <w:szCs w:val="20"/>
              </w:rPr>
            </w:pPr>
            <w:r w:rsidRPr="009C5E23">
              <w:rPr>
                <w:rFonts w:ascii="Calibri" w:hAnsi="Calibri"/>
                <w:bCs/>
                <w:sz w:val="20"/>
                <w:szCs w:val="20"/>
              </w:rPr>
              <w:t>Other expenditure (finance for local government)</w:t>
            </w:r>
          </w:p>
        </w:tc>
        <w:tc>
          <w:tcPr>
            <w:tcW w:w="1952" w:type="dxa"/>
            <w:vAlign w:val="center"/>
          </w:tcPr>
          <w:p w:rsidR="009C5E23" w:rsidRPr="009C5E23" w:rsidRDefault="009C5E23" w:rsidP="009C5E23">
            <w:pPr>
              <w:jc w:val="right"/>
              <w:rPr>
                <w:rFonts w:ascii="Calibri" w:hAnsi="Calibri"/>
                <w:sz w:val="20"/>
                <w:szCs w:val="20"/>
              </w:rPr>
            </w:pPr>
            <w:r w:rsidRPr="009C5E23">
              <w:rPr>
                <w:rFonts w:ascii="Calibri" w:hAnsi="Calibri"/>
                <w:sz w:val="20"/>
                <w:szCs w:val="20"/>
              </w:rPr>
              <w:t xml:space="preserve">0.4 </w:t>
            </w:r>
          </w:p>
        </w:tc>
      </w:tr>
      <w:tr w:rsidR="009C5E23" w:rsidRPr="0095538D" w:rsidTr="009C5E23">
        <w:trPr>
          <w:trHeight w:val="170"/>
        </w:trPr>
        <w:tc>
          <w:tcPr>
            <w:tcW w:w="1526" w:type="dxa"/>
          </w:tcPr>
          <w:p w:rsidR="009C5E23" w:rsidRPr="009C5E23" w:rsidRDefault="009C5E23" w:rsidP="009C5E23">
            <w:pPr>
              <w:jc w:val="right"/>
              <w:rPr>
                <w:rFonts w:ascii="Calibri" w:hAnsi="Calibri"/>
                <w:b/>
                <w:sz w:val="20"/>
                <w:szCs w:val="20"/>
              </w:rPr>
            </w:pPr>
          </w:p>
        </w:tc>
        <w:tc>
          <w:tcPr>
            <w:tcW w:w="3685" w:type="dxa"/>
            <w:vAlign w:val="center"/>
          </w:tcPr>
          <w:p w:rsidR="009C5E23" w:rsidRPr="009C5E23" w:rsidRDefault="009C5E23" w:rsidP="009C5E23">
            <w:pPr>
              <w:rPr>
                <w:rFonts w:ascii="Calibri" w:hAnsi="Calibri"/>
                <w:sz w:val="20"/>
                <w:szCs w:val="20"/>
              </w:rPr>
            </w:pPr>
            <w:r w:rsidRPr="009C5E23">
              <w:rPr>
                <w:rFonts w:ascii="Calibri" w:hAnsi="Calibri"/>
                <w:bCs/>
                <w:sz w:val="20"/>
                <w:szCs w:val="20"/>
              </w:rPr>
              <w:t>State-owned enterprises (subsidies)</w:t>
            </w:r>
          </w:p>
        </w:tc>
        <w:tc>
          <w:tcPr>
            <w:tcW w:w="1952" w:type="dxa"/>
            <w:vAlign w:val="center"/>
          </w:tcPr>
          <w:p w:rsidR="009C5E23" w:rsidRPr="009C5E23" w:rsidRDefault="009C5E23" w:rsidP="009C5E23">
            <w:pPr>
              <w:jc w:val="right"/>
              <w:rPr>
                <w:rFonts w:ascii="Calibri" w:hAnsi="Calibri"/>
                <w:sz w:val="20"/>
                <w:szCs w:val="20"/>
              </w:rPr>
            </w:pPr>
            <w:r w:rsidRPr="009C5E23">
              <w:rPr>
                <w:rFonts w:ascii="Calibri" w:hAnsi="Calibri"/>
                <w:sz w:val="20"/>
                <w:szCs w:val="20"/>
              </w:rPr>
              <w:t xml:space="preserve">0.4 </w:t>
            </w:r>
          </w:p>
        </w:tc>
      </w:tr>
      <w:tr w:rsidR="009C5E23" w:rsidRPr="0095538D" w:rsidTr="009C5E23">
        <w:trPr>
          <w:trHeight w:val="170"/>
        </w:trPr>
        <w:tc>
          <w:tcPr>
            <w:tcW w:w="1526" w:type="dxa"/>
          </w:tcPr>
          <w:p w:rsidR="009C5E23" w:rsidRPr="009C5E23" w:rsidRDefault="009C5E23" w:rsidP="009C5E23">
            <w:pPr>
              <w:jc w:val="right"/>
              <w:rPr>
                <w:rFonts w:ascii="Calibri" w:hAnsi="Calibri"/>
                <w:b/>
                <w:sz w:val="20"/>
                <w:szCs w:val="20"/>
              </w:rPr>
            </w:pPr>
          </w:p>
        </w:tc>
        <w:tc>
          <w:tcPr>
            <w:tcW w:w="3685" w:type="dxa"/>
            <w:vAlign w:val="center"/>
          </w:tcPr>
          <w:p w:rsidR="009C5E23" w:rsidRPr="009C5E23" w:rsidRDefault="009C5E23" w:rsidP="009C5E23">
            <w:pPr>
              <w:rPr>
                <w:rFonts w:ascii="Calibri" w:hAnsi="Calibri"/>
                <w:bCs/>
                <w:sz w:val="20"/>
                <w:szCs w:val="20"/>
              </w:rPr>
            </w:pPr>
          </w:p>
        </w:tc>
        <w:tc>
          <w:tcPr>
            <w:tcW w:w="1952" w:type="dxa"/>
            <w:vAlign w:val="center"/>
          </w:tcPr>
          <w:p w:rsidR="009C5E23" w:rsidRPr="009C5E23" w:rsidRDefault="009C5E23" w:rsidP="009C5E23">
            <w:pPr>
              <w:jc w:val="right"/>
              <w:rPr>
                <w:rFonts w:ascii="Calibri" w:hAnsi="Calibri"/>
                <w:sz w:val="20"/>
                <w:szCs w:val="20"/>
              </w:rPr>
            </w:pPr>
          </w:p>
        </w:tc>
      </w:tr>
      <w:tr w:rsidR="009C5E23" w:rsidRPr="0095538D" w:rsidTr="009C5E23">
        <w:trPr>
          <w:trHeight w:val="173"/>
        </w:trPr>
        <w:tc>
          <w:tcPr>
            <w:tcW w:w="1526" w:type="dxa"/>
          </w:tcPr>
          <w:p w:rsidR="009C5E23" w:rsidRPr="009C5E23" w:rsidRDefault="009C5E23" w:rsidP="009C5E23">
            <w:pPr>
              <w:jc w:val="right"/>
              <w:rPr>
                <w:rFonts w:ascii="Calibri" w:hAnsi="Calibri"/>
                <w:b/>
                <w:sz w:val="20"/>
                <w:szCs w:val="20"/>
              </w:rPr>
            </w:pPr>
          </w:p>
        </w:tc>
        <w:tc>
          <w:tcPr>
            <w:tcW w:w="3685" w:type="dxa"/>
            <w:vAlign w:val="center"/>
          </w:tcPr>
          <w:p w:rsidR="009C5E23" w:rsidRPr="009C5E23" w:rsidRDefault="009C5E23" w:rsidP="009C5E23">
            <w:pPr>
              <w:rPr>
                <w:rFonts w:ascii="Calibri" w:hAnsi="Calibri"/>
                <w:sz w:val="20"/>
                <w:szCs w:val="20"/>
              </w:rPr>
            </w:pPr>
            <w:r w:rsidRPr="009C5E23">
              <w:rPr>
                <w:rFonts w:ascii="Calibri" w:hAnsi="Calibri"/>
                <w:bCs/>
                <w:sz w:val="20"/>
                <w:szCs w:val="20"/>
              </w:rPr>
              <w:t xml:space="preserve">Operational expenses </w:t>
            </w:r>
          </w:p>
        </w:tc>
        <w:tc>
          <w:tcPr>
            <w:tcW w:w="1952" w:type="dxa"/>
            <w:vAlign w:val="center"/>
          </w:tcPr>
          <w:p w:rsidR="009C5E23" w:rsidRPr="009C5E23" w:rsidRDefault="009C5E23" w:rsidP="009C5E23">
            <w:pPr>
              <w:jc w:val="right"/>
              <w:rPr>
                <w:rFonts w:ascii="Calibri" w:hAnsi="Calibri"/>
                <w:sz w:val="20"/>
                <w:szCs w:val="20"/>
              </w:rPr>
            </w:pPr>
            <w:r w:rsidRPr="009C5E23">
              <w:rPr>
                <w:rFonts w:ascii="Calibri" w:hAnsi="Calibri"/>
                <w:sz w:val="20"/>
                <w:szCs w:val="20"/>
              </w:rPr>
              <w:t xml:space="preserve">0.3 </w:t>
            </w:r>
          </w:p>
        </w:tc>
      </w:tr>
      <w:tr w:rsidR="009C5E23" w:rsidRPr="0095538D" w:rsidTr="009C5E23">
        <w:trPr>
          <w:trHeight w:val="186"/>
        </w:trPr>
        <w:tc>
          <w:tcPr>
            <w:tcW w:w="1526" w:type="dxa"/>
          </w:tcPr>
          <w:p w:rsidR="009C5E23" w:rsidRPr="009C5E23" w:rsidRDefault="009C5E23" w:rsidP="009C5E23">
            <w:pPr>
              <w:jc w:val="right"/>
              <w:rPr>
                <w:rFonts w:ascii="Calibri" w:hAnsi="Calibri"/>
                <w:b/>
                <w:sz w:val="20"/>
                <w:szCs w:val="20"/>
              </w:rPr>
            </w:pPr>
          </w:p>
        </w:tc>
        <w:tc>
          <w:tcPr>
            <w:tcW w:w="3685" w:type="dxa"/>
            <w:vAlign w:val="center"/>
          </w:tcPr>
          <w:p w:rsidR="009C5E23" w:rsidRPr="009C5E23" w:rsidRDefault="009C5E23" w:rsidP="009C5E23">
            <w:pPr>
              <w:rPr>
                <w:rFonts w:ascii="Calibri" w:hAnsi="Calibri"/>
                <w:sz w:val="20"/>
                <w:szCs w:val="20"/>
              </w:rPr>
            </w:pPr>
            <w:r w:rsidRPr="009C5E23">
              <w:rPr>
                <w:rFonts w:ascii="Calibri" w:hAnsi="Calibri"/>
                <w:bCs/>
                <w:sz w:val="20"/>
                <w:szCs w:val="20"/>
              </w:rPr>
              <w:t xml:space="preserve">Investment spending </w:t>
            </w:r>
          </w:p>
        </w:tc>
        <w:tc>
          <w:tcPr>
            <w:tcW w:w="1952" w:type="dxa"/>
            <w:vAlign w:val="center"/>
          </w:tcPr>
          <w:p w:rsidR="009C5E23" w:rsidRPr="009C5E23" w:rsidRDefault="009C5E23" w:rsidP="009C5E23">
            <w:pPr>
              <w:jc w:val="right"/>
              <w:rPr>
                <w:rFonts w:ascii="Calibri" w:hAnsi="Calibri"/>
                <w:sz w:val="20"/>
                <w:szCs w:val="20"/>
              </w:rPr>
            </w:pPr>
            <w:r w:rsidRPr="009C5E23">
              <w:rPr>
                <w:rFonts w:ascii="Calibri" w:hAnsi="Calibri"/>
                <w:sz w:val="20"/>
                <w:szCs w:val="20"/>
              </w:rPr>
              <w:t xml:space="preserve">0.2 </w:t>
            </w:r>
          </w:p>
        </w:tc>
      </w:tr>
      <w:tr w:rsidR="009C5E23" w:rsidRPr="0095538D" w:rsidTr="009C5E23">
        <w:trPr>
          <w:trHeight w:val="177"/>
        </w:trPr>
        <w:tc>
          <w:tcPr>
            <w:tcW w:w="1526" w:type="dxa"/>
          </w:tcPr>
          <w:p w:rsidR="009C5E23" w:rsidRPr="009C5E23" w:rsidRDefault="009C5E23" w:rsidP="009C5E23">
            <w:pPr>
              <w:jc w:val="right"/>
              <w:rPr>
                <w:rFonts w:ascii="Calibri" w:hAnsi="Calibri"/>
                <w:b/>
                <w:sz w:val="20"/>
                <w:szCs w:val="20"/>
              </w:rPr>
            </w:pPr>
          </w:p>
        </w:tc>
        <w:tc>
          <w:tcPr>
            <w:tcW w:w="3685" w:type="dxa"/>
            <w:vAlign w:val="center"/>
          </w:tcPr>
          <w:p w:rsidR="009C5E23" w:rsidRPr="009C5E23" w:rsidRDefault="009C5E23" w:rsidP="009C5E23">
            <w:pPr>
              <w:rPr>
                <w:rFonts w:ascii="Calibri" w:hAnsi="Calibri"/>
                <w:sz w:val="20"/>
                <w:szCs w:val="20"/>
              </w:rPr>
            </w:pPr>
            <w:r w:rsidRPr="009C5E23">
              <w:rPr>
                <w:rFonts w:ascii="Calibri" w:hAnsi="Calibri"/>
                <w:bCs/>
                <w:sz w:val="20"/>
                <w:szCs w:val="20"/>
              </w:rPr>
              <w:t xml:space="preserve">Defence expenditure </w:t>
            </w:r>
          </w:p>
        </w:tc>
        <w:tc>
          <w:tcPr>
            <w:tcW w:w="1952" w:type="dxa"/>
            <w:vAlign w:val="center"/>
          </w:tcPr>
          <w:p w:rsidR="009C5E23" w:rsidRPr="009C5E23" w:rsidRDefault="009C5E23" w:rsidP="009C5E23">
            <w:pPr>
              <w:jc w:val="right"/>
              <w:rPr>
                <w:rFonts w:ascii="Calibri" w:hAnsi="Calibri"/>
                <w:sz w:val="20"/>
                <w:szCs w:val="20"/>
              </w:rPr>
            </w:pPr>
            <w:r w:rsidRPr="009C5E23">
              <w:rPr>
                <w:rFonts w:ascii="Calibri" w:hAnsi="Calibri"/>
                <w:sz w:val="20"/>
                <w:szCs w:val="20"/>
              </w:rPr>
              <w:t xml:space="preserve">0.1 </w:t>
            </w:r>
          </w:p>
        </w:tc>
      </w:tr>
      <w:tr w:rsidR="009C5E23" w:rsidRPr="0095538D" w:rsidTr="009C5E23">
        <w:trPr>
          <w:trHeight w:val="173"/>
        </w:trPr>
        <w:tc>
          <w:tcPr>
            <w:tcW w:w="1526" w:type="dxa"/>
          </w:tcPr>
          <w:p w:rsidR="009C5E23" w:rsidRPr="009C5E23" w:rsidRDefault="009C5E23" w:rsidP="009C5E23">
            <w:pPr>
              <w:jc w:val="right"/>
              <w:rPr>
                <w:rFonts w:ascii="Calibri" w:hAnsi="Calibri"/>
                <w:b/>
                <w:sz w:val="20"/>
                <w:szCs w:val="20"/>
              </w:rPr>
            </w:pPr>
            <w:r w:rsidRPr="009C5E23">
              <w:rPr>
                <w:rFonts w:ascii="Calibri" w:hAnsi="Calibri"/>
                <w:b/>
                <w:sz w:val="20"/>
                <w:szCs w:val="20"/>
              </w:rPr>
              <w:t>Tax increases</w:t>
            </w:r>
          </w:p>
        </w:tc>
        <w:tc>
          <w:tcPr>
            <w:tcW w:w="3685" w:type="dxa"/>
            <w:vAlign w:val="center"/>
          </w:tcPr>
          <w:p w:rsidR="009C5E23" w:rsidRPr="009C5E23" w:rsidRDefault="009C5E23" w:rsidP="009C5E23">
            <w:pPr>
              <w:rPr>
                <w:rFonts w:ascii="Calibri" w:hAnsi="Calibri"/>
                <w:bCs/>
                <w:sz w:val="20"/>
                <w:szCs w:val="20"/>
              </w:rPr>
            </w:pPr>
          </w:p>
        </w:tc>
        <w:tc>
          <w:tcPr>
            <w:tcW w:w="1952" w:type="dxa"/>
            <w:vAlign w:val="center"/>
          </w:tcPr>
          <w:p w:rsidR="009C5E23" w:rsidRPr="009C5E23" w:rsidRDefault="009C5E23" w:rsidP="009C5E23">
            <w:pPr>
              <w:jc w:val="right"/>
              <w:rPr>
                <w:rFonts w:ascii="Calibri" w:hAnsi="Calibri"/>
                <w:sz w:val="20"/>
                <w:szCs w:val="20"/>
              </w:rPr>
            </w:pPr>
          </w:p>
        </w:tc>
      </w:tr>
      <w:tr w:rsidR="009C5E23" w:rsidRPr="0095538D" w:rsidTr="009C5E23">
        <w:trPr>
          <w:trHeight w:val="135"/>
        </w:trPr>
        <w:tc>
          <w:tcPr>
            <w:tcW w:w="1526" w:type="dxa"/>
          </w:tcPr>
          <w:p w:rsidR="009C5E23" w:rsidRPr="009C5E23" w:rsidRDefault="009C5E23" w:rsidP="009C5E23">
            <w:pPr>
              <w:jc w:val="right"/>
              <w:rPr>
                <w:rFonts w:ascii="Calibri" w:hAnsi="Calibri"/>
                <w:b/>
                <w:sz w:val="20"/>
                <w:szCs w:val="20"/>
              </w:rPr>
            </w:pPr>
          </w:p>
        </w:tc>
        <w:tc>
          <w:tcPr>
            <w:tcW w:w="3685" w:type="dxa"/>
            <w:vAlign w:val="center"/>
          </w:tcPr>
          <w:p w:rsidR="009C5E23" w:rsidRPr="009C5E23" w:rsidRDefault="009C5E23" w:rsidP="009C5E23">
            <w:pPr>
              <w:rPr>
                <w:rFonts w:ascii="Calibri" w:hAnsi="Calibri"/>
                <w:sz w:val="20"/>
                <w:szCs w:val="20"/>
              </w:rPr>
            </w:pPr>
            <w:r w:rsidRPr="009C5E23">
              <w:rPr>
                <w:rFonts w:ascii="Calibri" w:hAnsi="Calibri"/>
                <w:bCs/>
                <w:sz w:val="20"/>
                <w:szCs w:val="20"/>
              </w:rPr>
              <w:t xml:space="preserve">Tax policy </w:t>
            </w:r>
          </w:p>
        </w:tc>
        <w:tc>
          <w:tcPr>
            <w:tcW w:w="1952" w:type="dxa"/>
            <w:vAlign w:val="center"/>
          </w:tcPr>
          <w:p w:rsidR="009C5E23" w:rsidRPr="009C5E23" w:rsidRDefault="009C5E23" w:rsidP="009C5E23">
            <w:pPr>
              <w:jc w:val="right"/>
              <w:rPr>
                <w:rFonts w:ascii="Calibri" w:hAnsi="Calibri"/>
                <w:sz w:val="20"/>
                <w:szCs w:val="20"/>
              </w:rPr>
            </w:pPr>
            <w:r w:rsidRPr="009C5E23">
              <w:rPr>
                <w:rFonts w:ascii="Calibri" w:hAnsi="Calibri"/>
                <w:sz w:val="20"/>
                <w:szCs w:val="20"/>
              </w:rPr>
              <w:t xml:space="preserve">3.6 </w:t>
            </w:r>
          </w:p>
        </w:tc>
      </w:tr>
      <w:tr w:rsidR="009C5E23" w:rsidRPr="0095538D" w:rsidTr="009C5E23">
        <w:trPr>
          <w:trHeight w:val="173"/>
        </w:trPr>
        <w:tc>
          <w:tcPr>
            <w:tcW w:w="1526" w:type="dxa"/>
          </w:tcPr>
          <w:p w:rsidR="009C5E23" w:rsidRPr="009C5E23" w:rsidRDefault="009C5E23" w:rsidP="009C5E23">
            <w:pPr>
              <w:jc w:val="right"/>
              <w:rPr>
                <w:rFonts w:ascii="Calibri" w:hAnsi="Calibri"/>
                <w:b/>
                <w:sz w:val="20"/>
                <w:szCs w:val="20"/>
              </w:rPr>
            </w:pPr>
          </w:p>
        </w:tc>
        <w:tc>
          <w:tcPr>
            <w:tcW w:w="3685" w:type="dxa"/>
            <w:vAlign w:val="center"/>
          </w:tcPr>
          <w:p w:rsidR="009C5E23" w:rsidRPr="009C5E23" w:rsidRDefault="009C5E23" w:rsidP="009C5E23">
            <w:pPr>
              <w:rPr>
                <w:rFonts w:ascii="Calibri" w:hAnsi="Calibri"/>
                <w:sz w:val="20"/>
                <w:szCs w:val="20"/>
              </w:rPr>
            </w:pPr>
            <w:r w:rsidRPr="009C5E23">
              <w:rPr>
                <w:rFonts w:ascii="Calibri" w:hAnsi="Calibri"/>
                <w:bCs/>
                <w:sz w:val="20"/>
                <w:szCs w:val="20"/>
              </w:rPr>
              <w:t xml:space="preserve">Tax compliance </w:t>
            </w:r>
          </w:p>
        </w:tc>
        <w:tc>
          <w:tcPr>
            <w:tcW w:w="1952" w:type="dxa"/>
            <w:vAlign w:val="center"/>
          </w:tcPr>
          <w:p w:rsidR="009C5E23" w:rsidRPr="009C5E23" w:rsidRDefault="009C5E23" w:rsidP="009C5E23">
            <w:pPr>
              <w:jc w:val="right"/>
              <w:rPr>
                <w:rFonts w:ascii="Calibri" w:hAnsi="Calibri"/>
                <w:sz w:val="20"/>
                <w:szCs w:val="20"/>
              </w:rPr>
            </w:pPr>
            <w:r w:rsidRPr="009C5E23">
              <w:rPr>
                <w:rFonts w:ascii="Calibri" w:hAnsi="Calibri"/>
                <w:sz w:val="20"/>
                <w:szCs w:val="20"/>
              </w:rPr>
              <w:t xml:space="preserve">1.4 </w:t>
            </w:r>
          </w:p>
        </w:tc>
      </w:tr>
    </w:tbl>
    <w:p w:rsidR="009C5E23" w:rsidRPr="0095538D" w:rsidRDefault="009C5E23" w:rsidP="009C5E23">
      <w:pPr>
        <w:rPr>
          <w:lang w:eastAsia="en-US"/>
        </w:rPr>
      </w:pPr>
      <w:r>
        <w:rPr>
          <w:lang w:eastAsia="en-US"/>
        </w:rPr>
        <w:t>Source: European Commission 2011</w:t>
      </w:r>
    </w:p>
    <w:p w:rsidR="009C5E23" w:rsidRDefault="009C5E23" w:rsidP="009C5E23">
      <w:pPr>
        <w:rPr>
          <w:lang w:eastAsia="en-US"/>
        </w:rPr>
      </w:pPr>
    </w:p>
    <w:p w:rsidR="009C5E23" w:rsidRDefault="009C5E23" w:rsidP="009C5E23">
      <w:pPr>
        <w:pStyle w:val="Heading3"/>
      </w:pPr>
      <w:bookmarkStart w:id="55" w:name="_Toc297975187"/>
      <w:r>
        <w:t>Jobs, pay and conditions</w:t>
      </w:r>
      <w:bookmarkEnd w:id="55"/>
    </w:p>
    <w:p w:rsidR="009C5E23" w:rsidRDefault="009C5E23" w:rsidP="009C5E23">
      <w:pPr>
        <w:rPr>
          <w:lang w:eastAsia="en-US"/>
        </w:rPr>
      </w:pPr>
      <w:r>
        <w:rPr>
          <w:lang w:eastAsia="en-US"/>
        </w:rPr>
        <w:t>Through recruitment freezes and other measures, over 157,000 jobs will be cut: “</w:t>
      </w:r>
      <w:r w:rsidRPr="00EF446F">
        <w:rPr>
          <w:lang w:eastAsia="en-US"/>
        </w:rPr>
        <w:t>From 2010 to 2015, the total number of</w:t>
      </w:r>
      <w:r>
        <w:rPr>
          <w:lang w:eastAsia="en-US"/>
        </w:rPr>
        <w:t xml:space="preserve"> </w:t>
      </w:r>
      <w:r w:rsidRPr="00EF446F">
        <w:rPr>
          <w:lang w:eastAsia="en-US"/>
        </w:rPr>
        <w:t xml:space="preserve">government employees is expected to be cut by 20 </w:t>
      </w:r>
      <w:proofErr w:type="spellStart"/>
      <w:r w:rsidRPr="00EF446F">
        <w:rPr>
          <w:lang w:eastAsia="en-US"/>
        </w:rPr>
        <w:t>percent</w:t>
      </w:r>
      <w:proofErr w:type="spellEnd"/>
      <w:r w:rsidRPr="00EF446F">
        <w:rPr>
          <w:lang w:eastAsia="en-US"/>
        </w:rPr>
        <w:t>, from 727 thousand to 577 thousand.</w:t>
      </w:r>
      <w:r>
        <w:rPr>
          <w:lang w:eastAsia="en-US"/>
        </w:rPr>
        <w:t xml:space="preserve">” The package also includes 7,000 jobs to be cut as a result of closing or merging over 150 </w:t>
      </w:r>
      <w:proofErr w:type="spellStart"/>
      <w:r>
        <w:rPr>
          <w:lang w:eastAsia="en-US"/>
        </w:rPr>
        <w:t>quangos</w:t>
      </w:r>
      <w:proofErr w:type="spellEnd"/>
      <w:r>
        <w:rPr>
          <w:lang w:eastAsia="en-US"/>
        </w:rPr>
        <w:t>.</w:t>
      </w:r>
    </w:p>
    <w:p w:rsidR="009C5E23" w:rsidRDefault="009C5E23" w:rsidP="009C5E23">
      <w:pPr>
        <w:rPr>
          <w:lang w:eastAsia="en-US"/>
        </w:rPr>
      </w:pPr>
    </w:p>
    <w:p w:rsidR="009C5E23" w:rsidRDefault="009C5E23" w:rsidP="009C5E23">
      <w:pPr>
        <w:rPr>
          <w:lang w:eastAsia="en-US"/>
        </w:rPr>
      </w:pPr>
      <w:r>
        <w:rPr>
          <w:lang w:eastAsia="en-US"/>
        </w:rPr>
        <w:t>In addition to the pay cuts of 2010, there will be “</w:t>
      </w:r>
      <w:r w:rsidRPr="00EF446F">
        <w:rPr>
          <w:lang w:eastAsia="en-US"/>
        </w:rPr>
        <w:t>an</w:t>
      </w:r>
      <w:r>
        <w:rPr>
          <w:lang w:eastAsia="en-US"/>
        </w:rPr>
        <w:t xml:space="preserve"> </w:t>
      </w:r>
      <w:r w:rsidRPr="00EF446F">
        <w:rPr>
          <w:lang w:eastAsia="en-US"/>
        </w:rPr>
        <w:t>increase in the weekly working hours for public sector employees from 37½ to 40 hours and a</w:t>
      </w:r>
      <w:r>
        <w:rPr>
          <w:lang w:eastAsia="en-US"/>
        </w:rPr>
        <w:t xml:space="preserve"> </w:t>
      </w:r>
      <w:r w:rsidRPr="00EF446F">
        <w:rPr>
          <w:lang w:eastAsia="en-US"/>
        </w:rPr>
        <w:t>reduction in overtime payments</w:t>
      </w:r>
      <w:r>
        <w:rPr>
          <w:lang w:eastAsia="en-US"/>
        </w:rPr>
        <w:t>.” The increase in hours is equivalent to a pay cut of 6.25%.</w:t>
      </w:r>
    </w:p>
    <w:p w:rsidR="009C5E23" w:rsidRDefault="009C5E23" w:rsidP="009C5E23">
      <w:pPr>
        <w:rPr>
          <w:lang w:eastAsia="en-US"/>
        </w:rPr>
      </w:pPr>
    </w:p>
    <w:p w:rsidR="009C5E23" w:rsidRDefault="009C5E23" w:rsidP="009C5E23">
      <w:pPr>
        <w:pStyle w:val="Heading3"/>
      </w:pPr>
      <w:bookmarkStart w:id="56" w:name="_Toc297975188"/>
      <w:r>
        <w:t>Privatisation</w:t>
      </w:r>
      <w:bookmarkEnd w:id="56"/>
    </w:p>
    <w:p w:rsidR="009C5E23" w:rsidRDefault="009C5E23" w:rsidP="009C5E23">
      <w:pPr>
        <w:rPr>
          <w:lang w:eastAsia="en-US"/>
        </w:rPr>
      </w:pPr>
      <w:r>
        <w:rPr>
          <w:lang w:eastAsia="en-US"/>
        </w:rPr>
        <w:t xml:space="preserve">Privatisation of a specific list of public sector operations is a core part of the measures. This is expected to raise €50billion by 2014, equivalent to over 20% of GDP.  The list of those to be partly or wholly privatised includes: water services in Athens and the second city  Thessaloniki, rail, gas, mobile telecoms, airports, motorways, the state electricity company, </w:t>
      </w:r>
    </w:p>
    <w:p w:rsidR="009C5E23" w:rsidRDefault="009C5E23" w:rsidP="009C5E23">
      <w:pPr>
        <w:rPr>
          <w:lang w:eastAsia="en-US"/>
        </w:rPr>
      </w:pPr>
    </w:p>
    <w:p w:rsidR="009C5E23" w:rsidRDefault="009C5E23" w:rsidP="009C5E23">
      <w:pPr>
        <w:rPr>
          <w:lang w:eastAsia="en-US"/>
        </w:rPr>
      </w:pPr>
      <w:r>
        <w:rPr>
          <w:lang w:eastAsia="en-US"/>
        </w:rPr>
        <w:t xml:space="preserve">Greece has been forced to give up its sovereignty over this process: it will be managed by a specially created private company overseen by EU appointees, with quarterly targets for the amounts to be sold. The proceeds are expected to be used to pay off the west European banks </w:t>
      </w:r>
      <w:proofErr w:type="gramStart"/>
      <w:r>
        <w:rPr>
          <w:lang w:eastAsia="en-US"/>
        </w:rPr>
        <w:t>who</w:t>
      </w:r>
      <w:proofErr w:type="gramEnd"/>
      <w:r>
        <w:rPr>
          <w:lang w:eastAsia="en-US"/>
        </w:rPr>
        <w:t xml:space="preserve"> hold Greek bonds.</w:t>
      </w:r>
    </w:p>
    <w:p w:rsidR="009C5E23" w:rsidRDefault="009C5E23" w:rsidP="009C5E23">
      <w:pPr>
        <w:rPr>
          <w:lang w:eastAsia="en-US"/>
        </w:rPr>
      </w:pPr>
      <w:r>
        <w:rPr>
          <w:lang w:eastAsia="en-US"/>
        </w:rPr>
        <w:t>Sources:</w:t>
      </w:r>
    </w:p>
    <w:p w:rsidR="009C5E23" w:rsidRDefault="009C5E23" w:rsidP="009C5E23">
      <w:pPr>
        <w:pStyle w:val="ListParagraph"/>
        <w:numPr>
          <w:ilvl w:val="0"/>
          <w:numId w:val="34"/>
        </w:numPr>
        <w:suppressAutoHyphens w:val="0"/>
        <w:contextualSpacing/>
        <w:rPr>
          <w:lang w:eastAsia="en-US"/>
        </w:rPr>
      </w:pPr>
      <w:r>
        <w:rPr>
          <w:lang w:eastAsia="en-US"/>
        </w:rPr>
        <w:t xml:space="preserve">European Commission 2011 </w:t>
      </w:r>
      <w:hyperlink r:id="rId32" w:tooltip="The Economic Adjustment Programme for Greece - Fourth Review - spring 2011" w:history="1">
        <w:r w:rsidRPr="00F9007D">
          <w:rPr>
            <w:rStyle w:val="Hyperlink"/>
            <w:lang w:eastAsia="en-US"/>
          </w:rPr>
          <w:t>The Economic Adjustment Programme for Greece - Fourth Review - spring 2011</w:t>
        </w:r>
      </w:hyperlink>
      <w:r>
        <w:rPr>
          <w:lang w:eastAsia="en-US"/>
        </w:rPr>
        <w:t xml:space="preserve"> </w:t>
      </w:r>
      <w:r w:rsidRPr="00F9007D">
        <w:rPr>
          <w:lang w:eastAsia="en-US"/>
        </w:rPr>
        <w:t xml:space="preserve">European Economy. Occasional Papers. </w:t>
      </w:r>
      <w:r w:rsidRPr="005E0276">
        <w:rPr>
          <w:b/>
          <w:bCs/>
          <w:lang w:eastAsia="en-US"/>
        </w:rPr>
        <w:t>82</w:t>
      </w:r>
      <w:r w:rsidRPr="00F9007D">
        <w:rPr>
          <w:lang w:eastAsia="en-US"/>
        </w:rPr>
        <w:t>. July 2011.</w:t>
      </w:r>
    </w:p>
    <w:p w:rsidR="009C5E23" w:rsidRDefault="009C5E23" w:rsidP="009C5E23">
      <w:pPr>
        <w:pStyle w:val="ListParagraph"/>
        <w:numPr>
          <w:ilvl w:val="0"/>
          <w:numId w:val="34"/>
        </w:numPr>
        <w:suppressAutoHyphens w:val="0"/>
        <w:contextualSpacing/>
        <w:rPr>
          <w:lang w:eastAsia="en-US"/>
        </w:rPr>
      </w:pPr>
      <w:r>
        <w:rPr>
          <w:lang w:eastAsia="en-US"/>
        </w:rPr>
        <w:t xml:space="preserve">Athens News 5 July 2011 </w:t>
      </w:r>
      <w:hyperlink r:id="rId33" w:history="1">
        <w:r>
          <w:rPr>
            <w:rStyle w:val="Hyperlink"/>
            <w:lang w:eastAsia="en-US"/>
          </w:rPr>
          <w:t>Warning: The memorandum could damage your health</w:t>
        </w:r>
      </w:hyperlink>
      <w:r>
        <w:rPr>
          <w:lang w:eastAsia="en-US"/>
        </w:rPr>
        <w:t xml:space="preserve"> )</w:t>
      </w:r>
    </w:p>
    <w:p w:rsidR="00895501" w:rsidRPr="009C5E23" w:rsidRDefault="00895501" w:rsidP="009C5E23">
      <w:pPr>
        <w:pStyle w:val="Heading2"/>
      </w:pPr>
      <w:bookmarkStart w:id="57" w:name="_Toc297975189"/>
      <w:r w:rsidRPr="009C5E23">
        <w:t>EU:</w:t>
      </w:r>
      <w:r w:rsidR="007F1D73" w:rsidRPr="009C5E23">
        <w:t xml:space="preserve"> other</w:t>
      </w:r>
      <w:r w:rsidRPr="009C5E23">
        <w:t xml:space="preserve"> countries</w:t>
      </w:r>
      <w:bookmarkEnd w:id="57"/>
    </w:p>
    <w:p w:rsidR="00895501" w:rsidRDefault="00895501">
      <w:r>
        <w:t xml:space="preserve">Nevertheless, a number of EU countries (plus Iceland) have taken policy decisions to cut the pay of government and/or public sector employees </w:t>
      </w:r>
      <w:proofErr w:type="gramStart"/>
      <w:r>
        <w:t>between 2008-2010</w:t>
      </w:r>
      <w:proofErr w:type="gramEnd"/>
      <w:r>
        <w:t>. They are listed in the table below, which also indicates which countries have reached IMF deals and which have been subject to pressures from bond markets refusing to buy government debt. The bond market pressures may reasonably be seen as a proxy for an IMF loan, with governments such as Ireland, Portugal and Spain taking measures which are expected to re-assure markets, partly because they are thought to be the kind of measures the IMF would insist on. Only Lithuania does not fall into either category.</w:t>
      </w:r>
    </w:p>
    <w:p w:rsidR="00895501" w:rsidRDefault="00895501"/>
    <w:p w:rsidR="00895501" w:rsidRDefault="00895501">
      <w:r>
        <w:t xml:space="preserve">The experiences in each country are summarised in the following paragraphs. They include some other recurrent features: the prioritisation of reducing deficits over defeating recession; the active role of employers in general; the dismantling and restructuring of pay bargaining systems; and the relative weakness of trade unions. The cuts in pay have usually involved a fundamental break from social partnership </w:t>
      </w:r>
      <w:r>
        <w:lastRenderedPageBreak/>
        <w:t xml:space="preserve">agreements, and high levels of social conflict.  In all cases the governments have been strongly aware of the significance of their actions in relation to the role and power of unions, so that the cuts can be seen as conscious attempts to reduce union power as well as fiscal policies.   </w:t>
      </w:r>
    </w:p>
    <w:p w:rsidR="00895501" w:rsidRDefault="00895501"/>
    <w:p w:rsidR="00895501" w:rsidRDefault="00895501">
      <w:pPr>
        <w:rPr>
          <w:rFonts w:eastAsia="TimesNewRomanPSMT" w:cs="TimesNewRomanPSMT"/>
          <w:szCs w:val="22"/>
        </w:rPr>
      </w:pPr>
      <w:r>
        <w:rPr>
          <w:szCs w:val="22"/>
        </w:rPr>
        <w:t>This approach contrasts with the conclusions of a recent study that trade unions, social partnerships and employee protection and support, have generally played a positive role in recent economic developments. Argentina's recovery from a severe economic collapse in 2001</w:t>
      </w:r>
      <w:r w:rsidR="00470910">
        <w:rPr>
          <w:szCs w:val="22"/>
        </w:rPr>
        <w:t xml:space="preserve"> </w:t>
      </w:r>
      <w:r>
        <w:rPr>
          <w:szCs w:val="22"/>
        </w:rPr>
        <w:t>depended on working with unions and prioritising the protection of workers over repayment of international creditors: “t</w:t>
      </w:r>
      <w:r>
        <w:rPr>
          <w:rFonts w:eastAsia="TimesNewRomanPSMT" w:cs="TimesNewRomanPSMT"/>
          <w:szCs w:val="22"/>
        </w:rPr>
        <w:t xml:space="preserve">hese institutions helped Argentina maintain its democracy and social stability.” </w:t>
      </w:r>
      <w:r>
        <w:rPr>
          <w:rStyle w:val="EndnoteReference"/>
          <w:rFonts w:eastAsia="TimesNewRomanPSMT" w:cs="TimesNewRomanPSMT"/>
          <w:szCs w:val="22"/>
        </w:rPr>
        <w:endnoteReference w:id="19"/>
      </w:r>
    </w:p>
    <w:p w:rsidR="00895501" w:rsidRDefault="00895501">
      <w:pPr>
        <w:pStyle w:val="Heading7"/>
      </w:pPr>
      <w:bookmarkStart w:id="58" w:name="_Toc297975190"/>
      <w:r>
        <w:t>EU countries cutting public sector pay during 2008-2010</w:t>
      </w:r>
      <w:bookmarkEnd w:id="58"/>
    </w:p>
    <w:tbl>
      <w:tblPr>
        <w:tblW w:w="0" w:type="auto"/>
        <w:tblInd w:w="380" w:type="dxa"/>
        <w:tblLayout w:type="fixed"/>
        <w:tblLook w:val="0000" w:firstRow="0" w:lastRow="0" w:firstColumn="0" w:lastColumn="0" w:noHBand="0" w:noVBand="0"/>
      </w:tblPr>
      <w:tblGrid>
        <w:gridCol w:w="2973"/>
        <w:gridCol w:w="2902"/>
        <w:gridCol w:w="2625"/>
      </w:tblGrid>
      <w:tr w:rsidR="00895501">
        <w:tc>
          <w:tcPr>
            <w:tcW w:w="2973" w:type="dxa"/>
            <w:tcBorders>
              <w:top w:val="single" w:sz="4" w:space="0" w:color="000000"/>
              <w:left w:val="single" w:sz="4" w:space="0" w:color="000000"/>
              <w:bottom w:val="single" w:sz="4" w:space="0" w:color="000000"/>
            </w:tcBorders>
            <w:shd w:val="clear" w:color="auto" w:fill="auto"/>
          </w:tcPr>
          <w:p w:rsidR="00895501" w:rsidRDefault="00895501">
            <w:pPr>
              <w:snapToGrid w:val="0"/>
              <w:rPr>
                <w:b/>
                <w:bCs/>
              </w:rPr>
            </w:pPr>
            <w:r>
              <w:rPr>
                <w:b/>
                <w:bCs/>
              </w:rPr>
              <w:t>Country</w:t>
            </w:r>
          </w:p>
        </w:tc>
        <w:tc>
          <w:tcPr>
            <w:tcW w:w="2902" w:type="dxa"/>
            <w:tcBorders>
              <w:top w:val="single" w:sz="4" w:space="0" w:color="000000"/>
              <w:left w:val="single" w:sz="4" w:space="0" w:color="000000"/>
              <w:bottom w:val="single" w:sz="4" w:space="0" w:color="000000"/>
            </w:tcBorders>
            <w:shd w:val="clear" w:color="auto" w:fill="auto"/>
          </w:tcPr>
          <w:p w:rsidR="00895501" w:rsidRDefault="00895501">
            <w:pPr>
              <w:snapToGrid w:val="0"/>
              <w:rPr>
                <w:b/>
                <w:bCs/>
              </w:rPr>
            </w:pPr>
            <w:r>
              <w:rPr>
                <w:b/>
                <w:bCs/>
              </w:rPr>
              <w:t>IMF deal</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895501" w:rsidRDefault="00895501">
            <w:pPr>
              <w:snapToGrid w:val="0"/>
              <w:rPr>
                <w:b/>
                <w:bCs/>
              </w:rPr>
            </w:pPr>
            <w:r>
              <w:rPr>
                <w:b/>
                <w:bCs/>
              </w:rPr>
              <w:t>Bond market pressures</w:t>
            </w:r>
          </w:p>
        </w:tc>
      </w:tr>
      <w:tr w:rsidR="00895501">
        <w:tc>
          <w:tcPr>
            <w:tcW w:w="2973" w:type="dxa"/>
            <w:tcBorders>
              <w:top w:val="single" w:sz="4" w:space="0" w:color="000000"/>
              <w:left w:val="single" w:sz="4" w:space="0" w:color="000000"/>
              <w:bottom w:val="single" w:sz="4" w:space="0" w:color="000000"/>
            </w:tcBorders>
            <w:shd w:val="clear" w:color="auto" w:fill="auto"/>
          </w:tcPr>
          <w:p w:rsidR="00895501" w:rsidRDefault="00895501">
            <w:pPr>
              <w:snapToGrid w:val="0"/>
              <w:rPr>
                <w:sz w:val="20"/>
                <w:szCs w:val="20"/>
              </w:rPr>
            </w:pPr>
            <w:r>
              <w:rPr>
                <w:sz w:val="20"/>
                <w:szCs w:val="20"/>
              </w:rPr>
              <w:t>Hungary</w:t>
            </w:r>
          </w:p>
        </w:tc>
        <w:tc>
          <w:tcPr>
            <w:tcW w:w="2902" w:type="dxa"/>
            <w:tcBorders>
              <w:top w:val="single" w:sz="4" w:space="0" w:color="000000"/>
              <w:left w:val="single" w:sz="4" w:space="0" w:color="000000"/>
              <w:bottom w:val="single" w:sz="4" w:space="0" w:color="000000"/>
            </w:tcBorders>
            <w:shd w:val="clear" w:color="auto" w:fill="auto"/>
          </w:tcPr>
          <w:p w:rsidR="00895501" w:rsidRDefault="00895501">
            <w:pPr>
              <w:snapToGrid w:val="0"/>
              <w:jc w:val="center"/>
              <w:rPr>
                <w:sz w:val="20"/>
                <w:szCs w:val="20"/>
              </w:rPr>
            </w:pPr>
            <w:r>
              <w:rPr>
                <w:sz w:val="20"/>
                <w:szCs w:val="20"/>
              </w:rPr>
              <w:t>x</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895501" w:rsidRDefault="00895501">
            <w:pPr>
              <w:snapToGrid w:val="0"/>
              <w:jc w:val="center"/>
              <w:rPr>
                <w:sz w:val="20"/>
                <w:szCs w:val="20"/>
              </w:rPr>
            </w:pPr>
          </w:p>
        </w:tc>
      </w:tr>
      <w:tr w:rsidR="00895501">
        <w:tc>
          <w:tcPr>
            <w:tcW w:w="2973" w:type="dxa"/>
            <w:tcBorders>
              <w:top w:val="single" w:sz="4" w:space="0" w:color="000000"/>
              <w:left w:val="single" w:sz="4" w:space="0" w:color="000000"/>
              <w:bottom w:val="single" w:sz="4" w:space="0" w:color="000000"/>
            </w:tcBorders>
            <w:shd w:val="clear" w:color="auto" w:fill="auto"/>
          </w:tcPr>
          <w:p w:rsidR="00895501" w:rsidRDefault="00895501">
            <w:pPr>
              <w:snapToGrid w:val="0"/>
              <w:rPr>
                <w:sz w:val="20"/>
                <w:szCs w:val="20"/>
              </w:rPr>
            </w:pPr>
            <w:r>
              <w:rPr>
                <w:sz w:val="20"/>
                <w:szCs w:val="20"/>
              </w:rPr>
              <w:t>Greece</w:t>
            </w:r>
          </w:p>
        </w:tc>
        <w:tc>
          <w:tcPr>
            <w:tcW w:w="2902" w:type="dxa"/>
            <w:tcBorders>
              <w:top w:val="single" w:sz="4" w:space="0" w:color="000000"/>
              <w:left w:val="single" w:sz="4" w:space="0" w:color="000000"/>
              <w:bottom w:val="single" w:sz="4" w:space="0" w:color="000000"/>
            </w:tcBorders>
            <w:shd w:val="clear" w:color="auto" w:fill="auto"/>
          </w:tcPr>
          <w:p w:rsidR="00895501" w:rsidRDefault="00895501">
            <w:pPr>
              <w:snapToGrid w:val="0"/>
              <w:jc w:val="center"/>
              <w:rPr>
                <w:sz w:val="20"/>
                <w:szCs w:val="20"/>
              </w:rPr>
            </w:pPr>
            <w:r>
              <w:rPr>
                <w:sz w:val="20"/>
                <w:szCs w:val="20"/>
              </w:rPr>
              <w:t>x</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895501" w:rsidRDefault="00895501">
            <w:pPr>
              <w:snapToGrid w:val="0"/>
              <w:jc w:val="center"/>
              <w:rPr>
                <w:sz w:val="20"/>
                <w:szCs w:val="20"/>
              </w:rPr>
            </w:pPr>
            <w:r>
              <w:rPr>
                <w:sz w:val="20"/>
                <w:szCs w:val="20"/>
              </w:rPr>
              <w:t>x</w:t>
            </w:r>
          </w:p>
        </w:tc>
      </w:tr>
      <w:tr w:rsidR="00895501">
        <w:tc>
          <w:tcPr>
            <w:tcW w:w="2973" w:type="dxa"/>
            <w:tcBorders>
              <w:top w:val="single" w:sz="4" w:space="0" w:color="000000"/>
              <w:left w:val="single" w:sz="4" w:space="0" w:color="000000"/>
              <w:bottom w:val="single" w:sz="4" w:space="0" w:color="000000"/>
            </w:tcBorders>
            <w:shd w:val="clear" w:color="auto" w:fill="auto"/>
          </w:tcPr>
          <w:p w:rsidR="00895501" w:rsidRDefault="00895501">
            <w:pPr>
              <w:snapToGrid w:val="0"/>
              <w:rPr>
                <w:sz w:val="20"/>
                <w:szCs w:val="20"/>
              </w:rPr>
            </w:pPr>
            <w:r>
              <w:rPr>
                <w:sz w:val="20"/>
                <w:szCs w:val="20"/>
              </w:rPr>
              <w:t>Iceland</w:t>
            </w:r>
          </w:p>
        </w:tc>
        <w:tc>
          <w:tcPr>
            <w:tcW w:w="2902" w:type="dxa"/>
            <w:tcBorders>
              <w:top w:val="single" w:sz="4" w:space="0" w:color="000000"/>
              <w:left w:val="single" w:sz="4" w:space="0" w:color="000000"/>
              <w:bottom w:val="single" w:sz="4" w:space="0" w:color="000000"/>
            </w:tcBorders>
            <w:shd w:val="clear" w:color="auto" w:fill="auto"/>
          </w:tcPr>
          <w:p w:rsidR="00895501" w:rsidRDefault="00895501">
            <w:pPr>
              <w:snapToGrid w:val="0"/>
              <w:jc w:val="center"/>
              <w:rPr>
                <w:sz w:val="20"/>
                <w:szCs w:val="20"/>
              </w:rPr>
            </w:pPr>
            <w:r>
              <w:rPr>
                <w:sz w:val="20"/>
                <w:szCs w:val="20"/>
              </w:rPr>
              <w:t>x</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895501" w:rsidRDefault="00895501">
            <w:pPr>
              <w:snapToGrid w:val="0"/>
              <w:jc w:val="center"/>
              <w:rPr>
                <w:sz w:val="20"/>
                <w:szCs w:val="20"/>
              </w:rPr>
            </w:pPr>
          </w:p>
        </w:tc>
      </w:tr>
      <w:tr w:rsidR="00895501">
        <w:tc>
          <w:tcPr>
            <w:tcW w:w="2973" w:type="dxa"/>
            <w:tcBorders>
              <w:left w:val="single" w:sz="4" w:space="0" w:color="000000"/>
              <w:bottom w:val="single" w:sz="4" w:space="0" w:color="000000"/>
            </w:tcBorders>
            <w:shd w:val="clear" w:color="auto" w:fill="auto"/>
          </w:tcPr>
          <w:p w:rsidR="00895501" w:rsidRDefault="00895501">
            <w:pPr>
              <w:snapToGrid w:val="0"/>
              <w:rPr>
                <w:sz w:val="20"/>
                <w:szCs w:val="20"/>
              </w:rPr>
            </w:pPr>
            <w:r>
              <w:rPr>
                <w:sz w:val="20"/>
                <w:szCs w:val="20"/>
              </w:rPr>
              <w:t>Ireland</w:t>
            </w:r>
          </w:p>
        </w:tc>
        <w:tc>
          <w:tcPr>
            <w:tcW w:w="2902" w:type="dxa"/>
            <w:tcBorders>
              <w:left w:val="single" w:sz="4" w:space="0" w:color="000000"/>
              <w:bottom w:val="single" w:sz="4" w:space="0" w:color="000000"/>
            </w:tcBorders>
            <w:shd w:val="clear" w:color="auto" w:fill="auto"/>
          </w:tcPr>
          <w:p w:rsidR="00895501" w:rsidRDefault="00895501">
            <w:pPr>
              <w:snapToGrid w:val="0"/>
              <w:jc w:val="center"/>
              <w:rPr>
                <w:sz w:val="20"/>
                <w:szCs w:val="20"/>
              </w:rPr>
            </w:pPr>
          </w:p>
        </w:tc>
        <w:tc>
          <w:tcPr>
            <w:tcW w:w="2625" w:type="dxa"/>
            <w:tcBorders>
              <w:left w:val="single" w:sz="4" w:space="0" w:color="000000"/>
              <w:bottom w:val="single" w:sz="4" w:space="0" w:color="000000"/>
              <w:right w:val="single" w:sz="4" w:space="0" w:color="000000"/>
            </w:tcBorders>
            <w:shd w:val="clear" w:color="auto" w:fill="auto"/>
          </w:tcPr>
          <w:p w:rsidR="00895501" w:rsidRDefault="00895501">
            <w:pPr>
              <w:snapToGrid w:val="0"/>
              <w:jc w:val="center"/>
              <w:rPr>
                <w:sz w:val="20"/>
                <w:szCs w:val="20"/>
              </w:rPr>
            </w:pPr>
            <w:r>
              <w:rPr>
                <w:sz w:val="20"/>
                <w:szCs w:val="20"/>
              </w:rPr>
              <w:t>x</w:t>
            </w:r>
          </w:p>
        </w:tc>
      </w:tr>
      <w:tr w:rsidR="00895501">
        <w:tc>
          <w:tcPr>
            <w:tcW w:w="2973" w:type="dxa"/>
            <w:tcBorders>
              <w:top w:val="single" w:sz="4" w:space="0" w:color="000000"/>
              <w:left w:val="single" w:sz="4" w:space="0" w:color="000000"/>
              <w:bottom w:val="single" w:sz="4" w:space="0" w:color="000000"/>
            </w:tcBorders>
            <w:shd w:val="clear" w:color="auto" w:fill="auto"/>
          </w:tcPr>
          <w:p w:rsidR="00895501" w:rsidRDefault="00895501">
            <w:pPr>
              <w:snapToGrid w:val="0"/>
              <w:rPr>
                <w:sz w:val="20"/>
                <w:szCs w:val="20"/>
              </w:rPr>
            </w:pPr>
            <w:r>
              <w:rPr>
                <w:sz w:val="20"/>
                <w:szCs w:val="20"/>
              </w:rPr>
              <w:t>Latvia</w:t>
            </w:r>
          </w:p>
        </w:tc>
        <w:tc>
          <w:tcPr>
            <w:tcW w:w="2902" w:type="dxa"/>
            <w:tcBorders>
              <w:top w:val="single" w:sz="4" w:space="0" w:color="000000"/>
              <w:left w:val="single" w:sz="4" w:space="0" w:color="000000"/>
              <w:bottom w:val="single" w:sz="4" w:space="0" w:color="000000"/>
            </w:tcBorders>
            <w:shd w:val="clear" w:color="auto" w:fill="auto"/>
          </w:tcPr>
          <w:p w:rsidR="00895501" w:rsidRDefault="00895501">
            <w:pPr>
              <w:snapToGrid w:val="0"/>
              <w:jc w:val="center"/>
              <w:rPr>
                <w:sz w:val="20"/>
                <w:szCs w:val="20"/>
              </w:rPr>
            </w:pPr>
            <w:r>
              <w:rPr>
                <w:sz w:val="20"/>
                <w:szCs w:val="20"/>
              </w:rPr>
              <w:t>x</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895501" w:rsidRDefault="00895501">
            <w:pPr>
              <w:snapToGrid w:val="0"/>
              <w:jc w:val="center"/>
              <w:rPr>
                <w:sz w:val="20"/>
                <w:szCs w:val="20"/>
              </w:rPr>
            </w:pPr>
          </w:p>
        </w:tc>
      </w:tr>
      <w:tr w:rsidR="00895501">
        <w:tc>
          <w:tcPr>
            <w:tcW w:w="2973" w:type="dxa"/>
            <w:tcBorders>
              <w:top w:val="single" w:sz="4" w:space="0" w:color="000000"/>
              <w:left w:val="single" w:sz="4" w:space="0" w:color="000000"/>
              <w:bottom w:val="single" w:sz="4" w:space="0" w:color="000000"/>
            </w:tcBorders>
            <w:shd w:val="clear" w:color="auto" w:fill="auto"/>
          </w:tcPr>
          <w:p w:rsidR="00895501" w:rsidRDefault="00895501">
            <w:pPr>
              <w:snapToGrid w:val="0"/>
              <w:rPr>
                <w:sz w:val="20"/>
                <w:szCs w:val="20"/>
              </w:rPr>
            </w:pPr>
            <w:r>
              <w:rPr>
                <w:sz w:val="20"/>
                <w:szCs w:val="20"/>
              </w:rPr>
              <w:t>Lithuania</w:t>
            </w:r>
          </w:p>
        </w:tc>
        <w:tc>
          <w:tcPr>
            <w:tcW w:w="2902" w:type="dxa"/>
            <w:tcBorders>
              <w:top w:val="single" w:sz="4" w:space="0" w:color="000000"/>
              <w:left w:val="single" w:sz="4" w:space="0" w:color="000000"/>
              <w:bottom w:val="single" w:sz="4" w:space="0" w:color="000000"/>
            </w:tcBorders>
            <w:shd w:val="clear" w:color="auto" w:fill="auto"/>
          </w:tcPr>
          <w:p w:rsidR="00895501" w:rsidRDefault="00895501">
            <w:pPr>
              <w:snapToGrid w:val="0"/>
              <w:jc w:val="center"/>
              <w:rPr>
                <w:sz w:val="20"/>
                <w:szCs w:val="20"/>
              </w:rPr>
            </w:pP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895501" w:rsidRDefault="00895501">
            <w:pPr>
              <w:snapToGrid w:val="0"/>
              <w:jc w:val="center"/>
              <w:rPr>
                <w:sz w:val="20"/>
                <w:szCs w:val="20"/>
              </w:rPr>
            </w:pPr>
          </w:p>
        </w:tc>
      </w:tr>
      <w:tr w:rsidR="00895501">
        <w:tc>
          <w:tcPr>
            <w:tcW w:w="2973" w:type="dxa"/>
            <w:tcBorders>
              <w:left w:val="single" w:sz="4" w:space="0" w:color="000000"/>
              <w:bottom w:val="single" w:sz="4" w:space="0" w:color="000000"/>
            </w:tcBorders>
            <w:shd w:val="clear" w:color="auto" w:fill="auto"/>
          </w:tcPr>
          <w:p w:rsidR="00895501" w:rsidRDefault="00895501">
            <w:pPr>
              <w:snapToGrid w:val="0"/>
            </w:pPr>
            <w:r>
              <w:t>Portugal</w:t>
            </w:r>
          </w:p>
        </w:tc>
        <w:tc>
          <w:tcPr>
            <w:tcW w:w="2902" w:type="dxa"/>
            <w:tcBorders>
              <w:left w:val="single" w:sz="4" w:space="0" w:color="000000"/>
              <w:bottom w:val="single" w:sz="4" w:space="0" w:color="000000"/>
            </w:tcBorders>
            <w:shd w:val="clear" w:color="auto" w:fill="auto"/>
          </w:tcPr>
          <w:p w:rsidR="00895501" w:rsidRDefault="00895501">
            <w:pPr>
              <w:snapToGrid w:val="0"/>
              <w:jc w:val="center"/>
            </w:pPr>
          </w:p>
        </w:tc>
        <w:tc>
          <w:tcPr>
            <w:tcW w:w="2625" w:type="dxa"/>
            <w:tcBorders>
              <w:left w:val="single" w:sz="4" w:space="0" w:color="000000"/>
              <w:bottom w:val="single" w:sz="4" w:space="0" w:color="000000"/>
              <w:right w:val="single" w:sz="4" w:space="0" w:color="000000"/>
            </w:tcBorders>
            <w:shd w:val="clear" w:color="auto" w:fill="auto"/>
          </w:tcPr>
          <w:p w:rsidR="00895501" w:rsidRDefault="00895501">
            <w:pPr>
              <w:snapToGrid w:val="0"/>
              <w:jc w:val="center"/>
            </w:pPr>
            <w:r>
              <w:t>x</w:t>
            </w:r>
          </w:p>
        </w:tc>
      </w:tr>
      <w:tr w:rsidR="00895501">
        <w:tc>
          <w:tcPr>
            <w:tcW w:w="2973" w:type="dxa"/>
            <w:tcBorders>
              <w:left w:val="single" w:sz="4" w:space="0" w:color="000000"/>
              <w:bottom w:val="single" w:sz="4" w:space="0" w:color="000000"/>
            </w:tcBorders>
            <w:shd w:val="clear" w:color="auto" w:fill="auto"/>
          </w:tcPr>
          <w:p w:rsidR="00895501" w:rsidRDefault="00895501">
            <w:pPr>
              <w:snapToGrid w:val="0"/>
            </w:pPr>
            <w:r>
              <w:t>Romania</w:t>
            </w:r>
          </w:p>
        </w:tc>
        <w:tc>
          <w:tcPr>
            <w:tcW w:w="2902" w:type="dxa"/>
            <w:tcBorders>
              <w:left w:val="single" w:sz="4" w:space="0" w:color="000000"/>
              <w:bottom w:val="single" w:sz="4" w:space="0" w:color="000000"/>
            </w:tcBorders>
            <w:shd w:val="clear" w:color="auto" w:fill="auto"/>
          </w:tcPr>
          <w:p w:rsidR="00895501" w:rsidRDefault="00895501">
            <w:pPr>
              <w:snapToGrid w:val="0"/>
              <w:jc w:val="center"/>
            </w:pPr>
            <w:r>
              <w:t>x</w:t>
            </w:r>
          </w:p>
        </w:tc>
        <w:tc>
          <w:tcPr>
            <w:tcW w:w="2625" w:type="dxa"/>
            <w:tcBorders>
              <w:left w:val="single" w:sz="4" w:space="0" w:color="000000"/>
              <w:bottom w:val="single" w:sz="4" w:space="0" w:color="000000"/>
              <w:right w:val="single" w:sz="4" w:space="0" w:color="000000"/>
            </w:tcBorders>
            <w:shd w:val="clear" w:color="auto" w:fill="auto"/>
          </w:tcPr>
          <w:p w:rsidR="00895501" w:rsidRDefault="00895501">
            <w:pPr>
              <w:snapToGrid w:val="0"/>
              <w:jc w:val="center"/>
            </w:pPr>
            <w:r>
              <w:t>x</w:t>
            </w:r>
          </w:p>
        </w:tc>
      </w:tr>
      <w:tr w:rsidR="00895501">
        <w:tc>
          <w:tcPr>
            <w:tcW w:w="2973" w:type="dxa"/>
            <w:tcBorders>
              <w:left w:val="single" w:sz="4" w:space="0" w:color="000000"/>
              <w:bottom w:val="single" w:sz="4" w:space="0" w:color="000000"/>
            </w:tcBorders>
            <w:shd w:val="clear" w:color="auto" w:fill="auto"/>
          </w:tcPr>
          <w:p w:rsidR="00895501" w:rsidRDefault="00895501">
            <w:pPr>
              <w:snapToGrid w:val="0"/>
            </w:pPr>
            <w:r>
              <w:t>Spain</w:t>
            </w:r>
          </w:p>
        </w:tc>
        <w:tc>
          <w:tcPr>
            <w:tcW w:w="2902" w:type="dxa"/>
            <w:tcBorders>
              <w:left w:val="single" w:sz="4" w:space="0" w:color="000000"/>
              <w:bottom w:val="single" w:sz="4" w:space="0" w:color="000000"/>
            </w:tcBorders>
            <w:shd w:val="clear" w:color="auto" w:fill="auto"/>
          </w:tcPr>
          <w:p w:rsidR="00895501" w:rsidRDefault="00895501">
            <w:pPr>
              <w:snapToGrid w:val="0"/>
              <w:jc w:val="center"/>
            </w:pPr>
          </w:p>
        </w:tc>
        <w:tc>
          <w:tcPr>
            <w:tcW w:w="2625" w:type="dxa"/>
            <w:tcBorders>
              <w:left w:val="single" w:sz="4" w:space="0" w:color="000000"/>
              <w:bottom w:val="single" w:sz="4" w:space="0" w:color="000000"/>
              <w:right w:val="single" w:sz="4" w:space="0" w:color="000000"/>
            </w:tcBorders>
            <w:shd w:val="clear" w:color="auto" w:fill="auto"/>
          </w:tcPr>
          <w:p w:rsidR="00895501" w:rsidRDefault="00895501">
            <w:pPr>
              <w:snapToGrid w:val="0"/>
              <w:jc w:val="center"/>
            </w:pPr>
            <w:r>
              <w:t>x</w:t>
            </w:r>
          </w:p>
        </w:tc>
      </w:tr>
    </w:tbl>
    <w:p w:rsidR="00895501" w:rsidRDefault="00895501"/>
    <w:p w:rsidR="00895501" w:rsidRDefault="00895501">
      <w:pPr>
        <w:pStyle w:val="Heading3"/>
      </w:pPr>
      <w:bookmarkStart w:id="59" w:name="_Toc297975191"/>
      <w:r>
        <w:t>Hungary</w:t>
      </w:r>
      <w:bookmarkEnd w:id="59"/>
    </w:p>
    <w:p w:rsidR="00895501" w:rsidRDefault="00895501">
      <w:r>
        <w:t xml:space="preserve">Hungary received a support loan from the IMF in October 2008. Part of the agreement was originally that public sector workers would lose their bonus, worth 8% of their pay, and face a pay freeze; the cut in earnings was later restored. However, in June 2010 a newly elected  government announced a new package of measures designed to reduce the deficit to the level of 3.8% required by the EU/IMF, which included a 15% cut in the salaries of all 700,000 public sector employees. </w:t>
      </w:r>
      <w:r>
        <w:rPr>
          <w:rStyle w:val="EndnoteReference"/>
        </w:rPr>
        <w:endnoteReference w:id="20"/>
      </w:r>
    </w:p>
    <w:p w:rsidR="00895501" w:rsidRDefault="00895501">
      <w:pPr>
        <w:pStyle w:val="Heading3"/>
      </w:pPr>
      <w:bookmarkStart w:id="60" w:name="_Toc297975192"/>
      <w:r>
        <w:t>Ireland</w:t>
      </w:r>
      <w:bookmarkEnd w:id="60"/>
    </w:p>
    <w:p w:rsidR="00895501" w:rsidRDefault="00895501">
      <w:pPr>
        <w:rPr>
          <w:szCs w:val="22"/>
        </w:rPr>
      </w:pPr>
      <w:r>
        <w:rPr>
          <w:szCs w:val="22"/>
        </w:rPr>
        <w:t xml:space="preserve">The effects of the 'automatic stabiliser' mechanism were much greater in Ireland because of the relative scale of the property and financial bubble. The collapse of the property bubble resulted in a collapse in revenue, which was then worsened by a sharp rise in unemployment from 4% in 2007 to 12.5% in 2009. Spending on benefits and public </w:t>
      </w:r>
      <w:proofErr w:type="gramStart"/>
      <w:r>
        <w:rPr>
          <w:szCs w:val="22"/>
        </w:rPr>
        <w:t>services  increased</w:t>
      </w:r>
      <w:proofErr w:type="gramEnd"/>
      <w:r>
        <w:rPr>
          <w:szCs w:val="22"/>
        </w:rPr>
        <w:t xml:space="preserve"> as a result of increased demand on welfare services, and the government deficit grew in response to these effects of the crisis. </w:t>
      </w:r>
    </w:p>
    <w:p w:rsidR="00895501" w:rsidRDefault="00895501">
      <w:pPr>
        <w:rPr>
          <w:szCs w:val="22"/>
        </w:rPr>
      </w:pPr>
    </w:p>
    <w:p w:rsidR="00895501" w:rsidRDefault="00895501">
      <w:pPr>
        <w:rPr>
          <w:color w:val="000000"/>
          <w:szCs w:val="22"/>
        </w:rPr>
      </w:pPr>
      <w:r>
        <w:rPr>
          <w:szCs w:val="22"/>
        </w:rPr>
        <w:t xml:space="preserve">These effects happened against the background of a national pay system involving multi-year agreements between employers, government and unions, which had operated since 1987. The current agreement </w:t>
      </w:r>
      <w:proofErr w:type="gramStart"/>
      <w:r>
        <w:rPr>
          <w:szCs w:val="22"/>
        </w:rPr>
        <w:t>was  negotiated</w:t>
      </w:r>
      <w:proofErr w:type="gramEnd"/>
      <w:r>
        <w:rPr>
          <w:szCs w:val="22"/>
        </w:rPr>
        <w:t xml:space="preserve"> in 2006 with a series of increases agreed over a number of years. Private employers began to attack the agreement, arguing that the crisis had made the agreed increases unaffordable; and public sector pay was identified as an element of spending which could be cut in order to reduce the government deficit. In February 2009 the government imposed a special deduction of between 3% and 9.6% on the pay of public employees. This led to months of conflict with the unions, including demonstrations of over 100,000 people, while private employers called for the pay agreement to be ignored or abolished: the </w:t>
      </w:r>
      <w:r>
        <w:rPr>
          <w:color w:val="000000"/>
          <w:szCs w:val="22"/>
        </w:rPr>
        <w:t xml:space="preserve">state-owned electricity company ESB was attacked for implementing the increase required under the agreement. </w:t>
      </w:r>
      <w:r>
        <w:rPr>
          <w:szCs w:val="22"/>
        </w:rPr>
        <w:t>T</w:t>
      </w:r>
      <w:r>
        <w:rPr>
          <w:color w:val="000000"/>
          <w:szCs w:val="22"/>
        </w:rPr>
        <w:t xml:space="preserve">he government confirmed unilateral pay cuts in the budget of December 2009, which specified that from 1st January 2010 basic salaries of public employees would be reduced by 5% </w:t>
      </w:r>
      <w:proofErr w:type="gramStart"/>
      <w:r>
        <w:rPr>
          <w:color w:val="000000"/>
          <w:szCs w:val="22"/>
        </w:rPr>
        <w:t>on  salaries</w:t>
      </w:r>
      <w:proofErr w:type="gramEnd"/>
      <w:r>
        <w:rPr>
          <w:color w:val="000000"/>
          <w:szCs w:val="22"/>
        </w:rPr>
        <w:t xml:space="preserve"> of €30,000, rising to 8% on salaries of  €125,000, and 15% on salaries of €200,000 or more. This was expected to raise €1.4billion per year, out </w:t>
      </w:r>
      <w:proofErr w:type="gramStart"/>
      <w:r>
        <w:rPr>
          <w:color w:val="000000"/>
          <w:szCs w:val="22"/>
        </w:rPr>
        <w:t>of  a</w:t>
      </w:r>
      <w:proofErr w:type="gramEnd"/>
      <w:r>
        <w:rPr>
          <w:color w:val="000000"/>
          <w:szCs w:val="22"/>
        </w:rPr>
        <w:t xml:space="preserve"> total €4 billion cuts package In January 2010 the private sector employers formally rescinded their participation in the pay agreement. </w:t>
      </w:r>
      <w:r>
        <w:rPr>
          <w:rStyle w:val="EndnoteReference"/>
          <w:color w:val="000000"/>
          <w:szCs w:val="22"/>
          <w:vertAlign w:val="baseline"/>
        </w:rPr>
        <w:endnoteReference w:id="21"/>
      </w:r>
      <w:r>
        <w:rPr>
          <w:color w:val="000000"/>
          <w:szCs w:val="22"/>
        </w:rPr>
        <w:t xml:space="preserve"> </w:t>
      </w:r>
    </w:p>
    <w:p w:rsidR="00895501" w:rsidRDefault="00895501">
      <w:pPr>
        <w:rPr>
          <w:szCs w:val="22"/>
        </w:rPr>
      </w:pPr>
    </w:p>
    <w:p w:rsidR="00895501" w:rsidRDefault="00895501">
      <w:pPr>
        <w:rPr>
          <w:rStyle w:val="EndnoteReference"/>
          <w:rFonts w:eastAsia="Arial" w:cs="Arial"/>
          <w:color w:val="000000"/>
          <w:szCs w:val="22"/>
          <w:vertAlign w:val="baseline"/>
        </w:rPr>
      </w:pPr>
      <w:r>
        <w:rPr>
          <w:rStyle w:val="EndnoteReference"/>
          <w:szCs w:val="22"/>
          <w:vertAlign w:val="baseline"/>
        </w:rPr>
        <w:t>This process represented a fundamental break in the social relations with the trade union movement:   “Ireland’s 22-year-old system of social partnership effectively fell apart on 4 December 2009, after the government announced that talks with the public sector trade unions on an agreed method of securing a €1 billion reduction in the public pay bill had failed.” (</w:t>
      </w:r>
      <w:proofErr w:type="spellStart"/>
      <w:r>
        <w:rPr>
          <w:rStyle w:val="EndnoteReference"/>
          <w:szCs w:val="22"/>
          <w:vertAlign w:val="baseline"/>
        </w:rPr>
        <w:t>Eurofound</w:t>
      </w:r>
      <w:proofErr w:type="spellEnd"/>
      <w:r>
        <w:rPr>
          <w:rStyle w:val="EndnoteReference"/>
          <w:szCs w:val="22"/>
          <w:vertAlign w:val="baseline"/>
        </w:rPr>
        <w:t xml:space="preserve">  ); “</w:t>
      </w:r>
      <w:r>
        <w:rPr>
          <w:rStyle w:val="EndnoteReference"/>
          <w:rFonts w:eastAsia="Arial" w:cs="Arial"/>
          <w:color w:val="000000"/>
          <w:szCs w:val="22"/>
          <w:vertAlign w:val="baseline"/>
        </w:rPr>
        <w:t>This intervention effectively ended the model of social partnership agreements in place since 1987.” (</w:t>
      </w:r>
      <w:proofErr w:type="spellStart"/>
      <w:r>
        <w:rPr>
          <w:rStyle w:val="EndnoteReference"/>
          <w:rFonts w:eastAsia="Arial" w:cs="Arial"/>
          <w:color w:val="000000"/>
          <w:szCs w:val="22"/>
          <w:vertAlign w:val="baseline"/>
        </w:rPr>
        <w:t>Considine</w:t>
      </w:r>
      <w:proofErr w:type="spellEnd"/>
      <w:r>
        <w:rPr>
          <w:rStyle w:val="EndnoteReference"/>
          <w:rFonts w:eastAsia="Arial" w:cs="Arial"/>
          <w:color w:val="000000"/>
          <w:szCs w:val="22"/>
          <w:vertAlign w:val="baseline"/>
        </w:rPr>
        <w:t xml:space="preserve"> and </w:t>
      </w:r>
      <w:proofErr w:type="spellStart"/>
      <w:r>
        <w:rPr>
          <w:rStyle w:val="EndnoteReference"/>
          <w:rFonts w:eastAsia="Arial" w:cs="Arial"/>
          <w:color w:val="000000"/>
          <w:szCs w:val="22"/>
          <w:vertAlign w:val="baseline"/>
        </w:rPr>
        <w:t>Dukelow</w:t>
      </w:r>
      <w:proofErr w:type="spellEnd"/>
      <w:r>
        <w:rPr>
          <w:rStyle w:val="EndnoteReference"/>
          <w:rFonts w:eastAsia="Arial" w:cs="Arial"/>
          <w:color w:val="000000"/>
          <w:szCs w:val="22"/>
          <w:vertAlign w:val="baseline"/>
        </w:rPr>
        <w:t xml:space="preserve"> 2009 ); “</w:t>
      </w:r>
      <w:r>
        <w:rPr>
          <w:rStyle w:val="EndnoteReference"/>
          <w:color w:val="000000"/>
          <w:szCs w:val="22"/>
          <w:vertAlign w:val="baseline"/>
        </w:rPr>
        <w:t xml:space="preserve">the whole </w:t>
      </w:r>
      <w:r>
        <w:rPr>
          <w:rStyle w:val="EndnoteReference"/>
          <w:color w:val="000000"/>
          <w:szCs w:val="22"/>
          <w:vertAlign w:val="baseline"/>
        </w:rPr>
        <w:lastRenderedPageBreak/>
        <w:t>process of social partnership came unstuck in December 2009.” (</w:t>
      </w:r>
      <w:proofErr w:type="spellStart"/>
      <w:r>
        <w:rPr>
          <w:rStyle w:val="EndnoteReference"/>
          <w:color w:val="000000"/>
          <w:szCs w:val="22"/>
          <w:vertAlign w:val="baseline"/>
        </w:rPr>
        <w:t>Hardiman</w:t>
      </w:r>
      <w:proofErr w:type="spellEnd"/>
      <w:r>
        <w:rPr>
          <w:rStyle w:val="EndnoteReference"/>
          <w:color w:val="000000"/>
          <w:szCs w:val="22"/>
          <w:vertAlign w:val="baseline"/>
        </w:rPr>
        <w:t xml:space="preserve"> 2010 )</w:t>
      </w:r>
      <w:r>
        <w:rPr>
          <w:rStyle w:val="EndnoteReference"/>
          <w:rFonts w:eastAsia="Arial" w:cs="Arial"/>
          <w:color w:val="000000"/>
          <w:szCs w:val="22"/>
          <w:vertAlign w:val="baseline"/>
        </w:rPr>
        <w:t xml:space="preserve">In summer 2010 talks resumed with the unions, who are seeking a gradual reversal of the wage reductions from 2011. </w:t>
      </w:r>
      <w:r>
        <w:rPr>
          <w:rStyle w:val="EndnoteReference"/>
          <w:color w:val="000000"/>
          <w:szCs w:val="22"/>
          <w:vertAlign w:val="baseline"/>
        </w:rPr>
        <w:t xml:space="preserve"> </w:t>
      </w:r>
      <w:r>
        <w:rPr>
          <w:rStyle w:val="EndnoteReference"/>
          <w:rFonts w:eastAsia="Arial" w:cs="Arial"/>
          <w:color w:val="000000"/>
          <w:szCs w:val="22"/>
          <w:vertAlign w:val="baseline"/>
        </w:rPr>
        <w:endnoteReference w:id="22"/>
      </w:r>
      <w:r>
        <w:rPr>
          <w:rStyle w:val="EndnoteReference"/>
          <w:rFonts w:eastAsia="Arial" w:cs="Arial"/>
          <w:color w:val="000000"/>
          <w:szCs w:val="22"/>
          <w:vertAlign w:val="baseline"/>
        </w:rPr>
        <w:t xml:space="preserve"> </w:t>
      </w:r>
    </w:p>
    <w:p w:rsidR="00895501" w:rsidRDefault="00895501">
      <w:pPr>
        <w:pStyle w:val="Heading3"/>
      </w:pPr>
      <w:bookmarkStart w:id="61" w:name="_Toc297975193"/>
      <w:r>
        <w:t>Latvia</w:t>
      </w:r>
      <w:bookmarkEnd w:id="61"/>
    </w:p>
    <w:p w:rsidR="00895501" w:rsidRDefault="00895501">
      <w:r>
        <w:t xml:space="preserve">Latvia faced acute problems arising from the financial crisis in 2008, which led to it securing an IMF stand-by arrangement worth more than $2.3 billion at the end of 2008.  Public sector pay was cut by a succession </w:t>
      </w:r>
      <w:proofErr w:type="gramStart"/>
      <w:r>
        <w:t>of  measures</w:t>
      </w:r>
      <w:proofErr w:type="gramEnd"/>
      <w:r>
        <w:t xml:space="preserve"> in 2008 and 2009:</w:t>
      </w:r>
    </w:p>
    <w:p w:rsidR="00895501" w:rsidRDefault="00895501">
      <w:pPr>
        <w:numPr>
          <w:ilvl w:val="0"/>
          <w:numId w:val="19"/>
        </w:numPr>
      </w:pPr>
      <w:r>
        <w:t>in mid-2008  additional payments and bonuses were cut</w:t>
      </w:r>
    </w:p>
    <w:p w:rsidR="00895501" w:rsidRDefault="00895501">
      <w:pPr>
        <w:numPr>
          <w:ilvl w:val="0"/>
          <w:numId w:val="19"/>
        </w:numPr>
      </w:pPr>
      <w:proofErr w:type="spellStart"/>
      <w:r>
        <w:t>Conditionalities</w:t>
      </w:r>
      <w:proofErr w:type="spellEnd"/>
      <w:r>
        <w:t xml:space="preserve"> for the IMF deal included a 15 per cent reduction in local government employees’ wages, and a 30% cut in the wage bill in 2009</w:t>
      </w:r>
    </w:p>
    <w:p w:rsidR="00895501" w:rsidRDefault="00895501">
      <w:pPr>
        <w:numPr>
          <w:ilvl w:val="0"/>
          <w:numId w:val="19"/>
        </w:numPr>
      </w:pPr>
      <w:r>
        <w:t>in July 2009 salaries of state sector workers were cut by between 15% and 20%</w:t>
      </w:r>
    </w:p>
    <w:p w:rsidR="00895501" w:rsidRDefault="00895501" w:rsidP="00470910">
      <w:pPr>
        <w:numPr>
          <w:ilvl w:val="0"/>
          <w:numId w:val="19"/>
        </w:numPr>
      </w:pPr>
      <w:r>
        <w:t xml:space="preserve">from September 2009 teachers pay was cut by 28%  </w:t>
      </w:r>
      <w:r>
        <w:rPr>
          <w:rStyle w:val="EndnoteReference"/>
        </w:rPr>
        <w:endnoteReference w:id="23"/>
      </w:r>
    </w:p>
    <w:p w:rsidR="00895501" w:rsidRDefault="00895501">
      <w:pPr>
        <w:pStyle w:val="Heading3"/>
      </w:pPr>
      <w:bookmarkStart w:id="62" w:name="_Toc297975194"/>
      <w:r>
        <w:t>Lithuania</w:t>
      </w:r>
      <w:bookmarkEnd w:id="62"/>
    </w:p>
    <w:p w:rsidR="00895501" w:rsidRDefault="00895501">
      <w:r>
        <w:t xml:space="preserve">In June 2009 the Lithuanian government announced unilaterally that it was planning to cut the basic salaries of public sector employees by 10%, with effect from August. The trade union confederation rejected the decision and organised action, including a hunger strike: the government then entered discussions with the unions, and agreed to suspend the unilateral decision. </w:t>
      </w:r>
    </w:p>
    <w:p w:rsidR="00895501" w:rsidRDefault="00895501"/>
    <w:p w:rsidR="00895501" w:rsidRDefault="00895501">
      <w:r>
        <w:t xml:space="preserve">An agreement was signed in October 2009 between the government, private employers and a number of trade union organisations. It includes an obligation not to reduce basic salaries for civil servants, but also an overall austerity agreement involving general reductions in wages and social benefits. </w:t>
      </w:r>
    </w:p>
    <w:p w:rsidR="00895501" w:rsidRDefault="00895501"/>
    <w:p w:rsidR="00895501" w:rsidRDefault="00895501">
      <w:r>
        <w:t xml:space="preserve">The prime minister claims that the austerity measures have been successful because they are based on 'social consensus': However, some independent trade unions and civil society groups refused to sign the 2009 agreement because of the plans to cut pensions, and criticise the process for lack of transparency and for agreeing that the burden of the crisis should fall on ordinary people. </w:t>
      </w:r>
      <w:r>
        <w:rPr>
          <w:rStyle w:val="EndnoteReference"/>
        </w:rPr>
        <w:endnoteReference w:id="24"/>
      </w:r>
    </w:p>
    <w:p w:rsidR="00895501" w:rsidRDefault="00895501">
      <w:pPr>
        <w:pStyle w:val="Heading3"/>
      </w:pPr>
      <w:bookmarkStart w:id="63" w:name="_Toc297975195"/>
      <w:r>
        <w:t>Portugal</w:t>
      </w:r>
      <w:bookmarkEnd w:id="63"/>
    </w:p>
    <w:p w:rsidR="00895501" w:rsidRDefault="00895501">
      <w:r>
        <w:t xml:space="preserve">In early 2010, as a way of reducing the budget deficit, the government proposed a general freeze on wages, cuts in public sector pensions, 5% pay cuts for senior civil servants and politicians only, and unilaterally decided to cut unemployment benefit and the minimum wage. This was strongly opposed by the unions and others, including a strike of 300,000 workers in March, and one of the largest demonstrations ever recorded in Portugal, in May 2010. The private employers also opposed an increase in the national minimum wage, as agreed in the 2006 tri-partite agreement: the government approved the increase, but provided a subsidy for employers. </w:t>
      </w:r>
      <w:r>
        <w:rPr>
          <w:rStyle w:val="EndnoteReference"/>
        </w:rPr>
        <w:endnoteReference w:id="25"/>
      </w:r>
    </w:p>
    <w:p w:rsidR="00895501" w:rsidRDefault="00895501"/>
    <w:p w:rsidR="00895501" w:rsidRDefault="00895501">
      <w:pPr>
        <w:pStyle w:val="Heading3"/>
      </w:pPr>
      <w:bookmarkStart w:id="64" w:name="_Toc297975196"/>
      <w:r>
        <w:t>Spain</w:t>
      </w:r>
      <w:bookmarkEnd w:id="64"/>
    </w:p>
    <w:p w:rsidR="00895501" w:rsidRDefault="00895501">
      <w:r>
        <w:t xml:space="preserve">In response to international markets' forcing up the cost of borrowing by Spain, the government introduced a number of measures in 2010 to try to reduce the budget deficit.  In May 2010 the government announced a cut in public sector pay of 5% on average, a freeze on civil service pay in 2011, a freeze on pensions, and reductions in some benefits. </w:t>
      </w:r>
      <w:r>
        <w:rPr>
          <w:rStyle w:val="EndnoteReference"/>
        </w:rPr>
        <w:endnoteReference w:id="26"/>
      </w:r>
      <w:r>
        <w:t xml:space="preserve"> </w:t>
      </w:r>
    </w:p>
    <w:p w:rsidR="00895501" w:rsidRDefault="00895501"/>
    <w:p w:rsidR="00895501" w:rsidRDefault="00895501">
      <w:pPr>
        <w:pStyle w:val="Heading3"/>
      </w:pPr>
      <w:bookmarkStart w:id="65" w:name="_Toc297975197"/>
      <w:r>
        <w:t>Romani</w:t>
      </w:r>
      <w:bookmarkStart w:id="66" w:name="__RefHeading__2511_51685222"/>
      <w:bookmarkEnd w:id="66"/>
      <w:r>
        <w:t>a</w:t>
      </w:r>
      <w:bookmarkEnd w:id="65"/>
    </w:p>
    <w:p w:rsidR="00895501" w:rsidRDefault="00895501">
      <w:proofErr w:type="gramStart"/>
      <w:r>
        <w:t>Romania  was</w:t>
      </w:r>
      <w:proofErr w:type="gramEnd"/>
      <w:r>
        <w:t xml:space="preserve"> given a loan from the IMF in 2009. The agreement with the IMF specifies a ceiling of RON 39 billion on the </w:t>
      </w:r>
      <w:proofErr w:type="spellStart"/>
      <w:r>
        <w:t>paybill</w:t>
      </w:r>
      <w:proofErr w:type="spellEnd"/>
      <w:r>
        <w:t xml:space="preserve"> for government personnel, with a commitment to cutting 74,000 jobs in 2010 and a </w:t>
      </w:r>
      <w:proofErr w:type="gramStart"/>
      <w:r>
        <w:t>further  15,000</w:t>
      </w:r>
      <w:proofErr w:type="gramEnd"/>
      <w:r>
        <w:t xml:space="preserve"> in 2011. The government announced further measures in May </w:t>
      </w:r>
      <w:proofErr w:type="gramStart"/>
      <w:r>
        <w:t>2010  including</w:t>
      </w:r>
      <w:proofErr w:type="gramEnd"/>
      <w:r>
        <w:t xml:space="preserve"> a cut in all public sector wages of 25% from June 2010; pensions and other benefits were also cut by 15%. </w:t>
      </w:r>
    </w:p>
    <w:p w:rsidR="00895501" w:rsidRDefault="00895501"/>
    <w:p w:rsidR="00895501" w:rsidRDefault="00895501">
      <w:r>
        <w:t>The Financial Times described this as leading to a “storm of public anger”. The unions said that “the government is trying to shift the burden of the economic crisis on to the shoulders of workers, pensioners and other vulnerable sections of the community”. Employers' associations “withdrew their support, arguing that lowering individual earnings would only worsen the recession. They have now asked the government to institute measures to create jobs and generate economic growth.” The main unions have been strongly criticised for not responding strongly enough, and for having leaders who are too concerned with preserving their own high incomes: “the violence and radicalism of impromptu protests exceed the organisational ability of [the union] leaders, whose current statements show their being mediators rather than significant leaders“</w:t>
      </w:r>
    </w:p>
    <w:p w:rsidR="00895501" w:rsidRDefault="00895501"/>
    <w:p w:rsidR="00895501" w:rsidRDefault="00895501">
      <w:r>
        <w:rPr>
          <w:rStyle w:val="EndnoteReference"/>
          <w:vertAlign w:val="baseline"/>
        </w:rPr>
        <w:t xml:space="preserve">In August 2010 the government said that civil service salaries may increase by 10% in 2011, but only if the '13th month' payment is abolished; an IMF spokesperson then advised Romania not to reverse the pay cut of 25%: “a salary increase may only happen if the layoff process is accelerated.”  Government policies are monitored by a joint team of the EU, IMF and World Bank, who decide whether the next tranche of the standby credit will be released. </w:t>
      </w:r>
      <w:r>
        <w:rPr>
          <w:rStyle w:val="EndnoteReference"/>
          <w:vertAlign w:val="baseline"/>
        </w:rPr>
        <w:endnoteReference w:id="27"/>
      </w:r>
    </w:p>
    <w:p w:rsidR="00895501" w:rsidRDefault="00895501"/>
    <w:p w:rsidR="00895501" w:rsidRDefault="00895501">
      <w:pPr>
        <w:pStyle w:val="Heading3"/>
      </w:pPr>
      <w:bookmarkStart w:id="67" w:name="_Toc297975198"/>
      <w:r>
        <w:t>Other</w:t>
      </w:r>
      <w:bookmarkEnd w:id="67"/>
    </w:p>
    <w:p w:rsidR="00895501" w:rsidRDefault="00895501">
      <w:pPr>
        <w:pStyle w:val="NormalWeb"/>
      </w:pPr>
      <w:r>
        <w:t xml:space="preserve">Elsewhere in Europe pay rises have been agreed by negotiation, even where strike action has been involved.  In Germany, for example, a new pay agreement was reached in March 2009 for 650,000 employees of the regional Lander, after waves of one-day strikes, providing for </w:t>
      </w:r>
      <w:proofErr w:type="gramStart"/>
      <w:r>
        <w:t>increases  of</w:t>
      </w:r>
      <w:proofErr w:type="gramEnd"/>
      <w:r>
        <w:t xml:space="preserve"> 3% in March 2009 and a further 1.2% in March 2010.  In Slovakia, after 4 months of negotiations, government and unions agreed in October 2009 to a pay increase of just 1% for public sector employees in January 2010.  In Slovenia, in February 2009, the government and the public sector trade unions agreed to various measures which reduced pay rises in 2009-2010 </w:t>
      </w:r>
      <w:proofErr w:type="gramStart"/>
      <w:r>
        <w:t>of  7.1</w:t>
      </w:r>
      <w:proofErr w:type="gramEnd"/>
      <w:r>
        <w:t xml:space="preserve">% - a reduction from the previously agreed figure of 9.9%.  In Italy, in May 2010 the government imposed a salary freeze for state employees in general; the UK government did the same in June 2010.   </w:t>
      </w:r>
      <w:r>
        <w:rPr>
          <w:rStyle w:val="EndnoteReference"/>
        </w:rPr>
        <w:endnoteReference w:id="28"/>
      </w:r>
      <w:r>
        <w:t xml:space="preserve">  </w:t>
      </w:r>
    </w:p>
    <w:p w:rsidR="00895501" w:rsidRDefault="00895501"/>
    <w:p w:rsidR="00895501" w:rsidRDefault="00895501">
      <w:pPr>
        <w:pStyle w:val="Heading1"/>
      </w:pPr>
      <w:bookmarkStart w:id="68" w:name="__RefHeading__2507_5168522"/>
      <w:bookmarkStart w:id="69" w:name="_Toc297975199"/>
      <w:bookmarkEnd w:id="68"/>
      <w:r>
        <w:t>EU-USA similarities and differences</w:t>
      </w:r>
      <w:bookmarkEnd w:id="69"/>
    </w:p>
    <w:p w:rsidR="00895501" w:rsidRDefault="00895501">
      <w:r>
        <w:t xml:space="preserve">The statistical evidence on post-crisis pay in the EU is similar to the USA data in a number </w:t>
      </w:r>
      <w:proofErr w:type="gramStart"/>
      <w:r>
        <w:t>of  respects</w:t>
      </w:r>
      <w:proofErr w:type="gramEnd"/>
      <w:r>
        <w:t xml:space="preserve">. </w:t>
      </w:r>
    </w:p>
    <w:p w:rsidR="00895501" w:rsidRDefault="00895501">
      <w:pPr>
        <w:numPr>
          <w:ilvl w:val="0"/>
          <w:numId w:val="13"/>
        </w:numPr>
      </w:pPr>
      <w:r>
        <w:t>Firstly, there is no evidence of a general fall in pay levels, across the whole economy, in the 2 years of the crisis from 2008 to 2010</w:t>
      </w:r>
    </w:p>
    <w:p w:rsidR="00895501" w:rsidRDefault="00895501">
      <w:pPr>
        <w:numPr>
          <w:ilvl w:val="0"/>
          <w:numId w:val="13"/>
        </w:numPr>
      </w:pPr>
      <w:r>
        <w:t>Secondly, public sector pay has not risen significantly faster than pay in the private sector, either since the crisis or in the medium term</w:t>
      </w:r>
    </w:p>
    <w:p w:rsidR="00895501" w:rsidRDefault="00895501">
      <w:pPr>
        <w:numPr>
          <w:ilvl w:val="0"/>
          <w:numId w:val="13"/>
        </w:numPr>
      </w:pPr>
      <w:r>
        <w:t xml:space="preserve">Thirdly, there is evidence that union membership and collective agreements provide some protection for earnings – an effect which is greatest in the public sector, where trade union membership is now significantly higher than in the private sector.  </w:t>
      </w:r>
    </w:p>
    <w:p w:rsidR="00895501" w:rsidRDefault="00895501"/>
    <w:p w:rsidR="00895501" w:rsidRDefault="00895501">
      <w:pPr>
        <w:rPr>
          <w:rFonts w:cs="ArialNarrow"/>
          <w:szCs w:val="22"/>
        </w:rPr>
      </w:pPr>
      <w:r>
        <w:rPr>
          <w:szCs w:val="22"/>
        </w:rPr>
        <w:t xml:space="preserve">This analysis is consistent with comments by the consultancy firm </w:t>
      </w:r>
      <w:proofErr w:type="spellStart"/>
      <w:r>
        <w:rPr>
          <w:szCs w:val="22"/>
        </w:rPr>
        <w:t>Kienbaum</w:t>
      </w:r>
      <w:proofErr w:type="spellEnd"/>
      <w:r>
        <w:rPr>
          <w:szCs w:val="22"/>
        </w:rPr>
        <w:t>, in their forecast of pay rises in Europe in 2010.</w:t>
      </w:r>
      <w:r>
        <w:rPr>
          <w:rStyle w:val="EndnoteCharacters"/>
          <w:szCs w:val="22"/>
        </w:rPr>
        <w:endnoteReference w:id="29"/>
      </w:r>
      <w:r>
        <w:rPr>
          <w:szCs w:val="22"/>
        </w:rPr>
        <w:t xml:space="preserve"> </w:t>
      </w:r>
      <w:proofErr w:type="spellStart"/>
      <w:r>
        <w:rPr>
          <w:szCs w:val="22"/>
        </w:rPr>
        <w:t>Kienbaum</w:t>
      </w:r>
      <w:proofErr w:type="spellEnd"/>
      <w:r>
        <w:rPr>
          <w:szCs w:val="22"/>
        </w:rPr>
        <w:t xml:space="preserve"> expected salaries to rise in real terms in all EU countries in 2010 (except Italy, where real rises would be zero), and identified two factors which are maintaining real earnings levels. Firstly</w:t>
      </w:r>
      <w:r>
        <w:rPr>
          <w:rFonts w:cs="ArialNarrow"/>
          <w:szCs w:val="22"/>
        </w:rPr>
        <w:t>, employers wish to retain qualified labour as a competitive advantage as soon as the economy recovers, and so want to avoid losing or demoralising workers through cutting pay. Secondly</w:t>
      </w:r>
      <w:r>
        <w:rPr>
          <w:szCs w:val="22"/>
        </w:rPr>
        <w:t>, the extent of collective agreements: in sectors not covered, it expects that “</w:t>
      </w:r>
      <w:r>
        <w:rPr>
          <w:rFonts w:cs="ArialNarrow"/>
          <w:szCs w:val="22"/>
        </w:rPr>
        <w:t xml:space="preserve">one-third of all European companies are expected to freeze their salaries on last year’s level.”  </w:t>
      </w:r>
    </w:p>
    <w:p w:rsidR="00895501" w:rsidRDefault="00895501"/>
    <w:p w:rsidR="00895501" w:rsidRDefault="00895501">
      <w:r>
        <w:t xml:space="preserve">There is however a clear difference between the USA and European countries, in that a number of European countries have now introduced or attempted to introduce pay freezes or pay cuts specifically in the public sector.  </w:t>
      </w:r>
    </w:p>
    <w:p w:rsidR="00895501" w:rsidRDefault="00895501"/>
    <w:p w:rsidR="00895501" w:rsidRDefault="00895501">
      <w:r>
        <w:t xml:space="preserve">Most of the countries involved have been the subject of external economic pressures, </w:t>
      </w:r>
      <w:proofErr w:type="gramStart"/>
      <w:r>
        <w:t>including  (</w:t>
      </w:r>
      <w:proofErr w:type="gramEnd"/>
      <w:r>
        <w:t xml:space="preserve">a) pressure from the European Commission to keep deficits below the level of 3% specified in the Maastricht Treaty (b) market pressures from investors in bonds, who have sold or refused to </w:t>
      </w:r>
      <w:proofErr w:type="spellStart"/>
      <w:r>
        <w:t>buy,bonds</w:t>
      </w:r>
      <w:proofErr w:type="spellEnd"/>
      <w:r>
        <w:t xml:space="preserve"> from countries until policy changes and guarantees are given (c ) policies required by the IMF as condition for loans supporting national currencies. </w:t>
      </w:r>
    </w:p>
    <w:p w:rsidR="00895501" w:rsidRDefault="00895501"/>
    <w:p w:rsidR="00895501" w:rsidRDefault="00895501">
      <w:r>
        <w:t xml:space="preserve">The USA is clearly different from European countries in all these respects. There is no formal continental agency enforcing formal fiscal rules, nor is the USA likely to be the subject of an IMF loan. And in practice, despite a higher government deficit (10.7% of GDP) than many European countries, the USA remains able to sell all its bonds at very low rates of interest. As a result, it is not exposed to the same external pressures as European countries: </w:t>
      </w:r>
    </w:p>
    <w:p w:rsidR="00895501" w:rsidRDefault="00895501">
      <w:pPr>
        <w:ind w:left="720"/>
      </w:pPr>
      <w:r>
        <w:t xml:space="preserve">“The dollar’s place at the heart of the global financial system means the US has the luxury of tightening fiscal policy at its own pace. While the US has a bigger fiscal deficit than the </w:t>
      </w:r>
      <w:proofErr w:type="spellStart"/>
      <w:r>
        <w:t>eurozone</w:t>
      </w:r>
      <w:proofErr w:type="spellEnd"/>
      <w:r>
        <w:t xml:space="preserve"> – </w:t>
      </w:r>
      <w:r>
        <w:lastRenderedPageBreak/>
        <w:t>the Paris-based Organisation for Economic Co-operation and Development expects it to be 10.7 per cent of output in 2010 – the Greek crisis has prompted a flight to, rather than from, the dollar and US Treasury paper. The yield on 10-year Treasuries has fallen from 4 per cent at the start of April to around 3.3 per cent. As a result, Washington is feeling little market pressure to cut its deficit, and few economists expect that to change as long as US finances look healthy relative to others around the world. Instead of bond market fears, the US has an intense political debate about deficits and whether to spend more on fiscal stimulus.”</w:t>
      </w:r>
      <w:r>
        <w:rPr>
          <w:rStyle w:val="EndnoteReference"/>
        </w:rPr>
        <w:endnoteReference w:id="30"/>
      </w:r>
    </w:p>
    <w:p w:rsidR="00895501" w:rsidRDefault="00895501"/>
    <w:p w:rsidR="00895501" w:rsidRDefault="00895501">
      <w:pPr>
        <w:pStyle w:val="Heading1"/>
      </w:pPr>
      <w:bookmarkStart w:id="70" w:name="__RefHeading__2513_5168522"/>
      <w:bookmarkStart w:id="71" w:name="_Toc297975200"/>
      <w:bookmarkEnd w:id="70"/>
      <w:r>
        <w:t>Other regions</w:t>
      </w:r>
      <w:bookmarkEnd w:id="71"/>
    </w:p>
    <w:p w:rsidR="00895501" w:rsidRDefault="00895501">
      <w:r>
        <w:t>There is less systematic evidence from other regions, for three reasons. Firstly</w:t>
      </w:r>
      <w:proofErr w:type="gramStart"/>
      <w:r>
        <w:t>,  the</w:t>
      </w:r>
      <w:proofErr w:type="gramEnd"/>
      <w:r>
        <w:t xml:space="preserve"> economic impact of the recession itself has been much less than in northern countries. Secondly, there is less evidence of a political reaction against the government deficits incurred to combat recession. Thirdly, systematic data on public sector </w:t>
      </w:r>
      <w:proofErr w:type="gramStart"/>
      <w:r>
        <w:t>pay,</w:t>
      </w:r>
      <w:proofErr w:type="gramEnd"/>
      <w:r>
        <w:t xml:space="preserve"> is not available except for a minority of countries. </w:t>
      </w:r>
    </w:p>
    <w:p w:rsidR="00895501" w:rsidRDefault="00895501"/>
    <w:p w:rsidR="00895501" w:rsidRDefault="00895501">
      <w:r>
        <w:t xml:space="preserve">The evidence for Asia and Africa, set out below, broadly confirms the USA and European picture of relatively little general impact of recession on pay, with no major divergence apparent between public and private sector experience.  However, there does </w:t>
      </w:r>
      <w:proofErr w:type="gramStart"/>
      <w:r>
        <w:t>not  appear</w:t>
      </w:r>
      <w:proofErr w:type="gramEnd"/>
      <w:r>
        <w:t xml:space="preserve"> to be any country outside the group of Europeans discussed above, which has actually cut the pay levels of public sector employees (as of July 2010).  This cannot be because of absence of external pressure – the countries of the global south have historically been most vulnerable to, and most affected by, policy requirements of international institutions and private investors.  The reasons may rather be linked to the relatively lesser direct impact of the crisis, with less political pressures against the higher levels of public spending and borrowing. </w:t>
      </w:r>
    </w:p>
    <w:p w:rsidR="00895501" w:rsidRDefault="00895501"/>
    <w:p w:rsidR="00895501" w:rsidRDefault="00895501">
      <w:pPr>
        <w:pStyle w:val="Heading2"/>
      </w:pPr>
      <w:bookmarkStart w:id="72" w:name="__RefHeading__2517_51685221"/>
      <w:bookmarkStart w:id="73" w:name="_Toc297975201"/>
      <w:bookmarkEnd w:id="72"/>
      <w:r>
        <w:t>Asia</w:t>
      </w:r>
      <w:bookmarkEnd w:id="73"/>
    </w:p>
    <w:p w:rsidR="00895501" w:rsidRDefault="00895501">
      <w:r>
        <w:t>The major high income country in Asia, Japan, has experienced a long period of economic stagnation before the recent crisis, so the new crisis is interacting with a different context.  The official statistics of Japan do not show earnings for the public sector, or government sector, but the monthly earnings index does provide separate data for education, healthcare. The table shows that earnings in general stagnated or fell in the years from 2000-2007</w:t>
      </w:r>
      <w:proofErr w:type="gramStart"/>
      <w:r>
        <w:t>, ;</w:t>
      </w:r>
      <w:proofErr w:type="gramEnd"/>
      <w:r>
        <w:t xml:space="preserve">  earnings in  manufacturing did better than average; but earnings  in education and healthcare fell faster than average.  Earnings in general have fallen sharply between 2008 and 2009, but earnings in education actually fell faster than average (in healthcare slightly slower). There is no clear evidence here of public sector pay 'uncoupling' from the private sector in recession.  </w:t>
      </w:r>
    </w:p>
    <w:p w:rsidR="00895501" w:rsidRDefault="00895501"/>
    <w:p w:rsidR="00895501" w:rsidRDefault="00895501">
      <w:r>
        <w:t xml:space="preserve">In June 2010 Japan announced a strategy to try and reduce its government deficit and debt over the next 10 years, but the measures did not include cuts in public sector pay. </w:t>
      </w:r>
      <w:r>
        <w:rPr>
          <w:rStyle w:val="EndnoteReference"/>
        </w:rPr>
        <w:endnoteReference w:id="31"/>
      </w:r>
      <w:r>
        <w:t xml:space="preserve">  </w:t>
      </w:r>
    </w:p>
    <w:p w:rsidR="0021143A" w:rsidRDefault="0021143A"/>
    <w:p w:rsidR="0021143A" w:rsidRDefault="0021143A"/>
    <w:p w:rsidR="00895501" w:rsidRDefault="00895501">
      <w:pPr>
        <w:pStyle w:val="Heading7"/>
      </w:pPr>
      <w:bookmarkStart w:id="74" w:name="_Toc297975202"/>
      <w:r>
        <w:t>Earnings in Japan, 2000-2009</w:t>
      </w:r>
      <w:bookmarkEnd w:id="74"/>
    </w:p>
    <w:tbl>
      <w:tblPr>
        <w:tblW w:w="0" w:type="auto"/>
        <w:tblInd w:w="180" w:type="dxa"/>
        <w:tblLayout w:type="fixed"/>
        <w:tblCellMar>
          <w:left w:w="180" w:type="dxa"/>
          <w:right w:w="180" w:type="dxa"/>
        </w:tblCellMar>
        <w:tblLook w:val="0000" w:firstRow="0" w:lastRow="0" w:firstColumn="0" w:lastColumn="0" w:noHBand="0" w:noVBand="0"/>
      </w:tblPr>
      <w:tblGrid>
        <w:gridCol w:w="1410"/>
        <w:gridCol w:w="1410"/>
        <w:gridCol w:w="1410"/>
        <w:gridCol w:w="1410"/>
        <w:gridCol w:w="1410"/>
      </w:tblGrid>
      <w:tr w:rsidR="00895501">
        <w:tc>
          <w:tcPr>
            <w:tcW w:w="1410" w:type="dxa"/>
            <w:shd w:val="clear" w:color="auto" w:fill="auto"/>
            <w:vAlign w:val="bottom"/>
          </w:tcPr>
          <w:p w:rsidR="00895501" w:rsidRDefault="00895501">
            <w:pPr>
              <w:autoSpaceDE w:val="0"/>
              <w:snapToGrid w:val="0"/>
              <w:rPr>
                <w:rFonts w:ascii="Arial" w:eastAsia="Arial" w:hAnsi="Arial" w:cs="Arial"/>
                <w:sz w:val="20"/>
                <w:szCs w:val="20"/>
              </w:rPr>
            </w:pP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All workers</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Manu-</w:t>
            </w:r>
            <w:proofErr w:type="spellStart"/>
            <w:r>
              <w:rPr>
                <w:rFonts w:ascii="Arial" w:eastAsia="Arial" w:hAnsi="Arial" w:cs="Arial"/>
                <w:sz w:val="20"/>
                <w:szCs w:val="20"/>
              </w:rPr>
              <w:t>facturing</w:t>
            </w:r>
            <w:proofErr w:type="spellEnd"/>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Education</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Healthcare</w:t>
            </w:r>
          </w:p>
        </w:tc>
      </w:tr>
      <w:tr w:rsidR="00895501">
        <w:tc>
          <w:tcPr>
            <w:tcW w:w="1410" w:type="dxa"/>
            <w:shd w:val="clear" w:color="auto" w:fill="auto"/>
            <w:vAlign w:val="bottom"/>
          </w:tcPr>
          <w:p w:rsidR="00895501" w:rsidRDefault="00895501">
            <w:pPr>
              <w:autoSpaceDE w:val="0"/>
              <w:snapToGrid w:val="0"/>
              <w:rPr>
                <w:rFonts w:ascii="Arial" w:eastAsia="Arial" w:hAnsi="Arial" w:cs="Arial"/>
                <w:sz w:val="20"/>
                <w:szCs w:val="20"/>
              </w:rPr>
            </w:pPr>
          </w:p>
        </w:tc>
        <w:tc>
          <w:tcPr>
            <w:tcW w:w="1410" w:type="dxa"/>
            <w:shd w:val="clear" w:color="auto" w:fill="auto"/>
            <w:vAlign w:val="bottom"/>
          </w:tcPr>
          <w:p w:rsidR="00895501" w:rsidRDefault="00895501">
            <w:pPr>
              <w:autoSpaceDE w:val="0"/>
              <w:snapToGrid w:val="0"/>
              <w:rPr>
                <w:rFonts w:ascii="Arial" w:eastAsia="Arial" w:hAnsi="Arial" w:cs="Arial"/>
                <w:sz w:val="20"/>
                <w:szCs w:val="20"/>
              </w:rPr>
            </w:pPr>
          </w:p>
        </w:tc>
        <w:tc>
          <w:tcPr>
            <w:tcW w:w="1410" w:type="dxa"/>
            <w:shd w:val="clear" w:color="auto" w:fill="auto"/>
            <w:vAlign w:val="bottom"/>
          </w:tcPr>
          <w:p w:rsidR="00895501" w:rsidRDefault="00895501">
            <w:pPr>
              <w:autoSpaceDE w:val="0"/>
              <w:snapToGrid w:val="0"/>
              <w:rPr>
                <w:rFonts w:ascii="Arial" w:eastAsia="Arial" w:hAnsi="Arial" w:cs="Arial"/>
                <w:sz w:val="20"/>
                <w:szCs w:val="20"/>
              </w:rPr>
            </w:pPr>
          </w:p>
        </w:tc>
        <w:tc>
          <w:tcPr>
            <w:tcW w:w="1410" w:type="dxa"/>
            <w:shd w:val="clear" w:color="auto" w:fill="auto"/>
            <w:vAlign w:val="bottom"/>
          </w:tcPr>
          <w:p w:rsidR="00895501" w:rsidRDefault="00895501">
            <w:pPr>
              <w:autoSpaceDE w:val="0"/>
              <w:snapToGrid w:val="0"/>
              <w:rPr>
                <w:rFonts w:ascii="Arial" w:eastAsia="Arial" w:hAnsi="Arial" w:cs="Arial"/>
                <w:sz w:val="20"/>
                <w:szCs w:val="20"/>
              </w:rPr>
            </w:pPr>
          </w:p>
        </w:tc>
        <w:tc>
          <w:tcPr>
            <w:tcW w:w="1410" w:type="dxa"/>
            <w:shd w:val="clear" w:color="auto" w:fill="auto"/>
            <w:vAlign w:val="bottom"/>
          </w:tcPr>
          <w:p w:rsidR="00895501" w:rsidRDefault="00895501">
            <w:pPr>
              <w:autoSpaceDE w:val="0"/>
              <w:snapToGrid w:val="0"/>
              <w:rPr>
                <w:rFonts w:ascii="Arial" w:eastAsia="Arial" w:hAnsi="Arial" w:cs="Arial"/>
                <w:sz w:val="20"/>
                <w:szCs w:val="20"/>
              </w:rPr>
            </w:pPr>
          </w:p>
        </w:tc>
      </w:tr>
      <w:tr w:rsidR="00895501">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2000</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103.9</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96.4</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106.1</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107.9</w:t>
            </w:r>
          </w:p>
        </w:tc>
      </w:tr>
      <w:tr w:rsidR="00895501">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2001</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102.9</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96.3</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108.4</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107.2</w:t>
            </w:r>
          </w:p>
        </w:tc>
      </w:tr>
      <w:tr w:rsidR="00895501">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2002</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99.9</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95.2</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104.8</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103.6</w:t>
            </w:r>
          </w:p>
        </w:tc>
      </w:tr>
      <w:tr w:rsidR="00895501">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2003</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99.8</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97.6</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103</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101.9</w:t>
            </w:r>
          </w:p>
        </w:tc>
      </w:tr>
      <w:tr w:rsidR="00895501">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2004</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99</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99.2</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99.4</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99.5</w:t>
            </w:r>
          </w:p>
        </w:tc>
      </w:tr>
      <w:tr w:rsidR="00895501">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2005</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100</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100</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100</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100</w:t>
            </w:r>
          </w:p>
        </w:tc>
      </w:tr>
      <w:tr w:rsidR="00895501">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2006</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101</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101.3</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99.8</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100.6</w:t>
            </w:r>
          </w:p>
        </w:tc>
      </w:tr>
      <w:tr w:rsidR="00895501">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2007</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100.1</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100.9</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97.9</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99.9</w:t>
            </w:r>
          </w:p>
        </w:tc>
      </w:tr>
      <w:tr w:rsidR="00895501">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2008</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99.6</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101</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96</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96.9</w:t>
            </w:r>
          </w:p>
        </w:tc>
      </w:tr>
      <w:tr w:rsidR="00895501">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2009</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94.8</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92.9</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89.9</w:t>
            </w:r>
          </w:p>
        </w:tc>
        <w:tc>
          <w:tcPr>
            <w:tcW w:w="1410" w:type="dxa"/>
            <w:shd w:val="clear" w:color="auto" w:fill="auto"/>
            <w:vAlign w:val="bottom"/>
          </w:tcPr>
          <w:p w:rsidR="00895501" w:rsidRDefault="00895501">
            <w:pPr>
              <w:autoSpaceDE w:val="0"/>
              <w:snapToGrid w:val="0"/>
              <w:rPr>
                <w:rFonts w:ascii="Arial" w:eastAsia="Arial" w:hAnsi="Arial" w:cs="Arial"/>
                <w:sz w:val="20"/>
                <w:szCs w:val="20"/>
              </w:rPr>
            </w:pPr>
            <w:r>
              <w:rPr>
                <w:rFonts w:ascii="Arial" w:eastAsia="Arial" w:hAnsi="Arial" w:cs="Arial"/>
                <w:sz w:val="20"/>
                <w:szCs w:val="20"/>
              </w:rPr>
              <w:t>94.4</w:t>
            </w:r>
          </w:p>
        </w:tc>
      </w:tr>
    </w:tbl>
    <w:p w:rsidR="00895501" w:rsidRDefault="00895501">
      <w:r>
        <w:t>Source: Japan Monthly Statistics, wage index by industry, nominal terms (2005=100)</w:t>
      </w:r>
    </w:p>
    <w:p w:rsidR="00895501" w:rsidRDefault="00BA7388">
      <w:hyperlink r:id="rId34" w:history="1">
        <w:r w:rsidR="00895501">
          <w:rPr>
            <w:rStyle w:val="Hyperlink"/>
          </w:rPr>
          <w:t>http://www.stat.go.jp/data/getujidb/zuhyou/g12.xls</w:t>
        </w:r>
      </w:hyperlink>
      <w:r w:rsidR="00895501">
        <w:t xml:space="preserve"> </w:t>
      </w:r>
    </w:p>
    <w:p w:rsidR="00895501" w:rsidRDefault="00895501"/>
    <w:p w:rsidR="00895501" w:rsidRDefault="00895501">
      <w:r>
        <w:lastRenderedPageBreak/>
        <w:t xml:space="preserve">The other large Asian economy, China, has continued to experience much faster growth rates both before and after the crisis (the same is broadly true of India) </w:t>
      </w:r>
      <w:proofErr w:type="gramStart"/>
      <w:r>
        <w:t>The</w:t>
      </w:r>
      <w:proofErr w:type="gramEnd"/>
      <w:r>
        <w:t xml:space="preserve"> pattern of earnings should thus be considered in the context of relatively slight impact on the economy as a whole. </w:t>
      </w:r>
    </w:p>
    <w:p w:rsidR="00895501" w:rsidRDefault="00895501"/>
    <w:p w:rsidR="00895501" w:rsidRDefault="00895501">
      <w:r>
        <w:t>Official data on earnings of urban workers in China by type of employer show that in 2008 the pay of urban workers in state-owned and collective-owned enterprises rose slightly more slowly than that of workers in other (privately owned) enterprises. The latest data shows that earnings of private sector workers had risen less rapidly in the year to the 3</w:t>
      </w:r>
      <w:r>
        <w:rPr>
          <w:vertAlign w:val="superscript"/>
        </w:rPr>
        <w:t>rd</w:t>
      </w:r>
      <w:r>
        <w:t xml:space="preserve"> quarter of 2009.   It is worth noting that in both periods the significant growth in employment has taken place entirely in the private sector, with a net reduction in employment in the state and collective sectors.  Similar data is not available for India. </w:t>
      </w:r>
    </w:p>
    <w:p w:rsidR="00895501" w:rsidRDefault="00895501"/>
    <w:p w:rsidR="00895501" w:rsidRDefault="00895501">
      <w:r>
        <w:t xml:space="preserve">Again, this does not provide any strong evidence of a tendency for public sector pay to leap ahead in recession, especially given the different impact of the crisis and the different economic structure - China has a relatively large public sector, which employs a majority of urban workers. </w:t>
      </w:r>
    </w:p>
    <w:p w:rsidR="00895501" w:rsidRDefault="00895501">
      <w:pPr>
        <w:pStyle w:val="Heading7"/>
      </w:pPr>
      <w:bookmarkStart w:id="75" w:name="_Toc297975203"/>
      <w:r>
        <w:t xml:space="preserve">Changes in earnings and </w:t>
      </w:r>
      <w:proofErr w:type="gramStart"/>
      <w:r>
        <w:t>employment ,</w:t>
      </w:r>
      <w:proofErr w:type="gramEnd"/>
      <w:r>
        <w:t xml:space="preserve"> urban workers in China, 2008 and 2009 Q3</w:t>
      </w:r>
      <w:bookmarkEnd w:id="75"/>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27"/>
        <w:gridCol w:w="1792"/>
        <w:gridCol w:w="1994"/>
        <w:gridCol w:w="1925"/>
        <w:gridCol w:w="1409"/>
      </w:tblGrid>
      <w:tr w:rsidR="00895501">
        <w:tc>
          <w:tcPr>
            <w:tcW w:w="2527" w:type="dxa"/>
            <w:tcBorders>
              <w:top w:val="single" w:sz="1" w:space="0" w:color="000000"/>
              <w:left w:val="single" w:sz="1" w:space="0" w:color="000000"/>
              <w:bottom w:val="single" w:sz="1" w:space="0" w:color="000000"/>
            </w:tcBorders>
            <w:shd w:val="clear" w:color="auto" w:fill="auto"/>
          </w:tcPr>
          <w:p w:rsidR="00895501" w:rsidRDefault="00895501">
            <w:pPr>
              <w:pStyle w:val="TableContents"/>
              <w:snapToGrid w:val="0"/>
            </w:pPr>
          </w:p>
        </w:tc>
        <w:tc>
          <w:tcPr>
            <w:tcW w:w="3786" w:type="dxa"/>
            <w:gridSpan w:val="2"/>
            <w:tcBorders>
              <w:top w:val="single" w:sz="1" w:space="0" w:color="000000"/>
              <w:left w:val="single" w:sz="1" w:space="0" w:color="000000"/>
              <w:bottom w:val="single" w:sz="1" w:space="0" w:color="000000"/>
            </w:tcBorders>
            <w:shd w:val="clear" w:color="auto" w:fill="auto"/>
          </w:tcPr>
          <w:p w:rsidR="00895501" w:rsidRDefault="00895501">
            <w:pPr>
              <w:pStyle w:val="TableContents"/>
              <w:snapToGrid w:val="0"/>
            </w:pPr>
            <w:r>
              <w:t>average remuneration: % change over same period in previous year</w:t>
            </w:r>
          </w:p>
        </w:tc>
        <w:tc>
          <w:tcPr>
            <w:tcW w:w="3334" w:type="dxa"/>
            <w:gridSpan w:val="2"/>
            <w:tcBorders>
              <w:top w:val="single" w:sz="1" w:space="0" w:color="000000"/>
              <w:left w:val="single" w:sz="1" w:space="0" w:color="000000"/>
              <w:bottom w:val="single" w:sz="1" w:space="0" w:color="000000"/>
              <w:right w:val="single" w:sz="1" w:space="0" w:color="000000"/>
            </w:tcBorders>
            <w:shd w:val="clear" w:color="auto" w:fill="auto"/>
          </w:tcPr>
          <w:p w:rsidR="00895501" w:rsidRDefault="00895501">
            <w:pPr>
              <w:pStyle w:val="TableContents"/>
              <w:snapToGrid w:val="0"/>
            </w:pPr>
            <w:r>
              <w:t xml:space="preserve">change in number of employees ('000s) over same period in previous year </w:t>
            </w:r>
          </w:p>
        </w:tc>
      </w:tr>
      <w:tr w:rsidR="00895501">
        <w:tc>
          <w:tcPr>
            <w:tcW w:w="2527" w:type="dxa"/>
            <w:tcBorders>
              <w:left w:val="single" w:sz="1" w:space="0" w:color="000000"/>
              <w:bottom w:val="single" w:sz="1" w:space="0" w:color="000000"/>
            </w:tcBorders>
            <w:shd w:val="clear" w:color="auto" w:fill="auto"/>
          </w:tcPr>
          <w:p w:rsidR="00895501" w:rsidRDefault="00895501">
            <w:pPr>
              <w:pStyle w:val="TableContents"/>
              <w:snapToGrid w:val="0"/>
            </w:pPr>
          </w:p>
        </w:tc>
        <w:tc>
          <w:tcPr>
            <w:tcW w:w="1792" w:type="dxa"/>
            <w:tcBorders>
              <w:left w:val="single" w:sz="1" w:space="0" w:color="000000"/>
              <w:bottom w:val="single" w:sz="1" w:space="0" w:color="000000"/>
            </w:tcBorders>
            <w:shd w:val="clear" w:color="auto" w:fill="auto"/>
          </w:tcPr>
          <w:p w:rsidR="00895501" w:rsidRDefault="00895501">
            <w:pPr>
              <w:pStyle w:val="TableContents"/>
              <w:snapToGrid w:val="0"/>
            </w:pPr>
            <w:r>
              <w:t>2008</w:t>
            </w:r>
          </w:p>
        </w:tc>
        <w:tc>
          <w:tcPr>
            <w:tcW w:w="1994" w:type="dxa"/>
            <w:tcBorders>
              <w:left w:val="single" w:sz="1" w:space="0" w:color="000000"/>
              <w:bottom w:val="single" w:sz="1" w:space="0" w:color="000000"/>
            </w:tcBorders>
            <w:shd w:val="clear" w:color="auto" w:fill="auto"/>
          </w:tcPr>
          <w:p w:rsidR="00895501" w:rsidRDefault="00895501">
            <w:pPr>
              <w:pStyle w:val="TableContents"/>
              <w:snapToGrid w:val="0"/>
            </w:pPr>
            <w:r>
              <w:t>2009 Q3</w:t>
            </w:r>
          </w:p>
        </w:tc>
        <w:tc>
          <w:tcPr>
            <w:tcW w:w="1925" w:type="dxa"/>
            <w:tcBorders>
              <w:left w:val="single" w:sz="1" w:space="0" w:color="000000"/>
              <w:bottom w:val="single" w:sz="1" w:space="0" w:color="000000"/>
            </w:tcBorders>
            <w:shd w:val="clear" w:color="auto" w:fill="auto"/>
          </w:tcPr>
          <w:p w:rsidR="00895501" w:rsidRDefault="00895501">
            <w:pPr>
              <w:pStyle w:val="TableContents"/>
              <w:snapToGrid w:val="0"/>
            </w:pPr>
            <w:r>
              <w:t>2008</w:t>
            </w:r>
          </w:p>
        </w:tc>
        <w:tc>
          <w:tcPr>
            <w:tcW w:w="1409" w:type="dxa"/>
            <w:tcBorders>
              <w:left w:val="single" w:sz="1" w:space="0" w:color="000000"/>
              <w:bottom w:val="single" w:sz="1" w:space="0" w:color="000000"/>
              <w:right w:val="single" w:sz="1" w:space="0" w:color="000000"/>
            </w:tcBorders>
            <w:shd w:val="clear" w:color="auto" w:fill="auto"/>
          </w:tcPr>
          <w:p w:rsidR="00895501" w:rsidRDefault="00895501">
            <w:pPr>
              <w:pStyle w:val="TableContents"/>
              <w:snapToGrid w:val="0"/>
            </w:pPr>
            <w:r>
              <w:t>2009 Q3</w:t>
            </w:r>
          </w:p>
        </w:tc>
      </w:tr>
      <w:tr w:rsidR="00895501">
        <w:tc>
          <w:tcPr>
            <w:tcW w:w="2527" w:type="dxa"/>
            <w:tcBorders>
              <w:left w:val="single" w:sz="1" w:space="0" w:color="000000"/>
              <w:bottom w:val="single" w:sz="1" w:space="0" w:color="000000"/>
            </w:tcBorders>
            <w:shd w:val="clear" w:color="auto" w:fill="auto"/>
          </w:tcPr>
          <w:p w:rsidR="00895501" w:rsidRDefault="00895501">
            <w:pPr>
              <w:pStyle w:val="TableContents"/>
              <w:snapToGrid w:val="0"/>
            </w:pPr>
            <w:r>
              <w:t>All units</w:t>
            </w:r>
          </w:p>
        </w:tc>
        <w:tc>
          <w:tcPr>
            <w:tcW w:w="1792" w:type="dxa"/>
            <w:tcBorders>
              <w:left w:val="single" w:sz="1" w:space="0" w:color="000000"/>
              <w:bottom w:val="single" w:sz="1" w:space="0" w:color="000000"/>
            </w:tcBorders>
            <w:shd w:val="clear" w:color="auto" w:fill="auto"/>
          </w:tcPr>
          <w:p w:rsidR="00895501" w:rsidRDefault="00895501">
            <w:pPr>
              <w:pStyle w:val="TableContents"/>
              <w:snapToGrid w:val="0"/>
              <w:jc w:val="right"/>
            </w:pPr>
            <w:r>
              <w:t>16.9</w:t>
            </w:r>
          </w:p>
        </w:tc>
        <w:tc>
          <w:tcPr>
            <w:tcW w:w="1994" w:type="dxa"/>
            <w:tcBorders>
              <w:left w:val="single" w:sz="1" w:space="0" w:color="000000"/>
              <w:bottom w:val="single" w:sz="1" w:space="0" w:color="000000"/>
            </w:tcBorders>
            <w:shd w:val="clear" w:color="auto" w:fill="auto"/>
          </w:tcPr>
          <w:p w:rsidR="00895501" w:rsidRDefault="00895501">
            <w:pPr>
              <w:pStyle w:val="TableContents"/>
              <w:snapToGrid w:val="0"/>
              <w:jc w:val="right"/>
            </w:pPr>
            <w:r>
              <w:t>12.4</w:t>
            </w:r>
          </w:p>
        </w:tc>
        <w:tc>
          <w:tcPr>
            <w:tcW w:w="1925" w:type="dxa"/>
            <w:tcBorders>
              <w:left w:val="single" w:sz="1" w:space="0" w:color="000000"/>
              <w:bottom w:val="single" w:sz="1" w:space="0" w:color="000000"/>
            </w:tcBorders>
            <w:shd w:val="clear" w:color="auto" w:fill="auto"/>
          </w:tcPr>
          <w:p w:rsidR="00895501" w:rsidRDefault="00895501">
            <w:pPr>
              <w:pStyle w:val="TableContents"/>
              <w:snapToGrid w:val="0"/>
              <w:jc w:val="right"/>
            </w:pPr>
            <w:r>
              <w:t>1681</w:t>
            </w:r>
          </w:p>
        </w:tc>
        <w:tc>
          <w:tcPr>
            <w:tcW w:w="1409" w:type="dxa"/>
            <w:tcBorders>
              <w:left w:val="single" w:sz="1" w:space="0" w:color="000000"/>
              <w:bottom w:val="single" w:sz="1" w:space="0" w:color="000000"/>
              <w:right w:val="single" w:sz="1" w:space="0" w:color="000000"/>
            </w:tcBorders>
            <w:shd w:val="clear" w:color="auto" w:fill="auto"/>
          </w:tcPr>
          <w:p w:rsidR="00895501" w:rsidRDefault="00895501">
            <w:pPr>
              <w:pStyle w:val="TableContents"/>
              <w:snapToGrid w:val="0"/>
              <w:jc w:val="right"/>
            </w:pPr>
            <w:r>
              <w:t>1211</w:t>
            </w:r>
          </w:p>
        </w:tc>
      </w:tr>
      <w:tr w:rsidR="00895501">
        <w:tc>
          <w:tcPr>
            <w:tcW w:w="2527" w:type="dxa"/>
            <w:tcBorders>
              <w:left w:val="single" w:sz="1" w:space="0" w:color="000000"/>
              <w:bottom w:val="single" w:sz="1" w:space="0" w:color="000000"/>
            </w:tcBorders>
            <w:shd w:val="clear" w:color="auto" w:fill="auto"/>
          </w:tcPr>
          <w:p w:rsidR="00895501" w:rsidRDefault="00895501">
            <w:pPr>
              <w:pStyle w:val="TableContents"/>
              <w:snapToGrid w:val="0"/>
            </w:pPr>
            <w:r>
              <w:t>State-owned</w:t>
            </w:r>
          </w:p>
        </w:tc>
        <w:tc>
          <w:tcPr>
            <w:tcW w:w="1792" w:type="dxa"/>
            <w:tcBorders>
              <w:left w:val="single" w:sz="1" w:space="0" w:color="000000"/>
              <w:bottom w:val="single" w:sz="1" w:space="0" w:color="000000"/>
            </w:tcBorders>
            <w:shd w:val="clear" w:color="auto" w:fill="auto"/>
          </w:tcPr>
          <w:p w:rsidR="00895501" w:rsidRDefault="00895501">
            <w:pPr>
              <w:pStyle w:val="TableContents"/>
              <w:snapToGrid w:val="0"/>
              <w:jc w:val="right"/>
            </w:pPr>
            <w:r>
              <w:t>16.0</w:t>
            </w:r>
          </w:p>
        </w:tc>
        <w:tc>
          <w:tcPr>
            <w:tcW w:w="1994" w:type="dxa"/>
            <w:tcBorders>
              <w:left w:val="single" w:sz="1" w:space="0" w:color="000000"/>
              <w:bottom w:val="single" w:sz="1" w:space="0" w:color="000000"/>
            </w:tcBorders>
            <w:shd w:val="clear" w:color="auto" w:fill="auto"/>
          </w:tcPr>
          <w:p w:rsidR="00895501" w:rsidRDefault="00895501">
            <w:pPr>
              <w:pStyle w:val="TableContents"/>
              <w:snapToGrid w:val="0"/>
              <w:jc w:val="right"/>
            </w:pPr>
            <w:r>
              <w:t>13.6</w:t>
            </w:r>
          </w:p>
        </w:tc>
        <w:tc>
          <w:tcPr>
            <w:tcW w:w="1925" w:type="dxa"/>
            <w:tcBorders>
              <w:left w:val="single" w:sz="1" w:space="0" w:color="000000"/>
              <w:bottom w:val="single" w:sz="1" w:space="0" w:color="000000"/>
            </w:tcBorders>
            <w:shd w:val="clear" w:color="auto" w:fill="auto"/>
          </w:tcPr>
          <w:p w:rsidR="00895501" w:rsidRDefault="00895501">
            <w:pPr>
              <w:pStyle w:val="TableContents"/>
              <w:snapToGrid w:val="0"/>
              <w:jc w:val="right"/>
            </w:pPr>
            <w:r>
              <w:t>235</w:t>
            </w:r>
          </w:p>
        </w:tc>
        <w:tc>
          <w:tcPr>
            <w:tcW w:w="1409" w:type="dxa"/>
            <w:tcBorders>
              <w:left w:val="single" w:sz="1" w:space="0" w:color="000000"/>
              <w:bottom w:val="single" w:sz="1" w:space="0" w:color="000000"/>
              <w:right w:val="single" w:sz="1" w:space="0" w:color="000000"/>
            </w:tcBorders>
            <w:shd w:val="clear" w:color="auto" w:fill="auto"/>
          </w:tcPr>
          <w:p w:rsidR="00895501" w:rsidRDefault="00895501">
            <w:pPr>
              <w:pStyle w:val="TableContents"/>
              <w:snapToGrid w:val="0"/>
              <w:jc w:val="right"/>
            </w:pPr>
            <w:r>
              <w:t>199</w:t>
            </w:r>
          </w:p>
        </w:tc>
      </w:tr>
      <w:tr w:rsidR="00895501">
        <w:tc>
          <w:tcPr>
            <w:tcW w:w="2527" w:type="dxa"/>
            <w:tcBorders>
              <w:left w:val="single" w:sz="1" w:space="0" w:color="000000"/>
              <w:bottom w:val="single" w:sz="1" w:space="0" w:color="000000"/>
            </w:tcBorders>
            <w:shd w:val="clear" w:color="auto" w:fill="auto"/>
          </w:tcPr>
          <w:p w:rsidR="00895501" w:rsidRDefault="00895501">
            <w:pPr>
              <w:pStyle w:val="TableContents"/>
              <w:snapToGrid w:val="0"/>
            </w:pPr>
            <w:r>
              <w:t>Collective</w:t>
            </w:r>
          </w:p>
        </w:tc>
        <w:tc>
          <w:tcPr>
            <w:tcW w:w="1792" w:type="dxa"/>
            <w:tcBorders>
              <w:left w:val="single" w:sz="1" w:space="0" w:color="000000"/>
              <w:bottom w:val="single" w:sz="1" w:space="0" w:color="000000"/>
            </w:tcBorders>
            <w:shd w:val="clear" w:color="auto" w:fill="auto"/>
          </w:tcPr>
          <w:p w:rsidR="00895501" w:rsidRDefault="00895501">
            <w:pPr>
              <w:pStyle w:val="TableContents"/>
              <w:snapToGrid w:val="0"/>
              <w:jc w:val="right"/>
            </w:pPr>
            <w:r>
              <w:t>17.2</w:t>
            </w:r>
          </w:p>
        </w:tc>
        <w:tc>
          <w:tcPr>
            <w:tcW w:w="1994" w:type="dxa"/>
            <w:tcBorders>
              <w:left w:val="single" w:sz="1" w:space="0" w:color="000000"/>
              <w:bottom w:val="single" w:sz="1" w:space="0" w:color="000000"/>
            </w:tcBorders>
            <w:shd w:val="clear" w:color="auto" w:fill="auto"/>
          </w:tcPr>
          <w:p w:rsidR="00895501" w:rsidRDefault="00895501">
            <w:pPr>
              <w:pStyle w:val="TableContents"/>
              <w:snapToGrid w:val="0"/>
              <w:jc w:val="right"/>
            </w:pPr>
            <w:r>
              <w:t>15.2</w:t>
            </w:r>
          </w:p>
        </w:tc>
        <w:tc>
          <w:tcPr>
            <w:tcW w:w="1925" w:type="dxa"/>
            <w:tcBorders>
              <w:left w:val="single" w:sz="1" w:space="0" w:color="000000"/>
              <w:bottom w:val="single" w:sz="1" w:space="0" w:color="000000"/>
            </w:tcBorders>
            <w:shd w:val="clear" w:color="auto" w:fill="auto"/>
          </w:tcPr>
          <w:p w:rsidR="00895501" w:rsidRDefault="00895501">
            <w:pPr>
              <w:pStyle w:val="TableContents"/>
              <w:snapToGrid w:val="0"/>
              <w:jc w:val="right"/>
            </w:pPr>
            <w:r>
              <w:t>-566</w:t>
            </w:r>
          </w:p>
        </w:tc>
        <w:tc>
          <w:tcPr>
            <w:tcW w:w="1409" w:type="dxa"/>
            <w:tcBorders>
              <w:left w:val="single" w:sz="1" w:space="0" w:color="000000"/>
              <w:bottom w:val="single" w:sz="1" w:space="0" w:color="000000"/>
              <w:right w:val="single" w:sz="1" w:space="0" w:color="000000"/>
            </w:tcBorders>
            <w:shd w:val="clear" w:color="auto" w:fill="auto"/>
          </w:tcPr>
          <w:p w:rsidR="00895501" w:rsidRDefault="00895501">
            <w:pPr>
              <w:pStyle w:val="TableContents"/>
              <w:snapToGrid w:val="0"/>
              <w:jc w:val="right"/>
            </w:pPr>
            <w:r>
              <w:t>-522</w:t>
            </w:r>
          </w:p>
        </w:tc>
      </w:tr>
      <w:tr w:rsidR="00895501">
        <w:tc>
          <w:tcPr>
            <w:tcW w:w="2527" w:type="dxa"/>
            <w:tcBorders>
              <w:left w:val="single" w:sz="1" w:space="0" w:color="000000"/>
              <w:bottom w:val="single" w:sz="1" w:space="0" w:color="000000"/>
            </w:tcBorders>
            <w:shd w:val="clear" w:color="auto" w:fill="auto"/>
          </w:tcPr>
          <w:p w:rsidR="00895501" w:rsidRDefault="00895501">
            <w:pPr>
              <w:pStyle w:val="TableContents"/>
              <w:snapToGrid w:val="0"/>
            </w:pPr>
            <w:r>
              <w:t>Others</w:t>
            </w:r>
          </w:p>
        </w:tc>
        <w:tc>
          <w:tcPr>
            <w:tcW w:w="1792" w:type="dxa"/>
            <w:tcBorders>
              <w:left w:val="single" w:sz="1" w:space="0" w:color="000000"/>
              <w:bottom w:val="single" w:sz="1" w:space="0" w:color="000000"/>
            </w:tcBorders>
            <w:shd w:val="clear" w:color="auto" w:fill="auto"/>
          </w:tcPr>
          <w:p w:rsidR="00895501" w:rsidRDefault="00895501">
            <w:pPr>
              <w:pStyle w:val="TableContents"/>
              <w:snapToGrid w:val="0"/>
              <w:jc w:val="right"/>
            </w:pPr>
            <w:r>
              <w:t>17.6</w:t>
            </w:r>
          </w:p>
        </w:tc>
        <w:tc>
          <w:tcPr>
            <w:tcW w:w="1994" w:type="dxa"/>
            <w:tcBorders>
              <w:left w:val="single" w:sz="1" w:space="0" w:color="000000"/>
              <w:bottom w:val="single" w:sz="1" w:space="0" w:color="000000"/>
            </w:tcBorders>
            <w:shd w:val="clear" w:color="auto" w:fill="auto"/>
          </w:tcPr>
          <w:p w:rsidR="00895501" w:rsidRDefault="00895501">
            <w:pPr>
              <w:pStyle w:val="TableContents"/>
              <w:snapToGrid w:val="0"/>
              <w:jc w:val="right"/>
            </w:pPr>
            <w:r>
              <w:t>10.1</w:t>
            </w:r>
          </w:p>
        </w:tc>
        <w:tc>
          <w:tcPr>
            <w:tcW w:w="1925" w:type="dxa"/>
            <w:tcBorders>
              <w:left w:val="single" w:sz="1" w:space="0" w:color="000000"/>
              <w:bottom w:val="single" w:sz="1" w:space="0" w:color="000000"/>
            </w:tcBorders>
            <w:shd w:val="clear" w:color="auto" w:fill="auto"/>
          </w:tcPr>
          <w:p w:rsidR="00895501" w:rsidRDefault="00895501">
            <w:pPr>
              <w:pStyle w:val="TableContents"/>
              <w:snapToGrid w:val="0"/>
              <w:jc w:val="right"/>
            </w:pPr>
            <w:r>
              <w:t>2012</w:t>
            </w:r>
          </w:p>
        </w:tc>
        <w:tc>
          <w:tcPr>
            <w:tcW w:w="1409" w:type="dxa"/>
            <w:tcBorders>
              <w:left w:val="single" w:sz="1" w:space="0" w:color="000000"/>
              <w:bottom w:val="single" w:sz="1" w:space="0" w:color="000000"/>
              <w:right w:val="single" w:sz="1" w:space="0" w:color="000000"/>
            </w:tcBorders>
            <w:shd w:val="clear" w:color="auto" w:fill="auto"/>
          </w:tcPr>
          <w:p w:rsidR="00895501" w:rsidRDefault="00895501">
            <w:pPr>
              <w:pStyle w:val="TableContents"/>
              <w:snapToGrid w:val="0"/>
              <w:jc w:val="right"/>
            </w:pPr>
            <w:r>
              <w:t>1534</w:t>
            </w:r>
          </w:p>
        </w:tc>
      </w:tr>
    </w:tbl>
    <w:p w:rsidR="00895501" w:rsidRDefault="00895501">
      <w:pPr>
        <w:rPr>
          <w:rStyle w:val="Hyperlink"/>
          <w:sz w:val="20"/>
          <w:szCs w:val="20"/>
        </w:rPr>
      </w:pPr>
      <w:r>
        <w:rPr>
          <w:sz w:val="20"/>
          <w:szCs w:val="20"/>
        </w:rPr>
        <w:t xml:space="preserve">Source: National Bureau of Statistics of </w:t>
      </w:r>
      <w:proofErr w:type="gramStart"/>
      <w:r>
        <w:rPr>
          <w:sz w:val="20"/>
          <w:szCs w:val="20"/>
        </w:rPr>
        <w:t xml:space="preserve">China  </w:t>
      </w:r>
      <w:proofErr w:type="spellStart"/>
      <w:r>
        <w:rPr>
          <w:sz w:val="20"/>
          <w:szCs w:val="20"/>
        </w:rPr>
        <w:t>Labor</w:t>
      </w:r>
      <w:proofErr w:type="spellEnd"/>
      <w:proofErr w:type="gramEnd"/>
      <w:r>
        <w:rPr>
          <w:sz w:val="20"/>
          <w:szCs w:val="20"/>
        </w:rPr>
        <w:t xml:space="preserve"> Remuneration of Persons Employed in Urban Units (Year 2008, 2009 3</w:t>
      </w:r>
      <w:r>
        <w:rPr>
          <w:sz w:val="20"/>
          <w:szCs w:val="20"/>
          <w:vertAlign w:val="superscript"/>
        </w:rPr>
        <w:t>rd</w:t>
      </w:r>
      <w:r>
        <w:rPr>
          <w:sz w:val="20"/>
          <w:szCs w:val="20"/>
        </w:rPr>
        <w:t xml:space="preserve"> quarter).   </w:t>
      </w:r>
      <w:hyperlink r:id="rId35" w:history="1">
        <w:r>
          <w:rPr>
            <w:rStyle w:val="Hyperlink"/>
          </w:rPr>
          <w:t>http://www.stats.gov.cn/english/statisticaldata/Quarterlydata/t20100202_402618894.htm</w:t>
        </w:r>
      </w:hyperlink>
    </w:p>
    <w:p w:rsidR="00895501" w:rsidRDefault="00BA7388">
      <w:hyperlink r:id="rId36" w:history="1">
        <w:r w:rsidR="00895501">
          <w:rPr>
            <w:rStyle w:val="Hyperlink"/>
          </w:rPr>
          <w:t>http://www.stats.gov.cn/english/statisticaldata/Quarterlydata/t20090520_402560312.htm</w:t>
        </w:r>
      </w:hyperlink>
      <w:r w:rsidR="00895501">
        <w:t xml:space="preserve"> </w:t>
      </w:r>
    </w:p>
    <w:p w:rsidR="00895501" w:rsidRDefault="00895501"/>
    <w:p w:rsidR="00895501" w:rsidRDefault="00895501">
      <w:pPr>
        <w:pStyle w:val="Heading2"/>
      </w:pPr>
      <w:bookmarkStart w:id="76" w:name="__RefHeading__2517_5168522"/>
      <w:bookmarkStart w:id="77" w:name="__RefHeading__2519_5168522"/>
      <w:bookmarkStart w:id="78" w:name="_Toc297975204"/>
      <w:bookmarkEnd w:id="76"/>
      <w:bookmarkEnd w:id="77"/>
      <w:r>
        <w:t>Africa</w:t>
      </w:r>
      <w:bookmarkEnd w:id="78"/>
    </w:p>
    <w:p w:rsidR="00895501" w:rsidRDefault="00895501">
      <w:pPr>
        <w:rPr>
          <w:color w:val="000000"/>
        </w:rPr>
      </w:pPr>
      <w:proofErr w:type="gramStart"/>
      <w:r>
        <w:t>A search for reports of public sector or civil service pay cuts in African countries revealed no cases of general pay cuts or even pay</w:t>
      </w:r>
      <w:proofErr w:type="gramEnd"/>
      <w:r>
        <w:t xml:space="preserve"> freezes for public employees or civil servants. The possible exception is Zimbabwe, where a s</w:t>
      </w:r>
      <w:r>
        <w:rPr>
          <w:color w:val="000000"/>
        </w:rPr>
        <w:t xml:space="preserve">alary freeze was announced by Finance Minister </w:t>
      </w:r>
      <w:proofErr w:type="spellStart"/>
      <w:r>
        <w:rPr>
          <w:color w:val="000000"/>
        </w:rPr>
        <w:t>Tendai</w:t>
      </w:r>
      <w:proofErr w:type="spellEnd"/>
      <w:r>
        <w:rPr>
          <w:color w:val="000000"/>
        </w:rPr>
        <w:t xml:space="preserve"> </w:t>
      </w:r>
      <w:proofErr w:type="spellStart"/>
      <w:r>
        <w:rPr>
          <w:color w:val="000000"/>
        </w:rPr>
        <w:t>Biti</w:t>
      </w:r>
      <w:proofErr w:type="spellEnd"/>
      <w:r>
        <w:rPr>
          <w:color w:val="000000"/>
        </w:rPr>
        <w:t xml:space="preserve"> in April 2010. The main motivation for the freeze was said to be the long-term problems of the economy, rather than a response to the current economic crisis. At a May Day rally, Prime Minister Morgan </w:t>
      </w:r>
      <w:proofErr w:type="spellStart"/>
      <w:r>
        <w:rPr>
          <w:color w:val="000000"/>
        </w:rPr>
        <w:t>Tsvangirai</w:t>
      </w:r>
      <w:proofErr w:type="spellEnd"/>
      <w:r>
        <w:rPr>
          <w:color w:val="000000"/>
        </w:rPr>
        <w:t xml:space="preserve"> caused considerable confusion by denying that there was a salary freeze.</w:t>
      </w:r>
      <w:r>
        <w:rPr>
          <w:rStyle w:val="EndnoteCharacters"/>
          <w:color w:val="000000"/>
        </w:rPr>
        <w:endnoteReference w:id="32"/>
      </w:r>
      <w:r>
        <w:rPr>
          <w:rStyle w:val="EndnoteCharacters"/>
          <w:color w:val="000000"/>
        </w:rPr>
        <w:t xml:space="preserve">   </w:t>
      </w:r>
      <w:r>
        <w:t xml:space="preserve">In Nigeria, </w:t>
      </w:r>
      <w:r>
        <w:rPr>
          <w:color w:val="000000"/>
        </w:rPr>
        <w:t>selective cuts in pay and various benefits were applied to certain high level office bearers in mid-2009, but not to government or public sector workers in general. These targeted cuts were publicly supported by trade unions, including the Nigeria Labour Council.</w:t>
      </w:r>
      <w:r>
        <w:rPr>
          <w:rStyle w:val="EndnoteCharacters"/>
          <w:color w:val="000000"/>
        </w:rPr>
        <w:endnoteReference w:id="33"/>
      </w:r>
      <w:r>
        <w:rPr>
          <w:color w:val="000000"/>
        </w:rPr>
        <w:t xml:space="preserve"> President </w:t>
      </w:r>
      <w:proofErr w:type="spellStart"/>
      <w:r>
        <w:rPr>
          <w:color w:val="000000"/>
        </w:rPr>
        <w:t>Yar'Adua</w:t>
      </w:r>
      <w:proofErr w:type="spellEnd"/>
      <w:r>
        <w:rPr>
          <w:color w:val="000000"/>
        </w:rPr>
        <w:t xml:space="preserve"> reassured civil servants that they would not be affected. </w:t>
      </w:r>
      <w:r>
        <w:rPr>
          <w:rStyle w:val="EndnoteCharacters"/>
          <w:color w:val="000000"/>
        </w:rPr>
        <w:endnoteReference w:id="34"/>
      </w:r>
      <w:r>
        <w:rPr>
          <w:color w:val="000000"/>
        </w:rPr>
        <w:t xml:space="preserve"> </w:t>
      </w:r>
    </w:p>
    <w:p w:rsidR="00895501" w:rsidRDefault="00895501">
      <w:pPr>
        <w:rPr>
          <w:color w:val="000000"/>
        </w:rPr>
      </w:pPr>
    </w:p>
    <w:p w:rsidR="00895501" w:rsidRDefault="00895501">
      <w:r>
        <w:rPr>
          <w:color w:val="000000"/>
        </w:rPr>
        <w:t xml:space="preserve">On the contrary, there are clear indications from a number of countries that public sector pay is </w:t>
      </w:r>
      <w:proofErr w:type="gramStart"/>
      <w:r>
        <w:rPr>
          <w:color w:val="000000"/>
        </w:rPr>
        <w:t>rising</w:t>
      </w:r>
      <w:proofErr w:type="gramEnd"/>
      <w:r>
        <w:rPr>
          <w:color w:val="000000"/>
        </w:rPr>
        <w:t>. In Angola, in August 2010, the government decided to increase civil service pay by 5.4% as part of the 2010 budget.</w:t>
      </w:r>
      <w:r>
        <w:rPr>
          <w:rStyle w:val="EndnoteCharacters"/>
          <w:color w:val="000000"/>
        </w:rPr>
        <w:endnoteReference w:id="35"/>
      </w:r>
      <w:r>
        <w:rPr>
          <w:rStyle w:val="EndnoteCharacters"/>
          <w:color w:val="000000"/>
        </w:rPr>
        <w:t xml:space="preserve">  </w:t>
      </w:r>
      <w:r>
        <w:rPr>
          <w:color w:val="000000"/>
        </w:rPr>
        <w:t>Even the anti-democratic Swazi government has imposed a 4.5% increase for civil servants (a rise opposed by the World Bank and the IMF).</w:t>
      </w:r>
      <w:r>
        <w:rPr>
          <w:rStyle w:val="EndnoteCharacters"/>
          <w:color w:val="000000"/>
        </w:rPr>
        <w:endnoteReference w:id="36"/>
      </w:r>
      <w:r>
        <w:rPr>
          <w:rStyle w:val="EndnoteCharacters"/>
          <w:color w:val="000000"/>
        </w:rPr>
        <w:t xml:space="preserve">  </w:t>
      </w:r>
      <w:r>
        <w:rPr>
          <w:color w:val="000000"/>
        </w:rPr>
        <w:t xml:space="preserve">In South Africa in August 2010 public sector unions </w:t>
      </w:r>
      <w:r>
        <w:t>rejected a salary increase of 6.5 per cent</w:t>
      </w:r>
      <w:r>
        <w:rPr>
          <w:color w:val="000000"/>
        </w:rPr>
        <w:t xml:space="preserve"> and called a national strike in support of </w:t>
      </w:r>
      <w:r>
        <w:t>an increase of 8.6% more than twice the rate of inflation.</w:t>
      </w:r>
      <w:r>
        <w:rPr>
          <w:rStyle w:val="EndnoteCharacters"/>
        </w:rPr>
        <w:endnoteReference w:id="37"/>
      </w:r>
    </w:p>
    <w:p w:rsidR="00895501" w:rsidRDefault="00895501"/>
    <w:p w:rsidR="00895501" w:rsidRDefault="00895501">
      <w:pPr>
        <w:rPr>
          <w:rStyle w:val="EndnoteCharacters"/>
          <w:rFonts w:cs="Calibri"/>
          <w:color w:val="000000"/>
          <w:szCs w:val="22"/>
          <w:vertAlign w:val="baseline"/>
        </w:rPr>
      </w:pPr>
      <w:r>
        <w:rPr>
          <w:rStyle w:val="EndnoteCharacters"/>
          <w:color w:val="000000"/>
          <w:szCs w:val="22"/>
          <w:vertAlign w:val="baseline"/>
        </w:rPr>
        <w:t xml:space="preserve">Public employees have been affected in other ways, with the international institutions once again being influential. For example, </w:t>
      </w:r>
      <w:r>
        <w:rPr>
          <w:rStyle w:val="EndnoteCharacters"/>
          <w:rFonts w:cs="Calibri"/>
          <w:color w:val="000000"/>
          <w:szCs w:val="22"/>
          <w:vertAlign w:val="baseline"/>
        </w:rPr>
        <w:t xml:space="preserve">in July 2009 </w:t>
      </w:r>
      <w:proofErr w:type="gramStart"/>
      <w:r>
        <w:rPr>
          <w:rStyle w:val="EndnoteCharacters"/>
          <w:rFonts w:cs="Calibri"/>
          <w:color w:val="000000"/>
          <w:szCs w:val="22"/>
          <w:vertAlign w:val="baseline"/>
        </w:rPr>
        <w:t>the  government</w:t>
      </w:r>
      <w:proofErr w:type="gramEnd"/>
      <w:r>
        <w:rPr>
          <w:rStyle w:val="EndnoteCharacters"/>
          <w:rFonts w:cs="Calibri"/>
          <w:color w:val="000000"/>
          <w:szCs w:val="22"/>
          <w:vertAlign w:val="baseline"/>
        </w:rPr>
        <w:t xml:space="preserve"> of Ghana was planning to freeze employment in the public sector for at least 2 years</w:t>
      </w:r>
      <w:r w:rsidR="00F15C03">
        <w:rPr>
          <w:rStyle w:val="EndnoteCharacters"/>
          <w:rFonts w:cs="Calibri"/>
          <w:color w:val="000000"/>
          <w:szCs w:val="22"/>
          <w:vertAlign w:val="baseline"/>
        </w:rPr>
        <w:t>,</w:t>
      </w:r>
      <w:r>
        <w:rPr>
          <w:rStyle w:val="EndnoteCharacters"/>
          <w:rFonts w:cs="Calibri"/>
          <w:color w:val="000000"/>
          <w:szCs w:val="22"/>
          <w:vertAlign w:val="baseline"/>
        </w:rPr>
        <w:t xml:space="preserve"> because of conditions attached to a loan from the IDA (World Bank).</w:t>
      </w:r>
    </w:p>
    <w:p w:rsidR="00895501" w:rsidRDefault="00895501"/>
    <w:p w:rsidR="00756DE6" w:rsidRDefault="00756DE6" w:rsidP="00756DE6">
      <w:pPr>
        <w:pStyle w:val="Heading2"/>
      </w:pPr>
      <w:bookmarkStart w:id="79" w:name="_Toc297975205"/>
      <w:r>
        <w:t>Russia and central Asia</w:t>
      </w:r>
      <w:bookmarkEnd w:id="79"/>
    </w:p>
    <w:p w:rsidR="00756DE6" w:rsidRDefault="00756DE6" w:rsidP="00756DE6"/>
    <w:p w:rsidR="00756DE6" w:rsidRPr="00D077B1" w:rsidRDefault="00756DE6" w:rsidP="00756DE6">
      <w:r w:rsidRPr="00D077B1">
        <w:lastRenderedPageBreak/>
        <w:t xml:space="preserve">Despite the economic crisis, the health workers’ unions in Russia, Kazakhstan and Tajikistan have all won substantial real pay increases for their members since 2009. Their pay had fallen far behind the pay of other workers, and these increases partly reduce that gap. In </w:t>
      </w:r>
      <w:r>
        <w:t xml:space="preserve">all three countries </w:t>
      </w:r>
      <w:r w:rsidRPr="00D077B1">
        <w:t xml:space="preserve">the unions are also in the process of establishing better collective bargaining rights. </w:t>
      </w:r>
      <w:r>
        <w:t xml:space="preserve">And in </w:t>
      </w:r>
      <w:r w:rsidRPr="00D077B1">
        <w:t>all countries, public spending on healthcare is rising in real terms and as a percentage of GDP</w:t>
      </w:r>
      <w:r>
        <w:t xml:space="preserve">, although the systems are still distorted by ideological attempts to encourage private healthcare. </w:t>
      </w:r>
    </w:p>
    <w:p w:rsidR="00756DE6" w:rsidRDefault="00756DE6" w:rsidP="00756DE6"/>
    <w:p w:rsidR="00756DE6" w:rsidRPr="00D077B1" w:rsidRDefault="00756DE6" w:rsidP="00756DE6">
      <w:pPr>
        <w:pStyle w:val="Heading3"/>
      </w:pPr>
      <w:bookmarkStart w:id="80" w:name="_Toc297975206"/>
      <w:r w:rsidRPr="00D077B1">
        <w:t>Russia</w:t>
      </w:r>
      <w:bookmarkEnd w:id="80"/>
    </w:p>
    <w:p w:rsidR="00756DE6" w:rsidRPr="00F510FB" w:rsidRDefault="00756DE6" w:rsidP="00756DE6">
      <w:pPr>
        <w:rPr>
          <w:szCs w:val="22"/>
        </w:rPr>
      </w:pPr>
      <w:r w:rsidRPr="00F510FB">
        <w:rPr>
          <w:szCs w:val="22"/>
        </w:rPr>
        <w:t xml:space="preserve">The pay of healthcare workers in Russia had fallen behind average pay, with no increase for 2 years despite inflation. By 2010 health workers pay </w:t>
      </w:r>
      <w:proofErr w:type="gramStart"/>
      <w:r w:rsidRPr="00F510FB">
        <w:rPr>
          <w:szCs w:val="22"/>
        </w:rPr>
        <w:t>was</w:t>
      </w:r>
      <w:proofErr w:type="gramEnd"/>
      <w:r w:rsidRPr="00F510FB">
        <w:rPr>
          <w:szCs w:val="22"/>
        </w:rPr>
        <w:t xml:space="preserve"> only about 60% of average pay levels, with the lowest grades paid about €170 per month and doctors paid about €600 per month. The pay of medical interns had also been drastically reduced in real terms. </w:t>
      </w:r>
    </w:p>
    <w:p w:rsidR="00756DE6" w:rsidRPr="00F510FB" w:rsidRDefault="00756DE6" w:rsidP="00756DE6">
      <w:pPr>
        <w:rPr>
          <w:szCs w:val="22"/>
        </w:rPr>
      </w:pPr>
    </w:p>
    <w:p w:rsidR="00756DE6" w:rsidRPr="00F510FB" w:rsidRDefault="00756DE6" w:rsidP="00756DE6">
      <w:pPr>
        <w:rPr>
          <w:szCs w:val="22"/>
        </w:rPr>
      </w:pPr>
      <w:r w:rsidRPr="00F510FB">
        <w:rPr>
          <w:szCs w:val="22"/>
        </w:rPr>
        <w:t xml:space="preserve">One reason for this was the lack of a formal system of pay determination for public service workers. In 2010 the Association of the Non-Manufacturing Trade Union Workers of the Russian Federation agreed three key demands to address this problem: indexation of state and municipal workers’ salaries; agreement of formal pay scales for specific occupations in public services; and legislation to clarify that basic pay rates – before counting bonuses or other extra payments - had to match the minimum wage.   </w:t>
      </w:r>
    </w:p>
    <w:p w:rsidR="00756DE6" w:rsidRPr="00F510FB" w:rsidRDefault="00756DE6" w:rsidP="00756DE6">
      <w:pPr>
        <w:rPr>
          <w:szCs w:val="22"/>
        </w:rPr>
      </w:pPr>
    </w:p>
    <w:p w:rsidR="00756DE6" w:rsidRPr="00F510FB" w:rsidRDefault="00756DE6" w:rsidP="00756DE6">
      <w:pPr>
        <w:rPr>
          <w:szCs w:val="22"/>
        </w:rPr>
      </w:pPr>
      <w:r w:rsidRPr="00F510FB">
        <w:rPr>
          <w:szCs w:val="22"/>
        </w:rPr>
        <w:t xml:space="preserve">In November 2010 the healthcare union launched a campaign of action which included rallies, strikes and public demonstrations in front of parliament. The campaign lasted for 5 months, until the government agreed to negotiate. As a result, the government agreed a rise of 6.5% from June 2011 – the first one for over 2 years </w:t>
      </w:r>
      <w:proofErr w:type="gramStart"/>
      <w:r w:rsidRPr="00F510FB">
        <w:rPr>
          <w:szCs w:val="22"/>
        </w:rPr>
        <w:t>-  followed</w:t>
      </w:r>
      <w:proofErr w:type="gramEnd"/>
      <w:r w:rsidRPr="00F510FB">
        <w:rPr>
          <w:szCs w:val="22"/>
        </w:rPr>
        <w:t xml:space="preserve"> by an additional increase of 6.5%  being voted through parliament. </w:t>
      </w:r>
    </w:p>
    <w:p w:rsidR="00756DE6" w:rsidRPr="00F510FB" w:rsidRDefault="00756DE6" w:rsidP="00756DE6">
      <w:pPr>
        <w:rPr>
          <w:szCs w:val="22"/>
        </w:rPr>
      </w:pPr>
    </w:p>
    <w:p w:rsidR="00756DE6" w:rsidRPr="00F510FB" w:rsidRDefault="00756DE6" w:rsidP="00756DE6">
      <w:pPr>
        <w:rPr>
          <w:szCs w:val="22"/>
        </w:rPr>
      </w:pPr>
      <w:r w:rsidRPr="00F510FB">
        <w:rPr>
          <w:szCs w:val="22"/>
        </w:rPr>
        <w:t xml:space="preserve">The union maintained the pressure through meetings with the government on its new law on modernising the healthcare system in Russia, which provided for a large increase of an extra 460 billion roubles in state healthcare spending. As part of this, the union negotiated a further increase, of 35%, to be paid over the next year. The total increases are thus worth about 50%, against the background of annual inflation of around 10%. The government also announced it would double the pay of interns and resident trainees as of 1 June 2011, up to the national subsistence minimum. </w:t>
      </w:r>
    </w:p>
    <w:p w:rsidR="00756DE6" w:rsidRPr="00F510FB" w:rsidRDefault="00756DE6" w:rsidP="00756DE6">
      <w:pPr>
        <w:rPr>
          <w:szCs w:val="22"/>
        </w:rPr>
      </w:pPr>
    </w:p>
    <w:p w:rsidR="00756DE6" w:rsidRPr="00F510FB" w:rsidRDefault="00756DE6" w:rsidP="00756DE6">
      <w:pPr>
        <w:rPr>
          <w:szCs w:val="22"/>
        </w:rPr>
      </w:pPr>
      <w:r w:rsidRPr="00F510FB">
        <w:rPr>
          <w:szCs w:val="22"/>
        </w:rPr>
        <w:t>The future of public healthcare is improving in Russia but slowly. Following the collapse of the Soviet Union, Russia introduced private health insurance and private providers. Public spending on healthcare fell, but the private systems made things worse - people’s health, including life expectancy, got worse. Since 2000 public spending on healthcare has increased, and</w:t>
      </w:r>
      <w:proofErr w:type="gramStart"/>
      <w:r w:rsidRPr="00F510FB">
        <w:rPr>
          <w:szCs w:val="22"/>
        </w:rPr>
        <w:t>  life</w:t>
      </w:r>
      <w:proofErr w:type="gramEnd"/>
      <w:r w:rsidRPr="00F510FB">
        <w:rPr>
          <w:szCs w:val="22"/>
        </w:rPr>
        <w:t xml:space="preserve"> expectancy and infant mortality have improved. Under the Russian constitution healthcare has to be provided free by the state, but still only about 30% of the system is financed by public spending, so the rest is paid for privately. Hospitals can use the same equipment to provide services paid for by the state, and also to sell private care to individuals. In 2011 the government announced an extra $10 billion on healthcare ‘over the next few </w:t>
      </w:r>
      <w:proofErr w:type="gramStart"/>
      <w:r w:rsidRPr="00F510FB">
        <w:rPr>
          <w:szCs w:val="22"/>
        </w:rPr>
        <w:t>years’,</w:t>
      </w:r>
      <w:proofErr w:type="gramEnd"/>
      <w:r w:rsidRPr="00F510FB">
        <w:rPr>
          <w:szCs w:val="22"/>
        </w:rPr>
        <w:t xml:space="preserve"> paid for by increasing social insurance contributions from 3.1% to 5.1%.  The new law will lead to improvements in terms of equipment, and salaries, but it still fails to install a clear system based on public provision for healthcare objectives, not for profit. The unions are </w:t>
      </w:r>
      <w:r>
        <w:rPr>
          <w:szCs w:val="22"/>
        </w:rPr>
        <w:t xml:space="preserve">now </w:t>
      </w:r>
      <w:r w:rsidRPr="00F510FB">
        <w:rPr>
          <w:szCs w:val="22"/>
        </w:rPr>
        <w:t>becoming more involved in political action as one of the main groups forming the United Popular Front, w</w:t>
      </w:r>
      <w:r>
        <w:rPr>
          <w:szCs w:val="22"/>
        </w:rPr>
        <w:t xml:space="preserve">hich also includes NGOs, </w:t>
      </w:r>
      <w:r w:rsidRPr="00F510FB">
        <w:rPr>
          <w:szCs w:val="22"/>
        </w:rPr>
        <w:t>formed to support the United Russia party.</w:t>
      </w:r>
    </w:p>
    <w:p w:rsidR="00756DE6" w:rsidRPr="00F510FB" w:rsidRDefault="00756DE6" w:rsidP="00756DE6">
      <w:pPr>
        <w:rPr>
          <w:szCs w:val="22"/>
        </w:rPr>
      </w:pPr>
    </w:p>
    <w:p w:rsidR="00756DE6" w:rsidRPr="00F510FB" w:rsidRDefault="00BA7388" w:rsidP="00756DE6">
      <w:pPr>
        <w:pStyle w:val="ListParagraph"/>
        <w:numPr>
          <w:ilvl w:val="0"/>
          <w:numId w:val="25"/>
        </w:numPr>
        <w:suppressAutoHyphens w:val="0"/>
        <w:contextualSpacing/>
        <w:rPr>
          <w:szCs w:val="22"/>
        </w:rPr>
      </w:pPr>
      <w:hyperlink r:id="rId37" w:history="1">
        <w:r w:rsidR="00756DE6" w:rsidRPr="00F510FB">
          <w:rPr>
            <w:rStyle w:val="Hyperlink"/>
            <w:szCs w:val="22"/>
          </w:rPr>
          <w:t xml:space="preserve">Interview with Mikhail </w:t>
        </w:r>
        <w:proofErr w:type="spellStart"/>
        <w:r w:rsidR="00756DE6" w:rsidRPr="00F510FB">
          <w:rPr>
            <w:rStyle w:val="Hyperlink"/>
            <w:szCs w:val="22"/>
          </w:rPr>
          <w:t>Kuzmenko</w:t>
        </w:r>
        <w:proofErr w:type="spellEnd"/>
        <w:r w:rsidR="00756DE6" w:rsidRPr="00F510FB">
          <w:rPr>
            <w:rStyle w:val="Hyperlink"/>
            <w:szCs w:val="22"/>
          </w:rPr>
          <w:t>: President of the Health Workers Union of the Russian Federation</w:t>
        </w:r>
      </w:hyperlink>
      <w:r w:rsidR="00756DE6" w:rsidRPr="00F510FB">
        <w:rPr>
          <w:szCs w:val="22"/>
        </w:rPr>
        <w:t xml:space="preserve"> 31/05/2011</w:t>
      </w:r>
    </w:p>
    <w:p w:rsidR="00756DE6" w:rsidRPr="00F510FB" w:rsidRDefault="00756DE6" w:rsidP="00756DE6">
      <w:pPr>
        <w:rPr>
          <w:szCs w:val="22"/>
        </w:rPr>
      </w:pPr>
    </w:p>
    <w:p w:rsidR="00756DE6" w:rsidRPr="00F510FB" w:rsidRDefault="00756DE6" w:rsidP="00756DE6">
      <w:pPr>
        <w:pStyle w:val="ListParagraph"/>
        <w:numPr>
          <w:ilvl w:val="0"/>
          <w:numId w:val="23"/>
        </w:numPr>
        <w:suppressAutoHyphens w:val="0"/>
        <w:contextualSpacing/>
        <w:rPr>
          <w:szCs w:val="22"/>
        </w:rPr>
      </w:pPr>
      <w:r w:rsidRPr="00F510FB">
        <w:rPr>
          <w:szCs w:val="22"/>
        </w:rPr>
        <w:t xml:space="preserve">Russia: healthcare, pensions, and privatisation PSIRU Brief  May 2011 </w:t>
      </w:r>
      <w:hyperlink r:id="rId38" w:history="1">
        <w:r w:rsidRPr="00F510FB">
          <w:rPr>
            <w:rStyle w:val="Hyperlink"/>
            <w:szCs w:val="22"/>
          </w:rPr>
          <w:t>http://www.psiru.org/node/1603</w:t>
        </w:r>
      </w:hyperlink>
      <w:r w:rsidRPr="00F510FB">
        <w:rPr>
          <w:szCs w:val="22"/>
        </w:rPr>
        <w:t xml:space="preserve"> </w:t>
      </w:r>
    </w:p>
    <w:p w:rsidR="00756DE6" w:rsidRPr="00F510FB" w:rsidRDefault="00756DE6" w:rsidP="00756DE6">
      <w:pPr>
        <w:rPr>
          <w:szCs w:val="22"/>
        </w:rPr>
      </w:pPr>
    </w:p>
    <w:p w:rsidR="00756DE6" w:rsidRPr="00F510FB" w:rsidRDefault="00756DE6" w:rsidP="00756DE6">
      <w:pPr>
        <w:pStyle w:val="ListParagraph"/>
        <w:numPr>
          <w:ilvl w:val="0"/>
          <w:numId w:val="23"/>
        </w:numPr>
        <w:suppressAutoHyphens w:val="0"/>
        <w:contextualSpacing/>
        <w:rPr>
          <w:szCs w:val="22"/>
        </w:rPr>
      </w:pPr>
      <w:proofErr w:type="spellStart"/>
      <w:r w:rsidRPr="00F510FB">
        <w:rPr>
          <w:szCs w:val="22"/>
        </w:rPr>
        <w:t>Ria</w:t>
      </w:r>
      <w:proofErr w:type="spellEnd"/>
      <w:r w:rsidRPr="00F510FB">
        <w:rPr>
          <w:szCs w:val="22"/>
        </w:rPr>
        <w:t xml:space="preserve"> </w:t>
      </w:r>
      <w:proofErr w:type="spellStart"/>
      <w:r w:rsidRPr="00F510FB">
        <w:rPr>
          <w:szCs w:val="22"/>
        </w:rPr>
        <w:t>Novosti</w:t>
      </w:r>
      <w:proofErr w:type="spellEnd"/>
      <w:r w:rsidRPr="00F510FB">
        <w:rPr>
          <w:szCs w:val="22"/>
        </w:rPr>
        <w:t xml:space="preserve"> 17/5/2011 </w:t>
      </w:r>
      <w:hyperlink r:id="rId39" w:history="1">
        <w:r w:rsidRPr="00F510FB">
          <w:rPr>
            <w:rStyle w:val="Hyperlink"/>
            <w:szCs w:val="22"/>
          </w:rPr>
          <w:t xml:space="preserve">Putin says Russia needs major health care reform </w:t>
        </w:r>
      </w:hyperlink>
    </w:p>
    <w:p w:rsidR="00756DE6" w:rsidRPr="00F510FB" w:rsidRDefault="00756DE6" w:rsidP="00756DE6">
      <w:pPr>
        <w:pStyle w:val="ListParagraph"/>
        <w:rPr>
          <w:szCs w:val="22"/>
        </w:rPr>
      </w:pPr>
    </w:p>
    <w:p w:rsidR="00756DE6" w:rsidRPr="00F510FB" w:rsidRDefault="00756DE6" w:rsidP="00756DE6">
      <w:pPr>
        <w:pStyle w:val="ListParagraph"/>
        <w:numPr>
          <w:ilvl w:val="0"/>
          <w:numId w:val="23"/>
        </w:numPr>
        <w:suppressAutoHyphens w:val="0"/>
        <w:contextualSpacing/>
        <w:rPr>
          <w:b/>
          <w:bCs/>
          <w:sz w:val="20"/>
          <w:szCs w:val="20"/>
        </w:rPr>
      </w:pPr>
      <w:proofErr w:type="spellStart"/>
      <w:r w:rsidRPr="00F510FB">
        <w:rPr>
          <w:szCs w:val="22"/>
        </w:rPr>
        <w:t>Ria</w:t>
      </w:r>
      <w:proofErr w:type="spellEnd"/>
      <w:r w:rsidRPr="00F510FB">
        <w:rPr>
          <w:szCs w:val="22"/>
        </w:rPr>
        <w:t xml:space="preserve"> </w:t>
      </w:r>
      <w:proofErr w:type="spellStart"/>
      <w:r w:rsidRPr="00F510FB">
        <w:rPr>
          <w:szCs w:val="22"/>
        </w:rPr>
        <w:t>Novosti</w:t>
      </w:r>
      <w:proofErr w:type="spellEnd"/>
      <w:r w:rsidRPr="00F510FB">
        <w:rPr>
          <w:szCs w:val="22"/>
        </w:rPr>
        <w:t xml:space="preserve"> 10/06/2011 </w:t>
      </w:r>
      <w:hyperlink r:id="rId40" w:history="1">
        <w:r w:rsidRPr="00F510FB">
          <w:rPr>
            <w:rStyle w:val="Hyperlink"/>
            <w:bCs/>
            <w:szCs w:val="22"/>
          </w:rPr>
          <w:t>Russia’s new political hybrid</w:t>
        </w:r>
      </w:hyperlink>
      <w:r w:rsidRPr="00F510FB">
        <w:rPr>
          <w:szCs w:val="22"/>
        </w:rPr>
        <w:t xml:space="preserve"> ; Russia profile 29/04/2011 </w:t>
      </w:r>
      <w:hyperlink r:id="rId41" w:tgtFrame="_blank" w:tooltip="http://russiaprofile.org/experts_panel/35737.html&#10;Who’s Got a Better Vision for Russia's Future: Medvedev or Putin? " w:history="1">
        <w:r w:rsidRPr="00F510FB">
          <w:rPr>
            <w:rStyle w:val="Hyperlink"/>
            <w:szCs w:val="22"/>
          </w:rPr>
          <w:t>Who’s Got a Better Vision for Russia's Future?</w:t>
        </w:r>
        <w:r w:rsidRPr="00F510FB">
          <w:rPr>
            <w:rStyle w:val="Hyperlink"/>
            <w:sz w:val="20"/>
            <w:szCs w:val="20"/>
          </w:rPr>
          <w:t xml:space="preserve"> </w:t>
        </w:r>
      </w:hyperlink>
    </w:p>
    <w:p w:rsidR="00756DE6" w:rsidRPr="00756DE6" w:rsidRDefault="00756DE6" w:rsidP="00756DE6"/>
    <w:p w:rsidR="00756DE6" w:rsidRPr="00D077B1" w:rsidRDefault="00756DE6" w:rsidP="00756DE6"/>
    <w:p w:rsidR="00756DE6" w:rsidRPr="00D077B1" w:rsidRDefault="00756DE6" w:rsidP="00756DE6">
      <w:pPr>
        <w:pStyle w:val="Heading3"/>
      </w:pPr>
      <w:bookmarkStart w:id="81" w:name="_Toc297975207"/>
      <w:r w:rsidRPr="00D077B1">
        <w:t>Kazakhstan</w:t>
      </w:r>
      <w:bookmarkEnd w:id="81"/>
    </w:p>
    <w:p w:rsidR="00756DE6" w:rsidRDefault="00756DE6" w:rsidP="00756DE6">
      <w:r w:rsidRPr="00D077B1">
        <w:t xml:space="preserve">The pay of health workers in Kazakhstan was amongst the lowest in the country. A basic </w:t>
      </w:r>
      <w:proofErr w:type="gramStart"/>
      <w:r w:rsidRPr="00D077B1">
        <w:t>problem  has</w:t>
      </w:r>
      <w:proofErr w:type="gramEnd"/>
      <w:r w:rsidRPr="00D077B1">
        <w:t xml:space="preserve"> been the lack of a pay determination system for public sector workers, so that pay rises depended on the personal decision of the president.  </w:t>
      </w:r>
      <w:r>
        <w:t>T</w:t>
      </w:r>
      <w:r w:rsidRPr="00D077B1">
        <w:t xml:space="preserve">he unions in health, education, and cultural services combined to demand a new system, and threatened public demonstrations, which persuaded ministers to set up a working party with the unions.  </w:t>
      </w:r>
    </w:p>
    <w:p w:rsidR="00756DE6" w:rsidRDefault="00756DE6" w:rsidP="00756DE6"/>
    <w:p w:rsidR="00756DE6" w:rsidRDefault="00756DE6" w:rsidP="00756DE6">
      <w:r>
        <w:t xml:space="preserve">The unions won two major improvements. Firstly, the </w:t>
      </w:r>
      <w:r w:rsidRPr="00D077B1">
        <w:t xml:space="preserve">government agreed to the doubling of health workers pay </w:t>
      </w:r>
      <w:r>
        <w:t>in 3 stages between 2009 and 2011. I</w:t>
      </w:r>
      <w:r w:rsidRPr="00D077B1">
        <w:t>n January 2009</w:t>
      </w:r>
      <w:r>
        <w:t xml:space="preserve">, for the first time, the Labour Code included a </w:t>
      </w:r>
      <w:proofErr w:type="gramStart"/>
      <w:r>
        <w:t>pay  increase</w:t>
      </w:r>
      <w:proofErr w:type="gramEnd"/>
      <w:r>
        <w:t xml:space="preserve"> of </w:t>
      </w:r>
      <w:r w:rsidRPr="00D077B1">
        <w:t>25%</w:t>
      </w:r>
      <w:r>
        <w:t xml:space="preserve"> for health workers, representing the first stage of this increase. </w:t>
      </w:r>
    </w:p>
    <w:p w:rsidR="00756DE6" w:rsidRDefault="00756DE6" w:rsidP="00756DE6"/>
    <w:p w:rsidR="00756DE6" w:rsidRDefault="00756DE6" w:rsidP="00756DE6">
      <w:r>
        <w:t>Secondly, a</w:t>
      </w:r>
      <w:r w:rsidRPr="00D077B1">
        <w:t xml:space="preserve"> new system </w:t>
      </w:r>
      <w:r>
        <w:t xml:space="preserve">of pay determination for public service workers </w:t>
      </w:r>
      <w:r w:rsidRPr="00D077B1">
        <w:t xml:space="preserve">was agreed, based on </w:t>
      </w:r>
      <w:r>
        <w:t>indexation</w:t>
      </w:r>
      <w:r w:rsidRPr="00D077B1">
        <w:t xml:space="preserve">, </w:t>
      </w:r>
      <w:r>
        <w:t xml:space="preserve">together with ratification of ILO conventions 26 and 131 (on a minimum wage), and convention 95 (on payment of wages). This new system is to be introduced from 2012 after the new pay level has been established. </w:t>
      </w:r>
    </w:p>
    <w:p w:rsidR="00756DE6" w:rsidRDefault="00756DE6" w:rsidP="00756DE6"/>
    <w:p w:rsidR="00756DE6" w:rsidRPr="00D077B1" w:rsidRDefault="00756DE6" w:rsidP="00756DE6">
      <w:r w:rsidRPr="00D077B1">
        <w:t>The government attempted to use the economic crisis as an excuse for postponing the second stage</w:t>
      </w:r>
      <w:r>
        <w:t xml:space="preserve"> of the pay rise</w:t>
      </w:r>
      <w:r w:rsidRPr="00D077B1">
        <w:t xml:space="preserve">, </w:t>
      </w:r>
      <w:r>
        <w:t xml:space="preserve">also </w:t>
      </w:r>
      <w:r w:rsidRPr="00D077B1">
        <w:t>of 25%</w:t>
      </w:r>
      <w:r>
        <w:t xml:space="preserve">, </w:t>
      </w:r>
      <w:r w:rsidRPr="00D077B1">
        <w:t>but the threat of public demonstrations convinced them to pay the rise in 2010</w:t>
      </w:r>
      <w:r>
        <w:t>, in accordance with the agreement</w:t>
      </w:r>
      <w:r w:rsidRPr="00D077B1">
        <w:t>. In 2011 the deputy prime minister again attemp</w:t>
      </w:r>
      <w:r>
        <w:t xml:space="preserve">ted to postpone the final stage, </w:t>
      </w:r>
      <w:r w:rsidRPr="00D077B1">
        <w:t xml:space="preserve">of 30%, </w:t>
      </w:r>
      <w:r>
        <w:t xml:space="preserve">and with it the new system of pay determination, </w:t>
      </w:r>
      <w:r w:rsidRPr="00D077B1">
        <w:t>until 2014</w:t>
      </w:r>
      <w:r>
        <w:t>. A</w:t>
      </w:r>
      <w:r w:rsidRPr="00D077B1">
        <w:t xml:space="preserve">gain, the threat of public demonstrations </w:t>
      </w:r>
      <w:proofErr w:type="gramStart"/>
      <w:r w:rsidRPr="00D077B1">
        <w:t xml:space="preserve">persuaded </w:t>
      </w:r>
      <w:r>
        <w:t xml:space="preserve"> hi</w:t>
      </w:r>
      <w:r w:rsidRPr="00D077B1">
        <w:t>m</w:t>
      </w:r>
      <w:proofErr w:type="gramEnd"/>
      <w:r w:rsidRPr="00D077B1">
        <w:t xml:space="preserve"> to agree to make the final payment</w:t>
      </w:r>
      <w:r>
        <w:t xml:space="preserve"> in 2011</w:t>
      </w:r>
      <w:r w:rsidRPr="00D077B1">
        <w:t xml:space="preserve">, </w:t>
      </w:r>
      <w:r>
        <w:t>as planned, and to promise the signing of ILO convention 95.</w:t>
      </w:r>
      <w:r w:rsidRPr="00D077B1">
        <w:t xml:space="preserve"> </w:t>
      </w:r>
    </w:p>
    <w:p w:rsidR="00756DE6" w:rsidRDefault="00756DE6" w:rsidP="00756DE6"/>
    <w:p w:rsidR="00756DE6" w:rsidRPr="00D077B1" w:rsidRDefault="00756DE6" w:rsidP="00756DE6">
      <w:r w:rsidRPr="00D077B1">
        <w:t xml:space="preserve">The </w:t>
      </w:r>
      <w:proofErr w:type="spellStart"/>
      <w:r w:rsidRPr="00D077B1">
        <w:t>sectoral</w:t>
      </w:r>
      <w:proofErr w:type="spellEnd"/>
      <w:r w:rsidRPr="00D077B1">
        <w:t xml:space="preserve"> agreement for 2009-11also improved the terms of paid holidays, and explicitly confirmed the right of public sector workers to 30 days paid annual  leave. The </w:t>
      </w:r>
      <w:proofErr w:type="spellStart"/>
      <w:r w:rsidRPr="00D077B1">
        <w:t>sectoral</w:t>
      </w:r>
      <w:proofErr w:type="spellEnd"/>
      <w:r w:rsidRPr="00D077B1">
        <w:t xml:space="preserve"> agreement </w:t>
      </w:r>
      <w:r>
        <w:t xml:space="preserve">is </w:t>
      </w:r>
      <w:r w:rsidRPr="00D077B1">
        <w:t>binding on all healthcare employers, and is supplemented by bargaining at local level, and the union has now signed agreements with 1,232 establishments, covering 95.6% of union members. Effective bargaining at this level is heavily dependent on the strength of local branch organisation and leadership.</w:t>
      </w:r>
    </w:p>
    <w:p w:rsidR="00756DE6" w:rsidRDefault="00756DE6" w:rsidP="00756DE6"/>
    <w:p w:rsidR="00756DE6" w:rsidRPr="00D077B1" w:rsidRDefault="00756DE6" w:rsidP="00756DE6">
      <w:r w:rsidRPr="00D077B1">
        <w:t xml:space="preserve">Public spending on healthcare in Kazakhstan is growing, not only in terms of money – from $1.4billion in 2005 to $3.9billion in 2010, but also as a percentage of GDP, from 2.5% in 2005 to 3.2% in 2010. A programme of investment in cardiology and preventative measures has succeeded in reducing the mortality rate form heart diseases from 5.4 per 1,000 in 2005 to 4.1 per thousand in 2010. A further 5 year programme of investment in modern technology started in 2011.  The health services also gained </w:t>
      </w:r>
      <w:proofErr w:type="gramStart"/>
      <w:r w:rsidRPr="00D077B1">
        <w:t>from  Kazakhstan’s</w:t>
      </w:r>
      <w:proofErr w:type="gramEnd"/>
      <w:r w:rsidRPr="00D077B1">
        <w:t xml:space="preserve"> ‘Roadmap Strategy’, the $1billion stimulus programme introduced in 2009 to counter the effects of economic recession, and included renovations at 264 clinics and hospitals.  </w:t>
      </w:r>
    </w:p>
    <w:p w:rsidR="00756DE6" w:rsidRPr="00D077B1" w:rsidRDefault="00756DE6" w:rsidP="00756DE6">
      <w:pPr>
        <w:pStyle w:val="Heading7"/>
        <w:suppressAutoHyphens w:val="0"/>
      </w:pPr>
      <w:bookmarkStart w:id="82" w:name="_Toc297975208"/>
      <w:proofErr w:type="gramStart"/>
      <w:r w:rsidRPr="00D077B1">
        <w:t xml:space="preserve">Average salary of </w:t>
      </w:r>
      <w:proofErr w:type="spellStart"/>
      <w:r w:rsidRPr="00D077B1">
        <w:t>healthworkers</w:t>
      </w:r>
      <w:proofErr w:type="spellEnd"/>
      <w:r w:rsidRPr="00D077B1">
        <w:t xml:space="preserve"> in Kazakhstan 2009-2011.</w:t>
      </w:r>
      <w:proofErr w:type="gramEnd"/>
      <w:r w:rsidRPr="00D077B1">
        <w:t xml:space="preserve"> US dollars</w:t>
      </w:r>
      <w:bookmarkEnd w:id="82"/>
      <w:r w:rsidRPr="00D077B1">
        <w:t xml:space="preserve"> </w:t>
      </w:r>
    </w:p>
    <w:p w:rsidR="00756DE6" w:rsidRPr="00756DE6" w:rsidRDefault="00756DE6" w:rsidP="00756DE6">
      <w:pPr>
        <w:rPr>
          <w:rFonts w:ascii="Calibri" w:hAnsi="Calibri"/>
          <w:sz w:val="20"/>
          <w:szCs w:val="20"/>
        </w:rPr>
      </w:pPr>
      <w:r w:rsidRPr="00756DE6">
        <w:rPr>
          <w:rFonts w:ascii="Calibri" w:hAnsi="Calibri"/>
          <w:sz w:val="20"/>
          <w:szCs w:val="20"/>
        </w:rPr>
        <w:t xml:space="preserve">(@ exchange rate 146 Kazakh </w:t>
      </w:r>
      <w:proofErr w:type="spellStart"/>
      <w:r w:rsidRPr="00756DE6">
        <w:rPr>
          <w:rFonts w:ascii="Calibri" w:hAnsi="Calibri"/>
          <w:sz w:val="20"/>
          <w:szCs w:val="20"/>
        </w:rPr>
        <w:t>Tenge</w:t>
      </w:r>
      <w:proofErr w:type="spellEnd"/>
      <w:r w:rsidRPr="00756DE6">
        <w:rPr>
          <w:rFonts w:ascii="Calibri" w:hAnsi="Calibri"/>
          <w:sz w:val="20"/>
          <w:szCs w:val="20"/>
        </w:rPr>
        <w:t xml:space="preserve"> = $1 USD)</w:t>
      </w:r>
    </w:p>
    <w:tbl>
      <w:tblPr>
        <w:tblW w:w="9093"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8"/>
        <w:gridCol w:w="992"/>
        <w:gridCol w:w="1020"/>
        <w:gridCol w:w="1021"/>
        <w:gridCol w:w="1020"/>
        <w:gridCol w:w="1021"/>
        <w:gridCol w:w="1021"/>
      </w:tblGrid>
      <w:tr w:rsidR="00756DE6" w:rsidRPr="00753FF3" w:rsidTr="00A45AB1">
        <w:trPr>
          <w:trHeight w:val="781"/>
        </w:trPr>
        <w:tc>
          <w:tcPr>
            <w:tcW w:w="2998" w:type="dxa"/>
            <w:shd w:val="clear" w:color="auto" w:fill="auto"/>
            <w:hideMark/>
          </w:tcPr>
          <w:p w:rsidR="00756DE6" w:rsidRPr="00756DE6" w:rsidRDefault="00756DE6" w:rsidP="00A45AB1">
            <w:pPr>
              <w:rPr>
                <w:rFonts w:ascii="Calibri" w:hAnsi="Calibri"/>
                <w:sz w:val="20"/>
                <w:szCs w:val="20"/>
              </w:rPr>
            </w:pPr>
            <w:r w:rsidRPr="00756DE6">
              <w:rPr>
                <w:rFonts w:ascii="Calibri" w:hAnsi="Calibri"/>
                <w:sz w:val="20"/>
                <w:szCs w:val="20"/>
              </w:rPr>
              <w:t>Occupation</w:t>
            </w:r>
          </w:p>
        </w:tc>
        <w:tc>
          <w:tcPr>
            <w:tcW w:w="992" w:type="dxa"/>
          </w:tcPr>
          <w:p w:rsidR="00756DE6" w:rsidRPr="00756DE6" w:rsidRDefault="00756DE6" w:rsidP="00A45AB1">
            <w:pPr>
              <w:rPr>
                <w:rFonts w:ascii="Calibri" w:hAnsi="Calibri"/>
                <w:sz w:val="20"/>
                <w:szCs w:val="20"/>
              </w:rPr>
            </w:pPr>
            <w:r w:rsidRPr="00756DE6">
              <w:rPr>
                <w:rFonts w:ascii="Calibri" w:hAnsi="Calibri"/>
                <w:sz w:val="20"/>
                <w:szCs w:val="20"/>
              </w:rPr>
              <w:t>Average</w:t>
            </w:r>
          </w:p>
        </w:tc>
        <w:tc>
          <w:tcPr>
            <w:tcW w:w="1020" w:type="dxa"/>
            <w:shd w:val="clear" w:color="auto" w:fill="auto"/>
            <w:hideMark/>
          </w:tcPr>
          <w:p w:rsidR="00756DE6" w:rsidRPr="00756DE6" w:rsidRDefault="00756DE6" w:rsidP="00A45AB1">
            <w:pPr>
              <w:rPr>
                <w:rFonts w:ascii="Calibri" w:hAnsi="Calibri"/>
                <w:sz w:val="20"/>
                <w:szCs w:val="20"/>
              </w:rPr>
            </w:pPr>
            <w:r w:rsidRPr="00756DE6">
              <w:rPr>
                <w:rFonts w:ascii="Calibri" w:hAnsi="Calibri"/>
                <w:sz w:val="20"/>
                <w:szCs w:val="20"/>
              </w:rPr>
              <w:t>Doctor</w:t>
            </w:r>
          </w:p>
        </w:tc>
        <w:tc>
          <w:tcPr>
            <w:tcW w:w="1021" w:type="dxa"/>
            <w:shd w:val="clear" w:color="auto" w:fill="auto"/>
            <w:hideMark/>
          </w:tcPr>
          <w:p w:rsidR="00756DE6" w:rsidRPr="00756DE6" w:rsidRDefault="00756DE6" w:rsidP="00A45AB1">
            <w:pPr>
              <w:rPr>
                <w:rFonts w:ascii="Calibri" w:hAnsi="Calibri"/>
                <w:sz w:val="20"/>
                <w:szCs w:val="20"/>
              </w:rPr>
            </w:pPr>
            <w:r w:rsidRPr="00756DE6">
              <w:rPr>
                <w:rFonts w:ascii="Calibri" w:hAnsi="Calibri"/>
                <w:sz w:val="20"/>
                <w:szCs w:val="20"/>
              </w:rPr>
              <w:t>Nursing staff</w:t>
            </w:r>
          </w:p>
        </w:tc>
        <w:tc>
          <w:tcPr>
            <w:tcW w:w="1020" w:type="dxa"/>
            <w:shd w:val="clear" w:color="auto" w:fill="auto"/>
            <w:hideMark/>
          </w:tcPr>
          <w:p w:rsidR="00756DE6" w:rsidRPr="00756DE6" w:rsidRDefault="00756DE6" w:rsidP="00A45AB1">
            <w:pPr>
              <w:rPr>
                <w:rFonts w:ascii="Calibri" w:hAnsi="Calibri"/>
                <w:sz w:val="20"/>
                <w:szCs w:val="20"/>
              </w:rPr>
            </w:pPr>
            <w:r w:rsidRPr="00756DE6">
              <w:rPr>
                <w:rFonts w:ascii="Calibri" w:hAnsi="Calibri"/>
                <w:sz w:val="20"/>
                <w:szCs w:val="20"/>
              </w:rPr>
              <w:t>Junior doctors</w:t>
            </w:r>
          </w:p>
        </w:tc>
        <w:tc>
          <w:tcPr>
            <w:tcW w:w="1021" w:type="dxa"/>
            <w:shd w:val="clear" w:color="auto" w:fill="auto"/>
            <w:hideMark/>
          </w:tcPr>
          <w:p w:rsidR="00756DE6" w:rsidRPr="00756DE6" w:rsidRDefault="00756DE6" w:rsidP="00A45AB1">
            <w:pPr>
              <w:rPr>
                <w:rFonts w:ascii="Calibri" w:hAnsi="Calibri"/>
                <w:sz w:val="20"/>
                <w:szCs w:val="20"/>
              </w:rPr>
            </w:pPr>
            <w:r w:rsidRPr="00756DE6">
              <w:rPr>
                <w:rFonts w:ascii="Calibri" w:hAnsi="Calibri"/>
                <w:sz w:val="20"/>
                <w:szCs w:val="20"/>
              </w:rPr>
              <w:t>Other health workers</w:t>
            </w:r>
          </w:p>
        </w:tc>
        <w:tc>
          <w:tcPr>
            <w:tcW w:w="1021" w:type="dxa"/>
            <w:shd w:val="clear" w:color="auto" w:fill="auto"/>
            <w:hideMark/>
          </w:tcPr>
          <w:p w:rsidR="00756DE6" w:rsidRPr="00756DE6" w:rsidRDefault="00756DE6" w:rsidP="00A45AB1">
            <w:pPr>
              <w:rPr>
                <w:rFonts w:ascii="Calibri" w:hAnsi="Calibri"/>
                <w:sz w:val="20"/>
                <w:szCs w:val="20"/>
              </w:rPr>
            </w:pPr>
            <w:r w:rsidRPr="00756DE6">
              <w:rPr>
                <w:rFonts w:ascii="Calibri" w:hAnsi="Calibri"/>
                <w:sz w:val="20"/>
                <w:szCs w:val="20"/>
              </w:rPr>
              <w:t>Medical institute teachers</w:t>
            </w:r>
          </w:p>
        </w:tc>
      </w:tr>
      <w:tr w:rsidR="00756DE6" w:rsidRPr="00753FF3" w:rsidTr="00A45AB1">
        <w:trPr>
          <w:trHeight w:val="270"/>
        </w:trPr>
        <w:tc>
          <w:tcPr>
            <w:tcW w:w="2998" w:type="dxa"/>
            <w:shd w:val="clear" w:color="auto" w:fill="auto"/>
            <w:hideMark/>
          </w:tcPr>
          <w:p w:rsidR="00756DE6" w:rsidRPr="00756DE6" w:rsidRDefault="00756DE6" w:rsidP="00A45AB1">
            <w:pPr>
              <w:rPr>
                <w:rFonts w:ascii="Calibri" w:hAnsi="Calibri"/>
                <w:sz w:val="20"/>
                <w:szCs w:val="20"/>
              </w:rPr>
            </w:pPr>
            <w:r w:rsidRPr="00756DE6">
              <w:rPr>
                <w:rFonts w:ascii="Calibri" w:hAnsi="Calibri"/>
                <w:sz w:val="20"/>
                <w:szCs w:val="20"/>
              </w:rPr>
              <w:t>2008</w:t>
            </w:r>
          </w:p>
        </w:tc>
        <w:tc>
          <w:tcPr>
            <w:tcW w:w="992" w:type="dxa"/>
          </w:tcPr>
          <w:p w:rsidR="00756DE6" w:rsidRPr="00756DE6" w:rsidRDefault="00756DE6" w:rsidP="00A45AB1">
            <w:pPr>
              <w:rPr>
                <w:rFonts w:ascii="Calibri" w:hAnsi="Calibri"/>
                <w:sz w:val="20"/>
                <w:szCs w:val="20"/>
              </w:rPr>
            </w:pPr>
          </w:p>
        </w:tc>
        <w:tc>
          <w:tcPr>
            <w:tcW w:w="1020" w:type="dxa"/>
            <w:shd w:val="clear" w:color="auto" w:fill="auto"/>
            <w:hideMark/>
          </w:tcPr>
          <w:p w:rsidR="00756DE6" w:rsidRPr="00756DE6" w:rsidRDefault="00756DE6" w:rsidP="00A45AB1">
            <w:pPr>
              <w:jc w:val="right"/>
              <w:rPr>
                <w:rFonts w:ascii="Calibri" w:hAnsi="Calibri"/>
                <w:sz w:val="20"/>
                <w:szCs w:val="20"/>
              </w:rPr>
            </w:pPr>
            <w:r w:rsidRPr="00756DE6">
              <w:rPr>
                <w:rFonts w:ascii="Calibri" w:hAnsi="Calibri"/>
                <w:sz w:val="20"/>
                <w:szCs w:val="20"/>
              </w:rPr>
              <w:t>295</w:t>
            </w:r>
          </w:p>
        </w:tc>
        <w:tc>
          <w:tcPr>
            <w:tcW w:w="1021" w:type="dxa"/>
            <w:shd w:val="clear" w:color="auto" w:fill="auto"/>
            <w:hideMark/>
          </w:tcPr>
          <w:p w:rsidR="00756DE6" w:rsidRPr="00756DE6" w:rsidRDefault="00756DE6" w:rsidP="00A45AB1">
            <w:pPr>
              <w:jc w:val="right"/>
              <w:rPr>
                <w:rFonts w:ascii="Calibri" w:hAnsi="Calibri"/>
                <w:sz w:val="20"/>
                <w:szCs w:val="20"/>
              </w:rPr>
            </w:pPr>
            <w:r w:rsidRPr="00756DE6">
              <w:rPr>
                <w:rFonts w:ascii="Calibri" w:hAnsi="Calibri"/>
                <w:sz w:val="20"/>
                <w:szCs w:val="20"/>
              </w:rPr>
              <w:t>216</w:t>
            </w:r>
          </w:p>
        </w:tc>
        <w:tc>
          <w:tcPr>
            <w:tcW w:w="1020" w:type="dxa"/>
            <w:shd w:val="clear" w:color="auto" w:fill="auto"/>
            <w:hideMark/>
          </w:tcPr>
          <w:p w:rsidR="00756DE6" w:rsidRPr="00756DE6" w:rsidRDefault="00756DE6" w:rsidP="00A45AB1">
            <w:pPr>
              <w:jc w:val="right"/>
              <w:rPr>
                <w:rFonts w:ascii="Calibri" w:hAnsi="Calibri"/>
                <w:sz w:val="20"/>
                <w:szCs w:val="20"/>
              </w:rPr>
            </w:pPr>
            <w:r w:rsidRPr="00756DE6">
              <w:rPr>
                <w:rFonts w:ascii="Calibri" w:hAnsi="Calibri"/>
                <w:sz w:val="20"/>
                <w:szCs w:val="20"/>
              </w:rPr>
              <w:t>147</w:t>
            </w:r>
          </w:p>
        </w:tc>
        <w:tc>
          <w:tcPr>
            <w:tcW w:w="1021" w:type="dxa"/>
            <w:shd w:val="clear" w:color="auto" w:fill="auto"/>
            <w:hideMark/>
          </w:tcPr>
          <w:p w:rsidR="00756DE6" w:rsidRPr="00756DE6" w:rsidRDefault="00756DE6" w:rsidP="00A45AB1">
            <w:pPr>
              <w:jc w:val="right"/>
              <w:rPr>
                <w:rFonts w:ascii="Calibri" w:hAnsi="Calibri"/>
                <w:sz w:val="20"/>
                <w:szCs w:val="20"/>
              </w:rPr>
            </w:pPr>
            <w:r w:rsidRPr="00756DE6">
              <w:rPr>
                <w:rFonts w:ascii="Calibri" w:hAnsi="Calibri"/>
                <w:sz w:val="20"/>
                <w:szCs w:val="20"/>
              </w:rPr>
              <w:t>139</w:t>
            </w:r>
          </w:p>
        </w:tc>
        <w:tc>
          <w:tcPr>
            <w:tcW w:w="1021" w:type="dxa"/>
            <w:shd w:val="clear" w:color="auto" w:fill="auto"/>
            <w:hideMark/>
          </w:tcPr>
          <w:p w:rsidR="00756DE6" w:rsidRPr="00756DE6" w:rsidRDefault="00756DE6" w:rsidP="00A45AB1">
            <w:pPr>
              <w:jc w:val="right"/>
              <w:rPr>
                <w:rFonts w:ascii="Calibri" w:hAnsi="Calibri"/>
                <w:sz w:val="20"/>
                <w:szCs w:val="20"/>
              </w:rPr>
            </w:pPr>
            <w:r w:rsidRPr="00756DE6">
              <w:rPr>
                <w:rFonts w:ascii="Calibri" w:hAnsi="Calibri"/>
                <w:sz w:val="20"/>
                <w:szCs w:val="20"/>
              </w:rPr>
              <w:t>273</w:t>
            </w:r>
          </w:p>
        </w:tc>
      </w:tr>
      <w:tr w:rsidR="00756DE6" w:rsidRPr="00753FF3" w:rsidTr="00A45AB1">
        <w:trPr>
          <w:trHeight w:val="270"/>
        </w:trPr>
        <w:tc>
          <w:tcPr>
            <w:tcW w:w="2998" w:type="dxa"/>
            <w:shd w:val="clear" w:color="auto" w:fill="auto"/>
            <w:hideMark/>
          </w:tcPr>
          <w:p w:rsidR="00756DE6" w:rsidRPr="00756DE6" w:rsidRDefault="00756DE6" w:rsidP="00A45AB1">
            <w:pPr>
              <w:rPr>
                <w:rFonts w:ascii="Calibri" w:hAnsi="Calibri"/>
                <w:sz w:val="20"/>
                <w:szCs w:val="20"/>
              </w:rPr>
            </w:pPr>
            <w:r w:rsidRPr="00756DE6">
              <w:rPr>
                <w:rFonts w:ascii="Calibri" w:hAnsi="Calibri"/>
                <w:sz w:val="20"/>
                <w:szCs w:val="20"/>
              </w:rPr>
              <w:t>From January  2009</w:t>
            </w:r>
          </w:p>
        </w:tc>
        <w:tc>
          <w:tcPr>
            <w:tcW w:w="992" w:type="dxa"/>
          </w:tcPr>
          <w:p w:rsidR="00756DE6" w:rsidRPr="00756DE6" w:rsidRDefault="00756DE6" w:rsidP="00A45AB1">
            <w:pPr>
              <w:rPr>
                <w:rFonts w:ascii="Calibri" w:hAnsi="Calibri"/>
                <w:sz w:val="20"/>
                <w:szCs w:val="20"/>
              </w:rPr>
            </w:pPr>
          </w:p>
        </w:tc>
        <w:tc>
          <w:tcPr>
            <w:tcW w:w="1020" w:type="dxa"/>
            <w:shd w:val="clear" w:color="auto" w:fill="auto"/>
            <w:hideMark/>
          </w:tcPr>
          <w:p w:rsidR="00756DE6" w:rsidRPr="00756DE6" w:rsidRDefault="00756DE6" w:rsidP="00A45AB1">
            <w:pPr>
              <w:jc w:val="right"/>
              <w:rPr>
                <w:rFonts w:ascii="Calibri" w:hAnsi="Calibri"/>
                <w:sz w:val="20"/>
                <w:szCs w:val="20"/>
              </w:rPr>
            </w:pPr>
            <w:r w:rsidRPr="00756DE6">
              <w:rPr>
                <w:rFonts w:ascii="Calibri" w:hAnsi="Calibri"/>
                <w:sz w:val="20"/>
                <w:szCs w:val="20"/>
              </w:rPr>
              <w:t>369</w:t>
            </w:r>
          </w:p>
        </w:tc>
        <w:tc>
          <w:tcPr>
            <w:tcW w:w="1021" w:type="dxa"/>
            <w:shd w:val="clear" w:color="auto" w:fill="auto"/>
            <w:hideMark/>
          </w:tcPr>
          <w:p w:rsidR="00756DE6" w:rsidRPr="00756DE6" w:rsidRDefault="00756DE6" w:rsidP="00A45AB1">
            <w:pPr>
              <w:jc w:val="right"/>
              <w:rPr>
                <w:rFonts w:ascii="Calibri" w:hAnsi="Calibri"/>
                <w:sz w:val="20"/>
                <w:szCs w:val="20"/>
              </w:rPr>
            </w:pPr>
            <w:r w:rsidRPr="00756DE6">
              <w:rPr>
                <w:rFonts w:ascii="Calibri" w:hAnsi="Calibri"/>
                <w:sz w:val="20"/>
                <w:szCs w:val="20"/>
              </w:rPr>
              <w:t>270</w:t>
            </w:r>
          </w:p>
        </w:tc>
        <w:tc>
          <w:tcPr>
            <w:tcW w:w="1020" w:type="dxa"/>
            <w:shd w:val="clear" w:color="auto" w:fill="auto"/>
            <w:hideMark/>
          </w:tcPr>
          <w:p w:rsidR="00756DE6" w:rsidRPr="00756DE6" w:rsidRDefault="00756DE6" w:rsidP="00A45AB1">
            <w:pPr>
              <w:jc w:val="right"/>
              <w:rPr>
                <w:rFonts w:ascii="Calibri" w:hAnsi="Calibri"/>
                <w:sz w:val="20"/>
                <w:szCs w:val="20"/>
              </w:rPr>
            </w:pPr>
            <w:r w:rsidRPr="00756DE6">
              <w:rPr>
                <w:rFonts w:ascii="Calibri" w:hAnsi="Calibri"/>
                <w:sz w:val="20"/>
                <w:szCs w:val="20"/>
              </w:rPr>
              <w:t>184</w:t>
            </w:r>
          </w:p>
        </w:tc>
        <w:tc>
          <w:tcPr>
            <w:tcW w:w="1021" w:type="dxa"/>
            <w:shd w:val="clear" w:color="auto" w:fill="auto"/>
            <w:hideMark/>
          </w:tcPr>
          <w:p w:rsidR="00756DE6" w:rsidRPr="00756DE6" w:rsidRDefault="00756DE6" w:rsidP="00A45AB1">
            <w:pPr>
              <w:jc w:val="right"/>
              <w:rPr>
                <w:rFonts w:ascii="Calibri" w:hAnsi="Calibri"/>
                <w:sz w:val="20"/>
                <w:szCs w:val="20"/>
              </w:rPr>
            </w:pPr>
            <w:r w:rsidRPr="00756DE6">
              <w:rPr>
                <w:rFonts w:ascii="Calibri" w:hAnsi="Calibri"/>
                <w:sz w:val="20"/>
                <w:szCs w:val="20"/>
              </w:rPr>
              <w:t>174</w:t>
            </w:r>
          </w:p>
        </w:tc>
        <w:tc>
          <w:tcPr>
            <w:tcW w:w="1021" w:type="dxa"/>
            <w:shd w:val="clear" w:color="auto" w:fill="auto"/>
            <w:hideMark/>
          </w:tcPr>
          <w:p w:rsidR="00756DE6" w:rsidRPr="00756DE6" w:rsidRDefault="00756DE6" w:rsidP="00A45AB1">
            <w:pPr>
              <w:jc w:val="right"/>
              <w:rPr>
                <w:rFonts w:ascii="Calibri" w:hAnsi="Calibri"/>
                <w:sz w:val="20"/>
                <w:szCs w:val="20"/>
              </w:rPr>
            </w:pPr>
            <w:r w:rsidRPr="00756DE6">
              <w:rPr>
                <w:rFonts w:ascii="Calibri" w:hAnsi="Calibri"/>
                <w:sz w:val="20"/>
                <w:szCs w:val="20"/>
              </w:rPr>
              <w:t>341</w:t>
            </w:r>
          </w:p>
        </w:tc>
      </w:tr>
      <w:tr w:rsidR="00756DE6" w:rsidRPr="00753FF3" w:rsidTr="00A45AB1">
        <w:trPr>
          <w:trHeight w:val="270"/>
        </w:trPr>
        <w:tc>
          <w:tcPr>
            <w:tcW w:w="2998" w:type="dxa"/>
            <w:shd w:val="clear" w:color="auto" w:fill="auto"/>
            <w:hideMark/>
          </w:tcPr>
          <w:p w:rsidR="00756DE6" w:rsidRPr="00756DE6" w:rsidRDefault="00756DE6" w:rsidP="00A45AB1">
            <w:pPr>
              <w:rPr>
                <w:rFonts w:ascii="Calibri" w:hAnsi="Calibri"/>
                <w:sz w:val="20"/>
                <w:szCs w:val="20"/>
              </w:rPr>
            </w:pPr>
            <w:r w:rsidRPr="00756DE6">
              <w:rPr>
                <w:rFonts w:ascii="Calibri" w:hAnsi="Calibri"/>
                <w:sz w:val="20"/>
                <w:szCs w:val="20"/>
              </w:rPr>
              <w:t>from April 2010</w:t>
            </w:r>
          </w:p>
        </w:tc>
        <w:tc>
          <w:tcPr>
            <w:tcW w:w="992" w:type="dxa"/>
          </w:tcPr>
          <w:p w:rsidR="00756DE6" w:rsidRPr="00756DE6" w:rsidRDefault="00756DE6" w:rsidP="00A45AB1">
            <w:pPr>
              <w:rPr>
                <w:rFonts w:ascii="Calibri" w:hAnsi="Calibri"/>
                <w:sz w:val="20"/>
                <w:szCs w:val="20"/>
              </w:rPr>
            </w:pPr>
          </w:p>
        </w:tc>
        <w:tc>
          <w:tcPr>
            <w:tcW w:w="1020" w:type="dxa"/>
            <w:shd w:val="clear" w:color="auto" w:fill="auto"/>
            <w:hideMark/>
          </w:tcPr>
          <w:p w:rsidR="00756DE6" w:rsidRPr="00756DE6" w:rsidRDefault="00756DE6" w:rsidP="00A45AB1">
            <w:pPr>
              <w:jc w:val="right"/>
              <w:rPr>
                <w:rFonts w:ascii="Calibri" w:hAnsi="Calibri"/>
                <w:sz w:val="20"/>
                <w:szCs w:val="20"/>
              </w:rPr>
            </w:pPr>
            <w:r w:rsidRPr="00756DE6">
              <w:rPr>
                <w:rFonts w:ascii="Calibri" w:hAnsi="Calibri"/>
                <w:sz w:val="20"/>
                <w:szCs w:val="20"/>
              </w:rPr>
              <w:t>462</w:t>
            </w:r>
          </w:p>
        </w:tc>
        <w:tc>
          <w:tcPr>
            <w:tcW w:w="1021" w:type="dxa"/>
            <w:shd w:val="clear" w:color="auto" w:fill="auto"/>
            <w:hideMark/>
          </w:tcPr>
          <w:p w:rsidR="00756DE6" w:rsidRPr="00756DE6" w:rsidRDefault="00756DE6" w:rsidP="00A45AB1">
            <w:pPr>
              <w:jc w:val="right"/>
              <w:rPr>
                <w:rFonts w:ascii="Calibri" w:hAnsi="Calibri"/>
                <w:sz w:val="20"/>
                <w:szCs w:val="20"/>
              </w:rPr>
            </w:pPr>
            <w:r w:rsidRPr="00756DE6">
              <w:rPr>
                <w:rFonts w:ascii="Calibri" w:hAnsi="Calibri"/>
                <w:sz w:val="20"/>
                <w:szCs w:val="20"/>
              </w:rPr>
              <w:t>337</w:t>
            </w:r>
          </w:p>
        </w:tc>
        <w:tc>
          <w:tcPr>
            <w:tcW w:w="1020" w:type="dxa"/>
            <w:shd w:val="clear" w:color="auto" w:fill="auto"/>
            <w:hideMark/>
          </w:tcPr>
          <w:p w:rsidR="00756DE6" w:rsidRPr="00756DE6" w:rsidRDefault="00756DE6" w:rsidP="00A45AB1">
            <w:pPr>
              <w:jc w:val="right"/>
              <w:rPr>
                <w:rFonts w:ascii="Calibri" w:hAnsi="Calibri"/>
                <w:sz w:val="20"/>
                <w:szCs w:val="20"/>
              </w:rPr>
            </w:pPr>
            <w:r w:rsidRPr="00756DE6">
              <w:rPr>
                <w:rFonts w:ascii="Calibri" w:hAnsi="Calibri"/>
                <w:sz w:val="20"/>
                <w:szCs w:val="20"/>
              </w:rPr>
              <w:t>230</w:t>
            </w:r>
          </w:p>
        </w:tc>
        <w:tc>
          <w:tcPr>
            <w:tcW w:w="1021" w:type="dxa"/>
            <w:shd w:val="clear" w:color="auto" w:fill="auto"/>
            <w:hideMark/>
          </w:tcPr>
          <w:p w:rsidR="00756DE6" w:rsidRPr="00756DE6" w:rsidRDefault="00756DE6" w:rsidP="00A45AB1">
            <w:pPr>
              <w:jc w:val="right"/>
              <w:rPr>
                <w:rFonts w:ascii="Calibri" w:hAnsi="Calibri"/>
                <w:sz w:val="20"/>
                <w:szCs w:val="20"/>
              </w:rPr>
            </w:pPr>
            <w:r w:rsidRPr="00756DE6">
              <w:rPr>
                <w:rFonts w:ascii="Calibri" w:hAnsi="Calibri"/>
                <w:sz w:val="20"/>
                <w:szCs w:val="20"/>
              </w:rPr>
              <w:t>218</w:t>
            </w:r>
          </w:p>
        </w:tc>
        <w:tc>
          <w:tcPr>
            <w:tcW w:w="1021" w:type="dxa"/>
            <w:shd w:val="clear" w:color="auto" w:fill="auto"/>
            <w:hideMark/>
          </w:tcPr>
          <w:p w:rsidR="00756DE6" w:rsidRPr="00756DE6" w:rsidRDefault="00756DE6" w:rsidP="00A45AB1">
            <w:pPr>
              <w:jc w:val="right"/>
              <w:rPr>
                <w:rFonts w:ascii="Calibri" w:hAnsi="Calibri"/>
                <w:sz w:val="20"/>
                <w:szCs w:val="20"/>
              </w:rPr>
            </w:pPr>
            <w:r w:rsidRPr="00756DE6">
              <w:rPr>
                <w:rFonts w:ascii="Calibri" w:hAnsi="Calibri"/>
                <w:sz w:val="20"/>
                <w:szCs w:val="20"/>
              </w:rPr>
              <w:t>426</w:t>
            </w:r>
          </w:p>
        </w:tc>
      </w:tr>
      <w:tr w:rsidR="00756DE6" w:rsidRPr="00753FF3" w:rsidTr="00A45AB1">
        <w:trPr>
          <w:trHeight w:val="270"/>
        </w:trPr>
        <w:tc>
          <w:tcPr>
            <w:tcW w:w="2998" w:type="dxa"/>
            <w:shd w:val="clear" w:color="auto" w:fill="auto"/>
            <w:hideMark/>
          </w:tcPr>
          <w:p w:rsidR="00756DE6" w:rsidRPr="00756DE6" w:rsidRDefault="00756DE6" w:rsidP="00A45AB1">
            <w:pPr>
              <w:rPr>
                <w:rFonts w:ascii="Calibri" w:hAnsi="Calibri"/>
                <w:sz w:val="20"/>
                <w:szCs w:val="20"/>
              </w:rPr>
            </w:pPr>
            <w:r w:rsidRPr="00756DE6">
              <w:rPr>
                <w:rFonts w:ascii="Calibri" w:hAnsi="Calibri"/>
                <w:sz w:val="20"/>
                <w:szCs w:val="20"/>
              </w:rPr>
              <w:t>from 1 July 2011</w:t>
            </w:r>
          </w:p>
        </w:tc>
        <w:tc>
          <w:tcPr>
            <w:tcW w:w="992" w:type="dxa"/>
          </w:tcPr>
          <w:p w:rsidR="00756DE6" w:rsidRPr="00756DE6" w:rsidRDefault="00756DE6" w:rsidP="00A45AB1">
            <w:pPr>
              <w:rPr>
                <w:rFonts w:ascii="Calibri" w:hAnsi="Calibri"/>
                <w:sz w:val="20"/>
                <w:szCs w:val="20"/>
              </w:rPr>
            </w:pPr>
          </w:p>
        </w:tc>
        <w:tc>
          <w:tcPr>
            <w:tcW w:w="1020" w:type="dxa"/>
            <w:shd w:val="clear" w:color="auto" w:fill="auto"/>
            <w:hideMark/>
          </w:tcPr>
          <w:p w:rsidR="00756DE6" w:rsidRPr="00756DE6" w:rsidRDefault="00756DE6" w:rsidP="00A45AB1">
            <w:pPr>
              <w:jc w:val="right"/>
              <w:rPr>
                <w:rFonts w:ascii="Calibri" w:hAnsi="Calibri"/>
                <w:sz w:val="20"/>
                <w:szCs w:val="20"/>
              </w:rPr>
            </w:pPr>
            <w:r w:rsidRPr="00756DE6">
              <w:rPr>
                <w:rFonts w:ascii="Calibri" w:hAnsi="Calibri"/>
                <w:sz w:val="20"/>
                <w:szCs w:val="20"/>
              </w:rPr>
              <w:t>656</w:t>
            </w:r>
          </w:p>
        </w:tc>
        <w:tc>
          <w:tcPr>
            <w:tcW w:w="1021" w:type="dxa"/>
            <w:shd w:val="clear" w:color="auto" w:fill="auto"/>
            <w:hideMark/>
          </w:tcPr>
          <w:p w:rsidR="00756DE6" w:rsidRPr="00756DE6" w:rsidRDefault="00756DE6" w:rsidP="00A45AB1">
            <w:pPr>
              <w:jc w:val="right"/>
              <w:rPr>
                <w:rFonts w:ascii="Calibri" w:hAnsi="Calibri"/>
                <w:sz w:val="20"/>
                <w:szCs w:val="20"/>
              </w:rPr>
            </w:pPr>
            <w:r w:rsidRPr="00756DE6">
              <w:rPr>
                <w:rFonts w:ascii="Calibri" w:hAnsi="Calibri"/>
                <w:sz w:val="20"/>
                <w:szCs w:val="20"/>
              </w:rPr>
              <w:t>480</w:t>
            </w:r>
          </w:p>
        </w:tc>
        <w:tc>
          <w:tcPr>
            <w:tcW w:w="1020" w:type="dxa"/>
            <w:shd w:val="clear" w:color="auto" w:fill="auto"/>
            <w:hideMark/>
          </w:tcPr>
          <w:p w:rsidR="00756DE6" w:rsidRPr="00756DE6" w:rsidRDefault="00756DE6" w:rsidP="00A45AB1">
            <w:pPr>
              <w:jc w:val="right"/>
              <w:rPr>
                <w:rFonts w:ascii="Calibri" w:hAnsi="Calibri"/>
                <w:sz w:val="20"/>
                <w:szCs w:val="20"/>
              </w:rPr>
            </w:pPr>
            <w:r w:rsidRPr="00756DE6">
              <w:rPr>
                <w:rFonts w:ascii="Calibri" w:hAnsi="Calibri"/>
                <w:sz w:val="20"/>
                <w:szCs w:val="20"/>
              </w:rPr>
              <w:t>326</w:t>
            </w:r>
          </w:p>
        </w:tc>
        <w:tc>
          <w:tcPr>
            <w:tcW w:w="1021" w:type="dxa"/>
            <w:shd w:val="clear" w:color="auto" w:fill="auto"/>
            <w:hideMark/>
          </w:tcPr>
          <w:p w:rsidR="00756DE6" w:rsidRPr="00756DE6" w:rsidRDefault="00756DE6" w:rsidP="00A45AB1">
            <w:pPr>
              <w:jc w:val="right"/>
              <w:rPr>
                <w:rFonts w:ascii="Calibri" w:hAnsi="Calibri"/>
                <w:sz w:val="20"/>
                <w:szCs w:val="20"/>
              </w:rPr>
            </w:pPr>
            <w:r w:rsidRPr="00756DE6">
              <w:rPr>
                <w:rFonts w:ascii="Calibri" w:hAnsi="Calibri"/>
                <w:sz w:val="20"/>
                <w:szCs w:val="20"/>
              </w:rPr>
              <w:t>309</w:t>
            </w:r>
          </w:p>
        </w:tc>
        <w:tc>
          <w:tcPr>
            <w:tcW w:w="1021" w:type="dxa"/>
            <w:shd w:val="clear" w:color="auto" w:fill="auto"/>
            <w:hideMark/>
          </w:tcPr>
          <w:p w:rsidR="00756DE6" w:rsidRPr="00756DE6" w:rsidRDefault="00756DE6" w:rsidP="00A45AB1">
            <w:pPr>
              <w:jc w:val="right"/>
              <w:rPr>
                <w:rFonts w:ascii="Calibri" w:hAnsi="Calibri"/>
                <w:sz w:val="20"/>
                <w:szCs w:val="20"/>
              </w:rPr>
            </w:pPr>
            <w:r w:rsidRPr="00756DE6">
              <w:rPr>
                <w:rFonts w:ascii="Calibri" w:hAnsi="Calibri"/>
                <w:sz w:val="20"/>
                <w:szCs w:val="20"/>
              </w:rPr>
              <w:t>605</w:t>
            </w:r>
          </w:p>
        </w:tc>
      </w:tr>
      <w:tr w:rsidR="00756DE6" w:rsidRPr="00753FF3" w:rsidTr="00A45AB1">
        <w:trPr>
          <w:trHeight w:val="255"/>
        </w:trPr>
        <w:tc>
          <w:tcPr>
            <w:tcW w:w="2998" w:type="dxa"/>
            <w:shd w:val="clear" w:color="auto" w:fill="auto"/>
            <w:vAlign w:val="bottom"/>
            <w:hideMark/>
          </w:tcPr>
          <w:p w:rsidR="00756DE6" w:rsidRPr="00756DE6" w:rsidRDefault="00756DE6" w:rsidP="00A45AB1">
            <w:pPr>
              <w:rPr>
                <w:rFonts w:ascii="Calibri" w:hAnsi="Calibri"/>
                <w:sz w:val="20"/>
                <w:szCs w:val="20"/>
              </w:rPr>
            </w:pPr>
            <w:r w:rsidRPr="00756DE6">
              <w:rPr>
                <w:rFonts w:ascii="Calibri" w:hAnsi="Calibri"/>
                <w:sz w:val="20"/>
                <w:szCs w:val="20"/>
              </w:rPr>
              <w:t>Pay Increase 2008-2011</w:t>
            </w:r>
          </w:p>
        </w:tc>
        <w:tc>
          <w:tcPr>
            <w:tcW w:w="992" w:type="dxa"/>
          </w:tcPr>
          <w:p w:rsidR="00756DE6" w:rsidRPr="00756DE6" w:rsidRDefault="00756DE6" w:rsidP="00A45AB1">
            <w:pPr>
              <w:jc w:val="right"/>
              <w:rPr>
                <w:rFonts w:ascii="Calibri" w:hAnsi="Calibri"/>
                <w:sz w:val="20"/>
                <w:szCs w:val="20"/>
              </w:rPr>
            </w:pPr>
            <w:r w:rsidRPr="00756DE6">
              <w:rPr>
                <w:rFonts w:ascii="Calibri" w:hAnsi="Calibri"/>
                <w:sz w:val="20"/>
                <w:szCs w:val="20"/>
              </w:rPr>
              <w:t>+122%</w:t>
            </w:r>
          </w:p>
        </w:tc>
        <w:tc>
          <w:tcPr>
            <w:tcW w:w="1020" w:type="dxa"/>
            <w:shd w:val="clear" w:color="auto" w:fill="auto"/>
            <w:noWrap/>
            <w:vAlign w:val="bottom"/>
            <w:hideMark/>
          </w:tcPr>
          <w:p w:rsidR="00756DE6" w:rsidRPr="00756DE6" w:rsidRDefault="00756DE6" w:rsidP="00A45AB1">
            <w:pPr>
              <w:rPr>
                <w:rFonts w:ascii="Calibri" w:hAnsi="Calibri"/>
                <w:sz w:val="20"/>
                <w:szCs w:val="20"/>
              </w:rPr>
            </w:pPr>
          </w:p>
        </w:tc>
        <w:tc>
          <w:tcPr>
            <w:tcW w:w="1021" w:type="dxa"/>
            <w:shd w:val="clear" w:color="auto" w:fill="auto"/>
            <w:noWrap/>
            <w:vAlign w:val="bottom"/>
            <w:hideMark/>
          </w:tcPr>
          <w:p w:rsidR="00756DE6" w:rsidRPr="00756DE6" w:rsidRDefault="00756DE6" w:rsidP="00A45AB1">
            <w:pPr>
              <w:rPr>
                <w:rFonts w:ascii="Calibri" w:hAnsi="Calibri"/>
                <w:sz w:val="20"/>
                <w:szCs w:val="20"/>
              </w:rPr>
            </w:pPr>
          </w:p>
        </w:tc>
        <w:tc>
          <w:tcPr>
            <w:tcW w:w="1020" w:type="dxa"/>
            <w:shd w:val="clear" w:color="auto" w:fill="auto"/>
            <w:noWrap/>
            <w:vAlign w:val="bottom"/>
            <w:hideMark/>
          </w:tcPr>
          <w:p w:rsidR="00756DE6" w:rsidRPr="00756DE6" w:rsidRDefault="00756DE6" w:rsidP="00A45AB1">
            <w:pPr>
              <w:rPr>
                <w:rFonts w:ascii="Calibri" w:hAnsi="Calibri"/>
                <w:sz w:val="20"/>
                <w:szCs w:val="20"/>
              </w:rPr>
            </w:pPr>
          </w:p>
        </w:tc>
        <w:tc>
          <w:tcPr>
            <w:tcW w:w="1021" w:type="dxa"/>
            <w:shd w:val="clear" w:color="auto" w:fill="auto"/>
            <w:noWrap/>
            <w:vAlign w:val="bottom"/>
            <w:hideMark/>
          </w:tcPr>
          <w:p w:rsidR="00756DE6" w:rsidRPr="00756DE6" w:rsidRDefault="00756DE6" w:rsidP="00A45AB1">
            <w:pPr>
              <w:rPr>
                <w:rFonts w:ascii="Calibri" w:hAnsi="Calibri"/>
                <w:sz w:val="20"/>
                <w:szCs w:val="20"/>
              </w:rPr>
            </w:pPr>
          </w:p>
        </w:tc>
        <w:tc>
          <w:tcPr>
            <w:tcW w:w="1021" w:type="dxa"/>
            <w:shd w:val="clear" w:color="auto" w:fill="auto"/>
            <w:noWrap/>
            <w:vAlign w:val="bottom"/>
            <w:hideMark/>
          </w:tcPr>
          <w:p w:rsidR="00756DE6" w:rsidRPr="00756DE6" w:rsidRDefault="00756DE6" w:rsidP="00A45AB1">
            <w:pPr>
              <w:rPr>
                <w:rFonts w:ascii="Calibri" w:hAnsi="Calibri"/>
                <w:sz w:val="20"/>
                <w:szCs w:val="20"/>
              </w:rPr>
            </w:pPr>
          </w:p>
        </w:tc>
      </w:tr>
      <w:tr w:rsidR="00756DE6" w:rsidRPr="00753FF3" w:rsidTr="00A45AB1">
        <w:trPr>
          <w:trHeight w:val="255"/>
        </w:trPr>
        <w:tc>
          <w:tcPr>
            <w:tcW w:w="2998" w:type="dxa"/>
            <w:shd w:val="clear" w:color="auto" w:fill="auto"/>
            <w:hideMark/>
          </w:tcPr>
          <w:p w:rsidR="00756DE6" w:rsidRPr="00756DE6" w:rsidRDefault="00756DE6" w:rsidP="00A45AB1">
            <w:pPr>
              <w:rPr>
                <w:rFonts w:ascii="Calibri" w:hAnsi="Calibri"/>
                <w:sz w:val="20"/>
                <w:szCs w:val="20"/>
              </w:rPr>
            </w:pPr>
            <w:r w:rsidRPr="00756DE6">
              <w:rPr>
                <w:rFonts w:ascii="Calibri" w:hAnsi="Calibri"/>
                <w:sz w:val="20"/>
                <w:szCs w:val="20"/>
              </w:rPr>
              <w:t>Inflation 2008-2011</w:t>
            </w:r>
          </w:p>
        </w:tc>
        <w:tc>
          <w:tcPr>
            <w:tcW w:w="992" w:type="dxa"/>
          </w:tcPr>
          <w:p w:rsidR="00756DE6" w:rsidRPr="00756DE6" w:rsidRDefault="00756DE6" w:rsidP="00A45AB1">
            <w:pPr>
              <w:jc w:val="right"/>
              <w:rPr>
                <w:rFonts w:ascii="Calibri" w:hAnsi="Calibri"/>
                <w:sz w:val="20"/>
                <w:szCs w:val="20"/>
              </w:rPr>
            </w:pPr>
            <w:r w:rsidRPr="00756DE6">
              <w:rPr>
                <w:rFonts w:ascii="Calibri" w:hAnsi="Calibri"/>
                <w:sz w:val="20"/>
                <w:szCs w:val="20"/>
              </w:rPr>
              <w:t>+26%</w:t>
            </w:r>
          </w:p>
        </w:tc>
        <w:tc>
          <w:tcPr>
            <w:tcW w:w="1020" w:type="dxa"/>
            <w:shd w:val="clear" w:color="auto" w:fill="auto"/>
            <w:noWrap/>
            <w:vAlign w:val="bottom"/>
            <w:hideMark/>
          </w:tcPr>
          <w:p w:rsidR="00756DE6" w:rsidRPr="00756DE6" w:rsidRDefault="00756DE6" w:rsidP="00A45AB1">
            <w:pPr>
              <w:rPr>
                <w:rFonts w:ascii="Calibri" w:hAnsi="Calibri"/>
                <w:sz w:val="20"/>
                <w:szCs w:val="20"/>
              </w:rPr>
            </w:pPr>
          </w:p>
        </w:tc>
        <w:tc>
          <w:tcPr>
            <w:tcW w:w="1021" w:type="dxa"/>
            <w:shd w:val="clear" w:color="auto" w:fill="auto"/>
            <w:noWrap/>
            <w:vAlign w:val="bottom"/>
            <w:hideMark/>
          </w:tcPr>
          <w:p w:rsidR="00756DE6" w:rsidRPr="00756DE6" w:rsidRDefault="00756DE6" w:rsidP="00A45AB1">
            <w:pPr>
              <w:rPr>
                <w:rFonts w:ascii="Calibri" w:hAnsi="Calibri"/>
                <w:sz w:val="20"/>
                <w:szCs w:val="20"/>
              </w:rPr>
            </w:pPr>
          </w:p>
        </w:tc>
        <w:tc>
          <w:tcPr>
            <w:tcW w:w="1020" w:type="dxa"/>
            <w:shd w:val="clear" w:color="auto" w:fill="auto"/>
            <w:noWrap/>
            <w:vAlign w:val="bottom"/>
            <w:hideMark/>
          </w:tcPr>
          <w:p w:rsidR="00756DE6" w:rsidRPr="00756DE6" w:rsidRDefault="00756DE6" w:rsidP="00A45AB1">
            <w:pPr>
              <w:rPr>
                <w:rFonts w:ascii="Calibri" w:hAnsi="Calibri"/>
                <w:sz w:val="20"/>
                <w:szCs w:val="20"/>
              </w:rPr>
            </w:pPr>
          </w:p>
        </w:tc>
        <w:tc>
          <w:tcPr>
            <w:tcW w:w="1021" w:type="dxa"/>
            <w:shd w:val="clear" w:color="auto" w:fill="auto"/>
            <w:noWrap/>
            <w:vAlign w:val="bottom"/>
            <w:hideMark/>
          </w:tcPr>
          <w:p w:rsidR="00756DE6" w:rsidRPr="00756DE6" w:rsidRDefault="00756DE6" w:rsidP="00A45AB1">
            <w:pPr>
              <w:rPr>
                <w:rFonts w:ascii="Calibri" w:hAnsi="Calibri"/>
                <w:sz w:val="20"/>
                <w:szCs w:val="20"/>
              </w:rPr>
            </w:pPr>
          </w:p>
        </w:tc>
        <w:tc>
          <w:tcPr>
            <w:tcW w:w="1021" w:type="dxa"/>
            <w:shd w:val="clear" w:color="auto" w:fill="auto"/>
            <w:noWrap/>
            <w:vAlign w:val="bottom"/>
            <w:hideMark/>
          </w:tcPr>
          <w:p w:rsidR="00756DE6" w:rsidRPr="00756DE6" w:rsidRDefault="00756DE6" w:rsidP="00A45AB1">
            <w:pPr>
              <w:rPr>
                <w:rFonts w:ascii="Calibri" w:hAnsi="Calibri"/>
                <w:sz w:val="20"/>
                <w:szCs w:val="20"/>
              </w:rPr>
            </w:pPr>
          </w:p>
        </w:tc>
      </w:tr>
      <w:tr w:rsidR="00756DE6" w:rsidRPr="00753FF3" w:rsidTr="00A45AB1">
        <w:trPr>
          <w:trHeight w:val="255"/>
        </w:trPr>
        <w:tc>
          <w:tcPr>
            <w:tcW w:w="2998" w:type="dxa"/>
            <w:shd w:val="clear" w:color="auto" w:fill="auto"/>
            <w:vAlign w:val="bottom"/>
            <w:hideMark/>
          </w:tcPr>
          <w:p w:rsidR="00756DE6" w:rsidRPr="00756DE6" w:rsidRDefault="00756DE6" w:rsidP="00A45AB1">
            <w:pPr>
              <w:rPr>
                <w:rFonts w:ascii="Calibri" w:hAnsi="Calibri"/>
                <w:sz w:val="20"/>
                <w:szCs w:val="20"/>
              </w:rPr>
            </w:pPr>
            <w:r w:rsidRPr="00756DE6">
              <w:rPr>
                <w:rFonts w:ascii="Calibri" w:hAnsi="Calibri"/>
                <w:sz w:val="20"/>
                <w:szCs w:val="20"/>
              </w:rPr>
              <w:t>Real pay increase 2008-2011</w:t>
            </w:r>
          </w:p>
        </w:tc>
        <w:tc>
          <w:tcPr>
            <w:tcW w:w="992" w:type="dxa"/>
          </w:tcPr>
          <w:p w:rsidR="00756DE6" w:rsidRPr="00756DE6" w:rsidRDefault="00756DE6" w:rsidP="00A45AB1">
            <w:pPr>
              <w:jc w:val="right"/>
              <w:rPr>
                <w:rFonts w:ascii="Calibri" w:hAnsi="Calibri"/>
                <w:sz w:val="20"/>
                <w:szCs w:val="20"/>
              </w:rPr>
            </w:pPr>
            <w:r w:rsidRPr="00756DE6">
              <w:rPr>
                <w:rFonts w:ascii="Calibri" w:hAnsi="Calibri"/>
                <w:sz w:val="20"/>
                <w:szCs w:val="20"/>
              </w:rPr>
              <w:t>+77%</w:t>
            </w:r>
          </w:p>
        </w:tc>
        <w:tc>
          <w:tcPr>
            <w:tcW w:w="1020" w:type="dxa"/>
            <w:shd w:val="clear" w:color="auto" w:fill="auto"/>
            <w:noWrap/>
            <w:vAlign w:val="bottom"/>
            <w:hideMark/>
          </w:tcPr>
          <w:p w:rsidR="00756DE6" w:rsidRPr="00756DE6" w:rsidRDefault="00756DE6" w:rsidP="00A45AB1">
            <w:pPr>
              <w:rPr>
                <w:rFonts w:ascii="Calibri" w:hAnsi="Calibri"/>
                <w:sz w:val="20"/>
                <w:szCs w:val="20"/>
              </w:rPr>
            </w:pPr>
          </w:p>
        </w:tc>
        <w:tc>
          <w:tcPr>
            <w:tcW w:w="1021" w:type="dxa"/>
            <w:shd w:val="clear" w:color="auto" w:fill="auto"/>
            <w:noWrap/>
            <w:vAlign w:val="bottom"/>
            <w:hideMark/>
          </w:tcPr>
          <w:p w:rsidR="00756DE6" w:rsidRPr="00756DE6" w:rsidRDefault="00756DE6" w:rsidP="00A45AB1">
            <w:pPr>
              <w:rPr>
                <w:rFonts w:ascii="Calibri" w:hAnsi="Calibri"/>
                <w:sz w:val="20"/>
                <w:szCs w:val="20"/>
              </w:rPr>
            </w:pPr>
          </w:p>
        </w:tc>
        <w:tc>
          <w:tcPr>
            <w:tcW w:w="1020" w:type="dxa"/>
            <w:shd w:val="clear" w:color="auto" w:fill="auto"/>
            <w:noWrap/>
            <w:vAlign w:val="bottom"/>
            <w:hideMark/>
          </w:tcPr>
          <w:p w:rsidR="00756DE6" w:rsidRPr="00756DE6" w:rsidRDefault="00756DE6" w:rsidP="00A45AB1">
            <w:pPr>
              <w:rPr>
                <w:rFonts w:ascii="Calibri" w:hAnsi="Calibri"/>
                <w:sz w:val="20"/>
                <w:szCs w:val="20"/>
              </w:rPr>
            </w:pPr>
          </w:p>
        </w:tc>
        <w:tc>
          <w:tcPr>
            <w:tcW w:w="1021" w:type="dxa"/>
            <w:shd w:val="clear" w:color="auto" w:fill="auto"/>
            <w:noWrap/>
            <w:vAlign w:val="bottom"/>
            <w:hideMark/>
          </w:tcPr>
          <w:p w:rsidR="00756DE6" w:rsidRPr="00756DE6" w:rsidRDefault="00756DE6" w:rsidP="00A45AB1">
            <w:pPr>
              <w:rPr>
                <w:rFonts w:ascii="Calibri" w:hAnsi="Calibri"/>
                <w:sz w:val="20"/>
                <w:szCs w:val="20"/>
              </w:rPr>
            </w:pPr>
          </w:p>
        </w:tc>
        <w:tc>
          <w:tcPr>
            <w:tcW w:w="1021" w:type="dxa"/>
            <w:shd w:val="clear" w:color="auto" w:fill="auto"/>
            <w:noWrap/>
            <w:vAlign w:val="bottom"/>
            <w:hideMark/>
          </w:tcPr>
          <w:p w:rsidR="00756DE6" w:rsidRPr="00756DE6" w:rsidRDefault="00756DE6" w:rsidP="00A45AB1">
            <w:pPr>
              <w:rPr>
                <w:rFonts w:ascii="Calibri" w:hAnsi="Calibri"/>
                <w:sz w:val="20"/>
                <w:szCs w:val="20"/>
              </w:rPr>
            </w:pPr>
          </w:p>
        </w:tc>
      </w:tr>
      <w:tr w:rsidR="00756DE6" w:rsidRPr="00753FF3" w:rsidTr="00A45AB1">
        <w:trPr>
          <w:trHeight w:val="240"/>
        </w:trPr>
        <w:tc>
          <w:tcPr>
            <w:tcW w:w="2998" w:type="dxa"/>
            <w:shd w:val="clear" w:color="auto" w:fill="auto"/>
            <w:vAlign w:val="bottom"/>
            <w:hideMark/>
          </w:tcPr>
          <w:p w:rsidR="00756DE6" w:rsidRPr="00756DE6" w:rsidRDefault="00756DE6" w:rsidP="00A45AB1">
            <w:pPr>
              <w:rPr>
                <w:rFonts w:ascii="Calibri" w:hAnsi="Calibri"/>
                <w:sz w:val="20"/>
                <w:szCs w:val="20"/>
              </w:rPr>
            </w:pPr>
            <w:r w:rsidRPr="00756DE6">
              <w:rPr>
                <w:rFonts w:ascii="Calibri" w:hAnsi="Calibri"/>
                <w:sz w:val="20"/>
                <w:szCs w:val="20"/>
              </w:rPr>
              <w:t>Real GDP increase 2008-2011</w:t>
            </w:r>
          </w:p>
        </w:tc>
        <w:tc>
          <w:tcPr>
            <w:tcW w:w="992" w:type="dxa"/>
          </w:tcPr>
          <w:p w:rsidR="00756DE6" w:rsidRPr="00756DE6" w:rsidRDefault="00756DE6" w:rsidP="00A45AB1">
            <w:pPr>
              <w:jc w:val="right"/>
              <w:rPr>
                <w:rFonts w:ascii="Calibri" w:hAnsi="Calibri"/>
                <w:sz w:val="20"/>
                <w:szCs w:val="20"/>
              </w:rPr>
            </w:pPr>
            <w:r w:rsidRPr="00756DE6">
              <w:rPr>
                <w:rFonts w:ascii="Calibri" w:hAnsi="Calibri"/>
                <w:sz w:val="20"/>
                <w:szCs w:val="20"/>
              </w:rPr>
              <w:t>+15%</w:t>
            </w:r>
          </w:p>
        </w:tc>
        <w:tc>
          <w:tcPr>
            <w:tcW w:w="1020" w:type="dxa"/>
            <w:shd w:val="clear" w:color="auto" w:fill="auto"/>
            <w:noWrap/>
            <w:vAlign w:val="bottom"/>
            <w:hideMark/>
          </w:tcPr>
          <w:p w:rsidR="00756DE6" w:rsidRPr="00756DE6" w:rsidRDefault="00756DE6" w:rsidP="00A45AB1">
            <w:pPr>
              <w:rPr>
                <w:rFonts w:ascii="Calibri" w:hAnsi="Calibri"/>
                <w:sz w:val="20"/>
                <w:szCs w:val="20"/>
              </w:rPr>
            </w:pPr>
          </w:p>
        </w:tc>
        <w:tc>
          <w:tcPr>
            <w:tcW w:w="1021" w:type="dxa"/>
            <w:shd w:val="clear" w:color="auto" w:fill="auto"/>
            <w:noWrap/>
            <w:vAlign w:val="bottom"/>
            <w:hideMark/>
          </w:tcPr>
          <w:p w:rsidR="00756DE6" w:rsidRPr="00756DE6" w:rsidRDefault="00756DE6" w:rsidP="00A45AB1">
            <w:pPr>
              <w:rPr>
                <w:rFonts w:ascii="Calibri" w:hAnsi="Calibri"/>
                <w:sz w:val="20"/>
                <w:szCs w:val="20"/>
              </w:rPr>
            </w:pPr>
          </w:p>
        </w:tc>
        <w:tc>
          <w:tcPr>
            <w:tcW w:w="1020" w:type="dxa"/>
            <w:shd w:val="clear" w:color="auto" w:fill="auto"/>
            <w:noWrap/>
            <w:vAlign w:val="bottom"/>
            <w:hideMark/>
          </w:tcPr>
          <w:p w:rsidR="00756DE6" w:rsidRPr="00756DE6" w:rsidRDefault="00756DE6" w:rsidP="00A45AB1">
            <w:pPr>
              <w:rPr>
                <w:rFonts w:ascii="Calibri" w:hAnsi="Calibri"/>
                <w:sz w:val="20"/>
                <w:szCs w:val="20"/>
              </w:rPr>
            </w:pPr>
          </w:p>
        </w:tc>
        <w:tc>
          <w:tcPr>
            <w:tcW w:w="1021" w:type="dxa"/>
            <w:shd w:val="clear" w:color="auto" w:fill="auto"/>
            <w:noWrap/>
            <w:vAlign w:val="bottom"/>
            <w:hideMark/>
          </w:tcPr>
          <w:p w:rsidR="00756DE6" w:rsidRPr="00756DE6" w:rsidRDefault="00756DE6" w:rsidP="00A45AB1">
            <w:pPr>
              <w:rPr>
                <w:rFonts w:ascii="Calibri" w:hAnsi="Calibri"/>
                <w:sz w:val="20"/>
                <w:szCs w:val="20"/>
              </w:rPr>
            </w:pPr>
          </w:p>
        </w:tc>
        <w:tc>
          <w:tcPr>
            <w:tcW w:w="1021" w:type="dxa"/>
            <w:shd w:val="clear" w:color="auto" w:fill="auto"/>
            <w:noWrap/>
            <w:vAlign w:val="bottom"/>
            <w:hideMark/>
          </w:tcPr>
          <w:p w:rsidR="00756DE6" w:rsidRPr="00756DE6" w:rsidRDefault="00756DE6" w:rsidP="00A45AB1">
            <w:pPr>
              <w:rPr>
                <w:rFonts w:ascii="Calibri" w:hAnsi="Calibri"/>
                <w:sz w:val="20"/>
                <w:szCs w:val="20"/>
              </w:rPr>
            </w:pPr>
          </w:p>
        </w:tc>
      </w:tr>
    </w:tbl>
    <w:p w:rsidR="00756DE6" w:rsidRPr="00756DE6" w:rsidRDefault="00756DE6" w:rsidP="00756DE6">
      <w:pPr>
        <w:rPr>
          <w:rFonts w:ascii="Calibri" w:hAnsi="Calibri"/>
          <w:sz w:val="20"/>
          <w:szCs w:val="20"/>
        </w:rPr>
      </w:pPr>
      <w:r w:rsidRPr="00756DE6">
        <w:rPr>
          <w:rFonts w:ascii="Calibri" w:hAnsi="Calibri"/>
          <w:sz w:val="20"/>
          <w:szCs w:val="20"/>
        </w:rPr>
        <w:t>Source: EPSU sub-regional report, IMF World Economic Outlook, PSIRU calculations</w:t>
      </w:r>
    </w:p>
    <w:p w:rsidR="00756DE6" w:rsidRPr="00756DE6" w:rsidRDefault="00756DE6" w:rsidP="00756DE6">
      <w:pPr>
        <w:rPr>
          <w:rFonts w:ascii="Calibri" w:hAnsi="Calibri"/>
          <w:sz w:val="20"/>
          <w:szCs w:val="20"/>
        </w:rPr>
      </w:pPr>
    </w:p>
    <w:p w:rsidR="00756DE6" w:rsidRPr="00F510FB" w:rsidRDefault="00BA7388" w:rsidP="00756DE6">
      <w:pPr>
        <w:pStyle w:val="ListParagraph"/>
        <w:numPr>
          <w:ilvl w:val="0"/>
          <w:numId w:val="24"/>
        </w:numPr>
        <w:suppressAutoHyphens w:val="0"/>
        <w:contextualSpacing/>
        <w:rPr>
          <w:szCs w:val="22"/>
        </w:rPr>
      </w:pPr>
      <w:hyperlink r:id="rId42" w:history="1">
        <w:r w:rsidR="00756DE6" w:rsidRPr="00F510FB">
          <w:rPr>
            <w:rStyle w:val="Hyperlink"/>
            <w:szCs w:val="22"/>
          </w:rPr>
          <w:t xml:space="preserve">Interview (part 1) with </w:t>
        </w:r>
        <w:proofErr w:type="spellStart"/>
        <w:r w:rsidR="00756DE6" w:rsidRPr="00F510FB">
          <w:rPr>
            <w:rStyle w:val="Hyperlink"/>
            <w:szCs w:val="22"/>
          </w:rPr>
          <w:t>Mereke</w:t>
        </w:r>
        <w:proofErr w:type="spellEnd"/>
        <w:r w:rsidR="00756DE6" w:rsidRPr="00F510FB">
          <w:rPr>
            <w:rStyle w:val="Hyperlink"/>
            <w:szCs w:val="22"/>
          </w:rPr>
          <w:t xml:space="preserve"> </w:t>
        </w:r>
        <w:proofErr w:type="spellStart"/>
        <w:r w:rsidR="00756DE6" w:rsidRPr="00F510FB">
          <w:rPr>
            <w:rStyle w:val="Hyperlink"/>
            <w:szCs w:val="22"/>
          </w:rPr>
          <w:t>Butina</w:t>
        </w:r>
        <w:proofErr w:type="spellEnd"/>
        <w:r w:rsidR="00756DE6" w:rsidRPr="00F510FB">
          <w:rPr>
            <w:rStyle w:val="Hyperlink"/>
            <w:szCs w:val="22"/>
          </w:rPr>
          <w:t>, President, Trade Union of Health Workers of Kazakhstan</w:t>
        </w:r>
      </w:hyperlink>
      <w:r w:rsidR="00756DE6">
        <w:rPr>
          <w:szCs w:val="22"/>
        </w:rPr>
        <w:t xml:space="preserve"> </w:t>
      </w:r>
      <w:r w:rsidR="00756DE6" w:rsidRPr="00F510FB">
        <w:rPr>
          <w:szCs w:val="22"/>
        </w:rPr>
        <w:t>31/05/2011</w:t>
      </w:r>
    </w:p>
    <w:p w:rsidR="00756DE6" w:rsidRPr="00F510FB" w:rsidRDefault="00BA7388" w:rsidP="00756DE6">
      <w:pPr>
        <w:pStyle w:val="ListParagraph"/>
        <w:numPr>
          <w:ilvl w:val="0"/>
          <w:numId w:val="24"/>
        </w:numPr>
        <w:suppressAutoHyphens w:val="0"/>
        <w:contextualSpacing/>
        <w:rPr>
          <w:szCs w:val="22"/>
        </w:rPr>
      </w:pPr>
      <w:hyperlink r:id="rId43" w:history="1">
        <w:r w:rsidR="00756DE6" w:rsidRPr="00F510FB">
          <w:rPr>
            <w:rStyle w:val="Hyperlink"/>
            <w:szCs w:val="22"/>
          </w:rPr>
          <w:t xml:space="preserve">Interview (part 2) with </w:t>
        </w:r>
        <w:proofErr w:type="spellStart"/>
        <w:r w:rsidR="00756DE6" w:rsidRPr="00F510FB">
          <w:rPr>
            <w:rStyle w:val="Hyperlink"/>
            <w:szCs w:val="22"/>
          </w:rPr>
          <w:t>Mereke</w:t>
        </w:r>
        <w:proofErr w:type="spellEnd"/>
        <w:r w:rsidR="00756DE6" w:rsidRPr="00F510FB">
          <w:rPr>
            <w:rStyle w:val="Hyperlink"/>
            <w:szCs w:val="22"/>
          </w:rPr>
          <w:t xml:space="preserve"> </w:t>
        </w:r>
        <w:proofErr w:type="spellStart"/>
        <w:r w:rsidR="00756DE6" w:rsidRPr="00F510FB">
          <w:rPr>
            <w:rStyle w:val="Hyperlink"/>
            <w:szCs w:val="22"/>
          </w:rPr>
          <w:t>Butina</w:t>
        </w:r>
        <w:proofErr w:type="spellEnd"/>
        <w:r w:rsidR="00756DE6" w:rsidRPr="00F510FB">
          <w:rPr>
            <w:rStyle w:val="Hyperlink"/>
            <w:szCs w:val="22"/>
          </w:rPr>
          <w:t>, President, Trade Union of Health Workers of Kazakhstan</w:t>
        </w:r>
      </w:hyperlink>
      <w:r w:rsidR="00756DE6" w:rsidRPr="00F510FB">
        <w:rPr>
          <w:szCs w:val="22"/>
        </w:rPr>
        <w:t xml:space="preserve"> 31/05/2011</w:t>
      </w:r>
    </w:p>
    <w:p w:rsidR="00756DE6" w:rsidRPr="00D077B1" w:rsidRDefault="00756DE6" w:rsidP="00756DE6">
      <w:pPr>
        <w:pStyle w:val="Heading3"/>
      </w:pPr>
      <w:bookmarkStart w:id="83" w:name="_Toc297975209"/>
      <w:r w:rsidRPr="00D077B1">
        <w:t>Tajikistan</w:t>
      </w:r>
      <w:bookmarkEnd w:id="83"/>
    </w:p>
    <w:p w:rsidR="00756DE6" w:rsidRDefault="00756DE6" w:rsidP="00756DE6">
      <w:r w:rsidRPr="00D077B1">
        <w:t xml:space="preserve">The health workers union in </w:t>
      </w:r>
      <w:proofErr w:type="spellStart"/>
      <w:r w:rsidRPr="00D077B1">
        <w:t>Takjikistan</w:t>
      </w:r>
      <w:proofErr w:type="spellEnd"/>
      <w:r w:rsidRPr="00D077B1">
        <w:t xml:space="preserve"> has made progress on a number of fronts – real pay increases of about 50% in just over two years, a better system of pay determination, better coverage for collective bargaining, and better holidays and shorter hours for some workers. </w:t>
      </w:r>
    </w:p>
    <w:p w:rsidR="00756DE6" w:rsidRPr="00D077B1" w:rsidRDefault="00756DE6" w:rsidP="00756DE6"/>
    <w:p w:rsidR="00756DE6" w:rsidRDefault="00756DE6" w:rsidP="00756DE6">
      <w:r w:rsidRPr="00D077B1">
        <w:t xml:space="preserve">There is a </w:t>
      </w:r>
      <w:proofErr w:type="spellStart"/>
      <w:r w:rsidRPr="00D077B1">
        <w:t>sectoral</w:t>
      </w:r>
      <w:proofErr w:type="spellEnd"/>
      <w:r w:rsidRPr="00D077B1">
        <w:t xml:space="preserve"> agreement between the ministry of health and the THWTU, which is binding on all healthcare employers, supplemented by collective bargaining at the level of each healthcare establishment, hospital or clinic. The union has now signed agreements with 71% of these establishments, a small but significant rise since 2009, when there was 67% coverage.</w:t>
      </w:r>
    </w:p>
    <w:p w:rsidR="00756DE6" w:rsidRPr="00D077B1" w:rsidRDefault="00756DE6" w:rsidP="00756DE6"/>
    <w:p w:rsidR="00756DE6" w:rsidRDefault="00756DE6" w:rsidP="00756DE6">
      <w:r w:rsidRPr="00D077B1">
        <w:t>The pay of health workers had fallen so low that a number of skilled health workers were emigrating, and there was a shortage of over 10,000 workers in the healthcare system. In July 2009 a new system for determining the pay of health workers was introduced, based on a single salary scale. There was an immediate general pay increase of 33%, which brought sector pay to about 70% of the national average, and there will be a further increase of 30% in October 2011. These rises are equivalent to a real pay increase of about 34% over 3 years, a growth rate nearly twice as fast as the economy as a whole.</w:t>
      </w:r>
    </w:p>
    <w:p w:rsidR="00756DE6" w:rsidRPr="00D077B1" w:rsidRDefault="00756DE6" w:rsidP="00756DE6"/>
    <w:p w:rsidR="00756DE6" w:rsidRDefault="00756DE6" w:rsidP="00756DE6">
      <w:r w:rsidRPr="00D077B1">
        <w:t xml:space="preserve">The union has also succeeded in eliminating the problem of late payment of wages: as of January 2011, there were no pay arrears. Finally, the union has won an increase in holidays and reduction in working hours for workers in a number of health occupations. </w:t>
      </w:r>
    </w:p>
    <w:p w:rsidR="00756DE6" w:rsidRPr="00D077B1" w:rsidRDefault="00756DE6" w:rsidP="00756DE6">
      <w:r w:rsidRPr="00D077B1">
        <w:t xml:space="preserve">   </w:t>
      </w:r>
    </w:p>
    <w:p w:rsidR="00756DE6" w:rsidRPr="00D077B1" w:rsidRDefault="00756DE6" w:rsidP="00756DE6">
      <w:r w:rsidRPr="00D077B1">
        <w:t xml:space="preserve">This has been achieved despite government policy favouring private rather than public healthcare. Public spending on healthcare has only just reached 2% of GDP, for the first time since independence in 1993, which is still inadequate to meet the needs of a public health service. The government, with the active encouragement of international financial institutions including the World Bank, continues to restructure the system along the failed USA model of private insurance and private provision. The constitution, which originally guaranteed the right of citizens to free publicly funded healthcare, has been amended to permit private healthcare as well. The stated objective is that the system should become ‘self-financing’, paid for entirely by private insurance or patient fees: but the system still depends on government spending for 40% of its income (as does the system in the USA itself).  It is </w:t>
      </w:r>
      <w:proofErr w:type="gramStart"/>
      <w:r w:rsidRPr="00D077B1">
        <w:t>the  government</w:t>
      </w:r>
      <w:proofErr w:type="gramEnd"/>
      <w:r w:rsidRPr="00D077B1">
        <w:t xml:space="preserve"> – not the private sector – which has made significant new investments in modern equipment.</w:t>
      </w:r>
    </w:p>
    <w:p w:rsidR="00756DE6" w:rsidRPr="00D077B1" w:rsidRDefault="00756DE6" w:rsidP="00756DE6">
      <w:pPr>
        <w:pStyle w:val="Heading7"/>
        <w:suppressAutoHyphens w:val="0"/>
      </w:pPr>
      <w:bookmarkStart w:id="84" w:name="_Toc297975210"/>
      <w:proofErr w:type="spellStart"/>
      <w:r w:rsidRPr="00D077B1">
        <w:t>Healthworkers</w:t>
      </w:r>
      <w:proofErr w:type="spellEnd"/>
      <w:r w:rsidRPr="00D077B1">
        <w:t xml:space="preserve"> pay</w:t>
      </w:r>
      <w:r>
        <w:t>, inflation and GDP in</w:t>
      </w:r>
      <w:r w:rsidRPr="00D077B1">
        <w:t xml:space="preserve"> Tajikistan (Index 2008=100)</w:t>
      </w:r>
      <w:bookmarkEnd w:id="84"/>
    </w:p>
    <w:tbl>
      <w:tblPr>
        <w:tblW w:w="554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1701"/>
        <w:gridCol w:w="974"/>
        <w:gridCol w:w="992"/>
        <w:gridCol w:w="993"/>
      </w:tblGrid>
      <w:tr w:rsidR="00756DE6" w:rsidRPr="00D077B1" w:rsidTr="00A45AB1">
        <w:trPr>
          <w:trHeight w:val="240"/>
        </w:trPr>
        <w:tc>
          <w:tcPr>
            <w:tcW w:w="1006" w:type="dxa"/>
            <w:shd w:val="clear" w:color="auto" w:fill="auto"/>
            <w:noWrap/>
            <w:vAlign w:val="bottom"/>
            <w:hideMark/>
          </w:tcPr>
          <w:p w:rsidR="00756DE6" w:rsidRPr="00D077B1" w:rsidRDefault="00756DE6" w:rsidP="00A45AB1"/>
        </w:tc>
        <w:tc>
          <w:tcPr>
            <w:tcW w:w="1701" w:type="dxa"/>
            <w:shd w:val="clear" w:color="auto" w:fill="auto"/>
            <w:noWrap/>
            <w:vAlign w:val="bottom"/>
            <w:hideMark/>
          </w:tcPr>
          <w:p w:rsidR="00756DE6" w:rsidRPr="00D077B1" w:rsidRDefault="00756DE6" w:rsidP="00A45AB1">
            <w:r w:rsidRPr="00D077B1">
              <w:t>Health workers pay</w:t>
            </w:r>
          </w:p>
        </w:tc>
        <w:tc>
          <w:tcPr>
            <w:tcW w:w="850" w:type="dxa"/>
            <w:shd w:val="clear" w:color="auto" w:fill="auto"/>
            <w:noWrap/>
            <w:vAlign w:val="bottom"/>
            <w:hideMark/>
          </w:tcPr>
          <w:p w:rsidR="00756DE6" w:rsidRPr="00D077B1" w:rsidRDefault="00756DE6" w:rsidP="00A45AB1">
            <w:r w:rsidRPr="00D077B1">
              <w:t>Inflation</w:t>
            </w:r>
          </w:p>
        </w:tc>
        <w:tc>
          <w:tcPr>
            <w:tcW w:w="992" w:type="dxa"/>
            <w:shd w:val="clear" w:color="auto" w:fill="auto"/>
            <w:noWrap/>
            <w:vAlign w:val="bottom"/>
            <w:hideMark/>
          </w:tcPr>
          <w:p w:rsidR="00756DE6" w:rsidRPr="00D077B1" w:rsidRDefault="00756DE6" w:rsidP="00A45AB1">
            <w:r w:rsidRPr="00D077B1">
              <w:t>Real pay</w:t>
            </w:r>
          </w:p>
        </w:tc>
        <w:tc>
          <w:tcPr>
            <w:tcW w:w="993" w:type="dxa"/>
            <w:shd w:val="clear" w:color="auto" w:fill="auto"/>
            <w:noWrap/>
            <w:vAlign w:val="bottom"/>
            <w:hideMark/>
          </w:tcPr>
          <w:p w:rsidR="00756DE6" w:rsidRPr="00D077B1" w:rsidRDefault="00756DE6" w:rsidP="00A45AB1">
            <w:r w:rsidRPr="00D077B1">
              <w:t>Real GDP</w:t>
            </w:r>
          </w:p>
        </w:tc>
      </w:tr>
      <w:tr w:rsidR="00756DE6" w:rsidRPr="00D077B1" w:rsidTr="00A45AB1">
        <w:trPr>
          <w:trHeight w:val="315"/>
        </w:trPr>
        <w:tc>
          <w:tcPr>
            <w:tcW w:w="1006" w:type="dxa"/>
            <w:shd w:val="clear" w:color="auto" w:fill="auto"/>
            <w:noWrap/>
            <w:vAlign w:val="bottom"/>
            <w:hideMark/>
          </w:tcPr>
          <w:p w:rsidR="00756DE6" w:rsidRPr="00D077B1" w:rsidRDefault="00756DE6" w:rsidP="00A45AB1">
            <w:r w:rsidRPr="00D077B1">
              <w:t>2008</w:t>
            </w:r>
          </w:p>
        </w:tc>
        <w:tc>
          <w:tcPr>
            <w:tcW w:w="1701" w:type="dxa"/>
            <w:shd w:val="clear" w:color="auto" w:fill="auto"/>
            <w:noWrap/>
            <w:vAlign w:val="bottom"/>
            <w:hideMark/>
          </w:tcPr>
          <w:p w:rsidR="00756DE6" w:rsidRPr="00D077B1" w:rsidRDefault="00756DE6" w:rsidP="00A45AB1">
            <w:r w:rsidRPr="00D077B1">
              <w:t>100</w:t>
            </w:r>
          </w:p>
        </w:tc>
        <w:tc>
          <w:tcPr>
            <w:tcW w:w="850" w:type="dxa"/>
            <w:shd w:val="clear" w:color="auto" w:fill="auto"/>
            <w:noWrap/>
            <w:vAlign w:val="bottom"/>
            <w:hideMark/>
          </w:tcPr>
          <w:p w:rsidR="00756DE6" w:rsidRPr="00D077B1" w:rsidRDefault="00756DE6" w:rsidP="00A45AB1">
            <w:r w:rsidRPr="00D077B1">
              <w:t>100</w:t>
            </w:r>
          </w:p>
        </w:tc>
        <w:tc>
          <w:tcPr>
            <w:tcW w:w="992" w:type="dxa"/>
            <w:shd w:val="clear" w:color="auto" w:fill="auto"/>
            <w:noWrap/>
            <w:vAlign w:val="bottom"/>
            <w:hideMark/>
          </w:tcPr>
          <w:p w:rsidR="00756DE6" w:rsidRPr="00D077B1" w:rsidRDefault="00756DE6" w:rsidP="00A45AB1">
            <w:r w:rsidRPr="00D077B1">
              <w:t>100</w:t>
            </w:r>
          </w:p>
        </w:tc>
        <w:tc>
          <w:tcPr>
            <w:tcW w:w="993" w:type="dxa"/>
            <w:shd w:val="clear" w:color="auto" w:fill="auto"/>
            <w:noWrap/>
            <w:vAlign w:val="bottom"/>
            <w:hideMark/>
          </w:tcPr>
          <w:p w:rsidR="00756DE6" w:rsidRPr="00D077B1" w:rsidRDefault="00756DE6" w:rsidP="00A45AB1">
            <w:r w:rsidRPr="00D077B1">
              <w:t>100</w:t>
            </w:r>
          </w:p>
        </w:tc>
      </w:tr>
      <w:tr w:rsidR="00756DE6" w:rsidRPr="00D077B1" w:rsidTr="00A45AB1">
        <w:trPr>
          <w:trHeight w:val="240"/>
        </w:trPr>
        <w:tc>
          <w:tcPr>
            <w:tcW w:w="1006" w:type="dxa"/>
            <w:shd w:val="clear" w:color="auto" w:fill="auto"/>
            <w:noWrap/>
            <w:vAlign w:val="bottom"/>
            <w:hideMark/>
          </w:tcPr>
          <w:p w:rsidR="00756DE6" w:rsidRPr="00D077B1" w:rsidRDefault="00756DE6" w:rsidP="00A45AB1">
            <w:r w:rsidRPr="00D077B1">
              <w:t>2009</w:t>
            </w:r>
          </w:p>
        </w:tc>
        <w:tc>
          <w:tcPr>
            <w:tcW w:w="1701" w:type="dxa"/>
            <w:shd w:val="clear" w:color="auto" w:fill="auto"/>
            <w:noWrap/>
            <w:vAlign w:val="bottom"/>
            <w:hideMark/>
          </w:tcPr>
          <w:p w:rsidR="00756DE6" w:rsidRPr="00D077B1" w:rsidRDefault="00756DE6" w:rsidP="00A45AB1">
            <w:r w:rsidRPr="00D077B1">
              <w:t>133</w:t>
            </w:r>
          </w:p>
        </w:tc>
        <w:tc>
          <w:tcPr>
            <w:tcW w:w="850" w:type="dxa"/>
            <w:shd w:val="clear" w:color="auto" w:fill="auto"/>
            <w:noWrap/>
            <w:vAlign w:val="bottom"/>
            <w:hideMark/>
          </w:tcPr>
          <w:p w:rsidR="00756DE6" w:rsidRPr="00D077B1" w:rsidRDefault="00756DE6" w:rsidP="00A45AB1">
            <w:r w:rsidRPr="00D077B1">
              <w:t>107</w:t>
            </w:r>
          </w:p>
        </w:tc>
        <w:tc>
          <w:tcPr>
            <w:tcW w:w="992" w:type="dxa"/>
            <w:shd w:val="clear" w:color="auto" w:fill="auto"/>
            <w:noWrap/>
            <w:vAlign w:val="bottom"/>
            <w:hideMark/>
          </w:tcPr>
          <w:p w:rsidR="00756DE6" w:rsidRPr="00D077B1" w:rsidRDefault="00756DE6" w:rsidP="00A45AB1">
            <w:r w:rsidRPr="00D077B1">
              <w:t>125</w:t>
            </w:r>
          </w:p>
        </w:tc>
        <w:tc>
          <w:tcPr>
            <w:tcW w:w="993" w:type="dxa"/>
            <w:shd w:val="clear" w:color="auto" w:fill="auto"/>
            <w:noWrap/>
            <w:vAlign w:val="bottom"/>
            <w:hideMark/>
          </w:tcPr>
          <w:p w:rsidR="00756DE6" w:rsidRPr="00D077B1" w:rsidRDefault="00756DE6" w:rsidP="00A45AB1">
            <w:r w:rsidRPr="00D077B1">
              <w:t>104</w:t>
            </w:r>
          </w:p>
        </w:tc>
      </w:tr>
      <w:tr w:rsidR="00756DE6" w:rsidRPr="00D077B1" w:rsidTr="00A45AB1">
        <w:trPr>
          <w:trHeight w:val="240"/>
        </w:trPr>
        <w:tc>
          <w:tcPr>
            <w:tcW w:w="1006" w:type="dxa"/>
            <w:shd w:val="clear" w:color="auto" w:fill="auto"/>
            <w:noWrap/>
            <w:vAlign w:val="bottom"/>
            <w:hideMark/>
          </w:tcPr>
          <w:p w:rsidR="00756DE6" w:rsidRPr="00D077B1" w:rsidRDefault="00756DE6" w:rsidP="00A45AB1">
            <w:r w:rsidRPr="00D077B1">
              <w:t>2010</w:t>
            </w:r>
          </w:p>
        </w:tc>
        <w:tc>
          <w:tcPr>
            <w:tcW w:w="1701" w:type="dxa"/>
            <w:shd w:val="clear" w:color="auto" w:fill="auto"/>
            <w:noWrap/>
            <w:vAlign w:val="bottom"/>
            <w:hideMark/>
          </w:tcPr>
          <w:p w:rsidR="00756DE6" w:rsidRPr="00D077B1" w:rsidRDefault="00756DE6" w:rsidP="00A45AB1">
            <w:r w:rsidRPr="00D077B1">
              <w:t>133</w:t>
            </w:r>
          </w:p>
        </w:tc>
        <w:tc>
          <w:tcPr>
            <w:tcW w:w="850" w:type="dxa"/>
            <w:shd w:val="clear" w:color="auto" w:fill="auto"/>
            <w:noWrap/>
            <w:vAlign w:val="bottom"/>
            <w:hideMark/>
          </w:tcPr>
          <w:p w:rsidR="00756DE6" w:rsidRPr="00D077B1" w:rsidRDefault="00756DE6" w:rsidP="00A45AB1">
            <w:r w:rsidRPr="00D077B1">
              <w:t>113</w:t>
            </w:r>
          </w:p>
        </w:tc>
        <w:tc>
          <w:tcPr>
            <w:tcW w:w="992" w:type="dxa"/>
            <w:shd w:val="clear" w:color="auto" w:fill="auto"/>
            <w:noWrap/>
            <w:vAlign w:val="bottom"/>
            <w:hideMark/>
          </w:tcPr>
          <w:p w:rsidR="00756DE6" w:rsidRPr="00D077B1" w:rsidRDefault="00756DE6" w:rsidP="00A45AB1">
            <w:r w:rsidRPr="00D077B1">
              <w:t>117</w:t>
            </w:r>
          </w:p>
        </w:tc>
        <w:tc>
          <w:tcPr>
            <w:tcW w:w="993" w:type="dxa"/>
            <w:shd w:val="clear" w:color="auto" w:fill="auto"/>
            <w:noWrap/>
            <w:vAlign w:val="bottom"/>
            <w:hideMark/>
          </w:tcPr>
          <w:p w:rsidR="00756DE6" w:rsidRPr="00D077B1" w:rsidRDefault="00756DE6" w:rsidP="00A45AB1">
            <w:r w:rsidRPr="00D077B1">
              <w:t>111</w:t>
            </w:r>
          </w:p>
        </w:tc>
      </w:tr>
      <w:tr w:rsidR="00756DE6" w:rsidRPr="00D077B1" w:rsidTr="00A45AB1">
        <w:trPr>
          <w:trHeight w:val="255"/>
        </w:trPr>
        <w:tc>
          <w:tcPr>
            <w:tcW w:w="1006" w:type="dxa"/>
            <w:shd w:val="clear" w:color="auto" w:fill="auto"/>
            <w:noWrap/>
            <w:vAlign w:val="bottom"/>
            <w:hideMark/>
          </w:tcPr>
          <w:p w:rsidR="00756DE6" w:rsidRPr="00D077B1" w:rsidRDefault="00756DE6" w:rsidP="00A45AB1">
            <w:r w:rsidRPr="00D077B1">
              <w:t>2011</w:t>
            </w:r>
          </w:p>
        </w:tc>
        <w:tc>
          <w:tcPr>
            <w:tcW w:w="1701" w:type="dxa"/>
            <w:shd w:val="clear" w:color="auto" w:fill="auto"/>
            <w:noWrap/>
            <w:vAlign w:val="bottom"/>
            <w:hideMark/>
          </w:tcPr>
          <w:p w:rsidR="00756DE6" w:rsidRPr="00D077B1" w:rsidRDefault="00756DE6" w:rsidP="00A45AB1">
            <w:r w:rsidRPr="00D077B1">
              <w:t>173</w:t>
            </w:r>
          </w:p>
        </w:tc>
        <w:tc>
          <w:tcPr>
            <w:tcW w:w="850" w:type="dxa"/>
            <w:shd w:val="clear" w:color="auto" w:fill="auto"/>
            <w:noWrap/>
            <w:vAlign w:val="bottom"/>
            <w:hideMark/>
          </w:tcPr>
          <w:p w:rsidR="00756DE6" w:rsidRPr="00D077B1" w:rsidRDefault="00756DE6" w:rsidP="00A45AB1">
            <w:r w:rsidRPr="00D077B1">
              <w:t>129</w:t>
            </w:r>
          </w:p>
        </w:tc>
        <w:tc>
          <w:tcPr>
            <w:tcW w:w="992" w:type="dxa"/>
            <w:shd w:val="clear" w:color="auto" w:fill="auto"/>
            <w:noWrap/>
            <w:vAlign w:val="bottom"/>
            <w:hideMark/>
          </w:tcPr>
          <w:p w:rsidR="00756DE6" w:rsidRPr="00D077B1" w:rsidRDefault="00756DE6" w:rsidP="00A45AB1">
            <w:r w:rsidRPr="00D077B1">
              <w:t>134</w:t>
            </w:r>
          </w:p>
        </w:tc>
        <w:tc>
          <w:tcPr>
            <w:tcW w:w="993" w:type="dxa"/>
            <w:shd w:val="clear" w:color="auto" w:fill="auto"/>
            <w:noWrap/>
            <w:vAlign w:val="bottom"/>
            <w:hideMark/>
          </w:tcPr>
          <w:p w:rsidR="00756DE6" w:rsidRPr="00D077B1" w:rsidRDefault="00756DE6" w:rsidP="00A45AB1">
            <w:r w:rsidRPr="00D077B1">
              <w:t>118</w:t>
            </w:r>
          </w:p>
        </w:tc>
      </w:tr>
    </w:tbl>
    <w:p w:rsidR="00756DE6" w:rsidRPr="00D077B1" w:rsidRDefault="00756DE6" w:rsidP="00756DE6">
      <w:r w:rsidRPr="00D077B1">
        <w:t>Source: EPSU sub-regional report, IMF World Economic Outlook, PSIRU calculations</w:t>
      </w:r>
    </w:p>
    <w:p w:rsidR="00756DE6" w:rsidRDefault="00756DE6"/>
    <w:p w:rsidR="00895501" w:rsidRDefault="00895501">
      <w:pPr>
        <w:pStyle w:val="Heading1"/>
      </w:pPr>
      <w:bookmarkStart w:id="85" w:name="__RefHeading__2521_5168522"/>
      <w:bookmarkStart w:id="86" w:name="_Toc297975211"/>
      <w:bookmarkEnd w:id="85"/>
      <w:r>
        <w:t>Theory and implications</w:t>
      </w:r>
      <w:bookmarkEnd w:id="86"/>
    </w:p>
    <w:p w:rsidR="00895501" w:rsidRDefault="00895501">
      <w:r>
        <w:t xml:space="preserve">Much of the academic literature on this subject consists of attempts to find neo-classical economic explanations of relations between public sector pay and economic recession. </w:t>
      </w:r>
    </w:p>
    <w:p w:rsidR="00895501" w:rsidRDefault="00895501"/>
    <w:p w:rsidR="00895501" w:rsidRDefault="00895501">
      <w:r>
        <w:t>The evidence examined above, however, suggests that there is no such observable phenomenon. Institutions and political processes are instead the features with most explanatory power – the role of union organisation, the political complexion of governments</w:t>
      </w:r>
      <w:proofErr w:type="gramStart"/>
      <w:r>
        <w:t>,  the</w:t>
      </w:r>
      <w:proofErr w:type="gramEnd"/>
      <w:r>
        <w:t xml:space="preserve"> legal status of collective agreements, the role of external </w:t>
      </w:r>
      <w:proofErr w:type="spellStart"/>
      <w:r>
        <w:t>actors</w:t>
      </w:r>
      <w:proofErr w:type="spellEnd"/>
      <w:r>
        <w:t xml:space="preserve"> such as the IMF or the bond markets.  Political positions also clearly matter, especially in the context of a macroeconomic policies where there is no consensus on if or when government deficits should be maintained or cut – even within international business papers there is no consensus on the relative desirability of cutting deficits in 2010. </w:t>
      </w:r>
      <w:r>
        <w:rPr>
          <w:rStyle w:val="EndnoteReference"/>
        </w:rPr>
        <w:endnoteReference w:id="38"/>
      </w:r>
      <w:r>
        <w:t xml:space="preserve"> </w:t>
      </w:r>
    </w:p>
    <w:p w:rsidR="00895501" w:rsidRDefault="00895501"/>
    <w:p w:rsidR="00895501" w:rsidRDefault="00895501">
      <w:pPr>
        <w:pStyle w:val="Heading2"/>
      </w:pPr>
      <w:bookmarkStart w:id="87" w:name="_Toc297975212"/>
      <w:r>
        <w:t>ECB paper on public wages</w:t>
      </w:r>
      <w:bookmarkEnd w:id="87"/>
    </w:p>
    <w:p w:rsidR="00895501" w:rsidRDefault="00895501">
      <w:r>
        <w:t xml:space="preserve">A paper published by the ECB in June 2010 </w:t>
      </w:r>
      <w:r>
        <w:rPr>
          <w:rStyle w:val="EndnoteReference"/>
        </w:rPr>
        <w:endnoteReference w:id="39"/>
      </w:r>
      <w:r>
        <w:t xml:space="preserve"> is based on the familiar political position associated with neo-classical economics: that the role of the public sector should be minimised – and therefore public sector pay, as part of public spending, should also be minimised. Although it does not examine any data later than 2008, and so offers no information on the impact of the current recession, the paper is interesting because it  asks, in effect, what evidence can be found to support the argument that public sector pay in itself has a damaging economic influence. </w:t>
      </w:r>
    </w:p>
    <w:p w:rsidR="00895501" w:rsidRDefault="00895501"/>
    <w:p w:rsidR="00895501" w:rsidRDefault="00895501">
      <w:pPr>
        <w:rPr>
          <w:szCs w:val="22"/>
        </w:rPr>
      </w:pPr>
      <w:r>
        <w:t xml:space="preserve">However, it finds </w:t>
      </w:r>
      <w:proofErr w:type="gramStart"/>
      <w:r>
        <w:t xml:space="preserve">little  </w:t>
      </w:r>
      <w:r>
        <w:rPr>
          <w:szCs w:val="22"/>
        </w:rPr>
        <w:t>evidence</w:t>
      </w:r>
      <w:proofErr w:type="gramEnd"/>
      <w:r>
        <w:rPr>
          <w:szCs w:val="22"/>
        </w:rPr>
        <w:t xml:space="preserve"> of any systematic problem. Its own analysis of OECD empirical data finds </w:t>
      </w:r>
      <w:proofErr w:type="gramStart"/>
      <w:r>
        <w:rPr>
          <w:szCs w:val="22"/>
        </w:rPr>
        <w:t>that  public</w:t>
      </w:r>
      <w:proofErr w:type="gramEnd"/>
      <w:r>
        <w:rPr>
          <w:szCs w:val="22"/>
        </w:rPr>
        <w:t xml:space="preserve"> and private sector pay levels move closely together:</w:t>
      </w:r>
    </w:p>
    <w:p w:rsidR="00895501" w:rsidRDefault="00895501">
      <w:pPr>
        <w:ind w:left="720"/>
        <w:rPr>
          <w:rFonts w:eastAsia="TimesNewRomanWGL" w:cs="TimesNewRomanWGL"/>
          <w:szCs w:val="22"/>
        </w:rPr>
      </w:pPr>
      <w:r>
        <w:rPr>
          <w:szCs w:val="22"/>
        </w:rPr>
        <w:t>“</w:t>
      </w:r>
      <w:r>
        <w:rPr>
          <w:rFonts w:eastAsia="TimesNewRomanWGL" w:cs="TimesNewRomanWGL"/>
          <w:szCs w:val="22"/>
        </w:rPr>
        <w:t xml:space="preserve">The empirical findings for the Euro area and its member countries show a strong, positive correlation over the business cycle for both real and nominal wages. The correlation is mostly of a contemporaneous nature. Correlation </w:t>
      </w:r>
      <w:proofErr w:type="spellStart"/>
      <w:r>
        <w:rPr>
          <w:rFonts w:eastAsia="TimesNewRomanWGL" w:cs="TimesNewRomanWGL"/>
          <w:szCs w:val="22"/>
        </w:rPr>
        <w:t>coeffi</w:t>
      </w:r>
      <w:proofErr w:type="spellEnd"/>
      <w:r>
        <w:rPr>
          <w:rFonts w:eastAsia="TimesNewRomanWGL" w:cs="TimesNewRomanWGL"/>
          <w:szCs w:val="22"/>
        </w:rPr>
        <w:t xml:space="preserve"> </w:t>
      </w:r>
      <w:proofErr w:type="spellStart"/>
      <w:r>
        <w:rPr>
          <w:rFonts w:eastAsia="TimesNewRomanWGL" w:cs="TimesNewRomanWGL"/>
          <w:szCs w:val="22"/>
        </w:rPr>
        <w:t>cients</w:t>
      </w:r>
      <w:proofErr w:type="spellEnd"/>
      <w:r>
        <w:rPr>
          <w:rFonts w:eastAsia="TimesNewRomanWGL" w:cs="TimesNewRomanWGL"/>
          <w:szCs w:val="22"/>
        </w:rPr>
        <w:t xml:space="preserve"> are significant and typically very high (in most cases above 0.8; see Table 5), indicating a common pattern of private and public wage correlation across countries. These findings are consistent with both the stylised facts and the theoretical arguments presented above and point to strong cross-</w:t>
      </w:r>
      <w:proofErr w:type="spellStart"/>
      <w:r>
        <w:rPr>
          <w:rFonts w:eastAsia="TimesNewRomanWGL" w:cs="TimesNewRomanWGL"/>
          <w:szCs w:val="22"/>
        </w:rPr>
        <w:t>sectoral</w:t>
      </w:r>
      <w:proofErr w:type="spellEnd"/>
      <w:r>
        <w:rPr>
          <w:rFonts w:eastAsia="TimesNewRomanWGL" w:cs="TimesNewRomanWGL"/>
          <w:szCs w:val="22"/>
        </w:rPr>
        <w:t xml:space="preserve"> linkages in wage setting, as public and private wage developments do not diverge significantly (in other words they do not decouple) even in the short run. Wages in both sectors also share a common long-run trend.” (p.25) </w:t>
      </w:r>
    </w:p>
    <w:p w:rsidR="00895501" w:rsidRDefault="00895501">
      <w:pPr>
        <w:rPr>
          <w:szCs w:val="22"/>
        </w:rPr>
      </w:pPr>
      <w:r>
        <w:rPr>
          <w:szCs w:val="22"/>
        </w:rPr>
        <w:t xml:space="preserve">It also notes that there is no empirical evidence that there is any consistent link between total public sector wage bills and the business cycle. There is no evidence that recessions systematically cause public sector pay bills to rise, for example.  </w:t>
      </w:r>
    </w:p>
    <w:p w:rsidR="00895501" w:rsidRDefault="00895501">
      <w:pPr>
        <w:rPr>
          <w:szCs w:val="22"/>
        </w:rPr>
      </w:pPr>
    </w:p>
    <w:p w:rsidR="00895501" w:rsidRDefault="00895501">
      <w:pPr>
        <w:rPr>
          <w:szCs w:val="22"/>
        </w:rPr>
      </w:pPr>
      <w:r>
        <w:rPr>
          <w:szCs w:val="22"/>
        </w:rPr>
        <w:t xml:space="preserve">It is therefore surprising that the paper nevertheless offers </w:t>
      </w:r>
      <w:proofErr w:type="gramStart"/>
      <w:r>
        <w:rPr>
          <w:szCs w:val="22"/>
        </w:rPr>
        <w:t>universal  recommendations</w:t>
      </w:r>
      <w:proofErr w:type="gramEnd"/>
      <w:r>
        <w:rPr>
          <w:szCs w:val="22"/>
        </w:rPr>
        <w:t xml:space="preserve"> for “less coordinated wage bargaining and more decentralised wage setting, as well as product market liberalisation”  - although it has not reviewed any empirical evidence on these policies. The assumed gains are rated as greater than the risk of creating social and political conflict: </w:t>
      </w:r>
    </w:p>
    <w:p w:rsidR="00895501" w:rsidRDefault="00895501">
      <w:pPr>
        <w:ind w:left="720"/>
        <w:rPr>
          <w:rFonts w:eastAsia="TimesNewRomanWGL" w:cs="TimesNewRomanWGL"/>
          <w:szCs w:val="22"/>
        </w:rPr>
      </w:pPr>
      <w:r>
        <w:rPr>
          <w:szCs w:val="22"/>
        </w:rPr>
        <w:t>“</w:t>
      </w:r>
      <w:r>
        <w:rPr>
          <w:rFonts w:eastAsia="TimesNewRomanWGL" w:cs="TimesNewRomanWGL"/>
          <w:szCs w:val="22"/>
        </w:rPr>
        <w:t>The implementation of such reforms may well be associated with political opposition. However, the 'double dividend' of greater economic stability and a lower risk of intra-euro area competitiveness losses should encourage policy-makers to undertake the necessary adjustments</w:t>
      </w:r>
      <w:proofErr w:type="gramStart"/>
      <w:r>
        <w:rPr>
          <w:rFonts w:eastAsia="TimesNewRomanWGL" w:cs="TimesNewRomanWGL"/>
          <w:szCs w:val="22"/>
        </w:rPr>
        <w:t>”  (</w:t>
      </w:r>
      <w:proofErr w:type="gramEnd"/>
      <w:r>
        <w:rPr>
          <w:rFonts w:eastAsia="TimesNewRomanWGL" w:cs="TimesNewRomanWGL"/>
          <w:szCs w:val="22"/>
        </w:rPr>
        <w:t xml:space="preserve">p.5). </w:t>
      </w:r>
    </w:p>
    <w:p w:rsidR="00895501" w:rsidRDefault="00895501"/>
    <w:p w:rsidR="00895501" w:rsidRDefault="00895501">
      <w:r>
        <w:rPr>
          <w:rFonts w:eastAsia="TimesNewRomanWGL" w:cs="TimesNewRomanWGL"/>
          <w:szCs w:val="22"/>
        </w:rPr>
        <w:t xml:space="preserve">The lack of empirical evidence for this conclusion is compensated for by </w:t>
      </w:r>
      <w:r>
        <w:t>a clear re-statement of the political anxieties about the use of public deficits to combat recessions:</w:t>
      </w:r>
    </w:p>
    <w:p w:rsidR="00895501" w:rsidRDefault="00895501">
      <w:pPr>
        <w:autoSpaceDE w:val="0"/>
        <w:ind w:left="720"/>
        <w:rPr>
          <w:rFonts w:eastAsia="TimesNewRomanWGL" w:cs="TimesNewRomanWGL"/>
          <w:szCs w:val="22"/>
        </w:rPr>
      </w:pPr>
      <w:r>
        <w:rPr>
          <w:rFonts w:eastAsia="TimesNewRomanWGL" w:cs="TimesNewRomanWGL"/>
          <w:szCs w:val="22"/>
        </w:rPr>
        <w:t>“</w:t>
      </w:r>
      <w:proofErr w:type="gramStart"/>
      <w:r>
        <w:rPr>
          <w:rFonts w:eastAsia="TimesNewRomanWGL" w:cs="TimesNewRomanWGL"/>
          <w:szCs w:val="22"/>
        </w:rPr>
        <w:t>while</w:t>
      </w:r>
      <w:proofErr w:type="gramEnd"/>
      <w:r>
        <w:rPr>
          <w:rFonts w:eastAsia="TimesNewRomanWGL" w:cs="TimesNewRomanWGL"/>
          <w:szCs w:val="22"/>
        </w:rPr>
        <w:t xml:space="preserve"> fiscal expansion might still be relatively easy to implement in the case of most spending items, the phasing-out of the respective programmes usually meets fierce political opposition. This may lead to a gradual increase in the government sector after each expansionary episode rather than symmetric expenditure expansions and contractions over the cycle.”</w:t>
      </w:r>
    </w:p>
    <w:p w:rsidR="00895501" w:rsidRDefault="00895501">
      <w:pPr>
        <w:autoSpaceDE w:val="0"/>
        <w:ind w:left="720"/>
      </w:pPr>
    </w:p>
    <w:p w:rsidR="00895501" w:rsidRDefault="00895501">
      <w:pPr>
        <w:autoSpaceDE w:val="0"/>
        <w:rPr>
          <w:rFonts w:eastAsia="TimesNewRomanWGL" w:cs="GillSansMTPro-BoldCondensed"/>
          <w:color w:val="000000"/>
          <w:szCs w:val="22"/>
        </w:rPr>
      </w:pPr>
      <w:r>
        <w:rPr>
          <w:rFonts w:eastAsia="TimesNewRomanWGL" w:cs="TimesNewRomanWGL"/>
          <w:szCs w:val="22"/>
        </w:rPr>
        <w:t xml:space="preserve">The paper adds that this risk is particularly high because of “the high degree of coordination among public employees (e.g. through unionisation) </w:t>
      </w:r>
      <w:r>
        <w:rPr>
          <w:rFonts w:eastAsia="TimesNewRomanWGL" w:cs="GillSansMTPro-BoldCondensed"/>
          <w:color w:val="000000"/>
          <w:szCs w:val="22"/>
        </w:rPr>
        <w:t>which facilitates political opposition”, although it offers no evidence on this issue.</w:t>
      </w:r>
    </w:p>
    <w:p w:rsidR="00895501" w:rsidRDefault="00895501">
      <w:pPr>
        <w:ind w:left="720"/>
        <w:rPr>
          <w:szCs w:val="22"/>
        </w:rPr>
      </w:pPr>
    </w:p>
    <w:p w:rsidR="00895501" w:rsidRDefault="00895501">
      <w:pPr>
        <w:rPr>
          <w:szCs w:val="22"/>
        </w:rPr>
      </w:pPr>
      <w:r>
        <w:rPr>
          <w:szCs w:val="22"/>
        </w:rPr>
        <w:t>This conclusion itself demonstrates how political positions may affect policies and economic realities in this area. This is reinforced by the fact that it ignores other evidence, noted in the paper itself</w:t>
      </w:r>
      <w:proofErr w:type="gramStart"/>
      <w:r>
        <w:rPr>
          <w:szCs w:val="22"/>
        </w:rPr>
        <w:t>,  that</w:t>
      </w:r>
      <w:proofErr w:type="gramEnd"/>
      <w:r>
        <w:rPr>
          <w:szCs w:val="22"/>
        </w:rPr>
        <w:t xml:space="preserve"> political and institutional factors may be highly relevant.</w:t>
      </w:r>
    </w:p>
    <w:p w:rsidR="00895501" w:rsidRDefault="00895501"/>
    <w:p w:rsidR="00895501" w:rsidRDefault="00895501">
      <w:pPr>
        <w:rPr>
          <w:szCs w:val="22"/>
        </w:rPr>
      </w:pPr>
      <w:r>
        <w:rPr>
          <w:szCs w:val="22"/>
        </w:rPr>
        <w:t xml:space="preserve">Firstly, it notes considerable medium-term variation in the ratio between public and private sector wages per employee. These movements surely merit discussion, especially in view of the general evidence of closely linked trends in public and private sector wage levels. Possible explanations include political and institutional </w:t>
      </w:r>
      <w:proofErr w:type="gramStart"/>
      <w:r>
        <w:rPr>
          <w:szCs w:val="22"/>
        </w:rPr>
        <w:t>factors  such</w:t>
      </w:r>
      <w:proofErr w:type="gramEnd"/>
      <w:r>
        <w:rPr>
          <w:szCs w:val="22"/>
        </w:rPr>
        <w:t xml:space="preserve"> as a growth in forms of privatisation and liberalisation which remove lower paid employees into the private sector,  or a sustained weakening of trade unionism in the private sector.</w:t>
      </w:r>
    </w:p>
    <w:p w:rsidR="0021143A" w:rsidRDefault="0021143A">
      <w:pPr>
        <w:rPr>
          <w:szCs w:val="22"/>
        </w:rPr>
      </w:pPr>
    </w:p>
    <w:p w:rsidR="00895501" w:rsidRDefault="00895501">
      <w:pPr>
        <w:pStyle w:val="Heading8"/>
        <w:rPr>
          <w:rFonts w:ascii="Comic Sans MS" w:eastAsia="TimesNewRomanWGL" w:hAnsi="Comic Sans MS" w:cs="TimesNewRomanWGL"/>
          <w:sz w:val="22"/>
          <w:szCs w:val="22"/>
        </w:rPr>
      </w:pPr>
      <w:bookmarkStart w:id="88" w:name="_Toc297975213"/>
      <w:r>
        <w:rPr>
          <w:rFonts w:ascii="Comic Sans MS" w:eastAsia="TimesNewRomanWGL" w:hAnsi="Comic Sans MS" w:cs="TimesNewRomanWGL"/>
          <w:sz w:val="22"/>
          <w:szCs w:val="22"/>
        </w:rPr>
        <w:t>Ratio of public to private wages per employee, Euro area, 1970-2010</w:t>
      </w:r>
      <w:bookmarkEnd w:id="88"/>
    </w:p>
    <w:p w:rsidR="00895501" w:rsidRDefault="00895501">
      <w:pPr>
        <w:rPr>
          <w:rFonts w:eastAsia="TimesNewRomanWGL" w:cs="TimesNewRomanWGL"/>
          <w:szCs w:val="22"/>
        </w:rPr>
      </w:pPr>
      <w:r>
        <w:rPr>
          <w:rFonts w:eastAsia="TimesNewRomanWGL" w:cs="TimesNewRomanWGL"/>
          <w:szCs w:val="22"/>
        </w:rPr>
        <w:t>Source: ECB 2010, p.10</w:t>
      </w:r>
    </w:p>
    <w:p w:rsidR="00895501" w:rsidRDefault="004674C3">
      <w:pPr>
        <w:rPr>
          <w:szCs w:val="22"/>
        </w:rPr>
      </w:pPr>
      <w:r>
        <w:rPr>
          <w:noProof/>
          <w:lang w:eastAsia="en-GB"/>
        </w:rPr>
        <w:lastRenderedPageBreak/>
        <w:drawing>
          <wp:anchor distT="0" distB="0" distL="0" distR="0" simplePos="0" relativeHeight="251657216" behindDoc="0" locked="0" layoutInCell="1" allowOverlap="1">
            <wp:simplePos x="0" y="0"/>
            <wp:positionH relativeFrom="column">
              <wp:posOffset>255270</wp:posOffset>
            </wp:positionH>
            <wp:positionV relativeFrom="paragraph">
              <wp:posOffset>109220</wp:posOffset>
            </wp:positionV>
            <wp:extent cx="3619500" cy="4672965"/>
            <wp:effectExtent l="0" t="0" r="0" b="0"/>
            <wp:wrapTopAndBottom/>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19500" cy="46729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95501" w:rsidRDefault="00895501">
      <w:pPr>
        <w:rPr>
          <w:rFonts w:eastAsia="TimesNewRomanWGL" w:cs="TimesNewRomanWGL"/>
          <w:szCs w:val="22"/>
        </w:rPr>
      </w:pPr>
      <w:r>
        <w:rPr>
          <w:rFonts w:eastAsia="TimesNewRomanWGL" w:cs="TimesNewRomanWGL"/>
          <w:szCs w:val="22"/>
        </w:rPr>
        <w:t xml:space="preserve">Secondly, the conclusions </w:t>
      </w:r>
      <w:proofErr w:type="gramStart"/>
      <w:r>
        <w:rPr>
          <w:rFonts w:eastAsia="TimesNewRomanWGL" w:cs="TimesNewRomanWGL"/>
          <w:szCs w:val="22"/>
        </w:rPr>
        <w:t>ignore  evidence</w:t>
      </w:r>
      <w:proofErr w:type="gramEnd"/>
      <w:r>
        <w:rPr>
          <w:rFonts w:eastAsia="TimesNewRomanWGL" w:cs="TimesNewRomanWGL"/>
          <w:szCs w:val="22"/>
        </w:rPr>
        <w:t xml:space="preserve"> that the ratio of public to private wage ratio is closely linked to the share of the workforce in the public sector. In countries with a higher proportion of employment in the public sector, like France and Finland, public sector wages per employee are almost identical to private sector wages: whereas in countries where public sector employment is a much lower percentage – Netherlands, Portugal and Italy – the average public sector wage is more than 50% higher than the private sector wage. Moreover, </w:t>
      </w:r>
      <w:proofErr w:type="gramStart"/>
      <w:r>
        <w:rPr>
          <w:rFonts w:eastAsia="TimesNewRomanWGL" w:cs="TimesNewRomanWGL"/>
          <w:szCs w:val="22"/>
        </w:rPr>
        <w:t>this  correlation</w:t>
      </w:r>
      <w:proofErr w:type="gramEnd"/>
      <w:r>
        <w:rPr>
          <w:rFonts w:eastAsia="TimesNewRomanWGL" w:cs="TimesNewRomanWGL"/>
          <w:szCs w:val="22"/>
        </w:rPr>
        <w:t xml:space="preserve"> is much more statistically significant than that between public sector pay and the economic cycle. </w:t>
      </w:r>
      <w:r>
        <w:rPr>
          <w:rStyle w:val="FootnoteReference"/>
          <w:rFonts w:eastAsia="TimesNewRomanWGL" w:cs="TimesNewRomanWGL"/>
          <w:szCs w:val="22"/>
        </w:rPr>
        <w:footnoteReference w:id="1"/>
      </w:r>
      <w:r>
        <w:rPr>
          <w:rFonts w:eastAsia="TimesNewRomanWGL" w:cs="TimesNewRomanWGL"/>
          <w:szCs w:val="22"/>
        </w:rPr>
        <w:t xml:space="preserve"> </w:t>
      </w:r>
    </w:p>
    <w:p w:rsidR="0021143A" w:rsidRDefault="0021143A" w:rsidP="0021143A">
      <w:pPr>
        <w:pStyle w:val="Heading8"/>
        <w:autoSpaceDE w:val="0"/>
        <w:rPr>
          <w:rFonts w:ascii="Comic Sans MS" w:eastAsia="TimesNewRomanWGL" w:hAnsi="Comic Sans MS" w:cs="TimesNewRomanWGL"/>
          <w:sz w:val="22"/>
          <w:szCs w:val="22"/>
        </w:rPr>
      </w:pPr>
      <w:bookmarkStart w:id="89" w:name="_Toc297975214"/>
      <w:r>
        <w:rPr>
          <w:rFonts w:ascii="Comic Sans MS" w:eastAsia="TimesNewRomanWGL" w:hAnsi="Comic Sans MS" w:cs="TimesNewRomanWGL"/>
          <w:sz w:val="22"/>
          <w:szCs w:val="22"/>
        </w:rPr>
        <w:t xml:space="preserve">Ratio of public/private </w:t>
      </w:r>
      <w:proofErr w:type="gramStart"/>
      <w:r>
        <w:rPr>
          <w:rFonts w:ascii="Comic Sans MS" w:eastAsia="TimesNewRomanWGL" w:hAnsi="Comic Sans MS" w:cs="TimesNewRomanWGL"/>
          <w:sz w:val="22"/>
          <w:szCs w:val="22"/>
        </w:rPr>
        <w:t>wages  and</w:t>
      </w:r>
      <w:proofErr w:type="gramEnd"/>
      <w:r>
        <w:rPr>
          <w:rFonts w:ascii="Comic Sans MS" w:eastAsia="TimesNewRomanWGL" w:hAnsi="Comic Sans MS" w:cs="TimesNewRomanWGL"/>
          <w:sz w:val="22"/>
          <w:szCs w:val="22"/>
        </w:rPr>
        <w:t xml:space="preserve"> share of public employment, 2008</w:t>
      </w:r>
      <w:bookmarkEnd w:id="89"/>
    </w:p>
    <w:p w:rsidR="0021143A" w:rsidRDefault="004674C3" w:rsidP="0021143A">
      <w:pPr>
        <w:autoSpaceDE w:val="0"/>
        <w:rPr>
          <w:rFonts w:eastAsia="TimesNewRomanWGL" w:cs="TimesNewRomanWGL"/>
          <w:szCs w:val="22"/>
        </w:rPr>
      </w:pPr>
      <w:r>
        <w:rPr>
          <w:noProof/>
          <w:lang w:eastAsia="en-GB"/>
        </w:rPr>
        <w:lastRenderedPageBreak/>
        <w:drawing>
          <wp:anchor distT="0" distB="0" distL="0" distR="0" simplePos="0" relativeHeight="251658240" behindDoc="0" locked="0" layoutInCell="1" allowOverlap="1">
            <wp:simplePos x="0" y="0"/>
            <wp:positionH relativeFrom="column">
              <wp:posOffset>-50800</wp:posOffset>
            </wp:positionH>
            <wp:positionV relativeFrom="paragraph">
              <wp:posOffset>205740</wp:posOffset>
            </wp:positionV>
            <wp:extent cx="4325620" cy="5273040"/>
            <wp:effectExtent l="0" t="0" r="0" b="3810"/>
            <wp:wrapTopAndBottom/>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25620" cy="5273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1143A">
        <w:rPr>
          <w:rFonts w:eastAsia="TimesNewRomanWGL" w:cs="TimesNewRomanWGL"/>
          <w:szCs w:val="22"/>
        </w:rPr>
        <w:t>Source: ECB 2010, p.12</w:t>
      </w:r>
    </w:p>
    <w:p w:rsidR="00895501" w:rsidRDefault="00895501">
      <w:pPr>
        <w:autoSpaceDE w:val="0"/>
        <w:rPr>
          <w:rFonts w:ascii="TimesNewRomanWGL" w:eastAsia="TimesNewRomanWGL" w:hAnsi="TimesNewRomanWGL" w:cs="TimesNewRomanWGL"/>
          <w:sz w:val="20"/>
          <w:szCs w:val="20"/>
        </w:rPr>
      </w:pPr>
      <w:r>
        <w:rPr>
          <w:rFonts w:eastAsia="TimesNewRomanWGL" w:cs="TimesNewRomanWGL"/>
          <w:szCs w:val="22"/>
        </w:rPr>
        <w:t xml:space="preserve">Thirdly, the conclusions also fail to refer to the finding that public sector pay determination is much less likely to affect private sector wage settlements where “stricter </w:t>
      </w:r>
      <w:r>
        <w:rPr>
          <w:rFonts w:eastAsia="TimesNewRomanWGL-Italic" w:cs="TimesNewRomanWGL-Italic"/>
          <w:i/>
          <w:iCs/>
          <w:szCs w:val="22"/>
        </w:rPr>
        <w:t xml:space="preserve">employment protection legislation </w:t>
      </w:r>
      <w:r>
        <w:rPr>
          <w:rFonts w:eastAsia="TimesNewRomanWGL" w:cs="TimesNewRomanWGL"/>
          <w:szCs w:val="22"/>
        </w:rPr>
        <w:t xml:space="preserve">gives unions greater bargaining power in the private sector, independent of public sector outcomes, and therefore coincides with a weaker influence of public wages.” (p.27) </w:t>
      </w:r>
      <w:proofErr w:type="gramStart"/>
      <w:r>
        <w:rPr>
          <w:rFonts w:eastAsia="TimesNewRomanWGL" w:cs="TimesNewRomanWGL"/>
          <w:szCs w:val="22"/>
        </w:rPr>
        <w:t>One</w:t>
      </w:r>
      <w:proofErr w:type="gramEnd"/>
      <w:r>
        <w:rPr>
          <w:rFonts w:eastAsia="TimesNewRomanWGL" w:cs="TimesNewRomanWGL"/>
          <w:szCs w:val="22"/>
        </w:rPr>
        <w:t xml:space="preserve"> possible conclusion from this would be to strengthen employment rights. </w:t>
      </w:r>
    </w:p>
    <w:p w:rsidR="00895501" w:rsidRDefault="00895501">
      <w:pPr>
        <w:pStyle w:val="Heading2"/>
      </w:pPr>
      <w:bookmarkStart w:id="90" w:name="_Toc297975215"/>
      <w:r>
        <w:t>Other</w:t>
      </w:r>
      <w:bookmarkEnd w:id="90"/>
    </w:p>
    <w:p w:rsidR="00895501" w:rsidRPr="00DD0CEC" w:rsidRDefault="00895501" w:rsidP="00DD0CEC">
      <w:pPr>
        <w:rPr>
          <w:rStyle w:val="Hyperlink"/>
          <w:color w:val="000000"/>
          <w:szCs w:val="22"/>
          <w:u w:val="none"/>
        </w:rPr>
      </w:pPr>
      <w:r w:rsidRPr="00DD0CEC">
        <w:rPr>
          <w:szCs w:val="22"/>
        </w:rPr>
        <w:t xml:space="preserve">The ECB paper effectively confirms previous findings that there </w:t>
      </w:r>
      <w:proofErr w:type="gramStart"/>
      <w:r w:rsidRPr="00DD0CEC">
        <w:rPr>
          <w:szCs w:val="22"/>
        </w:rPr>
        <w:t>is no simple economic factors</w:t>
      </w:r>
      <w:proofErr w:type="gramEnd"/>
      <w:r w:rsidRPr="00DD0CEC">
        <w:rPr>
          <w:szCs w:val="22"/>
        </w:rPr>
        <w:t xml:space="preserve"> at work.  </w:t>
      </w:r>
      <w:r w:rsidRPr="00DD0CEC">
        <w:rPr>
          <w:rStyle w:val="Hyperlink"/>
          <w:color w:val="000000"/>
          <w:szCs w:val="22"/>
          <w:u w:val="none"/>
        </w:rPr>
        <w:t>Freeman's study in the USA from 1970-1982 found that the public sector responded to recessions by increasing employment, while private sector jobs fell, but that public sector pay tends to fall more in recessions, relative to the private sector.  A study of the UK from 1950 to 1975 found the opposite</w:t>
      </w:r>
      <w:proofErr w:type="gramStart"/>
      <w:r w:rsidRPr="00DD0CEC">
        <w:rPr>
          <w:rStyle w:val="Hyperlink"/>
          <w:color w:val="000000"/>
          <w:szCs w:val="22"/>
          <w:u w:val="none"/>
        </w:rPr>
        <w:t>::</w:t>
      </w:r>
      <w:proofErr w:type="gramEnd"/>
      <w:r w:rsidRPr="00DD0CEC">
        <w:rPr>
          <w:rStyle w:val="Hyperlink"/>
          <w:color w:val="000000"/>
          <w:szCs w:val="22"/>
          <w:u w:val="none"/>
        </w:rPr>
        <w:t xml:space="preserve"> “public sector earnings generally increasing faster than </w:t>
      </w:r>
      <w:proofErr w:type="spellStart"/>
      <w:r w:rsidRPr="00DD0CEC">
        <w:rPr>
          <w:rStyle w:val="Hyperlink"/>
          <w:color w:val="000000"/>
          <w:szCs w:val="22"/>
          <w:u w:val="none"/>
        </w:rPr>
        <w:t>than</w:t>
      </w:r>
      <w:proofErr w:type="spellEnd"/>
      <w:r w:rsidRPr="00DD0CEC">
        <w:rPr>
          <w:rStyle w:val="Hyperlink"/>
          <w:color w:val="000000"/>
          <w:szCs w:val="22"/>
          <w:u w:val="none"/>
        </w:rPr>
        <w:t xml:space="preserve"> private sector earnings during the downswing, and vice versa during the upswing”.  (Freeman 1987, Dean 1975)</w:t>
      </w:r>
    </w:p>
    <w:p w:rsidR="00895501" w:rsidRPr="00DD0CEC" w:rsidRDefault="00895501" w:rsidP="00DD0CEC">
      <w:pPr>
        <w:rPr>
          <w:szCs w:val="22"/>
        </w:rPr>
      </w:pPr>
    </w:p>
    <w:p w:rsidR="00895501" w:rsidRPr="00DD0CEC" w:rsidRDefault="00895501" w:rsidP="00DD0CEC">
      <w:pPr>
        <w:rPr>
          <w:szCs w:val="22"/>
        </w:rPr>
      </w:pPr>
      <w:r w:rsidRPr="00DD0CEC">
        <w:rPr>
          <w:szCs w:val="22"/>
        </w:rPr>
        <w:t xml:space="preserve">The significance of institutions, on the other hand, especially international institutions, is clear in other recent accounts. In the 1970s and 1980s there was a sharp earnings decline in African and Latin American countries following the structural adjustment policies advocated by the international </w:t>
      </w:r>
      <w:proofErr w:type="gramStart"/>
      <w:r w:rsidRPr="00DD0CEC">
        <w:rPr>
          <w:szCs w:val="22"/>
        </w:rPr>
        <w:t>institutions.</w:t>
      </w:r>
      <w:proofErr w:type="gramEnd"/>
      <w:r w:rsidRPr="00DD0CEC">
        <w:rPr>
          <w:szCs w:val="22"/>
        </w:rPr>
        <w:t xml:space="preserve">  This resulted in “a real pauperisation of large sections of the population. ….Real wages in sub-Saharan Africa were typically halved between 1970 and 1985”.  </w:t>
      </w:r>
    </w:p>
    <w:p w:rsidR="00895501" w:rsidRPr="00DD0CEC" w:rsidRDefault="00895501" w:rsidP="00DD0CEC">
      <w:pPr>
        <w:rPr>
          <w:szCs w:val="22"/>
        </w:rPr>
      </w:pPr>
    </w:p>
    <w:p w:rsidR="00895501" w:rsidRPr="00DD0CEC" w:rsidRDefault="00895501" w:rsidP="00DD0CEC">
      <w:pPr>
        <w:rPr>
          <w:szCs w:val="22"/>
        </w:rPr>
      </w:pPr>
      <w:r w:rsidRPr="00DD0CEC">
        <w:rPr>
          <w:szCs w:val="22"/>
        </w:rPr>
        <w:t xml:space="preserve">Public employees were not </w:t>
      </w:r>
      <w:proofErr w:type="gramStart"/>
      <w:r w:rsidRPr="00DD0CEC">
        <w:rPr>
          <w:szCs w:val="22"/>
        </w:rPr>
        <w:t>exempt,</w:t>
      </w:r>
      <w:proofErr w:type="gramEnd"/>
      <w:r w:rsidRPr="00DD0CEC">
        <w:rPr>
          <w:szCs w:val="22"/>
        </w:rPr>
        <w:t xml:space="preserve"> indeed they were at the forefront of policy-induced wage cuts:</w:t>
      </w:r>
    </w:p>
    <w:p w:rsidR="00895501" w:rsidRPr="00DD0CEC" w:rsidRDefault="00895501" w:rsidP="00DD0CEC">
      <w:pPr>
        <w:rPr>
          <w:szCs w:val="22"/>
        </w:rPr>
      </w:pPr>
      <w:r w:rsidRPr="00DD0CEC">
        <w:rPr>
          <w:szCs w:val="22"/>
        </w:rPr>
        <w:t xml:space="preserve">“The decline in wages was fully shared by those working in the public sector. Indeed there is evidence to suggest that public servants were particular casualties of the economic decline.  In Africa for example for 11 </w:t>
      </w:r>
      <w:r w:rsidRPr="00DD0CEC">
        <w:rPr>
          <w:szCs w:val="22"/>
        </w:rPr>
        <w:lastRenderedPageBreak/>
        <w:t>countries where the data are available, the real earnings of public-sector workers declined considerably faster than per capita income over the years 1975 to the mid-1980s.”  This had predictable negative effects on efficiency: “Public-sector pay fell more sharply than elsewhere in the formal sector, often with disastrous effects upon the productivity of civil servants</w:t>
      </w:r>
      <w:proofErr w:type="gramStart"/>
      <w:r w:rsidRPr="00DD0CEC">
        <w:rPr>
          <w:szCs w:val="22"/>
        </w:rPr>
        <w:t>.“</w:t>
      </w:r>
      <w:proofErr w:type="gramEnd"/>
      <w:r w:rsidRPr="00DD0CEC">
        <w:rPr>
          <w:szCs w:val="22"/>
        </w:rPr>
        <w:t xml:space="preserve"> (</w:t>
      </w:r>
      <w:proofErr w:type="spellStart"/>
      <w:r w:rsidRPr="00DD0CEC">
        <w:rPr>
          <w:szCs w:val="22"/>
        </w:rPr>
        <w:t>Colclough</w:t>
      </w:r>
      <w:proofErr w:type="spellEnd"/>
      <w:r w:rsidRPr="00DD0CEC">
        <w:rPr>
          <w:szCs w:val="22"/>
        </w:rPr>
        <w:t xml:space="preserve"> 1997 p.9, 18)     </w:t>
      </w:r>
      <w:r w:rsidRPr="00DD0CEC">
        <w:rPr>
          <w:rStyle w:val="EndnoteReference"/>
          <w:szCs w:val="22"/>
        </w:rPr>
        <w:endnoteReference w:id="40"/>
      </w:r>
    </w:p>
    <w:p w:rsidR="00895501" w:rsidRPr="00DD0CEC" w:rsidRDefault="00895501" w:rsidP="00DD0CEC">
      <w:pPr>
        <w:rPr>
          <w:szCs w:val="22"/>
        </w:rPr>
      </w:pPr>
    </w:p>
    <w:p w:rsidR="00895501" w:rsidRPr="00DD0CEC" w:rsidRDefault="00895501" w:rsidP="00DD0CEC">
      <w:pPr>
        <w:rPr>
          <w:szCs w:val="22"/>
        </w:rPr>
      </w:pPr>
      <w:r w:rsidRPr="00DD0CEC">
        <w:rPr>
          <w:szCs w:val="22"/>
        </w:rPr>
        <w:t>These policies had a lasting effect, especially in Africa, where low pay levels were identified as a major cause</w:t>
      </w:r>
      <w:proofErr w:type="gramStart"/>
      <w:r w:rsidRPr="00DD0CEC">
        <w:rPr>
          <w:szCs w:val="22"/>
        </w:rPr>
        <w:t>”  of</w:t>
      </w:r>
      <w:proofErr w:type="gramEnd"/>
      <w:r w:rsidRPr="00DD0CEC">
        <w:rPr>
          <w:szCs w:val="22"/>
        </w:rPr>
        <w:t xml:space="preserve"> poor government capacity:</w:t>
      </w:r>
    </w:p>
    <w:p w:rsidR="00895501" w:rsidRPr="00DD0CEC" w:rsidRDefault="00895501" w:rsidP="00DD0CEC">
      <w:pPr>
        <w:rPr>
          <w:szCs w:val="22"/>
        </w:rPr>
      </w:pPr>
    </w:p>
    <w:p w:rsidR="00895501" w:rsidRPr="00DD0CEC" w:rsidRDefault="00895501" w:rsidP="00DD0CEC">
      <w:pPr>
        <w:rPr>
          <w:szCs w:val="22"/>
        </w:rPr>
      </w:pPr>
      <w:r w:rsidRPr="00DD0CEC">
        <w:rPr>
          <w:rFonts w:eastAsia="TimesNewRoman"/>
          <w:szCs w:val="22"/>
        </w:rPr>
        <w:t>“Many countries have suffered a steady drain of talent from the public sector</w:t>
      </w:r>
      <w:r w:rsidRPr="00DD0CEC">
        <w:rPr>
          <w:rFonts w:eastAsia="TimesNewRoman"/>
          <w:i/>
          <w:iCs/>
          <w:szCs w:val="22"/>
        </w:rPr>
        <w:t>—</w:t>
      </w:r>
      <w:r w:rsidRPr="00DD0CEC">
        <w:rPr>
          <w:rFonts w:eastAsia="TimesNewRoman"/>
          <w:szCs w:val="22"/>
        </w:rPr>
        <w:t>especially the core civil service</w:t>
      </w:r>
      <w:r w:rsidRPr="00DD0CEC">
        <w:rPr>
          <w:rFonts w:eastAsia="TimesNewRoman"/>
          <w:i/>
          <w:iCs/>
          <w:szCs w:val="22"/>
        </w:rPr>
        <w:t>—</w:t>
      </w:r>
      <w:r w:rsidRPr="00DD0CEC">
        <w:rPr>
          <w:rFonts w:eastAsia="TimesNewRoman"/>
          <w:szCs w:val="22"/>
        </w:rPr>
        <w:t>to foreign corporations, nongovernment organisations, and even those very aid agencies that are supposed to be helping governments rebuild their capacity (</w:t>
      </w:r>
      <w:proofErr w:type="spellStart"/>
      <w:r w:rsidRPr="00DD0CEC">
        <w:rPr>
          <w:rFonts w:eastAsia="TimesNewRoman"/>
          <w:szCs w:val="22"/>
        </w:rPr>
        <w:t>Wuyts</w:t>
      </w:r>
      <w:proofErr w:type="spellEnd"/>
      <w:r w:rsidRPr="00DD0CEC">
        <w:rPr>
          <w:rFonts w:eastAsia="TimesNewRoman"/>
          <w:szCs w:val="22"/>
        </w:rPr>
        <w:t xml:space="preserve"> 1996). It can be very difficult to close the public–private pay gap, even when economic conditions become more favourable, because of the expense involved. Uganda has yet to achieve its proclaimed objective of a minimum living wage</w:t>
      </w:r>
      <w:r w:rsidRPr="00DD0CEC">
        <w:rPr>
          <w:rFonts w:eastAsia="TimesNewRoman"/>
          <w:i/>
          <w:iCs/>
          <w:szCs w:val="22"/>
        </w:rPr>
        <w:t>—</w:t>
      </w:r>
      <w:r w:rsidRPr="00DD0CEC">
        <w:rPr>
          <w:rFonts w:eastAsia="TimesNewRoman"/>
          <w:szCs w:val="22"/>
        </w:rPr>
        <w:t>that is, paying civil servants enough to survive on</w:t>
      </w:r>
      <w:r w:rsidRPr="00DD0CEC">
        <w:rPr>
          <w:rFonts w:eastAsia="TimesNewRoman"/>
          <w:i/>
          <w:iCs/>
          <w:szCs w:val="22"/>
        </w:rPr>
        <w:t>—</w:t>
      </w:r>
      <w:r w:rsidRPr="00DD0CEC">
        <w:rPr>
          <w:rFonts w:eastAsia="TimesNewRoman"/>
          <w:szCs w:val="22"/>
        </w:rPr>
        <w:t>after nearly a decade of reform, and this in spite of reducing civil service employment by more than half.”  (</w:t>
      </w:r>
      <w:proofErr w:type="spellStart"/>
      <w:r w:rsidRPr="00DD0CEC">
        <w:rPr>
          <w:rFonts w:eastAsia="TimesNewRoman"/>
          <w:szCs w:val="22"/>
        </w:rPr>
        <w:t>Polidano</w:t>
      </w:r>
      <w:proofErr w:type="spellEnd"/>
      <w:r w:rsidRPr="00DD0CEC">
        <w:rPr>
          <w:rFonts w:eastAsia="TimesNewRoman"/>
          <w:szCs w:val="22"/>
        </w:rPr>
        <w:t xml:space="preserve"> 1999)</w:t>
      </w:r>
      <w:r w:rsidRPr="00DD0CEC">
        <w:rPr>
          <w:rStyle w:val="EndnoteReference"/>
          <w:rFonts w:eastAsia="TimesNewRoman"/>
          <w:szCs w:val="22"/>
        </w:rPr>
        <w:endnoteReference w:id="41"/>
      </w:r>
    </w:p>
    <w:p w:rsidR="00895501" w:rsidRPr="00DD0CEC" w:rsidRDefault="00895501" w:rsidP="00DD0CEC">
      <w:pPr>
        <w:rPr>
          <w:szCs w:val="22"/>
        </w:rPr>
      </w:pPr>
    </w:p>
    <w:p w:rsidR="00895501" w:rsidRPr="00DD0CEC" w:rsidRDefault="00895501" w:rsidP="00DD0CEC">
      <w:pPr>
        <w:rPr>
          <w:szCs w:val="22"/>
        </w:rPr>
      </w:pPr>
      <w:r w:rsidRPr="00DD0CEC">
        <w:rPr>
          <w:szCs w:val="22"/>
        </w:rPr>
        <w:t xml:space="preserve">In the same period Asian governments limited pay rises in general, </w:t>
      </w:r>
      <w:proofErr w:type="gramStart"/>
      <w:r w:rsidRPr="00DD0CEC">
        <w:rPr>
          <w:szCs w:val="22"/>
        </w:rPr>
        <w:t>and  “</w:t>
      </w:r>
      <w:proofErr w:type="gramEnd"/>
      <w:r w:rsidRPr="00DD0CEC">
        <w:rPr>
          <w:szCs w:val="22"/>
        </w:rPr>
        <w:t xml:space="preserve">the main vehicle for this was public-sector wage settlements”.  In countries such as Korea and Singapore, the policy also involved suppression of unions: “labour rights were denied by the </w:t>
      </w:r>
      <w:proofErr w:type="gramStart"/>
      <w:r w:rsidRPr="00DD0CEC">
        <w:rPr>
          <w:szCs w:val="22"/>
        </w:rPr>
        <w:t>government ,</w:t>
      </w:r>
      <w:proofErr w:type="gramEnd"/>
      <w:r w:rsidRPr="00DD0CEC">
        <w:rPr>
          <w:szCs w:val="22"/>
        </w:rPr>
        <w:t xml:space="preserve"> and trade unions were prevented from having any role in wage determination” - although Singapore later changed policies in favour of capital-intensive activities and high skills, with a positive effect on civil service pay as well: “public-sector salaries attained a significant premium in comparison with those for similar jobs in the private sector”. (</w:t>
      </w:r>
      <w:proofErr w:type="spellStart"/>
      <w:r w:rsidRPr="00DD0CEC">
        <w:rPr>
          <w:szCs w:val="22"/>
        </w:rPr>
        <w:t>Colclough</w:t>
      </w:r>
      <w:proofErr w:type="spellEnd"/>
      <w:r w:rsidRPr="00DD0CEC">
        <w:rPr>
          <w:szCs w:val="22"/>
        </w:rPr>
        <w:t xml:space="preserve"> 1997   p.11)    </w:t>
      </w:r>
    </w:p>
    <w:p w:rsidR="00895501" w:rsidRPr="00DD0CEC" w:rsidRDefault="00895501" w:rsidP="00DD0CEC">
      <w:pPr>
        <w:rPr>
          <w:szCs w:val="22"/>
        </w:rPr>
      </w:pPr>
    </w:p>
    <w:p w:rsidR="00895501" w:rsidRDefault="00895501" w:rsidP="00DD0CEC">
      <w:r w:rsidRPr="00DD0CEC">
        <w:rPr>
          <w:szCs w:val="22"/>
        </w:rPr>
        <w:t xml:space="preserve">Finally, on the question of the 'public sector premium', there are studies which confirm the significance of politics.  </w:t>
      </w:r>
      <w:r w:rsidRPr="00DD0CEC">
        <w:rPr>
          <w:rStyle w:val="Hyperlink"/>
          <w:color w:val="000000"/>
          <w:szCs w:val="22"/>
          <w:u w:val="none"/>
        </w:rPr>
        <w:t>A European study of public-private relativities in 2001 found that, after adjusting for industrial and occupational differences, public employees enjoy relatively higher pay than their private sector counterparts only at the lower end of the pay scale -  for higher paid workers, “</w:t>
      </w:r>
      <w:r w:rsidRPr="00DD0CEC">
        <w:rPr>
          <w:rStyle w:val="Hyperlink"/>
          <w:rFonts w:eastAsia="Times-Roman"/>
          <w:color w:val="000000"/>
          <w:szCs w:val="22"/>
          <w:u w:val="none"/>
        </w:rPr>
        <w:t xml:space="preserve">the wage </w:t>
      </w:r>
      <w:r w:rsidRPr="00DD0CEC">
        <w:rPr>
          <w:rFonts w:eastAsia="Times-Roman"/>
          <w:szCs w:val="22"/>
        </w:rPr>
        <w:t>differential between public and private sector decreases and becomes close to zero</w:t>
      </w:r>
      <w:r w:rsidRPr="00DD0CEC">
        <w:rPr>
          <w:rStyle w:val="Hyperlink"/>
          <w:rFonts w:eastAsia="Times-Roman"/>
          <w:color w:val="000000"/>
          <w:szCs w:val="22"/>
          <w:u w:val="none"/>
        </w:rPr>
        <w:t xml:space="preserve">”. </w:t>
      </w:r>
      <w:r w:rsidRPr="00DD0CEC">
        <w:rPr>
          <w:rStyle w:val="Hyperlink"/>
          <w:rFonts w:eastAsia="Times-Roman"/>
          <w:color w:val="000000"/>
          <w:szCs w:val="22"/>
          <w:u w:val="none"/>
        </w:rPr>
        <w:endnoteReference w:id="42"/>
      </w:r>
      <w:r w:rsidRPr="00DD0CEC">
        <w:rPr>
          <w:rStyle w:val="Hyperlink"/>
          <w:rFonts w:eastAsia="Times-Roman"/>
          <w:color w:val="000000"/>
          <w:szCs w:val="22"/>
          <w:u w:val="none"/>
        </w:rPr>
        <w:t xml:space="preserve">   </w:t>
      </w:r>
      <w:r w:rsidRPr="00DD0CEC">
        <w:rPr>
          <w:szCs w:val="22"/>
        </w:rPr>
        <w:t xml:space="preserve">A detailed survey of relative movements in public and private sector pay in the USA found that relative pay varies over time, and that public sector pay varies as much as private sector pay. </w:t>
      </w:r>
      <w:r w:rsidRPr="00DD0CEC">
        <w:rPr>
          <w:rStyle w:val="Hyperlink"/>
          <w:color w:val="000000"/>
          <w:szCs w:val="22"/>
          <w:u w:val="none"/>
        </w:rPr>
        <w:t xml:space="preserve">Employment policies also make a difference:  “….the public sector workers who tend to be most highly paid in the </w:t>
      </w:r>
      <w:proofErr w:type="spellStart"/>
      <w:r w:rsidRPr="00DD0CEC">
        <w:rPr>
          <w:rStyle w:val="Hyperlink"/>
          <w:color w:val="000000"/>
          <w:szCs w:val="22"/>
          <w:u w:val="none"/>
        </w:rPr>
        <w:t>the</w:t>
      </w:r>
      <w:proofErr w:type="spellEnd"/>
      <w:r w:rsidRPr="00DD0CEC">
        <w:rPr>
          <w:rStyle w:val="Hyperlink"/>
          <w:color w:val="000000"/>
          <w:szCs w:val="22"/>
          <w:u w:val="none"/>
        </w:rPr>
        <w:t xml:space="preserve"> US relative to private sector workers are blacks and women, suggesting that the public sector has a better equal employment/affirmative action record than does the private sector.”  (Freeman 1987) </w:t>
      </w:r>
      <w:r w:rsidRPr="00DD0CEC">
        <w:rPr>
          <w:rStyle w:val="Hyperlink"/>
          <w:color w:val="000000"/>
          <w:szCs w:val="22"/>
          <w:u w:val="none"/>
        </w:rPr>
        <w:endnoteReference w:id="43"/>
      </w:r>
      <w:r w:rsidRPr="00DD0CEC">
        <w:rPr>
          <w:rStyle w:val="Hyperlink"/>
          <w:color w:val="000000"/>
          <w:szCs w:val="22"/>
          <w:u w:val="none"/>
        </w:rPr>
        <w:t xml:space="preserve">    </w:t>
      </w:r>
    </w:p>
    <w:p w:rsidR="00895501" w:rsidRDefault="00895501">
      <w:pPr>
        <w:pStyle w:val="Heading1"/>
        <w:rPr>
          <w:lang w:val="fr-FR"/>
        </w:rPr>
      </w:pPr>
      <w:bookmarkStart w:id="91" w:name="_Toc297975216"/>
      <w:r>
        <w:rPr>
          <w:lang w:val="fr-FR"/>
        </w:rPr>
        <w:t>Conclusions</w:t>
      </w:r>
      <w:bookmarkEnd w:id="91"/>
    </w:p>
    <w:p w:rsidR="00895501" w:rsidRPr="002C2BD8" w:rsidRDefault="00895501">
      <w:r w:rsidRPr="002C2BD8">
        <w:t>The introduction set out three stages of the crisis.  The examination of the data, and the discussion of previous work, supports the clear conclusion that there is no direct economic impact on the relative</w:t>
      </w:r>
      <w:r w:rsidR="0070557E">
        <w:t xml:space="preserve"> </w:t>
      </w:r>
      <w:r w:rsidRPr="002C2BD8">
        <w:t xml:space="preserve">level of public sector pay, either from the financial crisis or the more general recession. Government responses to recessions are only indirectly relevant, too, as economic stimulus would be at worst neutral on pay levels. </w:t>
      </w:r>
    </w:p>
    <w:p w:rsidR="00895501" w:rsidRDefault="00895501"/>
    <w:p w:rsidR="00895501" w:rsidRPr="002C2BD8" w:rsidRDefault="00895501">
      <w:r w:rsidRPr="002C2BD8">
        <w:t xml:space="preserve">The impact on public sector pay rather comes from the political responses to the government stimulus measures, most notably in countries where there are either IMF programmes, or market pressures, or EU programmes (or a combination). These responses are inherently political because they involve simple choices between different policy objectives - employment levels or fiscal discipline.  They are also political because the  measures to reduce public sector pay – and other public spending on services and benefits, - and/or measures to increase taxes, and/or maintenance of high deficits, are generally and correctly understood as a way of redistributing the 'pain' of the </w:t>
      </w:r>
      <w:proofErr w:type="spellStart"/>
      <w:r w:rsidRPr="002C2BD8">
        <w:t>recesssion</w:t>
      </w:r>
      <w:proofErr w:type="spellEnd"/>
      <w:r w:rsidRPr="002C2BD8">
        <w:t xml:space="preserve">. </w:t>
      </w:r>
    </w:p>
    <w:p w:rsidR="00895501" w:rsidRDefault="00895501"/>
    <w:p w:rsidR="00895501" w:rsidRDefault="00895501"/>
    <w:p w:rsidR="00895501" w:rsidRDefault="00895501"/>
    <w:p w:rsidR="00895501" w:rsidRDefault="0021143A">
      <w:r>
        <w:br w:type="page"/>
      </w:r>
    </w:p>
    <w:p w:rsidR="00895501" w:rsidRDefault="00895501"/>
    <w:p w:rsidR="00895501" w:rsidRDefault="00895501">
      <w:pPr>
        <w:pStyle w:val="Heading1"/>
        <w:rPr>
          <w:lang w:val="fr-FR"/>
        </w:rPr>
      </w:pPr>
      <w:bookmarkStart w:id="92" w:name="__RefHeading__2523_5168522"/>
      <w:bookmarkStart w:id="93" w:name="_Toc297975217"/>
      <w:bookmarkEnd w:id="92"/>
      <w:r>
        <w:rPr>
          <w:lang w:val="fr-FR"/>
        </w:rPr>
        <w:t>Notes</w:t>
      </w:r>
      <w:bookmarkEnd w:id="93"/>
    </w:p>
    <w:sectPr w:rsidR="00895501">
      <w:type w:val="continuous"/>
      <w:pgSz w:w="11906" w:h="16838"/>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7E7" w:rsidRDefault="009607E7">
      <w:r>
        <w:separator/>
      </w:r>
    </w:p>
  </w:endnote>
  <w:endnote w:type="continuationSeparator" w:id="0">
    <w:p w:rsidR="009607E7" w:rsidRDefault="009607E7">
      <w:r>
        <w:continuationSeparator/>
      </w:r>
    </w:p>
  </w:endnote>
  <w:endnote w:id="1">
    <w:p w:rsidR="0058678A" w:rsidRPr="00F75586" w:rsidRDefault="0058678A" w:rsidP="00F75586">
      <w:pPr>
        <w:pStyle w:val="EndnoteText"/>
        <w:rPr>
          <w:bCs/>
          <w:iCs/>
        </w:rPr>
      </w:pPr>
      <w:r>
        <w:rPr>
          <w:rStyle w:val="EndnoteReference"/>
        </w:rPr>
        <w:endnoteRef/>
      </w:r>
      <w:r>
        <w:t xml:space="preserve"> </w:t>
      </w:r>
      <w:r w:rsidRPr="00F75586">
        <w:rPr>
          <w:bCs/>
          <w:iCs/>
        </w:rPr>
        <w:t xml:space="preserve">Sources: </w:t>
      </w:r>
    </w:p>
    <w:p w:rsidR="0058678A" w:rsidRPr="00F75586" w:rsidRDefault="0058678A" w:rsidP="00F75586">
      <w:pPr>
        <w:pStyle w:val="EndnoteText"/>
        <w:numPr>
          <w:ilvl w:val="0"/>
          <w:numId w:val="30"/>
        </w:numPr>
      </w:pPr>
      <w:r w:rsidRPr="00F75586">
        <w:t xml:space="preserve">CBO April 2011 </w:t>
      </w:r>
      <w:hyperlink r:id="rId1" w:history="1">
        <w:r w:rsidRPr="00F75586">
          <w:rPr>
            <w:rStyle w:val="Hyperlink"/>
          </w:rPr>
          <w:t>An analysis of the President's budgetary proposals for fiscal year 2012</w:t>
        </w:r>
      </w:hyperlink>
    </w:p>
    <w:p w:rsidR="0058678A" w:rsidRPr="00F75586" w:rsidRDefault="0058678A" w:rsidP="00F75586">
      <w:pPr>
        <w:pStyle w:val="EndnoteText"/>
        <w:numPr>
          <w:ilvl w:val="0"/>
          <w:numId w:val="30"/>
        </w:numPr>
      </w:pPr>
      <w:r w:rsidRPr="00F75586">
        <w:rPr>
          <w:lang w:val="en-US"/>
        </w:rPr>
        <w:t>CBO June 2011</w:t>
      </w:r>
      <w:hyperlink r:id="rId2" w:history="1">
        <w:r w:rsidRPr="00F75586">
          <w:rPr>
            <w:rStyle w:val="Hyperlink"/>
            <w:lang w:val="en-US"/>
          </w:rPr>
          <w:t xml:space="preserve"> </w:t>
        </w:r>
        <w:r w:rsidRPr="00F75586">
          <w:rPr>
            <w:rStyle w:val="Hyperlink"/>
          </w:rPr>
          <w:t>2011 Long-Term Budget Outlook</w:t>
        </w:r>
      </w:hyperlink>
      <w:r w:rsidRPr="00F75586">
        <w:t xml:space="preserve"> </w:t>
      </w:r>
    </w:p>
    <w:p w:rsidR="0058678A" w:rsidRPr="00F75586" w:rsidRDefault="0058678A" w:rsidP="00F75586">
      <w:pPr>
        <w:pStyle w:val="EndnoteText"/>
        <w:numPr>
          <w:ilvl w:val="0"/>
          <w:numId w:val="30"/>
        </w:numPr>
      </w:pPr>
      <w:r w:rsidRPr="00F75586">
        <w:rPr>
          <w:lang w:val="en-US"/>
        </w:rPr>
        <w:t xml:space="preserve">NGA/NASBO May 2011 </w:t>
      </w:r>
      <w:hyperlink r:id="rId3" w:history="1">
        <w:r w:rsidRPr="00F75586">
          <w:rPr>
            <w:rStyle w:val="Hyperlink"/>
            <w:bCs/>
          </w:rPr>
          <w:t>Spring 2011 Fiscal Survey of States</w:t>
        </w:r>
      </w:hyperlink>
    </w:p>
    <w:p w:rsidR="0058678A" w:rsidRPr="00F75586" w:rsidRDefault="0058678A" w:rsidP="00F75586">
      <w:pPr>
        <w:pStyle w:val="EndnoteText"/>
        <w:numPr>
          <w:ilvl w:val="0"/>
          <w:numId w:val="30"/>
        </w:numPr>
      </w:pPr>
      <w:r w:rsidRPr="00F75586">
        <w:rPr>
          <w:bCs/>
          <w:iCs/>
        </w:rPr>
        <w:t xml:space="preserve">CBPP </w:t>
      </w:r>
      <w:r w:rsidRPr="00F75586">
        <w:t xml:space="preserve">Feb 2011  </w:t>
      </w:r>
      <w:hyperlink r:id="rId4" w:history="1">
        <w:r w:rsidRPr="00F75586">
          <w:rPr>
            <w:rStyle w:val="Hyperlink"/>
          </w:rPr>
          <w:t xml:space="preserve">An Update on State Budget Cuts </w:t>
        </w:r>
      </w:hyperlink>
    </w:p>
    <w:p w:rsidR="0058678A" w:rsidRPr="00F75586" w:rsidRDefault="0058678A" w:rsidP="00F75586">
      <w:pPr>
        <w:pStyle w:val="EndnoteText"/>
        <w:numPr>
          <w:ilvl w:val="0"/>
          <w:numId w:val="30"/>
        </w:numPr>
      </w:pPr>
      <w:r w:rsidRPr="00F75586">
        <w:t>CBPP June 2011</w:t>
      </w:r>
      <w:hyperlink r:id="rId5" w:history="1">
        <w:r w:rsidRPr="00F75586">
          <w:rPr>
            <w:rStyle w:val="Hyperlink"/>
          </w:rPr>
          <w:t>States Continue to Feel recession’s Impact</w:t>
        </w:r>
      </w:hyperlink>
    </w:p>
    <w:p w:rsidR="0058678A" w:rsidRPr="00F75586" w:rsidRDefault="0058678A" w:rsidP="00F75586">
      <w:pPr>
        <w:pStyle w:val="EndnoteText"/>
        <w:numPr>
          <w:ilvl w:val="0"/>
          <w:numId w:val="30"/>
        </w:numPr>
      </w:pPr>
      <w:r w:rsidRPr="00F75586">
        <w:t xml:space="preserve">Wall Street Journal 29 June 2011 </w:t>
      </w:r>
      <w:hyperlink r:id="rId6" w:history="1">
        <w:r w:rsidRPr="00F75586">
          <w:rPr>
            <w:rStyle w:val="Hyperlink"/>
            <w:iCs/>
          </w:rPr>
          <w:t>California Budget</w:t>
        </w:r>
        <w:r w:rsidRPr="00F75586">
          <w:rPr>
            <w:rStyle w:val="Hyperlink"/>
          </w:rPr>
          <w:t xml:space="preserve"> Deal Leaves GOP Out in Cold</w:t>
        </w:r>
      </w:hyperlink>
    </w:p>
    <w:p w:rsidR="0058678A" w:rsidRPr="00F75586" w:rsidRDefault="0058678A" w:rsidP="00F75586">
      <w:pPr>
        <w:pStyle w:val="EndnoteText"/>
        <w:numPr>
          <w:ilvl w:val="0"/>
          <w:numId w:val="30"/>
        </w:numPr>
        <w:rPr>
          <w:bCs/>
          <w:iCs/>
        </w:rPr>
      </w:pPr>
      <w:r w:rsidRPr="00F75586">
        <w:t xml:space="preserve">IMF June 2011 </w:t>
      </w:r>
      <w:hyperlink r:id="rId7" w:history="1">
        <w:r w:rsidRPr="00F75586">
          <w:rPr>
            <w:rStyle w:val="Hyperlink"/>
          </w:rPr>
          <w:t>World Economic Outlook Update</w:t>
        </w:r>
      </w:hyperlink>
      <w:r w:rsidRPr="00F75586">
        <w:t xml:space="preserve"> </w:t>
      </w:r>
    </w:p>
    <w:p w:rsidR="0058678A" w:rsidRDefault="0058678A">
      <w:pPr>
        <w:pStyle w:val="EndnoteText"/>
      </w:pPr>
    </w:p>
  </w:endnote>
  <w:endnote w:id="2">
    <w:p w:rsidR="0058678A" w:rsidRPr="00F15C03" w:rsidRDefault="0058678A">
      <w:pPr>
        <w:rPr>
          <w:sz w:val="20"/>
          <w:szCs w:val="20"/>
        </w:rPr>
      </w:pPr>
      <w:r w:rsidRPr="00F15C03">
        <w:rPr>
          <w:rStyle w:val="EndnoteCharacters"/>
          <w:sz w:val="20"/>
          <w:szCs w:val="20"/>
        </w:rPr>
        <w:endnoteRef/>
      </w:r>
      <w:r w:rsidRPr="00F15C03">
        <w:rPr>
          <w:sz w:val="20"/>
          <w:szCs w:val="20"/>
        </w:rPr>
        <w:tab/>
        <w:t xml:space="preserve"> NY Times January 22, 2010 Most U.S. Union Members Are Working for the Government, New Data Shows </w:t>
      </w:r>
    </w:p>
    <w:p w:rsidR="0058678A" w:rsidRPr="00F15C03" w:rsidRDefault="0058678A">
      <w:pPr>
        <w:rPr>
          <w:sz w:val="20"/>
          <w:szCs w:val="20"/>
        </w:rPr>
      </w:pPr>
      <w:r w:rsidRPr="00F15C03">
        <w:rPr>
          <w:sz w:val="20"/>
          <w:szCs w:val="20"/>
        </w:rPr>
        <w:tab/>
        <w:t xml:space="preserve">   </w:t>
      </w:r>
      <w:hyperlink r:id="rId8" w:history="1">
        <w:r w:rsidRPr="00F15C03">
          <w:rPr>
            <w:rStyle w:val="Hyperlink"/>
            <w:sz w:val="20"/>
            <w:szCs w:val="20"/>
          </w:rPr>
          <w:t>http://www.nytimes.com/2010/01/23/business/23labor.html</w:t>
        </w:r>
      </w:hyperlink>
      <w:r w:rsidRPr="00F15C03">
        <w:rPr>
          <w:sz w:val="20"/>
          <w:szCs w:val="20"/>
        </w:rPr>
        <w:t xml:space="preserve">  ; </w:t>
      </w:r>
      <w:hyperlink r:id="rId9" w:history="1">
        <w:r w:rsidRPr="00F15C03">
          <w:rPr>
            <w:rStyle w:val="Hyperlink"/>
            <w:sz w:val="20"/>
            <w:szCs w:val="20"/>
          </w:rPr>
          <w:t>http://www.bls.gov/news.release/union2.nr0.htm</w:t>
        </w:r>
      </w:hyperlink>
      <w:r w:rsidRPr="00F15C03">
        <w:rPr>
          <w:sz w:val="20"/>
          <w:szCs w:val="20"/>
        </w:rPr>
        <w:t xml:space="preserve"> </w:t>
      </w:r>
    </w:p>
  </w:endnote>
  <w:endnote w:id="3">
    <w:p w:rsidR="0058678A" w:rsidRPr="00F15C03" w:rsidRDefault="0058678A">
      <w:pPr>
        <w:pStyle w:val="EndnoteText"/>
      </w:pPr>
      <w:r w:rsidRPr="00F15C03">
        <w:rPr>
          <w:rStyle w:val="EndnoteCharacters"/>
        </w:rPr>
        <w:endnoteRef/>
      </w:r>
      <w:r w:rsidRPr="00F15C03">
        <w:tab/>
        <w:t xml:space="preserve"> The financial sector’s weighting is 7.3/100 for all civilian workers (BLS Monthly </w:t>
      </w:r>
      <w:proofErr w:type="spellStart"/>
      <w:r w:rsidRPr="00F15C03">
        <w:t>Labor</w:t>
      </w:r>
      <w:proofErr w:type="spellEnd"/>
      <w:r w:rsidRPr="00F15C03">
        <w:t xml:space="preserve"> Review April 2006 </w:t>
      </w:r>
      <w:r w:rsidRPr="00F15C03">
        <w:rPr>
          <w:bCs/>
        </w:rPr>
        <w:t>Introducing 2002 weights for the Employment Cost Index</w:t>
      </w:r>
      <w:r w:rsidRPr="00F15C03">
        <w:t xml:space="preserve">    </w:t>
      </w:r>
      <w:hyperlink r:id="rId10" w:history="1">
        <w:r w:rsidRPr="00F15C03">
          <w:rPr>
            <w:rStyle w:val="Hyperlink"/>
          </w:rPr>
          <w:t>http://www.bls.gov/opub/mlr/2006/04/art5full.pdf</w:t>
        </w:r>
      </w:hyperlink>
      <w:r w:rsidRPr="00F15C03">
        <w:t xml:space="preserve">). If earnings in the sector had grown as much faster than average as they had before, then they would have risen by around 4.0% , 1.6% higher than the actual rise of 2.4%; weighted by 7.3/100, this would account for about one tenth of the 1.3% gap between private and public sectors. </w:t>
      </w:r>
    </w:p>
  </w:endnote>
  <w:endnote w:id="4">
    <w:p w:rsidR="0058678A" w:rsidRPr="00F15C03" w:rsidRDefault="0058678A" w:rsidP="00EC0F58">
      <w:pPr>
        <w:pStyle w:val="EndnoteText"/>
      </w:pPr>
      <w:r w:rsidRPr="00F15C03">
        <w:rPr>
          <w:rStyle w:val="EndnoteCharacters"/>
        </w:rPr>
        <w:endnoteRef/>
      </w:r>
      <w:r w:rsidRPr="00F15C03">
        <w:tab/>
        <w:t xml:space="preserve">  Congress votes down proposals to freeze federal pay May 28, 2010    </w:t>
      </w:r>
      <w:hyperlink r:id="rId11" w:history="1">
        <w:r w:rsidRPr="00F15C03">
          <w:rPr>
            <w:rStyle w:val="Hyperlink"/>
          </w:rPr>
          <w:t>http://www.govexec.com/dailyfed/0510/052810e1.htm</w:t>
        </w:r>
      </w:hyperlink>
      <w:r w:rsidRPr="00F15C03">
        <w:t>; Could Obama ask for a federal pay cut? Washington Post Ed O'Keefe  |  May 18, 2010</w:t>
      </w:r>
    </w:p>
    <w:p w:rsidR="0058678A" w:rsidRPr="00F15C03" w:rsidRDefault="0058678A" w:rsidP="00EC0F58">
      <w:pPr>
        <w:pStyle w:val="EndnoteText"/>
      </w:pPr>
      <w:r w:rsidRPr="00F15C03">
        <w:tab/>
        <w:t xml:space="preserve">   </w:t>
      </w:r>
      <w:hyperlink r:id="rId12" w:history="1">
        <w:r w:rsidRPr="00F15C03">
          <w:rPr>
            <w:rStyle w:val="Hyperlink"/>
          </w:rPr>
          <w:t>http://voices.washingtonpost.com/federal-eye/2010/05/could_obama_ask_for_a_federal.html</w:t>
        </w:r>
      </w:hyperlink>
      <w:r w:rsidRPr="00F15C03">
        <w:t xml:space="preserve"> </w:t>
      </w:r>
    </w:p>
  </w:endnote>
  <w:endnote w:id="5">
    <w:p w:rsidR="0058678A" w:rsidRPr="00F15C03" w:rsidRDefault="0058678A">
      <w:pPr>
        <w:rPr>
          <w:sz w:val="20"/>
          <w:szCs w:val="20"/>
        </w:rPr>
      </w:pPr>
      <w:r w:rsidRPr="00F15C03">
        <w:rPr>
          <w:rStyle w:val="EndnoteCharacters"/>
          <w:sz w:val="20"/>
          <w:szCs w:val="20"/>
        </w:rPr>
        <w:endnoteRef/>
      </w:r>
      <w:r w:rsidRPr="00F15C03">
        <w:rPr>
          <w:sz w:val="20"/>
          <w:szCs w:val="20"/>
        </w:rPr>
        <w:tab/>
        <w:t xml:space="preserve"> The Associated Press State &amp; Local Wire  May 25, 2010 Tuesday 8:19 PM GMT  </w:t>
      </w:r>
      <w:proofErr w:type="spellStart"/>
      <w:r w:rsidRPr="00F15C03">
        <w:rPr>
          <w:sz w:val="20"/>
          <w:szCs w:val="20"/>
        </w:rPr>
        <w:t>Nonunion</w:t>
      </w:r>
      <w:proofErr w:type="spellEnd"/>
      <w:r w:rsidRPr="00F15C03">
        <w:rPr>
          <w:sz w:val="20"/>
          <w:szCs w:val="20"/>
        </w:rPr>
        <w:t xml:space="preserve"> state Neb. employees to have pay frozen </w:t>
      </w:r>
    </w:p>
  </w:endnote>
  <w:endnote w:id="6">
    <w:p w:rsidR="0058678A" w:rsidRPr="00F15C03" w:rsidRDefault="0058678A">
      <w:pPr>
        <w:rPr>
          <w:rStyle w:val="ssl0"/>
          <w:sz w:val="20"/>
          <w:szCs w:val="20"/>
        </w:rPr>
      </w:pPr>
      <w:r w:rsidRPr="00F15C03">
        <w:rPr>
          <w:rStyle w:val="EndnoteCharacters"/>
          <w:sz w:val="20"/>
          <w:szCs w:val="20"/>
        </w:rPr>
        <w:endnoteRef/>
      </w:r>
      <w:r w:rsidRPr="00F15C03">
        <w:rPr>
          <w:sz w:val="20"/>
          <w:szCs w:val="20"/>
        </w:rPr>
        <w:tab/>
        <w:t xml:space="preserve"> San Jose Mercury News (California) June 5, 2010 Saturday </w:t>
      </w:r>
      <w:r w:rsidRPr="00F15C03">
        <w:rPr>
          <w:rStyle w:val="ssl0"/>
          <w:sz w:val="20"/>
          <w:szCs w:val="20"/>
        </w:rPr>
        <w:t xml:space="preserve">Santa Cruz Metro service, worker </w:t>
      </w:r>
      <w:r w:rsidRPr="00F15C03">
        <w:rPr>
          <w:rStyle w:val="hit"/>
          <w:sz w:val="20"/>
          <w:szCs w:val="20"/>
        </w:rPr>
        <w:t>pay cuts</w:t>
      </w:r>
      <w:r w:rsidRPr="00F15C03">
        <w:rPr>
          <w:rStyle w:val="ssl0"/>
          <w:sz w:val="20"/>
          <w:szCs w:val="20"/>
        </w:rPr>
        <w:t xml:space="preserve"> loom </w:t>
      </w:r>
    </w:p>
  </w:endnote>
  <w:endnote w:id="7">
    <w:p w:rsidR="0058678A" w:rsidRPr="00F15C03" w:rsidRDefault="0058678A">
      <w:pPr>
        <w:rPr>
          <w:sz w:val="20"/>
          <w:szCs w:val="20"/>
        </w:rPr>
      </w:pPr>
      <w:r w:rsidRPr="00F15C03">
        <w:rPr>
          <w:rStyle w:val="EndnoteCharacters"/>
          <w:sz w:val="20"/>
          <w:szCs w:val="20"/>
        </w:rPr>
        <w:endnoteRef/>
      </w:r>
      <w:r w:rsidRPr="00F15C03">
        <w:rPr>
          <w:sz w:val="20"/>
          <w:szCs w:val="20"/>
        </w:rPr>
        <w:tab/>
        <w:t xml:space="preserve"> Akron Beacon Journal (Ohio) June 3, 2010 Thursday Contract reached with city workers: AFSCME members accept unpaid days, won't receive raises</w:t>
      </w:r>
    </w:p>
  </w:endnote>
  <w:endnote w:id="8">
    <w:p w:rsidR="0058678A" w:rsidRPr="00F15C03" w:rsidRDefault="0058678A">
      <w:pPr>
        <w:rPr>
          <w:sz w:val="20"/>
          <w:szCs w:val="20"/>
        </w:rPr>
      </w:pPr>
      <w:r w:rsidRPr="00F15C03">
        <w:rPr>
          <w:rStyle w:val="EndnoteCharacters"/>
          <w:sz w:val="20"/>
          <w:szCs w:val="20"/>
        </w:rPr>
        <w:endnoteRef/>
      </w:r>
      <w:r w:rsidRPr="00F15C03">
        <w:rPr>
          <w:sz w:val="20"/>
          <w:szCs w:val="20"/>
        </w:rPr>
        <w:tab/>
        <w:t xml:space="preserve"> May 19, 2010 Wednesday San Bernardino City teachers agree to pay cut </w:t>
      </w:r>
    </w:p>
  </w:endnote>
  <w:endnote w:id="9">
    <w:p w:rsidR="0058678A" w:rsidRPr="00F15C03" w:rsidRDefault="0058678A">
      <w:pPr>
        <w:rPr>
          <w:sz w:val="20"/>
          <w:szCs w:val="20"/>
        </w:rPr>
      </w:pPr>
      <w:r w:rsidRPr="00F15C03">
        <w:rPr>
          <w:rStyle w:val="EndnoteCharacters"/>
          <w:sz w:val="20"/>
          <w:szCs w:val="20"/>
        </w:rPr>
        <w:endnoteRef/>
      </w:r>
      <w:r w:rsidRPr="00F15C03">
        <w:rPr>
          <w:sz w:val="20"/>
          <w:szCs w:val="20"/>
        </w:rPr>
        <w:tab/>
        <w:t xml:space="preserve"> Daily News (New York) June 3, 2010 Thursday NO CITY SCHOOL LAYOFFS</w:t>
      </w:r>
      <w:proofErr w:type="gramStart"/>
      <w:r w:rsidRPr="00F15C03">
        <w:rPr>
          <w:sz w:val="20"/>
          <w:szCs w:val="20"/>
        </w:rPr>
        <w:t>!.</w:t>
      </w:r>
      <w:proofErr w:type="gramEnd"/>
      <w:r w:rsidRPr="00F15C03">
        <w:rPr>
          <w:sz w:val="20"/>
          <w:szCs w:val="20"/>
        </w:rPr>
        <w:t xml:space="preserve"> BUT UNIONS GRUMBLE AMID 4% BUDGET CUTS, HALT TO 2% RAISES &amp; SALARY FREEZE FOR 2 YRS.</w:t>
      </w:r>
    </w:p>
  </w:endnote>
  <w:endnote w:id="10">
    <w:p w:rsidR="0058678A" w:rsidRPr="00F15C03" w:rsidRDefault="0058678A">
      <w:pPr>
        <w:rPr>
          <w:rStyle w:val="hit"/>
          <w:sz w:val="20"/>
          <w:szCs w:val="20"/>
        </w:rPr>
      </w:pPr>
      <w:r w:rsidRPr="00F15C03">
        <w:rPr>
          <w:rStyle w:val="EndnoteCharacters"/>
          <w:sz w:val="20"/>
          <w:szCs w:val="20"/>
        </w:rPr>
        <w:endnoteRef/>
      </w:r>
      <w:r w:rsidRPr="00F15C03">
        <w:rPr>
          <w:sz w:val="20"/>
          <w:szCs w:val="20"/>
        </w:rPr>
        <w:tab/>
        <w:t xml:space="preserve"> The Associated Press State &amp; Local Wire May 18, 2010 </w:t>
      </w:r>
      <w:r w:rsidRPr="00F15C03">
        <w:rPr>
          <w:rStyle w:val="ssl0"/>
          <w:sz w:val="20"/>
          <w:szCs w:val="20"/>
        </w:rPr>
        <w:t xml:space="preserve">Del. committee OKs restoring state worker </w:t>
      </w:r>
      <w:r w:rsidRPr="00F15C03">
        <w:rPr>
          <w:rStyle w:val="hit"/>
          <w:sz w:val="20"/>
          <w:szCs w:val="20"/>
        </w:rPr>
        <w:t>pay cut</w:t>
      </w:r>
    </w:p>
  </w:endnote>
  <w:endnote w:id="11">
    <w:p w:rsidR="0058678A" w:rsidRPr="00F15C03" w:rsidRDefault="0058678A">
      <w:pPr>
        <w:rPr>
          <w:sz w:val="20"/>
          <w:szCs w:val="20"/>
        </w:rPr>
      </w:pPr>
      <w:r w:rsidRPr="00F15C03">
        <w:rPr>
          <w:rStyle w:val="EndnoteCharacters"/>
          <w:sz w:val="20"/>
          <w:szCs w:val="20"/>
        </w:rPr>
        <w:endnoteRef/>
      </w:r>
      <w:r w:rsidRPr="00F15C03">
        <w:rPr>
          <w:sz w:val="20"/>
          <w:szCs w:val="20"/>
        </w:rPr>
        <w:tab/>
        <w:t xml:space="preserve"> Richmond Times Dispatch (Virginia) May 18, 2010 Tuesday  State surplus could trigger 3% pay bonus; </w:t>
      </w:r>
      <w:r w:rsidRPr="00F15C03">
        <w:rPr>
          <w:sz w:val="20"/>
          <w:szCs w:val="20"/>
        </w:rPr>
        <w:br/>
        <w:t xml:space="preserve">Virginia is on track for a $140 million surplus, making it possible </w:t>
      </w:r>
    </w:p>
  </w:endnote>
  <w:endnote w:id="12">
    <w:p w:rsidR="0058678A" w:rsidRPr="00F15C03" w:rsidRDefault="0058678A">
      <w:pPr>
        <w:rPr>
          <w:sz w:val="20"/>
          <w:szCs w:val="20"/>
        </w:rPr>
      </w:pPr>
      <w:r w:rsidRPr="00F15C03">
        <w:rPr>
          <w:rStyle w:val="EndnoteCharacters"/>
          <w:sz w:val="20"/>
          <w:szCs w:val="20"/>
        </w:rPr>
        <w:endnoteRef/>
      </w:r>
      <w:r w:rsidRPr="00F15C03">
        <w:rPr>
          <w:sz w:val="20"/>
          <w:szCs w:val="20"/>
        </w:rPr>
        <w:tab/>
        <w:t xml:space="preserve"> AC Transit must get back to the negotiating table </w:t>
      </w:r>
      <w:proofErr w:type="spellStart"/>
      <w:r w:rsidRPr="00F15C03">
        <w:rPr>
          <w:sz w:val="20"/>
          <w:szCs w:val="20"/>
        </w:rPr>
        <w:t>claudia</w:t>
      </w:r>
      <w:proofErr w:type="spellEnd"/>
      <w:r w:rsidRPr="00F15C03">
        <w:rPr>
          <w:sz w:val="20"/>
          <w:szCs w:val="20"/>
        </w:rPr>
        <w:t xml:space="preserve"> </w:t>
      </w:r>
      <w:proofErr w:type="spellStart"/>
      <w:r w:rsidRPr="00F15C03">
        <w:rPr>
          <w:sz w:val="20"/>
          <w:szCs w:val="20"/>
        </w:rPr>
        <w:t>hudson</w:t>
      </w:r>
      <w:proofErr w:type="spellEnd"/>
      <w:r w:rsidRPr="00F15C03">
        <w:rPr>
          <w:sz w:val="20"/>
          <w:szCs w:val="20"/>
        </w:rPr>
        <w:t xml:space="preserve"> | From the community 07/17/2010</w:t>
      </w:r>
    </w:p>
    <w:p w:rsidR="0058678A" w:rsidRPr="00F15C03" w:rsidRDefault="00BA7388">
      <w:pPr>
        <w:rPr>
          <w:sz w:val="20"/>
          <w:szCs w:val="20"/>
        </w:rPr>
      </w:pPr>
      <w:hyperlink r:id="rId13" w:history="1">
        <w:r w:rsidR="0058678A" w:rsidRPr="00F15C03">
          <w:rPr>
            <w:rStyle w:val="Hyperlink"/>
            <w:sz w:val="20"/>
            <w:szCs w:val="20"/>
          </w:rPr>
          <w:tab/>
          <w:t>http://www.insidebayarea.com/columns/ci_15536011</w:t>
        </w:r>
      </w:hyperlink>
      <w:r w:rsidR="0058678A" w:rsidRPr="00F15C03">
        <w:rPr>
          <w:sz w:val="20"/>
          <w:szCs w:val="20"/>
        </w:rPr>
        <w:t xml:space="preserve"> Guest Commentary By Claudia Hudson</w:t>
      </w:r>
    </w:p>
  </w:endnote>
  <w:endnote w:id="13">
    <w:p w:rsidR="0058678A" w:rsidRPr="00EF5FAA" w:rsidRDefault="0058678A" w:rsidP="00EF5FAA">
      <w:pPr>
        <w:pStyle w:val="EndnoteText"/>
        <w:rPr>
          <w:bCs/>
          <w:i/>
          <w:iCs/>
        </w:rPr>
      </w:pPr>
      <w:r>
        <w:rPr>
          <w:rStyle w:val="EndnoteReference"/>
        </w:rPr>
        <w:endnoteRef/>
      </w:r>
      <w:r>
        <w:t xml:space="preserve"> </w:t>
      </w:r>
      <w:r w:rsidRPr="00EF5FAA">
        <w:rPr>
          <w:bCs/>
          <w:i/>
          <w:iCs/>
        </w:rPr>
        <w:t xml:space="preserve">Sources: </w:t>
      </w:r>
    </w:p>
    <w:p w:rsidR="0058678A" w:rsidRPr="00EF5FAA" w:rsidRDefault="0058678A" w:rsidP="00EF5FAA">
      <w:pPr>
        <w:pStyle w:val="EndnoteText"/>
        <w:numPr>
          <w:ilvl w:val="0"/>
          <w:numId w:val="31"/>
        </w:numPr>
        <w:rPr>
          <w:bCs/>
          <w:i/>
          <w:iCs/>
        </w:rPr>
      </w:pPr>
      <w:proofErr w:type="spellStart"/>
      <w:r w:rsidRPr="00EF5FAA">
        <w:rPr>
          <w:bCs/>
          <w:i/>
          <w:iCs/>
        </w:rPr>
        <w:t>J.Slater</w:t>
      </w:r>
      <w:proofErr w:type="spellEnd"/>
      <w:r w:rsidRPr="00EF5FAA">
        <w:rPr>
          <w:bCs/>
          <w:i/>
          <w:iCs/>
        </w:rPr>
        <w:t xml:space="preserve"> June 2011</w:t>
      </w:r>
      <w:hyperlink r:id="rId14" w:history="1">
        <w:r w:rsidRPr="00EF5FAA">
          <w:rPr>
            <w:rStyle w:val="Hyperlink"/>
            <w:i/>
            <w:iCs/>
          </w:rPr>
          <w:t xml:space="preserve"> The Assault on Public Sector Collective Bargaining: Real Harms and Imaginary Benefits</w:t>
        </w:r>
      </w:hyperlink>
    </w:p>
    <w:p w:rsidR="0058678A" w:rsidRPr="00EF5FAA" w:rsidRDefault="0058678A" w:rsidP="00EF5FAA">
      <w:pPr>
        <w:pStyle w:val="EndnoteText"/>
        <w:numPr>
          <w:ilvl w:val="0"/>
          <w:numId w:val="31"/>
        </w:numPr>
        <w:rPr>
          <w:bCs/>
          <w:i/>
          <w:iCs/>
        </w:rPr>
      </w:pPr>
      <w:r w:rsidRPr="00EF5FAA">
        <w:rPr>
          <w:bCs/>
          <w:i/>
          <w:iCs/>
        </w:rPr>
        <w:t xml:space="preserve">Chicago Tribune 28 June 2011 </w:t>
      </w:r>
      <w:hyperlink r:id="rId15" w:history="1">
        <w:r w:rsidRPr="00EF5FAA">
          <w:rPr>
            <w:rStyle w:val="Hyperlink"/>
            <w:bCs/>
            <w:i/>
            <w:iCs/>
          </w:rPr>
          <w:t xml:space="preserve">After heated debate, Wisconsin union law takes effect </w:t>
        </w:r>
      </w:hyperlink>
      <w:r w:rsidRPr="00EF5FAA">
        <w:rPr>
          <w:bCs/>
          <w:i/>
          <w:iCs/>
        </w:rPr>
        <w:t xml:space="preserve"> </w:t>
      </w:r>
    </w:p>
    <w:p w:rsidR="0058678A" w:rsidRPr="00EF5FAA" w:rsidRDefault="0058678A" w:rsidP="00EF5FAA">
      <w:pPr>
        <w:pStyle w:val="EndnoteText"/>
        <w:numPr>
          <w:ilvl w:val="0"/>
          <w:numId w:val="31"/>
        </w:numPr>
        <w:rPr>
          <w:i/>
          <w:iCs/>
        </w:rPr>
      </w:pPr>
      <w:r w:rsidRPr="00EF5FAA">
        <w:rPr>
          <w:bCs/>
          <w:i/>
          <w:iCs/>
        </w:rPr>
        <w:t xml:space="preserve">Washington Post 29 November 2010 </w:t>
      </w:r>
      <w:hyperlink r:id="rId16" w:history="1">
        <w:r w:rsidRPr="00EF5FAA">
          <w:rPr>
            <w:rStyle w:val="Hyperlink"/>
            <w:i/>
            <w:iCs/>
          </w:rPr>
          <w:t>Obama announces 2-year pay freeze for federal workers</w:t>
        </w:r>
      </w:hyperlink>
    </w:p>
    <w:p w:rsidR="0058678A" w:rsidRPr="00EF5FAA" w:rsidRDefault="0058678A" w:rsidP="00EF5FAA">
      <w:pPr>
        <w:pStyle w:val="EndnoteText"/>
        <w:numPr>
          <w:ilvl w:val="0"/>
          <w:numId w:val="31"/>
        </w:numPr>
        <w:rPr>
          <w:i/>
          <w:iCs/>
        </w:rPr>
      </w:pPr>
      <w:r w:rsidRPr="00EF5FAA">
        <w:rPr>
          <w:i/>
          <w:iCs/>
        </w:rPr>
        <w:t xml:space="preserve">CNN Money 10 March 2011 </w:t>
      </w:r>
      <w:hyperlink r:id="rId17" w:history="1">
        <w:r w:rsidRPr="00EF5FAA">
          <w:rPr>
            <w:rStyle w:val="Hyperlink"/>
            <w:i/>
            <w:iCs/>
          </w:rPr>
          <w:t>Federal jobs fast becoming an endangered species</w:t>
        </w:r>
      </w:hyperlink>
      <w:r w:rsidRPr="00EF5FAA">
        <w:rPr>
          <w:i/>
          <w:iCs/>
        </w:rPr>
        <w:t xml:space="preserve"> </w:t>
      </w:r>
    </w:p>
    <w:p w:rsidR="0058678A" w:rsidRPr="00EF5FAA" w:rsidRDefault="0058678A" w:rsidP="00EF5FAA">
      <w:pPr>
        <w:pStyle w:val="EndnoteText"/>
        <w:numPr>
          <w:ilvl w:val="0"/>
          <w:numId w:val="31"/>
        </w:numPr>
        <w:rPr>
          <w:i/>
          <w:iCs/>
        </w:rPr>
      </w:pPr>
      <w:r w:rsidRPr="00EF5FAA">
        <w:rPr>
          <w:i/>
          <w:iCs/>
        </w:rPr>
        <w:t xml:space="preserve">AFSCME 02 June 2011 </w:t>
      </w:r>
      <w:hyperlink r:id="rId18" w:tooltip="Illinois Union Coalition Blocks Bills Attacking Public Service Workers" w:history="1">
        <w:r w:rsidRPr="00EF5FAA">
          <w:rPr>
            <w:rStyle w:val="Hyperlink"/>
            <w:i/>
            <w:iCs/>
          </w:rPr>
          <w:t>Illinois Union Coalition Blocks Bills Attacking Public Service Workers</w:t>
        </w:r>
      </w:hyperlink>
      <w:r w:rsidRPr="00EF5FAA">
        <w:rPr>
          <w:i/>
          <w:iCs/>
        </w:rPr>
        <w:t xml:space="preserve"> </w:t>
      </w:r>
    </w:p>
    <w:p w:rsidR="0058678A" w:rsidRPr="00EF5FAA" w:rsidRDefault="0058678A" w:rsidP="00EF5FAA">
      <w:pPr>
        <w:pStyle w:val="EndnoteText"/>
        <w:numPr>
          <w:ilvl w:val="0"/>
          <w:numId w:val="31"/>
        </w:numPr>
        <w:rPr>
          <w:bCs/>
          <w:i/>
          <w:iCs/>
        </w:rPr>
      </w:pPr>
      <w:proofErr w:type="spellStart"/>
      <w:r w:rsidRPr="00EF5FAA">
        <w:rPr>
          <w:bCs/>
          <w:i/>
          <w:iCs/>
        </w:rPr>
        <w:t>Youtube</w:t>
      </w:r>
      <w:proofErr w:type="spellEnd"/>
      <w:r w:rsidRPr="00EF5FAA">
        <w:rPr>
          <w:bCs/>
          <w:i/>
          <w:iCs/>
        </w:rPr>
        <w:t xml:space="preserve"> June 2011: </w:t>
      </w:r>
      <w:hyperlink r:id="rId19" w:history="1">
        <w:r w:rsidRPr="00EF5FAA">
          <w:rPr>
            <w:rStyle w:val="Hyperlink"/>
            <w:bCs/>
            <w:i/>
            <w:iCs/>
          </w:rPr>
          <w:t>Interview with Mary Kay Henry, President SEIU</w:t>
        </w:r>
      </w:hyperlink>
      <w:r w:rsidRPr="00EF5FAA">
        <w:rPr>
          <w:bCs/>
          <w:i/>
          <w:iCs/>
        </w:rPr>
        <w:t xml:space="preserve"> </w:t>
      </w:r>
    </w:p>
    <w:p w:rsidR="0058678A" w:rsidRPr="00EF5FAA" w:rsidRDefault="0058678A" w:rsidP="00EF5FAA">
      <w:pPr>
        <w:pStyle w:val="EndnoteText"/>
        <w:numPr>
          <w:ilvl w:val="0"/>
          <w:numId w:val="31"/>
        </w:numPr>
        <w:rPr>
          <w:bCs/>
          <w:i/>
          <w:iCs/>
        </w:rPr>
      </w:pPr>
      <w:proofErr w:type="spellStart"/>
      <w:r w:rsidRPr="00EF5FAA">
        <w:rPr>
          <w:bCs/>
          <w:i/>
          <w:iCs/>
        </w:rPr>
        <w:t>Youtube</w:t>
      </w:r>
      <w:proofErr w:type="spellEnd"/>
      <w:r w:rsidRPr="00EF5FAA">
        <w:rPr>
          <w:bCs/>
          <w:i/>
          <w:iCs/>
        </w:rPr>
        <w:t xml:space="preserve"> June 2011: </w:t>
      </w:r>
      <w:hyperlink r:id="rId20" w:history="1">
        <w:r w:rsidRPr="00EF5FAA">
          <w:rPr>
            <w:rStyle w:val="Hyperlink"/>
            <w:bCs/>
            <w:i/>
            <w:iCs/>
          </w:rPr>
          <w:t xml:space="preserve">Interview with Candice </w:t>
        </w:r>
        <w:proofErr w:type="spellStart"/>
        <w:r w:rsidRPr="00EF5FAA">
          <w:rPr>
            <w:rStyle w:val="Hyperlink"/>
            <w:bCs/>
            <w:i/>
            <w:iCs/>
          </w:rPr>
          <w:t>Owley</w:t>
        </w:r>
        <w:proofErr w:type="spellEnd"/>
        <w:r w:rsidRPr="00EF5FAA">
          <w:rPr>
            <w:rStyle w:val="Hyperlink"/>
            <w:bCs/>
            <w:i/>
            <w:iCs/>
          </w:rPr>
          <w:t>, AFT Wisconsin</w:t>
        </w:r>
      </w:hyperlink>
      <w:r w:rsidRPr="00EF5FAA">
        <w:rPr>
          <w:bCs/>
          <w:i/>
          <w:iCs/>
        </w:rPr>
        <w:t xml:space="preserve"> </w:t>
      </w:r>
    </w:p>
    <w:p w:rsidR="0058678A" w:rsidRPr="00EF5FAA" w:rsidRDefault="0058678A" w:rsidP="00EF5FAA">
      <w:pPr>
        <w:pStyle w:val="EndnoteText"/>
        <w:numPr>
          <w:ilvl w:val="0"/>
          <w:numId w:val="31"/>
        </w:numPr>
        <w:rPr>
          <w:i/>
          <w:iCs/>
        </w:rPr>
      </w:pPr>
      <w:r w:rsidRPr="00EF5FAA">
        <w:rPr>
          <w:bCs/>
          <w:i/>
          <w:iCs/>
        </w:rPr>
        <w:t xml:space="preserve">CBPP </w:t>
      </w:r>
      <w:r w:rsidRPr="00EF5FAA">
        <w:rPr>
          <w:i/>
          <w:iCs/>
        </w:rPr>
        <w:t xml:space="preserve">Feb 2011  </w:t>
      </w:r>
      <w:hyperlink r:id="rId21" w:history="1">
        <w:r w:rsidRPr="00EF5FAA">
          <w:rPr>
            <w:rStyle w:val="Hyperlink"/>
            <w:i/>
            <w:iCs/>
          </w:rPr>
          <w:t>An Update on State Budget Cuts</w:t>
        </w:r>
      </w:hyperlink>
    </w:p>
    <w:p w:rsidR="0058678A" w:rsidRDefault="0058678A">
      <w:pPr>
        <w:pStyle w:val="EndnoteText"/>
      </w:pPr>
    </w:p>
  </w:endnote>
  <w:endnote w:id="14">
    <w:p w:rsidR="0058678A" w:rsidRPr="00F75586" w:rsidRDefault="0058678A" w:rsidP="00F75586">
      <w:pPr>
        <w:pStyle w:val="EndnoteText"/>
        <w:rPr>
          <w:bCs/>
          <w:iCs/>
        </w:rPr>
      </w:pPr>
      <w:r>
        <w:rPr>
          <w:rStyle w:val="EndnoteReference"/>
        </w:rPr>
        <w:endnoteRef/>
      </w:r>
      <w:r>
        <w:t xml:space="preserve"> </w:t>
      </w:r>
      <w:r w:rsidRPr="00F75586">
        <w:rPr>
          <w:bCs/>
          <w:iCs/>
        </w:rPr>
        <w:t xml:space="preserve">Sources: </w:t>
      </w:r>
    </w:p>
    <w:p w:rsidR="0058678A" w:rsidRPr="00F75586" w:rsidRDefault="0058678A" w:rsidP="00F75586">
      <w:pPr>
        <w:pStyle w:val="EndnoteText"/>
        <w:numPr>
          <w:ilvl w:val="0"/>
          <w:numId w:val="32"/>
        </w:numPr>
      </w:pPr>
      <w:r w:rsidRPr="00F75586">
        <w:rPr>
          <w:bCs/>
          <w:iCs/>
        </w:rPr>
        <w:t xml:space="preserve">CBPP </w:t>
      </w:r>
      <w:r w:rsidRPr="00F75586">
        <w:t xml:space="preserve">An Update on State Budget Cuts Feb 2011  </w:t>
      </w:r>
      <w:hyperlink r:id="rId22" w:history="1">
        <w:r w:rsidRPr="00F75586">
          <w:rPr>
            <w:rStyle w:val="Hyperlink"/>
          </w:rPr>
          <w:t>http://www.cbpp.org/cms/index.cfm?fa=view&amp;id=1214</w:t>
        </w:r>
      </w:hyperlink>
    </w:p>
    <w:p w:rsidR="0058678A" w:rsidRPr="00F75586" w:rsidRDefault="0058678A" w:rsidP="00F75586">
      <w:pPr>
        <w:pStyle w:val="EndnoteText"/>
        <w:numPr>
          <w:ilvl w:val="0"/>
          <w:numId w:val="32"/>
        </w:numPr>
      </w:pPr>
      <w:r w:rsidRPr="00F75586">
        <w:t xml:space="preserve">CBPP </w:t>
      </w:r>
      <w:hyperlink r:id="rId23" w:history="1">
        <w:r w:rsidRPr="00F75586">
          <w:rPr>
            <w:rStyle w:val="Hyperlink"/>
          </w:rPr>
          <w:t xml:space="preserve">State Fiscal Analysis Initiative </w:t>
        </w:r>
      </w:hyperlink>
    </w:p>
    <w:p w:rsidR="0058678A" w:rsidRDefault="0058678A" w:rsidP="00F75586">
      <w:pPr>
        <w:pStyle w:val="EndnoteText"/>
      </w:pPr>
      <w:proofErr w:type="spellStart"/>
      <w:r w:rsidRPr="00F75586">
        <w:t>Truthout</w:t>
      </w:r>
      <w:proofErr w:type="spellEnd"/>
      <w:r w:rsidRPr="00F75586">
        <w:t xml:space="preserve"> 27 June 2011 </w:t>
      </w:r>
      <w:hyperlink r:id="rId24" w:history="1">
        <w:r w:rsidRPr="00F75586">
          <w:rPr>
            <w:rStyle w:val="Hyperlink"/>
          </w:rPr>
          <w:t>Dirty Deals on Social Security Likely to Succeed</w:t>
        </w:r>
      </w:hyperlink>
    </w:p>
  </w:endnote>
  <w:endnote w:id="15">
    <w:p w:rsidR="0058678A" w:rsidRPr="00B4304C" w:rsidRDefault="0058678A" w:rsidP="00B4304C">
      <w:pPr>
        <w:pStyle w:val="EndnoteText"/>
        <w:rPr>
          <w:bCs/>
          <w:iCs/>
        </w:rPr>
      </w:pPr>
      <w:r>
        <w:rPr>
          <w:rStyle w:val="EndnoteReference"/>
        </w:rPr>
        <w:endnoteRef/>
      </w:r>
      <w:r>
        <w:t xml:space="preserve"> </w:t>
      </w:r>
      <w:r w:rsidRPr="00B4304C">
        <w:rPr>
          <w:bCs/>
          <w:iCs/>
        </w:rPr>
        <w:t xml:space="preserve">Sources: </w:t>
      </w:r>
    </w:p>
    <w:p w:rsidR="0058678A" w:rsidRPr="00B4304C" w:rsidRDefault="0058678A" w:rsidP="00B4304C">
      <w:pPr>
        <w:pStyle w:val="EndnoteText"/>
        <w:numPr>
          <w:ilvl w:val="0"/>
          <w:numId w:val="33"/>
        </w:numPr>
      </w:pPr>
      <w:r w:rsidRPr="00B4304C">
        <w:t xml:space="preserve">CBS News 22 June 2011 </w:t>
      </w:r>
      <w:hyperlink r:id="rId25" w:history="1">
        <w:r w:rsidRPr="00B4304C">
          <w:rPr>
            <w:rStyle w:val="Hyperlink"/>
          </w:rPr>
          <w:t>Memphis saves jobs of union championed by King</w:t>
        </w:r>
      </w:hyperlink>
      <w:r w:rsidRPr="00B4304C">
        <w:t xml:space="preserve"> </w:t>
      </w:r>
    </w:p>
    <w:p w:rsidR="0058678A" w:rsidRDefault="0058678A" w:rsidP="00B4304C">
      <w:pPr>
        <w:pStyle w:val="EndnoteText"/>
        <w:numPr>
          <w:ilvl w:val="0"/>
          <w:numId w:val="33"/>
        </w:numPr>
      </w:pPr>
      <w:r w:rsidRPr="00B4304C">
        <w:t xml:space="preserve">Forbes 29 June 2011 </w:t>
      </w:r>
      <w:hyperlink r:id="rId26" w:history="1">
        <w:r w:rsidRPr="00B4304C">
          <w:rPr>
            <w:rStyle w:val="Hyperlink"/>
          </w:rPr>
          <w:t>Ohio Senate approves sweeping $56B budget</w:t>
        </w:r>
      </w:hyperlink>
      <w:r>
        <w:t xml:space="preserve"> </w:t>
      </w:r>
    </w:p>
  </w:endnote>
  <w:endnote w:id="16">
    <w:p w:rsidR="0058678A" w:rsidRPr="00F15C03" w:rsidRDefault="0058678A">
      <w:pPr>
        <w:pStyle w:val="EndnoteText"/>
      </w:pPr>
      <w:r w:rsidRPr="00F15C03">
        <w:rPr>
          <w:rStyle w:val="EndnoteCharacters"/>
        </w:rPr>
        <w:endnoteRef/>
      </w:r>
      <w:r w:rsidRPr="00F15C03">
        <w:tab/>
        <w:t xml:space="preserve"> EIRO 2010 Working time developments – 2009 </w:t>
      </w:r>
      <w:hyperlink r:id="rId27" w:history="1">
        <w:r w:rsidRPr="00F15C03">
          <w:rPr>
            <w:rStyle w:val="Hyperlink"/>
          </w:rPr>
          <w:t>http://www.eurofound.europa.eu/eiro/studies/tn1004039s/tn1004039s.htm</w:t>
        </w:r>
      </w:hyperlink>
      <w:r w:rsidRPr="00F15C03">
        <w:t xml:space="preserve"> </w:t>
      </w:r>
    </w:p>
  </w:endnote>
  <w:endnote w:id="17">
    <w:p w:rsidR="0058678A" w:rsidRPr="00F15C03" w:rsidRDefault="0058678A">
      <w:pPr>
        <w:pStyle w:val="EndnoteText"/>
      </w:pPr>
      <w:r w:rsidRPr="00F15C03">
        <w:rPr>
          <w:rStyle w:val="EndnoteCharacters"/>
        </w:rPr>
        <w:endnoteRef/>
      </w:r>
      <w:r w:rsidRPr="00F15C03">
        <w:tab/>
        <w:t xml:space="preserve"> EIRO 2010 Working time developments – 2009 </w:t>
      </w:r>
      <w:hyperlink r:id="rId28" w:history="1">
        <w:r w:rsidRPr="00F15C03">
          <w:rPr>
            <w:rStyle w:val="Hyperlink"/>
          </w:rPr>
          <w:t>http://www.eurofound.europa.eu/eiro/studies/tn1004039s/tn1004039s.htm</w:t>
        </w:r>
      </w:hyperlink>
      <w:r w:rsidRPr="00F15C03">
        <w:t xml:space="preserve"> </w:t>
      </w:r>
    </w:p>
  </w:endnote>
  <w:endnote w:id="18">
    <w:p w:rsidR="0058678A" w:rsidRPr="00F15C03" w:rsidRDefault="0058678A" w:rsidP="007F1D73">
      <w:pPr>
        <w:pStyle w:val="EndnoteText"/>
      </w:pPr>
      <w:r w:rsidRPr="00F15C03">
        <w:rPr>
          <w:rStyle w:val="EndnoteCharacters"/>
        </w:rPr>
        <w:endnoteRef/>
      </w:r>
      <w:r w:rsidRPr="00F15C03">
        <w:tab/>
        <w:t xml:space="preserve"> Extraordinary measures used to activate European economic support mechanism</w:t>
      </w:r>
    </w:p>
    <w:p w:rsidR="0058678A" w:rsidRPr="00F15C03" w:rsidRDefault="00BA7388" w:rsidP="007F1D73">
      <w:pPr>
        <w:rPr>
          <w:sz w:val="20"/>
          <w:szCs w:val="20"/>
        </w:rPr>
      </w:pPr>
      <w:hyperlink r:id="rId29" w:history="1">
        <w:r w:rsidR="0058678A" w:rsidRPr="00F15C03">
          <w:rPr>
            <w:rStyle w:val="Hyperlink"/>
            <w:sz w:val="20"/>
            <w:szCs w:val="20"/>
          </w:rPr>
          <w:tab/>
          <w:t>http://www.eurofound.europa.eu/eiro/2010/05/articles/gr1005019i.htm</w:t>
        </w:r>
      </w:hyperlink>
      <w:r w:rsidR="0058678A" w:rsidRPr="00F15C03">
        <w:rPr>
          <w:sz w:val="20"/>
          <w:szCs w:val="20"/>
        </w:rPr>
        <w:t xml:space="preserve"> </w:t>
      </w:r>
    </w:p>
    <w:p w:rsidR="0058678A" w:rsidRPr="00F15C03" w:rsidRDefault="0058678A" w:rsidP="007F1D73">
      <w:pPr>
        <w:rPr>
          <w:sz w:val="20"/>
          <w:szCs w:val="20"/>
        </w:rPr>
      </w:pPr>
    </w:p>
    <w:p w:rsidR="0058678A" w:rsidRPr="00F15C03" w:rsidRDefault="0058678A" w:rsidP="007F1D73">
      <w:pPr>
        <w:rPr>
          <w:sz w:val="20"/>
          <w:szCs w:val="20"/>
        </w:rPr>
      </w:pPr>
      <w:r w:rsidRPr="00F15C03">
        <w:rPr>
          <w:sz w:val="20"/>
          <w:szCs w:val="20"/>
        </w:rPr>
        <w:tab/>
        <w:t>Government adopts extraordinary measures to tackle economic crisis</w:t>
      </w:r>
    </w:p>
    <w:p w:rsidR="0058678A" w:rsidRPr="00F15C03" w:rsidRDefault="00BA7388" w:rsidP="007F1D73">
      <w:pPr>
        <w:pStyle w:val="EndnoteText"/>
      </w:pPr>
      <w:hyperlink r:id="rId30" w:history="1">
        <w:r w:rsidR="0058678A" w:rsidRPr="00F15C03">
          <w:rPr>
            <w:rStyle w:val="Hyperlink"/>
          </w:rPr>
          <w:tab/>
          <w:t>http://www.eurofound.europa.eu/eiro/2010/03/articles/gr1003029i.htm</w:t>
        </w:r>
      </w:hyperlink>
      <w:r w:rsidR="0058678A" w:rsidRPr="00F15C03">
        <w:t xml:space="preserve"> </w:t>
      </w:r>
    </w:p>
  </w:endnote>
  <w:endnote w:id="19">
    <w:p w:rsidR="0058678A" w:rsidRPr="00F15C03" w:rsidRDefault="0058678A">
      <w:pPr>
        <w:autoSpaceDE w:val="0"/>
        <w:rPr>
          <w:sz w:val="20"/>
          <w:szCs w:val="20"/>
        </w:rPr>
      </w:pPr>
      <w:r w:rsidRPr="00F15C03">
        <w:rPr>
          <w:rStyle w:val="EndnoteCharacters"/>
          <w:sz w:val="20"/>
          <w:szCs w:val="20"/>
        </w:rPr>
        <w:endnoteRef/>
      </w:r>
      <w:r w:rsidRPr="00F15C03">
        <w:rPr>
          <w:sz w:val="20"/>
          <w:szCs w:val="20"/>
        </w:rPr>
        <w:tab/>
        <w:t xml:space="preserve"> </w:t>
      </w:r>
      <w:proofErr w:type="gramStart"/>
      <w:r w:rsidRPr="00F15C03">
        <w:rPr>
          <w:sz w:val="20"/>
          <w:szCs w:val="20"/>
        </w:rPr>
        <w:t>Richard B. Freeman March 2009 LABOR REGULATIONS, UNIONS, AND SOCIAL PROTECTION IN DEVELOPING COUNTRIES: MARKET DISTORTIONS OR EFFICIENT INSTITUTIONS?</w:t>
      </w:r>
      <w:proofErr w:type="gramEnd"/>
      <w:r w:rsidRPr="00F15C03">
        <w:rPr>
          <w:sz w:val="20"/>
          <w:szCs w:val="20"/>
        </w:rPr>
        <w:t xml:space="preserve"> Working Paper 14789 </w:t>
      </w:r>
      <w:hyperlink r:id="rId31" w:history="1">
        <w:r w:rsidRPr="00F15C03">
          <w:rPr>
            <w:rStyle w:val="Hyperlink"/>
            <w:sz w:val="20"/>
            <w:szCs w:val="20"/>
          </w:rPr>
          <w:t>http://www.nber.org/papers/w14789</w:t>
        </w:r>
      </w:hyperlink>
      <w:r w:rsidRPr="00F15C03">
        <w:rPr>
          <w:sz w:val="20"/>
          <w:szCs w:val="20"/>
        </w:rPr>
        <w:t xml:space="preserve"> </w:t>
      </w:r>
    </w:p>
  </w:endnote>
  <w:endnote w:id="20">
    <w:p w:rsidR="0058678A" w:rsidRPr="00F15C03" w:rsidRDefault="0058678A">
      <w:pPr>
        <w:spacing w:line="100" w:lineRule="atLeast"/>
        <w:rPr>
          <w:sz w:val="20"/>
          <w:szCs w:val="20"/>
        </w:rPr>
      </w:pPr>
      <w:r w:rsidRPr="00F15C03">
        <w:rPr>
          <w:rStyle w:val="EndnoteCharacters"/>
          <w:sz w:val="20"/>
          <w:szCs w:val="20"/>
        </w:rPr>
        <w:endnoteRef/>
      </w:r>
      <w:r w:rsidRPr="00F15C03">
        <w:rPr>
          <w:bCs/>
          <w:kern w:val="1"/>
          <w:sz w:val="20"/>
          <w:szCs w:val="20"/>
        </w:rPr>
        <w:tab/>
        <w:t xml:space="preserve">Back from the dead IMF pumps out loans and conditionality </w:t>
      </w:r>
      <w:proofErr w:type="spellStart"/>
      <w:r w:rsidRPr="00F15C03">
        <w:rPr>
          <w:sz w:val="20"/>
          <w:szCs w:val="20"/>
        </w:rPr>
        <w:t>News|Bretton</w:t>
      </w:r>
      <w:proofErr w:type="spellEnd"/>
      <w:r w:rsidRPr="00F15C03">
        <w:rPr>
          <w:sz w:val="20"/>
          <w:szCs w:val="20"/>
        </w:rPr>
        <w:t xml:space="preserve"> Woods Project|27 November 2008</w:t>
      </w:r>
    </w:p>
    <w:p w:rsidR="0058678A" w:rsidRPr="00F15C03" w:rsidRDefault="00BA7388">
      <w:pPr>
        <w:spacing w:line="100" w:lineRule="atLeast"/>
        <w:rPr>
          <w:rStyle w:val="Hyperlink"/>
          <w:sz w:val="20"/>
          <w:szCs w:val="20"/>
        </w:rPr>
      </w:pPr>
      <w:hyperlink r:id="rId32" w:history="1">
        <w:r w:rsidR="0058678A" w:rsidRPr="00F15C03">
          <w:rPr>
            <w:rStyle w:val="Hyperlink"/>
            <w:sz w:val="20"/>
            <w:szCs w:val="20"/>
          </w:rPr>
          <w:tab/>
          <w:t>http://www.brettonwoodsproject.org/art-562981</w:t>
        </w:r>
      </w:hyperlink>
      <w:r w:rsidR="0058678A" w:rsidRPr="00F15C03">
        <w:rPr>
          <w:rStyle w:val="Hyperlink"/>
          <w:sz w:val="20"/>
          <w:szCs w:val="20"/>
        </w:rPr>
        <w:t xml:space="preserve">; </w:t>
      </w:r>
      <w:r w:rsidR="0058678A" w:rsidRPr="00F15C03">
        <w:rPr>
          <w:rStyle w:val="EndnoteReference"/>
          <w:sz w:val="20"/>
          <w:szCs w:val="20"/>
          <w:vertAlign w:val="baseline"/>
        </w:rPr>
        <w:t xml:space="preserve">FT 22 June 2010 Public finances: Daunted by deficits  </w:t>
      </w:r>
      <w:hyperlink r:id="rId33" w:history="1">
        <w:r w:rsidR="0058678A" w:rsidRPr="00F15C03">
          <w:rPr>
            <w:rStyle w:val="Hyperlink"/>
            <w:sz w:val="20"/>
            <w:szCs w:val="20"/>
          </w:rPr>
          <w:t>http://www.ft.com/cms/s/0/aaa8ffc2-7e2b-11df-94a8-00144feabdc0.html</w:t>
        </w:r>
      </w:hyperlink>
      <w:r w:rsidR="0058678A" w:rsidRPr="00F15C03">
        <w:rPr>
          <w:rStyle w:val="EndnoteReference"/>
          <w:sz w:val="20"/>
          <w:szCs w:val="20"/>
          <w:vertAlign w:val="baseline"/>
        </w:rPr>
        <w:t xml:space="preserve"> </w:t>
      </w:r>
      <w:r w:rsidR="0058678A" w:rsidRPr="00F15C03">
        <w:rPr>
          <w:rStyle w:val="Hyperlink"/>
          <w:sz w:val="20"/>
          <w:szCs w:val="20"/>
        </w:rPr>
        <w:t xml:space="preserve"> </w:t>
      </w:r>
    </w:p>
  </w:endnote>
  <w:endnote w:id="21">
    <w:p w:rsidR="0058678A" w:rsidRPr="00F15C03" w:rsidRDefault="0058678A">
      <w:pPr>
        <w:pStyle w:val="EndnoteText"/>
        <w:rPr>
          <w:rFonts w:eastAsia="Arial"/>
          <w:color w:val="000000"/>
        </w:rPr>
      </w:pPr>
      <w:r w:rsidRPr="00F15C03">
        <w:rPr>
          <w:rStyle w:val="EndnoteCharacters"/>
        </w:rPr>
        <w:endnoteRef/>
      </w:r>
      <w:r w:rsidRPr="00F15C03">
        <w:tab/>
        <w:t xml:space="preserve">   </w:t>
      </w:r>
      <w:proofErr w:type="spellStart"/>
      <w:r w:rsidRPr="00F15C03">
        <w:rPr>
          <w:rFonts w:eastAsia="Arial"/>
          <w:bCs/>
          <w:color w:val="000000"/>
        </w:rPr>
        <w:t>Niamh</w:t>
      </w:r>
      <w:proofErr w:type="spellEnd"/>
      <w:r w:rsidRPr="00F15C03">
        <w:rPr>
          <w:rFonts w:eastAsia="Arial"/>
          <w:bCs/>
          <w:color w:val="000000"/>
        </w:rPr>
        <w:t xml:space="preserve"> </w:t>
      </w:r>
      <w:proofErr w:type="spellStart"/>
      <w:r w:rsidRPr="00F15C03">
        <w:rPr>
          <w:rFonts w:eastAsia="Arial"/>
          <w:bCs/>
          <w:color w:val="000000"/>
        </w:rPr>
        <w:t>Hardiman</w:t>
      </w:r>
      <w:proofErr w:type="spellEnd"/>
      <w:r w:rsidRPr="00F15C03">
        <w:rPr>
          <w:rFonts w:eastAsia="Arial"/>
          <w:bCs/>
          <w:color w:val="000000"/>
        </w:rPr>
        <w:t xml:space="preserve"> 2010 Economic Crisis and Public Sector Reform: Lessons from Ireland </w:t>
      </w:r>
      <w:r w:rsidRPr="00F15C03">
        <w:rPr>
          <w:rFonts w:eastAsia="Arial"/>
          <w:color w:val="000000"/>
        </w:rPr>
        <w:t>UNDP Seminar, Tallinn 4-5 February 2010</w:t>
      </w:r>
    </w:p>
    <w:p w:rsidR="0058678A" w:rsidRPr="00F15C03" w:rsidRDefault="00BA7388">
      <w:pPr>
        <w:pStyle w:val="EndnoteText"/>
        <w:rPr>
          <w:rFonts w:eastAsia="Arial"/>
          <w:color w:val="000000"/>
        </w:rPr>
      </w:pPr>
      <w:hyperlink r:id="rId34" w:history="1">
        <w:r w:rsidR="0058678A" w:rsidRPr="00F15C03">
          <w:rPr>
            <w:rStyle w:val="Hyperlink"/>
          </w:rPr>
          <w:tab/>
          <w:t>http://www.rcpar.org/mediaupload/events/Tallinnfeb10/20100204_Background_note_Hardiman.pdf</w:t>
        </w:r>
      </w:hyperlink>
      <w:r w:rsidR="0058678A" w:rsidRPr="00F15C03">
        <w:rPr>
          <w:rStyle w:val="Hyperlink"/>
        </w:rPr>
        <w:t xml:space="preserve">; </w:t>
      </w:r>
      <w:hyperlink r:id="rId35" w:history="1">
        <w:r w:rsidR="0058678A" w:rsidRPr="00F15C03">
          <w:rPr>
            <w:rStyle w:val="Hyperlink"/>
          </w:rPr>
          <w:t>http://www.finance.gov.ie/documents/circulars/circular2009/circ282009.pdf</w:t>
        </w:r>
      </w:hyperlink>
      <w:r w:rsidR="0058678A" w:rsidRPr="00F15C03">
        <w:rPr>
          <w:rStyle w:val="Hyperlink"/>
        </w:rPr>
        <w:t xml:space="preserve"> ; </w:t>
      </w:r>
      <w:proofErr w:type="spellStart"/>
      <w:r w:rsidR="0058678A" w:rsidRPr="00F15C03">
        <w:t>Eurofound</w:t>
      </w:r>
      <w:proofErr w:type="spellEnd"/>
      <w:r w:rsidR="0058678A" w:rsidRPr="00F15C03">
        <w:t xml:space="preserve"> </w:t>
      </w:r>
      <w:r w:rsidR="0058678A" w:rsidRPr="00F15C03">
        <w:rPr>
          <w:rStyle w:val="Date1"/>
          <w:rFonts w:eastAsia="Arial"/>
          <w:bCs/>
          <w:color w:val="000000"/>
        </w:rPr>
        <w:t xml:space="preserve">02 Apr 2009 </w:t>
      </w:r>
      <w:hyperlink r:id="rId36" w:history="1">
        <w:r w:rsidR="0058678A" w:rsidRPr="00F15C03">
          <w:rPr>
            <w:rStyle w:val="Hyperlink"/>
            <w:rFonts w:eastAsia="Arial"/>
          </w:rPr>
          <w:t>Ireland: Controversy over pay increase awarded at state electricity firm</w:t>
        </w:r>
      </w:hyperlink>
      <w:r w:rsidR="0058678A" w:rsidRPr="00F15C03">
        <w:rPr>
          <w:rFonts w:eastAsia="Arial"/>
          <w:color w:val="000000"/>
        </w:rPr>
        <w:t xml:space="preserve"> ; </w:t>
      </w:r>
      <w:r w:rsidR="0058678A" w:rsidRPr="00F15C03">
        <w:rPr>
          <w:rStyle w:val="Date1"/>
          <w:rFonts w:eastAsia="Arial"/>
          <w:bCs/>
          <w:color w:val="000000"/>
        </w:rPr>
        <w:t xml:space="preserve">15 Jun 2009 </w:t>
      </w:r>
      <w:hyperlink r:id="rId37" w:history="1">
        <w:r w:rsidR="0058678A" w:rsidRPr="00F15C03">
          <w:rPr>
            <w:rStyle w:val="Hyperlink"/>
            <w:rFonts w:eastAsia="Arial"/>
          </w:rPr>
          <w:t>Ireland: Few sectors likely to implement national pay deal</w:t>
        </w:r>
      </w:hyperlink>
      <w:r w:rsidR="0058678A" w:rsidRPr="00F15C03">
        <w:rPr>
          <w:rStyle w:val="Hyperlink"/>
          <w:rFonts w:eastAsia="Arial"/>
          <w:bCs/>
        </w:rPr>
        <w:t>;</w:t>
      </w:r>
      <w:r w:rsidR="0058678A" w:rsidRPr="00F15C03">
        <w:rPr>
          <w:rFonts w:eastAsia="Arial"/>
          <w:color w:val="000000"/>
        </w:rPr>
        <w:t xml:space="preserve">  </w:t>
      </w:r>
      <w:r w:rsidR="0058678A" w:rsidRPr="00F15C03">
        <w:rPr>
          <w:rStyle w:val="Date1"/>
          <w:rFonts w:eastAsia="Arial"/>
          <w:bCs/>
          <w:color w:val="000000"/>
        </w:rPr>
        <w:t>17 Feb 2010</w:t>
      </w:r>
      <w:r w:rsidR="0058678A" w:rsidRPr="00F15C03">
        <w:rPr>
          <w:rFonts w:eastAsia="Arial"/>
          <w:bCs/>
          <w:color w:val="000000"/>
        </w:rPr>
        <w:br/>
      </w:r>
      <w:hyperlink r:id="rId38" w:history="1">
        <w:r w:rsidR="0058678A" w:rsidRPr="00F15C03">
          <w:rPr>
            <w:rStyle w:val="Hyperlink"/>
            <w:rFonts w:eastAsia="Arial"/>
          </w:rPr>
          <w:t>Ireland: Government cuts pay of most public servants by up to 8%</w:t>
        </w:r>
      </w:hyperlink>
      <w:r w:rsidR="0058678A" w:rsidRPr="00F15C03">
        <w:rPr>
          <w:rFonts w:eastAsia="Arial"/>
          <w:color w:val="000000"/>
        </w:rPr>
        <w:t xml:space="preserve"> </w:t>
      </w:r>
    </w:p>
  </w:endnote>
  <w:endnote w:id="22">
    <w:p w:rsidR="0058678A" w:rsidRPr="00F15C03" w:rsidRDefault="0058678A">
      <w:pPr>
        <w:pStyle w:val="EndnoteText"/>
        <w:rPr>
          <w:rFonts w:eastAsia="Arial"/>
          <w:color w:val="000000"/>
        </w:rPr>
      </w:pPr>
      <w:r w:rsidRPr="00F15C03">
        <w:rPr>
          <w:rStyle w:val="EndnoteCharacters"/>
        </w:rPr>
        <w:endnoteRef/>
      </w:r>
      <w:r w:rsidRPr="00F15C03">
        <w:tab/>
        <w:t xml:space="preserve"> </w:t>
      </w:r>
      <w:proofErr w:type="spellStart"/>
      <w:r w:rsidRPr="00F15C03">
        <w:t>Eurofound</w:t>
      </w:r>
      <w:proofErr w:type="spellEnd"/>
      <w:r w:rsidRPr="00F15C03">
        <w:t xml:space="preserve"> </w:t>
      </w:r>
      <w:r w:rsidRPr="00F15C03">
        <w:rPr>
          <w:rStyle w:val="Date1"/>
          <w:bCs/>
        </w:rPr>
        <w:t xml:space="preserve">05 Feb 2010 </w:t>
      </w:r>
      <w:r w:rsidRPr="00F15C03">
        <w:rPr>
          <w:rStyle w:val="Hyperlink"/>
          <w:bCs/>
        </w:rPr>
        <w:t>Ireland: End of social partnership as public sector talks collapse</w:t>
      </w:r>
      <w:r w:rsidRPr="00F15C03">
        <w:t xml:space="preserve"> </w:t>
      </w:r>
      <w:hyperlink r:id="rId39" w:history="1">
        <w:r w:rsidRPr="00F15C03">
          <w:rPr>
            <w:rStyle w:val="Hyperlink"/>
          </w:rPr>
          <w:t>http://www.eurofound.europa.eu/eiro/2009/12/articles/ie0912019i.htm</w:t>
        </w:r>
      </w:hyperlink>
      <w:r w:rsidRPr="00F15C03">
        <w:t xml:space="preserve"> ; </w:t>
      </w:r>
      <w:r w:rsidRPr="00F15C03">
        <w:rPr>
          <w:rFonts w:eastAsia="Arial"/>
          <w:bCs/>
          <w:color w:val="000000"/>
        </w:rPr>
        <w:t xml:space="preserve">Globalisation, economic growth and recession: learning from the 1980s to understand the challenges to the contemporary Irish welfare state </w:t>
      </w:r>
      <w:r w:rsidRPr="00F15C03">
        <w:rPr>
          <w:rFonts w:eastAsia="Arial"/>
          <w:color w:val="000000"/>
        </w:rPr>
        <w:t xml:space="preserve">Dr </w:t>
      </w:r>
      <w:proofErr w:type="spellStart"/>
      <w:r w:rsidRPr="00F15C03">
        <w:rPr>
          <w:rFonts w:eastAsia="Arial"/>
          <w:color w:val="000000"/>
        </w:rPr>
        <w:t>Mairéad</w:t>
      </w:r>
      <w:proofErr w:type="spellEnd"/>
      <w:r w:rsidRPr="00F15C03">
        <w:rPr>
          <w:rFonts w:eastAsia="Arial"/>
          <w:color w:val="000000"/>
        </w:rPr>
        <w:t xml:space="preserve"> </w:t>
      </w:r>
      <w:proofErr w:type="spellStart"/>
      <w:r w:rsidRPr="00F15C03">
        <w:rPr>
          <w:rFonts w:eastAsia="Arial"/>
          <w:color w:val="000000"/>
        </w:rPr>
        <w:t>Considine</w:t>
      </w:r>
      <w:proofErr w:type="spellEnd"/>
      <w:r w:rsidRPr="00F15C03">
        <w:rPr>
          <w:rFonts w:eastAsia="Arial"/>
          <w:color w:val="000000"/>
        </w:rPr>
        <w:t xml:space="preserve"> and Dr Fiona </w:t>
      </w:r>
      <w:proofErr w:type="spellStart"/>
      <w:r w:rsidRPr="00F15C03">
        <w:rPr>
          <w:rFonts w:eastAsia="Arial"/>
          <w:color w:val="000000"/>
        </w:rPr>
        <w:t>Dukelow</w:t>
      </w:r>
      <w:proofErr w:type="spellEnd"/>
      <w:r w:rsidRPr="00F15C03">
        <w:rPr>
          <w:rFonts w:eastAsia="Arial"/>
          <w:color w:val="000000"/>
        </w:rPr>
        <w:t xml:space="preserve">   July 2009</w:t>
      </w:r>
    </w:p>
    <w:p w:rsidR="0058678A" w:rsidRPr="00F15C03" w:rsidRDefault="0058678A">
      <w:pPr>
        <w:pStyle w:val="EndnoteText"/>
        <w:autoSpaceDE w:val="0"/>
        <w:rPr>
          <w:rFonts w:eastAsia="Arial"/>
          <w:color w:val="000000"/>
        </w:rPr>
      </w:pPr>
      <w:r w:rsidRPr="00F15C03">
        <w:rPr>
          <w:rFonts w:eastAsia="Arial"/>
          <w:color w:val="000000"/>
        </w:rPr>
        <w:tab/>
        <w:t xml:space="preserve"> </w:t>
      </w:r>
      <w:hyperlink r:id="rId40" w:history="1">
        <w:r w:rsidRPr="00F15C03">
          <w:rPr>
            <w:rStyle w:val="Hyperlink"/>
            <w:rFonts w:eastAsia="Arial"/>
          </w:rPr>
          <w:t>http://www.crfr.ac.uk/spa2009/Considine%20M,%20Dukelow%20F%20-%20Globalisation,%20economic%20growth%20and%20recession%20-%20learning%20from%20the%201980s%20to%20understand%20the%20challenges%20to%20the%20contemporary%20Irish%20welfare%20state.pdf</w:t>
        </w:r>
      </w:hyperlink>
      <w:r w:rsidRPr="00F15C03">
        <w:rPr>
          <w:rFonts w:eastAsia="Arial"/>
          <w:color w:val="000000"/>
        </w:rPr>
        <w:t xml:space="preserve"> ; </w:t>
      </w:r>
      <w:r w:rsidRPr="00F15C03">
        <w:rPr>
          <w:rFonts w:eastAsia="Arial"/>
          <w:bCs/>
          <w:color w:val="000000"/>
        </w:rPr>
        <w:t xml:space="preserve">Economic Crisis and Public Sector Reform: Lessons from Ireland </w:t>
      </w:r>
      <w:proofErr w:type="spellStart"/>
      <w:r w:rsidRPr="00F15C03">
        <w:rPr>
          <w:rFonts w:eastAsia="Arial"/>
          <w:bCs/>
          <w:color w:val="000000"/>
        </w:rPr>
        <w:t>Niamh</w:t>
      </w:r>
      <w:proofErr w:type="spellEnd"/>
      <w:r w:rsidRPr="00F15C03">
        <w:rPr>
          <w:rFonts w:eastAsia="Arial"/>
          <w:bCs/>
          <w:color w:val="000000"/>
        </w:rPr>
        <w:t xml:space="preserve"> </w:t>
      </w:r>
      <w:proofErr w:type="spellStart"/>
      <w:r w:rsidRPr="00F15C03">
        <w:rPr>
          <w:rFonts w:eastAsia="Arial"/>
          <w:bCs/>
          <w:color w:val="000000"/>
        </w:rPr>
        <w:t>Hardiman</w:t>
      </w:r>
      <w:proofErr w:type="spellEnd"/>
      <w:r w:rsidRPr="00F15C03">
        <w:rPr>
          <w:rFonts w:eastAsia="Arial"/>
          <w:bCs/>
          <w:color w:val="000000"/>
        </w:rPr>
        <w:t xml:space="preserve"> </w:t>
      </w:r>
      <w:r w:rsidRPr="00F15C03">
        <w:rPr>
          <w:rFonts w:eastAsia="Arial"/>
          <w:color w:val="000000"/>
        </w:rPr>
        <w:t>UNDP Seminar, Tallinn 4-5 February 2010</w:t>
      </w:r>
    </w:p>
    <w:p w:rsidR="0058678A" w:rsidRPr="00F15C03" w:rsidRDefault="00BA7388">
      <w:pPr>
        <w:pStyle w:val="EndnoteText"/>
        <w:autoSpaceDE w:val="0"/>
        <w:rPr>
          <w:rStyle w:val="Hyperlink"/>
          <w:rFonts w:eastAsia="Arial"/>
          <w:color w:val="000000"/>
        </w:rPr>
      </w:pPr>
      <w:hyperlink r:id="rId41" w:history="1">
        <w:r w:rsidR="0058678A" w:rsidRPr="00F15C03">
          <w:rPr>
            <w:rStyle w:val="Hyperlink"/>
          </w:rPr>
          <w:tab/>
          <w:t>http://www.rcpar.org/mediaupload/events/Tallinnfeb10/20100204_Background_note_Hardiman.pdf</w:t>
        </w:r>
      </w:hyperlink>
      <w:r w:rsidR="0058678A" w:rsidRPr="00F15C03">
        <w:rPr>
          <w:rStyle w:val="Hyperlink"/>
        </w:rPr>
        <w:t xml:space="preserve">; </w:t>
      </w:r>
      <w:r w:rsidR="0058678A" w:rsidRPr="00F15C03">
        <w:rPr>
          <w:rStyle w:val="Date1"/>
          <w:rFonts w:eastAsia="Arial"/>
          <w:bCs/>
          <w:color w:val="000000"/>
        </w:rPr>
        <w:t xml:space="preserve">16 Mar 2010 </w:t>
      </w:r>
      <w:hyperlink r:id="rId42" w:history="1">
        <w:r w:rsidR="0058678A" w:rsidRPr="00F15C03">
          <w:rPr>
            <w:rStyle w:val="Hyperlink"/>
            <w:rFonts w:eastAsia="Arial"/>
          </w:rPr>
          <w:t>Ireland: Public sector unions launch action against pay cuts</w:t>
        </w:r>
      </w:hyperlink>
      <w:r w:rsidR="0058678A" w:rsidRPr="00F15C03">
        <w:rPr>
          <w:rStyle w:val="Hyperlink"/>
          <w:rFonts w:eastAsia="Arial"/>
          <w:color w:val="000000"/>
        </w:rPr>
        <w:t xml:space="preserve"> ;</w:t>
      </w:r>
    </w:p>
  </w:endnote>
  <w:endnote w:id="23">
    <w:p w:rsidR="0058678A" w:rsidRPr="00F15C03" w:rsidRDefault="0058678A">
      <w:pPr>
        <w:pStyle w:val="EndnoteText"/>
      </w:pPr>
      <w:r w:rsidRPr="00F15C03">
        <w:rPr>
          <w:rStyle w:val="EndnoteCharacters"/>
        </w:rPr>
        <w:endnoteRef/>
      </w:r>
      <w:r w:rsidRPr="00F15C03">
        <w:tab/>
        <w:t xml:space="preserve">  Will IMF loans hurt the poor this time around? </w:t>
      </w:r>
      <w:proofErr w:type="spellStart"/>
      <w:r w:rsidRPr="00F15C03">
        <w:t>News|Bretton</w:t>
      </w:r>
      <w:proofErr w:type="spellEnd"/>
      <w:r w:rsidRPr="00F15C03">
        <w:t xml:space="preserve"> Woods Project|13 February 2009 </w:t>
      </w:r>
      <w:hyperlink r:id="rId43" w:history="1">
        <w:r w:rsidRPr="00F15C03">
          <w:rPr>
            <w:rStyle w:val="Hyperlink"/>
          </w:rPr>
          <w:t>http://www.brettonwoodsproject.org/art-563607</w:t>
        </w:r>
      </w:hyperlink>
      <w:hyperlink r:id="rId44" w:history="1">
        <w:r w:rsidRPr="00F15C03">
          <w:rPr>
            <w:rStyle w:val="Hyperlink"/>
          </w:rPr>
          <w:t>;</w:t>
        </w:r>
      </w:hyperlink>
      <w:r w:rsidRPr="00F15C03">
        <w:t xml:space="preserve"> </w:t>
      </w:r>
      <w:proofErr w:type="spellStart"/>
      <w:r w:rsidRPr="00F15C03">
        <w:t>Eurofound</w:t>
      </w:r>
      <w:proofErr w:type="spellEnd"/>
      <w:r w:rsidRPr="00F15C03">
        <w:t xml:space="preserve">: Wide-scale cuts in salaries and social benefits   </w:t>
      </w:r>
      <w:hyperlink r:id="rId45" w:history="1">
        <w:r w:rsidRPr="00F15C03">
          <w:rPr>
            <w:rStyle w:val="Hyperlink"/>
          </w:rPr>
          <w:t>http://www.eurofound.europa.eu/eiro/2009/07/articles/lv0907019i.htm</w:t>
        </w:r>
      </w:hyperlink>
      <w:r w:rsidRPr="00F15C03">
        <w:t xml:space="preserve"> ; </w:t>
      </w:r>
    </w:p>
  </w:endnote>
  <w:endnote w:id="24">
    <w:p w:rsidR="0058678A" w:rsidRPr="00F15C03" w:rsidRDefault="0058678A">
      <w:pPr>
        <w:pStyle w:val="EndnoteText"/>
      </w:pPr>
      <w:r w:rsidRPr="00F15C03">
        <w:rPr>
          <w:rStyle w:val="EndnoteCharacters"/>
        </w:rPr>
        <w:endnoteRef/>
      </w:r>
      <w:r w:rsidRPr="00F15C03">
        <w:tab/>
        <w:t xml:space="preserve">  </w:t>
      </w:r>
      <w:proofErr w:type="spellStart"/>
      <w:r w:rsidRPr="00F15C03">
        <w:t>Eurofound</w:t>
      </w:r>
      <w:proofErr w:type="spellEnd"/>
      <w:r w:rsidRPr="00F15C03">
        <w:t>: Trade union hunger strike averts public sector pay cut</w:t>
      </w:r>
    </w:p>
    <w:p w:rsidR="0058678A" w:rsidRPr="00F15C03" w:rsidRDefault="00BA7388">
      <w:pPr>
        <w:rPr>
          <w:sz w:val="20"/>
          <w:szCs w:val="20"/>
        </w:rPr>
      </w:pPr>
      <w:hyperlink r:id="rId46" w:history="1">
        <w:r w:rsidR="0058678A" w:rsidRPr="00F15C03">
          <w:rPr>
            <w:rStyle w:val="Hyperlink"/>
            <w:sz w:val="20"/>
            <w:szCs w:val="20"/>
          </w:rPr>
          <w:tab/>
          <w:t>http://www.eurofound.europa.eu/eiro/2009/07/articles/lt0907029i.htm</w:t>
        </w:r>
      </w:hyperlink>
      <w:r w:rsidR="0058678A" w:rsidRPr="00F15C03">
        <w:rPr>
          <w:sz w:val="20"/>
          <w:szCs w:val="20"/>
        </w:rPr>
        <w:t xml:space="preserve"> </w:t>
      </w:r>
    </w:p>
    <w:p w:rsidR="0058678A" w:rsidRPr="00F15C03" w:rsidRDefault="0058678A">
      <w:pPr>
        <w:rPr>
          <w:sz w:val="20"/>
          <w:szCs w:val="20"/>
        </w:rPr>
      </w:pPr>
      <w:r w:rsidRPr="00F15C03">
        <w:rPr>
          <w:sz w:val="20"/>
          <w:szCs w:val="20"/>
        </w:rPr>
        <w:tab/>
        <w:t xml:space="preserve">National agreement to combat economic downturn finally signed </w:t>
      </w:r>
      <w:hyperlink r:id="rId47" w:history="1">
        <w:r w:rsidRPr="00F15C03">
          <w:rPr>
            <w:rStyle w:val="Hyperlink"/>
            <w:sz w:val="20"/>
            <w:szCs w:val="20"/>
          </w:rPr>
          <w:t>http://www.eurofound.europa.eu/eiro/2009/11/articles/lt0911019i.htm</w:t>
        </w:r>
      </w:hyperlink>
      <w:r w:rsidRPr="00F15C03">
        <w:rPr>
          <w:sz w:val="20"/>
          <w:szCs w:val="20"/>
        </w:rPr>
        <w:t xml:space="preserve"> </w:t>
      </w:r>
    </w:p>
    <w:p w:rsidR="0058678A" w:rsidRPr="00F15C03" w:rsidRDefault="0058678A">
      <w:pPr>
        <w:rPr>
          <w:sz w:val="20"/>
          <w:szCs w:val="20"/>
        </w:rPr>
      </w:pPr>
      <w:r w:rsidRPr="00F15C03">
        <w:rPr>
          <w:sz w:val="20"/>
          <w:szCs w:val="20"/>
        </w:rPr>
        <w:tab/>
        <w:t>New national agreement attracts widespread criticism</w:t>
      </w:r>
    </w:p>
    <w:p w:rsidR="0058678A" w:rsidRPr="00F15C03" w:rsidRDefault="00BA7388">
      <w:pPr>
        <w:pStyle w:val="EndnoteText"/>
      </w:pPr>
      <w:hyperlink r:id="rId48" w:history="1">
        <w:r w:rsidR="0058678A" w:rsidRPr="00F15C03">
          <w:rPr>
            <w:rStyle w:val="Hyperlink"/>
          </w:rPr>
          <w:tab/>
          <w:t>http://www.eurofound.europa.eu/eiro/2009/12/articles/lt0912019i.htm</w:t>
        </w:r>
      </w:hyperlink>
      <w:r w:rsidR="0058678A" w:rsidRPr="00F15C03">
        <w:t xml:space="preserve"> </w:t>
      </w:r>
    </w:p>
  </w:endnote>
  <w:endnote w:id="25">
    <w:p w:rsidR="0058678A" w:rsidRPr="00F15C03" w:rsidRDefault="0058678A">
      <w:pPr>
        <w:rPr>
          <w:sz w:val="20"/>
          <w:szCs w:val="20"/>
        </w:rPr>
      </w:pPr>
      <w:r w:rsidRPr="00F15C03">
        <w:rPr>
          <w:rStyle w:val="EndnoteCharacters"/>
          <w:sz w:val="20"/>
          <w:szCs w:val="20"/>
        </w:rPr>
        <w:endnoteRef/>
      </w:r>
      <w:r w:rsidRPr="00F15C03">
        <w:rPr>
          <w:sz w:val="20"/>
          <w:szCs w:val="20"/>
        </w:rPr>
        <w:tab/>
        <w:t>Public sector trade unions hold general strike against wage freezes and lower retirement pensions</w:t>
      </w:r>
    </w:p>
    <w:p w:rsidR="0058678A" w:rsidRPr="00F15C03" w:rsidRDefault="00BA7388">
      <w:pPr>
        <w:rPr>
          <w:sz w:val="20"/>
          <w:szCs w:val="20"/>
        </w:rPr>
      </w:pPr>
      <w:hyperlink r:id="rId49" w:history="1">
        <w:r w:rsidR="0058678A" w:rsidRPr="00F15C03">
          <w:rPr>
            <w:rStyle w:val="Hyperlink"/>
            <w:sz w:val="20"/>
            <w:szCs w:val="20"/>
          </w:rPr>
          <w:tab/>
          <w:t>http://www.eurofound.europa.eu/eiro/2011/02/articles/pt1102019i.htm</w:t>
        </w:r>
      </w:hyperlink>
      <w:r w:rsidR="0058678A" w:rsidRPr="00F15C03">
        <w:rPr>
          <w:sz w:val="20"/>
          <w:szCs w:val="20"/>
        </w:rPr>
        <w:t xml:space="preserve"> </w:t>
      </w:r>
    </w:p>
    <w:p w:rsidR="0058678A" w:rsidRPr="00F15C03" w:rsidRDefault="0058678A">
      <w:pPr>
        <w:rPr>
          <w:sz w:val="20"/>
          <w:szCs w:val="20"/>
        </w:rPr>
      </w:pPr>
      <w:r w:rsidRPr="00F15C03">
        <w:rPr>
          <w:sz w:val="20"/>
          <w:szCs w:val="20"/>
        </w:rPr>
        <w:tab/>
        <w:t xml:space="preserve">Austerity escalates and unions organise major demonstration </w:t>
      </w:r>
    </w:p>
    <w:p w:rsidR="0058678A" w:rsidRPr="00F15C03" w:rsidRDefault="00BA7388">
      <w:pPr>
        <w:rPr>
          <w:sz w:val="20"/>
          <w:szCs w:val="20"/>
        </w:rPr>
      </w:pPr>
      <w:hyperlink r:id="rId50" w:history="1">
        <w:r w:rsidR="0058678A" w:rsidRPr="00F15C03">
          <w:rPr>
            <w:rStyle w:val="Hyperlink"/>
            <w:sz w:val="20"/>
            <w:szCs w:val="20"/>
          </w:rPr>
          <w:tab/>
          <w:t>http://www.eurofound.europa.eu/eiro/2010/05/articles/pt1005019i.htm</w:t>
        </w:r>
      </w:hyperlink>
      <w:r w:rsidR="0058678A" w:rsidRPr="00F15C03">
        <w:rPr>
          <w:sz w:val="20"/>
          <w:szCs w:val="20"/>
        </w:rPr>
        <w:t xml:space="preserve"> </w:t>
      </w:r>
    </w:p>
  </w:endnote>
  <w:endnote w:id="26">
    <w:p w:rsidR="0058678A" w:rsidRPr="00F15C03" w:rsidRDefault="0058678A">
      <w:pPr>
        <w:rPr>
          <w:sz w:val="20"/>
          <w:szCs w:val="20"/>
        </w:rPr>
      </w:pPr>
      <w:r w:rsidRPr="00F15C03">
        <w:rPr>
          <w:rStyle w:val="EndnoteCharacters"/>
          <w:sz w:val="20"/>
          <w:szCs w:val="20"/>
        </w:rPr>
        <w:endnoteRef/>
      </w:r>
      <w:r w:rsidRPr="00F15C03">
        <w:rPr>
          <w:sz w:val="20"/>
          <w:szCs w:val="20"/>
        </w:rPr>
        <w:tab/>
        <w:t>Government endorses plan to cut public deficit</w:t>
      </w:r>
    </w:p>
    <w:p w:rsidR="0058678A" w:rsidRPr="00F15C03" w:rsidRDefault="00BA7388">
      <w:pPr>
        <w:rPr>
          <w:sz w:val="20"/>
          <w:szCs w:val="20"/>
        </w:rPr>
      </w:pPr>
      <w:hyperlink r:id="rId51" w:history="1">
        <w:r w:rsidR="0058678A" w:rsidRPr="00F15C03">
          <w:rPr>
            <w:rStyle w:val="Hyperlink"/>
            <w:sz w:val="20"/>
            <w:szCs w:val="20"/>
          </w:rPr>
          <w:tab/>
          <w:t>http://www.eurofound.europa.eu/eiro/2010/06/articles/es1006011i.htm</w:t>
        </w:r>
      </w:hyperlink>
      <w:r w:rsidR="0058678A" w:rsidRPr="00F15C03">
        <w:rPr>
          <w:sz w:val="20"/>
          <w:szCs w:val="20"/>
        </w:rPr>
        <w:t xml:space="preserve"> </w:t>
      </w:r>
    </w:p>
    <w:p w:rsidR="0058678A" w:rsidRPr="002C2BD8" w:rsidRDefault="0058678A">
      <w:pPr>
        <w:rPr>
          <w:sz w:val="20"/>
          <w:szCs w:val="20"/>
          <w:lang w:val="es-ES_tradnl"/>
        </w:rPr>
      </w:pPr>
      <w:r w:rsidRPr="00F15C03">
        <w:rPr>
          <w:sz w:val="20"/>
          <w:szCs w:val="20"/>
        </w:rPr>
        <w:tab/>
      </w:r>
      <w:r w:rsidRPr="002C2BD8">
        <w:rPr>
          <w:sz w:val="20"/>
          <w:szCs w:val="20"/>
          <w:lang w:val="es-ES_tradnl"/>
        </w:rPr>
        <w:t xml:space="preserve">El Área Pública de CCOO en Extremadura recurre el recorte salarial </w:t>
      </w:r>
    </w:p>
    <w:p w:rsidR="0058678A" w:rsidRPr="002C2BD8" w:rsidRDefault="00BA7388">
      <w:pPr>
        <w:rPr>
          <w:sz w:val="20"/>
          <w:szCs w:val="20"/>
          <w:lang w:val="es-ES_tradnl"/>
        </w:rPr>
      </w:pPr>
      <w:hyperlink r:id="rId52" w:history="1">
        <w:r w:rsidR="0058678A" w:rsidRPr="002C2BD8">
          <w:rPr>
            <w:rStyle w:val="Hyperlink"/>
            <w:sz w:val="20"/>
            <w:szCs w:val="20"/>
            <w:lang w:val="es-ES_tradnl"/>
          </w:rPr>
          <w:tab/>
          <w:t>http://www.fsc.ccoo.es/webfsc/menu.do?Inicio:95068</w:t>
        </w:r>
      </w:hyperlink>
      <w:r w:rsidR="0058678A" w:rsidRPr="002C2BD8">
        <w:rPr>
          <w:sz w:val="20"/>
          <w:szCs w:val="20"/>
          <w:lang w:val="es-ES_tradnl"/>
        </w:rPr>
        <w:t xml:space="preserve"> </w:t>
      </w:r>
    </w:p>
  </w:endnote>
  <w:endnote w:id="27">
    <w:p w:rsidR="0058678A" w:rsidRPr="00F15C03" w:rsidRDefault="0058678A">
      <w:pPr>
        <w:pStyle w:val="EndnoteText"/>
      </w:pPr>
      <w:r w:rsidRPr="00F15C03">
        <w:rPr>
          <w:rStyle w:val="EndnoteCharacters"/>
        </w:rPr>
        <w:endnoteRef/>
      </w:r>
      <w:r w:rsidRPr="00F15C03">
        <w:tab/>
        <w:t xml:space="preserve"> IMF evaluation: Economic decline of 1.9 pc in 2010 </w:t>
      </w:r>
    </w:p>
    <w:p w:rsidR="0058678A" w:rsidRPr="00F15C03" w:rsidRDefault="00BA7388">
      <w:pPr>
        <w:pStyle w:val="EndnoteText"/>
        <w:rPr>
          <w:rStyle w:val="EndnoteReference"/>
          <w:vertAlign w:val="baseline"/>
        </w:rPr>
      </w:pPr>
      <w:hyperlink r:id="rId53" w:history="1">
        <w:r w:rsidR="0058678A" w:rsidRPr="00F15C03">
          <w:rPr>
            <w:rStyle w:val="Hyperlink"/>
          </w:rPr>
          <w:tab/>
          <w:t>http://www.nineoclock.ro/index.php?issue=4717&amp;page=detalii&amp;categorie=business&amp;id=20100804-517822</w:t>
        </w:r>
      </w:hyperlink>
      <w:r w:rsidR="0058678A" w:rsidRPr="00F15C03">
        <w:t xml:space="preserve"> ; </w:t>
      </w:r>
      <w:r w:rsidR="0058678A" w:rsidRPr="00F15C03">
        <w:rPr>
          <w:rStyle w:val="EndnoteReference"/>
          <w:vertAlign w:val="baseline"/>
        </w:rPr>
        <w:t xml:space="preserve">FT 22 June 2010 Public finances: Daunted by deficits  </w:t>
      </w:r>
      <w:hyperlink r:id="rId54" w:history="1">
        <w:r w:rsidR="0058678A" w:rsidRPr="00F15C03">
          <w:rPr>
            <w:rStyle w:val="Hyperlink"/>
          </w:rPr>
          <w:t>http://www.ft.com/cms/s/0/aaa8ffc2-7e2b-11df-94a8-00144feabdc0.html</w:t>
        </w:r>
      </w:hyperlink>
      <w:r w:rsidR="0058678A" w:rsidRPr="00F15C03">
        <w:rPr>
          <w:rStyle w:val="EndnoteReference"/>
          <w:vertAlign w:val="baseline"/>
        </w:rPr>
        <w:t xml:space="preserve"> ;  </w:t>
      </w:r>
      <w:proofErr w:type="spellStart"/>
      <w:r w:rsidR="0058678A" w:rsidRPr="00F15C03">
        <w:rPr>
          <w:rStyle w:val="EndnoteReference"/>
          <w:vertAlign w:val="baseline"/>
        </w:rPr>
        <w:t>Eurofound</w:t>
      </w:r>
      <w:proofErr w:type="spellEnd"/>
      <w:r w:rsidR="0058678A" w:rsidRPr="00F15C03">
        <w:rPr>
          <w:rStyle w:val="EndnoteReference"/>
          <w:vertAlign w:val="baseline"/>
        </w:rPr>
        <w:t xml:space="preserve"> National trade union confederations set up crisis committee</w:t>
      </w:r>
    </w:p>
    <w:p w:rsidR="0058678A" w:rsidRPr="00F15C03" w:rsidRDefault="0058678A">
      <w:pPr>
        <w:pStyle w:val="EndnoteText"/>
        <w:rPr>
          <w:rStyle w:val="EndnoteReference"/>
          <w:vertAlign w:val="baseline"/>
        </w:rPr>
      </w:pPr>
      <w:r w:rsidRPr="00F15C03">
        <w:rPr>
          <w:rStyle w:val="EndnoteReference"/>
          <w:vertAlign w:val="baseline"/>
        </w:rPr>
        <w:tab/>
        <w:t xml:space="preserve">  </w:t>
      </w:r>
      <w:hyperlink r:id="rId55" w:history="1">
        <w:r w:rsidRPr="00F15C03">
          <w:rPr>
            <w:rStyle w:val="Hyperlink"/>
          </w:rPr>
          <w:t>http://www.eurofound.europa.eu/eiro/2010/05/articles/ro1005019i.htm</w:t>
        </w:r>
      </w:hyperlink>
      <w:r w:rsidRPr="00F15C03">
        <w:rPr>
          <w:rStyle w:val="EndnoteReference"/>
          <w:vertAlign w:val="baseline"/>
        </w:rPr>
        <w:t xml:space="preserve"> ; Nine </w:t>
      </w:r>
      <w:proofErr w:type="spellStart"/>
      <w:r w:rsidRPr="00F15C03">
        <w:rPr>
          <w:rStyle w:val="EndnoteReference"/>
          <w:vertAlign w:val="baseline"/>
        </w:rPr>
        <w:t>O'Clock</w:t>
      </w:r>
      <w:proofErr w:type="spellEnd"/>
      <w:r w:rsidRPr="00F15C03">
        <w:rPr>
          <w:rStyle w:val="EndnoteReference"/>
          <w:vertAlign w:val="baseline"/>
        </w:rPr>
        <w:t xml:space="preserve"> 24.08.2010 Editorial by </w:t>
      </w:r>
      <w:hyperlink r:id="rId56" w:history="1">
        <w:r w:rsidRPr="00F15C03">
          <w:rPr>
            <w:rStyle w:val="Hyperlink"/>
          </w:rPr>
          <w:t>Mihai Iordanescu</w:t>
        </w:r>
      </w:hyperlink>
      <w:r w:rsidRPr="00F15C03">
        <w:rPr>
          <w:rStyle w:val="EndnoteReference"/>
          <w:vertAlign w:val="baseline"/>
        </w:rPr>
        <w:t xml:space="preserve"> </w:t>
      </w:r>
      <w:r w:rsidRPr="00F15C03">
        <w:t xml:space="preserve">Unions of the… Power </w:t>
      </w:r>
      <w:r w:rsidRPr="00F15C03">
        <w:rPr>
          <w:rStyle w:val="EndnoteReference"/>
          <w:vertAlign w:val="baseline"/>
        </w:rPr>
        <w:t xml:space="preserve"> </w:t>
      </w:r>
      <w:hyperlink r:id="rId57" w:history="1">
        <w:r w:rsidRPr="00F15C03">
          <w:rPr>
            <w:rStyle w:val="Hyperlink"/>
          </w:rPr>
          <w:t>http://www.nineoclock.ro/index.php?issue=4750&amp;page=detalii&amp;categorie=frontpage&amp;id=20100824-501738</w:t>
        </w:r>
      </w:hyperlink>
      <w:r w:rsidRPr="00F15C03">
        <w:rPr>
          <w:rStyle w:val="EndnoteReference"/>
          <w:vertAlign w:val="baseline"/>
        </w:rPr>
        <w:t xml:space="preserve"> </w:t>
      </w:r>
    </w:p>
  </w:endnote>
  <w:endnote w:id="28">
    <w:p w:rsidR="0058678A" w:rsidRPr="00F15C03" w:rsidRDefault="0058678A">
      <w:pPr>
        <w:pStyle w:val="EndnoteText"/>
      </w:pPr>
      <w:r w:rsidRPr="00F15C03">
        <w:rPr>
          <w:rStyle w:val="EndnoteCharacters"/>
        </w:rPr>
        <w:endnoteRef/>
      </w:r>
      <w:r w:rsidRPr="00F15C03">
        <w:tab/>
        <w:t xml:space="preserve">  </w:t>
      </w:r>
      <w:proofErr w:type="spellStart"/>
      <w:r w:rsidRPr="00F15C03">
        <w:t>Eurofound</w:t>
      </w:r>
      <w:proofErr w:type="spellEnd"/>
      <w:r w:rsidRPr="00F15C03">
        <w:t xml:space="preserve">  </w:t>
      </w:r>
      <w:r w:rsidRPr="00F15C03">
        <w:rPr>
          <w:rStyle w:val="Hyperlink"/>
        </w:rPr>
        <w:t>Germany: New collective agreement for public sector</w:t>
      </w:r>
      <w:r w:rsidRPr="00F15C03">
        <w:t xml:space="preserve"> </w:t>
      </w:r>
      <w:hyperlink r:id="rId58" w:history="1">
        <w:r w:rsidRPr="00F15C03">
          <w:rPr>
            <w:rStyle w:val="Hyperlink"/>
          </w:rPr>
          <w:t>http://www.eurofound.europa.eu/eiro/2009/04/articles/de0904019i.htm</w:t>
        </w:r>
      </w:hyperlink>
      <w:r w:rsidRPr="00F15C03">
        <w:rPr>
          <w:rStyle w:val="Hyperlink"/>
        </w:rPr>
        <w:t xml:space="preserve"> </w:t>
      </w:r>
      <w:r w:rsidRPr="00F15C03">
        <w:t xml:space="preserve"> ; </w:t>
      </w:r>
    </w:p>
    <w:p w:rsidR="0058678A" w:rsidRPr="00F15C03" w:rsidRDefault="0058678A">
      <w:pPr>
        <w:rPr>
          <w:sz w:val="20"/>
          <w:szCs w:val="20"/>
        </w:rPr>
      </w:pPr>
      <w:r w:rsidRPr="00F15C03">
        <w:rPr>
          <w:sz w:val="20"/>
          <w:szCs w:val="20"/>
        </w:rPr>
        <w:tab/>
        <w:t>Trade unions accept small pay increase in public sector</w:t>
      </w:r>
    </w:p>
    <w:p w:rsidR="0058678A" w:rsidRPr="00F15C03" w:rsidRDefault="00BA7388">
      <w:pPr>
        <w:pStyle w:val="EndnoteText"/>
      </w:pPr>
      <w:hyperlink r:id="rId59" w:history="1">
        <w:r w:rsidR="0058678A" w:rsidRPr="00F15C03">
          <w:rPr>
            <w:rStyle w:val="Hyperlink"/>
          </w:rPr>
          <w:tab/>
          <w:t>http://www.eurofound.europa.eu/eiro/2009/11/articles/sk0911029i.htm</w:t>
        </w:r>
      </w:hyperlink>
      <w:r w:rsidR="0058678A" w:rsidRPr="00F15C03">
        <w:t xml:space="preserve"> </w:t>
      </w:r>
    </w:p>
    <w:p w:rsidR="0058678A" w:rsidRPr="00F15C03" w:rsidRDefault="0058678A">
      <w:pPr>
        <w:pStyle w:val="EndnoteText"/>
        <w:rPr>
          <w:rStyle w:val="Hyperlink"/>
        </w:rPr>
      </w:pPr>
      <w:r w:rsidRPr="00F15C03">
        <w:tab/>
      </w:r>
      <w:proofErr w:type="spellStart"/>
      <w:r w:rsidRPr="00F15C03">
        <w:t>Eurofound</w:t>
      </w:r>
      <w:proofErr w:type="spellEnd"/>
      <w:r w:rsidRPr="00F15C03">
        <w:t xml:space="preserve">: Austerity pay deal signed in public sector     </w:t>
      </w:r>
      <w:hyperlink r:id="rId60" w:history="1">
        <w:r w:rsidRPr="00F15C03">
          <w:rPr>
            <w:rStyle w:val="Hyperlink"/>
          </w:rPr>
          <w:t>http://www.eurofound.europa.eu/eiro/2009/03/articles/si0903029i.htm</w:t>
        </w:r>
      </w:hyperlink>
      <w:r w:rsidRPr="00F15C03">
        <w:rPr>
          <w:rStyle w:val="Hyperlink"/>
        </w:rPr>
        <w:t xml:space="preserve"> </w:t>
      </w:r>
    </w:p>
  </w:endnote>
  <w:endnote w:id="29">
    <w:p w:rsidR="0058678A" w:rsidRPr="00F15C03" w:rsidRDefault="0058678A">
      <w:pPr>
        <w:pStyle w:val="EndnoteText"/>
      </w:pPr>
      <w:r w:rsidRPr="00F15C03">
        <w:rPr>
          <w:rStyle w:val="EndnoteCharacters"/>
        </w:rPr>
        <w:endnoteRef/>
      </w:r>
      <w:r w:rsidRPr="00F15C03">
        <w:tab/>
        <w:t xml:space="preserve"> </w:t>
      </w:r>
      <w:proofErr w:type="spellStart"/>
      <w:r w:rsidRPr="00F15C03">
        <w:t>Kienbaum</w:t>
      </w:r>
      <w:proofErr w:type="spellEnd"/>
      <w:r w:rsidRPr="00F15C03">
        <w:t xml:space="preserve"> 2009 Forecast of Salary Increases 2009/2010 in 25 European Countries </w:t>
      </w:r>
      <w:hyperlink r:id="rId61" w:history="1">
        <w:r w:rsidRPr="00F15C03">
          <w:rPr>
            <w:rStyle w:val="Hyperlink"/>
          </w:rPr>
          <w:t>http://www.kienbaum.de/Portaldata/3/Resources/documents/downloadcenter/studien/human_resource_management/Kienbaum_Forecast_of_Salary_Increases_2010_EN.pdf</w:t>
        </w:r>
      </w:hyperlink>
      <w:r w:rsidRPr="00F15C03">
        <w:t xml:space="preserve"> </w:t>
      </w:r>
    </w:p>
  </w:endnote>
  <w:endnote w:id="30">
    <w:p w:rsidR="0058678A" w:rsidRPr="00F15C03" w:rsidRDefault="0058678A">
      <w:pPr>
        <w:pStyle w:val="EndnoteText"/>
      </w:pPr>
      <w:r w:rsidRPr="00F15C03">
        <w:rPr>
          <w:rStyle w:val="EndnoteCharacters"/>
        </w:rPr>
        <w:endnoteRef/>
      </w:r>
      <w:r w:rsidRPr="00F15C03">
        <w:tab/>
        <w:t xml:space="preserve"> </w:t>
      </w:r>
      <w:r w:rsidRPr="00F15C03">
        <w:rPr>
          <w:rStyle w:val="EndnoteReference"/>
          <w:vertAlign w:val="baseline"/>
        </w:rPr>
        <w:t xml:space="preserve">FT 22 June 2010 Public finances: Daunted by deficits  </w:t>
      </w:r>
      <w:hyperlink r:id="rId62" w:history="1">
        <w:r w:rsidRPr="00F15C03">
          <w:rPr>
            <w:rStyle w:val="Hyperlink"/>
          </w:rPr>
          <w:t>http://www.ft.com/cms/s/0/aaa8ffc2-7e2b-11df-94a8-00144feabdc0.html</w:t>
        </w:r>
      </w:hyperlink>
      <w:r w:rsidRPr="00F15C03">
        <w:rPr>
          <w:rStyle w:val="EndnoteReference"/>
          <w:vertAlign w:val="baseline"/>
        </w:rPr>
        <w:t xml:space="preserve"> </w:t>
      </w:r>
      <w:r w:rsidRPr="00F15C03">
        <w:t xml:space="preserve"> </w:t>
      </w:r>
    </w:p>
  </w:endnote>
  <w:endnote w:id="31">
    <w:p w:rsidR="0058678A" w:rsidRPr="00F15C03" w:rsidRDefault="0058678A">
      <w:pPr>
        <w:pStyle w:val="EndnoteText"/>
      </w:pPr>
      <w:r w:rsidRPr="00F15C03">
        <w:rPr>
          <w:rStyle w:val="EndnoteCharacters"/>
        </w:rPr>
        <w:endnoteRef/>
      </w:r>
      <w:r w:rsidRPr="00F15C03">
        <w:tab/>
        <w:t xml:space="preserve"> FT 23 June 2010  Japan launches plans to put budget into black by 2020</w:t>
      </w:r>
    </w:p>
    <w:p w:rsidR="0058678A" w:rsidRPr="00F15C03" w:rsidRDefault="0058678A">
      <w:pPr>
        <w:pStyle w:val="EndnoteText"/>
      </w:pPr>
      <w:r w:rsidRPr="00F15C03">
        <w:tab/>
        <w:t xml:space="preserve">  </w:t>
      </w:r>
      <w:hyperlink r:id="rId63" w:history="1">
        <w:r w:rsidRPr="00F15C03">
          <w:rPr>
            <w:rStyle w:val="Hyperlink"/>
          </w:rPr>
          <w:t>http://www.ft.com/cms/s/0/70505da4-7e60-11df-94a8-00144feabdc0.html</w:t>
        </w:r>
      </w:hyperlink>
      <w:r w:rsidRPr="00F15C03">
        <w:t xml:space="preserve"> </w:t>
      </w:r>
    </w:p>
  </w:endnote>
  <w:endnote w:id="32">
    <w:p w:rsidR="0058678A" w:rsidRPr="00F15C03" w:rsidRDefault="0058678A">
      <w:pPr>
        <w:rPr>
          <w:sz w:val="20"/>
          <w:szCs w:val="20"/>
        </w:rPr>
      </w:pPr>
      <w:r w:rsidRPr="00F15C03">
        <w:rPr>
          <w:rStyle w:val="EndnoteCharacters"/>
          <w:sz w:val="20"/>
          <w:szCs w:val="20"/>
        </w:rPr>
        <w:endnoteRef/>
      </w:r>
      <w:r w:rsidRPr="00F15C03">
        <w:rPr>
          <w:sz w:val="20"/>
          <w:szCs w:val="20"/>
        </w:rPr>
        <w:tab/>
        <w:t xml:space="preserve"> </w:t>
      </w:r>
    </w:p>
  </w:endnote>
  <w:endnote w:id="33">
    <w:p w:rsidR="0058678A" w:rsidRPr="00F15C03" w:rsidRDefault="0058678A">
      <w:pPr>
        <w:rPr>
          <w:sz w:val="20"/>
          <w:szCs w:val="20"/>
        </w:rPr>
      </w:pPr>
      <w:r w:rsidRPr="00F15C03">
        <w:rPr>
          <w:rStyle w:val="EndnoteCharacters"/>
          <w:sz w:val="20"/>
          <w:szCs w:val="20"/>
        </w:rPr>
        <w:endnoteRef/>
      </w:r>
      <w:r w:rsidRPr="00F15C03">
        <w:rPr>
          <w:sz w:val="20"/>
          <w:szCs w:val="20"/>
        </w:rPr>
        <w:tab/>
        <w:t xml:space="preserve"> Africa News This Day July 3, 2009 Friday Nigeria; At Last, Pay Cut For Public Officers Begins</w:t>
      </w:r>
    </w:p>
  </w:endnote>
  <w:endnote w:id="34">
    <w:p w:rsidR="0058678A" w:rsidRPr="00F15C03" w:rsidRDefault="0058678A">
      <w:pPr>
        <w:rPr>
          <w:sz w:val="20"/>
          <w:szCs w:val="20"/>
        </w:rPr>
      </w:pPr>
      <w:r w:rsidRPr="00F15C03">
        <w:rPr>
          <w:rStyle w:val="EndnoteCharacters"/>
          <w:sz w:val="20"/>
          <w:szCs w:val="20"/>
        </w:rPr>
        <w:endnoteRef/>
      </w:r>
      <w:r w:rsidRPr="00F15C03">
        <w:rPr>
          <w:sz w:val="20"/>
          <w:szCs w:val="20"/>
        </w:rPr>
        <w:tab/>
        <w:t xml:space="preserve"> Africa News July 6, 2009 Monday  Nigeria; </w:t>
      </w:r>
      <w:proofErr w:type="spellStart"/>
      <w:r w:rsidRPr="00F15C03">
        <w:rPr>
          <w:sz w:val="20"/>
          <w:szCs w:val="20"/>
        </w:rPr>
        <w:t>Yar'Adua</w:t>
      </w:r>
      <w:proofErr w:type="spellEnd"/>
      <w:r w:rsidRPr="00F15C03">
        <w:rPr>
          <w:sz w:val="20"/>
          <w:szCs w:val="20"/>
        </w:rPr>
        <w:t xml:space="preserve"> Laments </w:t>
      </w:r>
      <w:proofErr w:type="spellStart"/>
      <w:r w:rsidRPr="00F15C03">
        <w:rPr>
          <w:sz w:val="20"/>
          <w:szCs w:val="20"/>
        </w:rPr>
        <w:t>Oshodi-Apapa</w:t>
      </w:r>
      <w:proofErr w:type="spellEnd"/>
      <w:r w:rsidRPr="00F15C03">
        <w:rPr>
          <w:sz w:val="20"/>
          <w:szCs w:val="20"/>
        </w:rPr>
        <w:t xml:space="preserve"> Road Collapse </w:t>
      </w:r>
    </w:p>
  </w:endnote>
  <w:endnote w:id="35">
    <w:p w:rsidR="0058678A" w:rsidRPr="00F15C03" w:rsidRDefault="0058678A">
      <w:pPr>
        <w:pStyle w:val="NormalWeb"/>
        <w:rPr>
          <w:sz w:val="20"/>
          <w:szCs w:val="20"/>
        </w:rPr>
      </w:pPr>
      <w:r w:rsidRPr="00F15C03">
        <w:rPr>
          <w:rStyle w:val="EndnoteCharacters"/>
          <w:sz w:val="20"/>
          <w:szCs w:val="20"/>
        </w:rPr>
        <w:endnoteRef/>
      </w:r>
      <w:r w:rsidRPr="00F15C03">
        <w:rPr>
          <w:sz w:val="20"/>
          <w:szCs w:val="20"/>
        </w:rPr>
        <w:tab/>
        <w:t xml:space="preserve">  African Manager 06 August 2010 Angolan </w:t>
      </w:r>
      <w:proofErr w:type="spellStart"/>
      <w:r w:rsidRPr="00F15C03">
        <w:rPr>
          <w:sz w:val="20"/>
          <w:szCs w:val="20"/>
        </w:rPr>
        <w:t>govt</w:t>
      </w:r>
      <w:proofErr w:type="spellEnd"/>
      <w:r w:rsidRPr="00F15C03">
        <w:rPr>
          <w:sz w:val="20"/>
          <w:szCs w:val="20"/>
        </w:rPr>
        <w:t xml:space="preserve"> to raise civil servants pay  </w:t>
      </w:r>
    </w:p>
    <w:p w:rsidR="0058678A" w:rsidRPr="00F15C03" w:rsidRDefault="0058678A">
      <w:pPr>
        <w:pStyle w:val="EndnoteText"/>
      </w:pPr>
      <w:r w:rsidRPr="00F15C03">
        <w:tab/>
        <w:t xml:space="preserve"> </w:t>
      </w:r>
      <w:hyperlink r:id="rId64" w:history="1">
        <w:r w:rsidRPr="00F15C03">
          <w:rPr>
            <w:rStyle w:val="Hyperlink"/>
          </w:rPr>
          <w:t>http://www.africanmanager.com/site_eng/detail_article.php?art_id=15323</w:t>
        </w:r>
      </w:hyperlink>
      <w:r w:rsidRPr="00F15C03">
        <w:t xml:space="preserve"> </w:t>
      </w:r>
    </w:p>
  </w:endnote>
  <w:endnote w:id="36">
    <w:p w:rsidR="0058678A" w:rsidRPr="00F15C03" w:rsidRDefault="0058678A">
      <w:pPr>
        <w:rPr>
          <w:sz w:val="20"/>
          <w:szCs w:val="20"/>
        </w:rPr>
      </w:pPr>
      <w:r w:rsidRPr="00F15C03">
        <w:rPr>
          <w:rStyle w:val="EndnoteCharacters"/>
          <w:sz w:val="20"/>
          <w:szCs w:val="20"/>
        </w:rPr>
        <w:endnoteRef/>
      </w:r>
      <w:r w:rsidRPr="00F15C03">
        <w:rPr>
          <w:sz w:val="20"/>
          <w:szCs w:val="20"/>
        </w:rPr>
        <w:tab/>
        <w:t xml:space="preserve"> Swazi Observer </w:t>
      </w:r>
      <w:r w:rsidRPr="00F15C03">
        <w:rPr>
          <w:rStyle w:val="metadatatime"/>
          <w:sz w:val="20"/>
          <w:szCs w:val="20"/>
        </w:rPr>
        <w:t xml:space="preserve">05 August, 2010 </w:t>
      </w:r>
      <w:proofErr w:type="spellStart"/>
      <w:r w:rsidRPr="00F15C03">
        <w:rPr>
          <w:sz w:val="20"/>
          <w:szCs w:val="20"/>
        </w:rPr>
        <w:t>Winile</w:t>
      </w:r>
      <w:proofErr w:type="spellEnd"/>
      <w:r w:rsidRPr="00F15C03">
        <w:rPr>
          <w:sz w:val="20"/>
          <w:szCs w:val="20"/>
        </w:rPr>
        <w:t xml:space="preserve"> </w:t>
      </w:r>
      <w:proofErr w:type="spellStart"/>
      <w:r w:rsidRPr="00F15C03">
        <w:rPr>
          <w:sz w:val="20"/>
          <w:szCs w:val="20"/>
        </w:rPr>
        <w:t>Masinga</w:t>
      </w:r>
      <w:proofErr w:type="spellEnd"/>
      <w:r w:rsidRPr="00F15C03">
        <w:rPr>
          <w:sz w:val="20"/>
          <w:szCs w:val="20"/>
        </w:rPr>
        <w:t xml:space="preserve"> E200m PAYOUT WORRIES WORLD BANK </w:t>
      </w:r>
      <w:hyperlink r:id="rId65" w:history="1">
        <w:r w:rsidRPr="00F15C03">
          <w:rPr>
            <w:rStyle w:val="Hyperlink"/>
            <w:sz w:val="20"/>
            <w:szCs w:val="20"/>
          </w:rPr>
          <w:t>http://www.observer.org.sz/index.php?news=15192</w:t>
        </w:r>
      </w:hyperlink>
    </w:p>
  </w:endnote>
  <w:endnote w:id="37">
    <w:p w:rsidR="0058678A" w:rsidRPr="00F15C03" w:rsidRDefault="0058678A">
      <w:pPr>
        <w:rPr>
          <w:sz w:val="20"/>
          <w:szCs w:val="20"/>
        </w:rPr>
      </w:pPr>
      <w:r w:rsidRPr="00F15C03">
        <w:rPr>
          <w:rStyle w:val="EndnoteCharacters"/>
          <w:sz w:val="20"/>
          <w:szCs w:val="20"/>
        </w:rPr>
        <w:endnoteRef/>
      </w:r>
      <w:r w:rsidRPr="00F15C03">
        <w:rPr>
          <w:sz w:val="20"/>
          <w:szCs w:val="20"/>
        </w:rPr>
        <w:tab/>
        <w:t xml:space="preserve"> </w:t>
      </w:r>
      <w:proofErr w:type="spellStart"/>
      <w:r w:rsidRPr="00F15C03">
        <w:rPr>
          <w:sz w:val="20"/>
          <w:szCs w:val="20"/>
        </w:rPr>
        <w:t>S.Africa</w:t>
      </w:r>
      <w:proofErr w:type="spellEnd"/>
      <w:r w:rsidRPr="00F15C03">
        <w:rPr>
          <w:sz w:val="20"/>
          <w:szCs w:val="20"/>
        </w:rPr>
        <w:t xml:space="preserve"> civil servants to strike over salaries 06 August 2010 AFP </w:t>
      </w:r>
      <w:hyperlink r:id="rId66" w:history="1">
        <w:r w:rsidRPr="00F15C03">
          <w:rPr>
            <w:rStyle w:val="Hyperlink"/>
            <w:sz w:val="20"/>
            <w:szCs w:val="20"/>
          </w:rPr>
          <w:t>http://www.google.com/hostednews/afp/article/ALeqM5hmzu7tuH3Q3_jBlXq3f1d82-7NUw</w:t>
        </w:r>
      </w:hyperlink>
    </w:p>
  </w:endnote>
  <w:endnote w:id="38">
    <w:p w:rsidR="0058678A" w:rsidRPr="00F15C03" w:rsidRDefault="0058678A">
      <w:pPr>
        <w:pStyle w:val="EndnoteText"/>
      </w:pPr>
      <w:r w:rsidRPr="00F15C03">
        <w:rPr>
          <w:rStyle w:val="EndnoteCharacters"/>
        </w:rPr>
        <w:endnoteRef/>
      </w:r>
    </w:p>
  </w:endnote>
  <w:endnote w:id="39">
    <w:p w:rsidR="0058678A" w:rsidRPr="00F15C03" w:rsidRDefault="0058678A">
      <w:pPr>
        <w:pStyle w:val="EndnoteText"/>
        <w:rPr>
          <w:rFonts w:eastAsia="GillSansMTPro-BoldCondensed"/>
          <w:bCs/>
          <w:color w:val="000000"/>
        </w:rPr>
      </w:pPr>
      <w:r w:rsidRPr="00F15C03">
        <w:rPr>
          <w:rStyle w:val="EndnoteCharacters"/>
        </w:rPr>
        <w:endnoteRef/>
      </w:r>
      <w:r w:rsidRPr="00F15C03">
        <w:tab/>
        <w:t xml:space="preserve"> </w:t>
      </w:r>
      <w:r w:rsidRPr="00F15C03">
        <w:rPr>
          <w:rFonts w:eastAsia="GillSansMyriad-Condensed"/>
          <w:bCs/>
          <w:color w:val="000000"/>
        </w:rPr>
        <w:t xml:space="preserve">European Central Bank (ECB). </w:t>
      </w:r>
      <w:r w:rsidRPr="00F15C03">
        <w:rPr>
          <w:rFonts w:eastAsia="GillSansMTPro-BoldCondensed"/>
          <w:bCs/>
          <w:color w:val="000000"/>
        </w:rPr>
        <w:t xml:space="preserve">Occasional Paper series No 112 / </w:t>
      </w:r>
      <w:proofErr w:type="spellStart"/>
      <w:r w:rsidRPr="00F15C03">
        <w:rPr>
          <w:rFonts w:eastAsia="GillSansMTPro-BoldCondensed"/>
          <w:bCs/>
          <w:color w:val="000000"/>
        </w:rPr>
        <w:t>june</w:t>
      </w:r>
      <w:proofErr w:type="spellEnd"/>
      <w:r w:rsidRPr="00F15C03">
        <w:rPr>
          <w:rFonts w:eastAsia="GillSansMTPro-BoldCondensed"/>
          <w:bCs/>
          <w:color w:val="000000"/>
        </w:rPr>
        <w:t xml:space="preserve"> 2010</w:t>
      </w:r>
    </w:p>
    <w:p w:rsidR="0058678A" w:rsidRPr="00F15C03" w:rsidRDefault="0058678A">
      <w:pPr>
        <w:autoSpaceDE w:val="0"/>
        <w:rPr>
          <w:rFonts w:eastAsia="GillSansMTPro-Condensed"/>
          <w:color w:val="000000"/>
          <w:sz w:val="20"/>
          <w:szCs w:val="20"/>
        </w:rPr>
      </w:pPr>
      <w:r w:rsidRPr="00F15C03">
        <w:rPr>
          <w:rFonts w:eastAsia="GillSansMTPro-BoldCondensed"/>
          <w:bCs/>
          <w:color w:val="000000"/>
          <w:sz w:val="20"/>
          <w:szCs w:val="20"/>
        </w:rPr>
        <w:tab/>
        <w:t xml:space="preserve">Public wages in the Euro area: towards securing stability and competitiveness </w:t>
      </w:r>
      <w:r w:rsidRPr="00F15C03">
        <w:rPr>
          <w:rFonts w:eastAsia="GillSansMTPro-Condensed"/>
          <w:color w:val="000000"/>
          <w:sz w:val="20"/>
          <w:szCs w:val="20"/>
        </w:rPr>
        <w:t xml:space="preserve">by </w:t>
      </w:r>
      <w:proofErr w:type="spellStart"/>
      <w:r w:rsidRPr="00F15C03">
        <w:rPr>
          <w:rFonts w:eastAsia="GillSansMTPro-Condensed"/>
          <w:color w:val="000000"/>
          <w:sz w:val="20"/>
          <w:szCs w:val="20"/>
        </w:rPr>
        <w:t>Fédéric</w:t>
      </w:r>
      <w:proofErr w:type="spellEnd"/>
      <w:r w:rsidRPr="00F15C03">
        <w:rPr>
          <w:rFonts w:eastAsia="GillSansMTPro-Condensed"/>
          <w:color w:val="000000"/>
          <w:sz w:val="20"/>
          <w:szCs w:val="20"/>
        </w:rPr>
        <w:t xml:space="preserve"> Holm-</w:t>
      </w:r>
      <w:proofErr w:type="spellStart"/>
      <w:r w:rsidRPr="00F15C03">
        <w:rPr>
          <w:rFonts w:eastAsia="GillSansMTPro-Condensed"/>
          <w:color w:val="000000"/>
          <w:sz w:val="20"/>
          <w:szCs w:val="20"/>
        </w:rPr>
        <w:t>Hadulla</w:t>
      </w:r>
      <w:proofErr w:type="spellEnd"/>
      <w:r w:rsidRPr="00F15C03">
        <w:rPr>
          <w:rFonts w:eastAsia="GillSansMTPro-Condensed"/>
          <w:color w:val="000000"/>
          <w:sz w:val="20"/>
          <w:szCs w:val="20"/>
        </w:rPr>
        <w:t>,</w:t>
      </w:r>
    </w:p>
    <w:p w:rsidR="0058678A" w:rsidRPr="00F15C03" w:rsidRDefault="0058678A">
      <w:pPr>
        <w:pStyle w:val="EndnoteText"/>
        <w:autoSpaceDE w:val="0"/>
        <w:rPr>
          <w:rFonts w:eastAsia="GillSansMTPro-Condensed"/>
          <w:color w:val="000000"/>
        </w:rPr>
      </w:pPr>
      <w:r w:rsidRPr="00F15C03">
        <w:rPr>
          <w:rFonts w:eastAsia="GillSansMTPro-Condensed"/>
          <w:color w:val="000000"/>
        </w:rPr>
        <w:tab/>
        <w:t xml:space="preserve">Kishore </w:t>
      </w:r>
      <w:proofErr w:type="spellStart"/>
      <w:r w:rsidRPr="00F15C03">
        <w:rPr>
          <w:rFonts w:eastAsia="GillSansMTPro-Condensed"/>
          <w:color w:val="000000"/>
        </w:rPr>
        <w:t>Kamath</w:t>
      </w:r>
      <w:proofErr w:type="spellEnd"/>
      <w:r w:rsidRPr="00F15C03">
        <w:rPr>
          <w:rFonts w:eastAsia="GillSansMTPro-Condensed"/>
          <w:color w:val="000000"/>
        </w:rPr>
        <w:t xml:space="preserve">, Ana </w:t>
      </w:r>
      <w:proofErr w:type="spellStart"/>
      <w:r w:rsidRPr="00F15C03">
        <w:rPr>
          <w:rFonts w:eastAsia="GillSansMTPro-Condensed"/>
          <w:color w:val="000000"/>
        </w:rPr>
        <w:t>Lamo</w:t>
      </w:r>
      <w:proofErr w:type="spellEnd"/>
      <w:r w:rsidRPr="00F15C03">
        <w:rPr>
          <w:rFonts w:eastAsia="GillSansMTPro-Condensed"/>
          <w:color w:val="000000"/>
        </w:rPr>
        <w:t xml:space="preserve">, Javier J. Pérez and </w:t>
      </w:r>
      <w:proofErr w:type="spellStart"/>
      <w:r w:rsidRPr="00F15C03">
        <w:rPr>
          <w:rFonts w:eastAsia="GillSansMTPro-Condensed"/>
          <w:color w:val="000000"/>
        </w:rPr>
        <w:t>Ludger</w:t>
      </w:r>
      <w:proofErr w:type="spellEnd"/>
      <w:r w:rsidRPr="00F15C03">
        <w:rPr>
          <w:rFonts w:eastAsia="GillSansMTPro-Condensed"/>
          <w:color w:val="000000"/>
        </w:rPr>
        <w:t xml:space="preserve"> </w:t>
      </w:r>
      <w:proofErr w:type="spellStart"/>
      <w:r w:rsidRPr="00F15C03">
        <w:rPr>
          <w:rFonts w:eastAsia="GillSansMTPro-Condensed"/>
          <w:color w:val="000000"/>
        </w:rPr>
        <w:t>Schuknecht</w:t>
      </w:r>
      <w:proofErr w:type="spellEnd"/>
      <w:r w:rsidRPr="00F15C03">
        <w:rPr>
          <w:rFonts w:eastAsia="GillSansMTPro-Condensed"/>
          <w:color w:val="000000"/>
        </w:rPr>
        <w:t xml:space="preserve">  </w:t>
      </w:r>
      <w:hyperlink r:id="rId67" w:history="1">
        <w:r w:rsidRPr="00F15C03">
          <w:rPr>
            <w:rStyle w:val="Hyperlink"/>
            <w:rFonts w:eastAsia="GillSansMTPro-Condensed"/>
          </w:rPr>
          <w:t>http://www.ecb.int/pub/pdf/scpops/ecbocp112.pdf</w:t>
        </w:r>
      </w:hyperlink>
      <w:r w:rsidRPr="00F15C03">
        <w:rPr>
          <w:rFonts w:eastAsia="GillSansMTPro-Condensed"/>
          <w:color w:val="000000"/>
        </w:rPr>
        <w:t xml:space="preserve"> </w:t>
      </w:r>
    </w:p>
  </w:endnote>
  <w:endnote w:id="40">
    <w:p w:rsidR="0058678A" w:rsidRPr="00F15C03" w:rsidRDefault="0058678A">
      <w:pPr>
        <w:pStyle w:val="EndnoteText"/>
      </w:pPr>
      <w:r w:rsidRPr="00F15C03">
        <w:rPr>
          <w:rStyle w:val="EndnoteCharacters"/>
        </w:rPr>
        <w:endnoteRef/>
      </w:r>
      <w:r w:rsidRPr="00F15C03">
        <w:tab/>
        <w:t xml:space="preserve"> Christopher </w:t>
      </w:r>
      <w:proofErr w:type="spellStart"/>
      <w:r w:rsidRPr="00F15C03">
        <w:t>Colclough</w:t>
      </w:r>
      <w:proofErr w:type="spellEnd"/>
      <w:r w:rsidRPr="00F15C03">
        <w:t xml:space="preserve"> 1997 </w:t>
      </w:r>
      <w:r w:rsidRPr="00F15C03">
        <w:rPr>
          <w:bCs/>
        </w:rPr>
        <w:t>PUBLIC</w:t>
      </w:r>
      <w:r w:rsidRPr="00F15C03">
        <w:t>-</w:t>
      </w:r>
      <w:r w:rsidRPr="00F15C03">
        <w:rPr>
          <w:bCs/>
        </w:rPr>
        <w:t>SECTOR</w:t>
      </w:r>
      <w:r w:rsidRPr="00F15C03">
        <w:t xml:space="preserve"> </w:t>
      </w:r>
      <w:r w:rsidRPr="00F15C03">
        <w:rPr>
          <w:bCs/>
        </w:rPr>
        <w:t>PAY</w:t>
      </w:r>
      <w:r w:rsidRPr="00F15C03">
        <w:t xml:space="preserve"> AND ADJUSTMENT </w:t>
      </w:r>
      <w:r w:rsidRPr="00F15C03">
        <w:rPr>
          <w:bCs/>
        </w:rPr>
        <w:t>Theory</w:t>
      </w:r>
      <w:r w:rsidRPr="00F15C03">
        <w:t xml:space="preserve">, policies and outcomes </w:t>
      </w:r>
      <w:proofErr w:type="spellStart"/>
      <w:r w:rsidRPr="00F15C03">
        <w:t>Routledge</w:t>
      </w:r>
      <w:proofErr w:type="spellEnd"/>
      <w:r w:rsidRPr="00F15C03">
        <w:t xml:space="preserve">   </w:t>
      </w:r>
      <w:hyperlink r:id="rId68" w:anchor="v=onepage&amp;q&amp;f=false" w:history="1">
        <w:r w:rsidRPr="00F15C03">
          <w:rPr>
            <w:rStyle w:val="Hyperlink"/>
          </w:rPr>
          <w:t>http://books.google.co.uk/books?id=8bpFTfTp0BkC&amp;lpg=PA1&amp;lr&amp;pg=PA9#v=onepage&amp;q&amp;f=false</w:t>
        </w:r>
      </w:hyperlink>
      <w:r w:rsidRPr="00F15C03">
        <w:t xml:space="preserve"> </w:t>
      </w:r>
    </w:p>
  </w:endnote>
  <w:endnote w:id="41">
    <w:p w:rsidR="0058678A" w:rsidRPr="00F15C03" w:rsidRDefault="0058678A">
      <w:pPr>
        <w:pStyle w:val="EndnoteText"/>
        <w:rPr>
          <w:rFonts w:eastAsia="TimesNewRoman"/>
          <w:bCs/>
        </w:rPr>
      </w:pPr>
      <w:r w:rsidRPr="00F15C03">
        <w:rPr>
          <w:rStyle w:val="EndnoteCharacters"/>
        </w:rPr>
        <w:endnoteRef/>
      </w:r>
      <w:r w:rsidRPr="00F15C03">
        <w:tab/>
        <w:t xml:space="preserve"> </w:t>
      </w:r>
      <w:r w:rsidRPr="00F15C03">
        <w:rPr>
          <w:rFonts w:eastAsia="TimesNewRoman"/>
          <w:bCs/>
        </w:rPr>
        <w:t>The new public management in developing countries</w:t>
      </w:r>
    </w:p>
    <w:p w:rsidR="0058678A" w:rsidRPr="00F15C03" w:rsidRDefault="0058678A">
      <w:pPr>
        <w:autoSpaceDE w:val="0"/>
        <w:rPr>
          <w:rFonts w:eastAsia="TimesNewRoman"/>
          <w:sz w:val="20"/>
          <w:szCs w:val="20"/>
        </w:rPr>
      </w:pPr>
      <w:r w:rsidRPr="00F15C03">
        <w:rPr>
          <w:rFonts w:eastAsia="TimesNewRoman"/>
          <w:sz w:val="20"/>
          <w:szCs w:val="20"/>
        </w:rPr>
        <w:tab/>
        <w:t xml:space="preserve">By Charles </w:t>
      </w:r>
      <w:proofErr w:type="spellStart"/>
      <w:r w:rsidRPr="00F15C03">
        <w:rPr>
          <w:rFonts w:eastAsia="TimesNewRoman"/>
          <w:sz w:val="20"/>
          <w:szCs w:val="20"/>
        </w:rPr>
        <w:t>Polidano</w:t>
      </w:r>
      <w:proofErr w:type="spellEnd"/>
      <w:r w:rsidRPr="00F15C03">
        <w:rPr>
          <w:rFonts w:eastAsia="TimesNewRoman"/>
          <w:sz w:val="20"/>
          <w:szCs w:val="20"/>
        </w:rPr>
        <w:t xml:space="preserve"> IDPM Public Policy and Management Working Paper no. 13</w:t>
      </w:r>
    </w:p>
    <w:p w:rsidR="0058678A" w:rsidRPr="00F15C03" w:rsidRDefault="0058678A">
      <w:pPr>
        <w:autoSpaceDE w:val="0"/>
        <w:rPr>
          <w:rFonts w:eastAsia="TimesNewRoman"/>
          <w:sz w:val="20"/>
          <w:szCs w:val="20"/>
        </w:rPr>
      </w:pPr>
      <w:r w:rsidRPr="00F15C03">
        <w:rPr>
          <w:rFonts w:eastAsia="TimesNewRoman"/>
          <w:sz w:val="20"/>
          <w:szCs w:val="20"/>
        </w:rPr>
        <w:tab/>
        <w:t>November 1999</w:t>
      </w:r>
    </w:p>
    <w:p w:rsidR="0058678A" w:rsidRPr="00F15C03" w:rsidRDefault="00BA7388">
      <w:pPr>
        <w:pStyle w:val="EndnoteText"/>
      </w:pPr>
      <w:hyperlink r:id="rId69" w:history="1">
        <w:r w:rsidR="0058678A" w:rsidRPr="00F15C03">
          <w:rPr>
            <w:rStyle w:val="Hyperlink"/>
          </w:rPr>
          <w:tab/>
          <w:t>http://unpan1.un.org/intradoc/groups/public/documents/APCITY/UNPAN014322.pdf</w:t>
        </w:r>
      </w:hyperlink>
      <w:r w:rsidR="0058678A" w:rsidRPr="00F15C03">
        <w:t xml:space="preserve"> </w:t>
      </w:r>
    </w:p>
  </w:endnote>
  <w:endnote w:id="42">
    <w:p w:rsidR="0058678A" w:rsidRPr="00F15C03" w:rsidRDefault="0058678A">
      <w:pPr>
        <w:pStyle w:val="EndnoteText"/>
        <w:rPr>
          <w:rFonts w:eastAsia="Symbol"/>
        </w:rPr>
      </w:pPr>
      <w:r w:rsidRPr="00F15C03">
        <w:rPr>
          <w:rStyle w:val="EndnoteCharacters"/>
        </w:rPr>
        <w:endnoteRef/>
      </w:r>
      <w:r w:rsidRPr="00F15C03">
        <w:tab/>
        <w:t xml:space="preserve">  </w:t>
      </w:r>
      <w:r w:rsidRPr="00F15C03">
        <w:rPr>
          <w:rFonts w:eastAsia="Times-Bold"/>
          <w:bCs/>
        </w:rPr>
        <w:t>Public Sector Pay Gaps and Skill Levels: a Cross-Country Comparison</w:t>
      </w:r>
      <w:r w:rsidRPr="00F15C03">
        <w:rPr>
          <w:rFonts w:eastAsia="Symbol"/>
        </w:rPr>
        <w:t></w:t>
      </w:r>
    </w:p>
    <w:p w:rsidR="0058678A" w:rsidRPr="00F15C03" w:rsidRDefault="0058678A">
      <w:pPr>
        <w:autoSpaceDE w:val="0"/>
        <w:rPr>
          <w:rFonts w:eastAsia="Times-Italic"/>
          <w:iCs/>
          <w:sz w:val="20"/>
          <w:szCs w:val="20"/>
        </w:rPr>
      </w:pPr>
      <w:r w:rsidRPr="00F15C03">
        <w:rPr>
          <w:rFonts w:eastAsia="Times-Roman"/>
          <w:sz w:val="20"/>
          <w:szCs w:val="20"/>
        </w:rPr>
        <w:tab/>
        <w:t xml:space="preserve">Paolo </w:t>
      </w:r>
      <w:proofErr w:type="spellStart"/>
      <w:r w:rsidRPr="00F15C03">
        <w:rPr>
          <w:rFonts w:eastAsia="Times-Roman"/>
          <w:sz w:val="20"/>
          <w:szCs w:val="20"/>
        </w:rPr>
        <w:t>Ghinetti</w:t>
      </w:r>
      <w:proofErr w:type="spellEnd"/>
      <w:r w:rsidRPr="00F15C03">
        <w:rPr>
          <w:rFonts w:eastAsia="Times-Roman"/>
          <w:sz w:val="20"/>
          <w:szCs w:val="20"/>
        </w:rPr>
        <w:t xml:space="preserve"> </w:t>
      </w:r>
      <w:r w:rsidRPr="00F15C03">
        <w:rPr>
          <w:rFonts w:eastAsia="Times-Italic"/>
          <w:iCs/>
          <w:sz w:val="20"/>
          <w:szCs w:val="20"/>
        </w:rPr>
        <w:t xml:space="preserve">and </w:t>
      </w:r>
      <w:r w:rsidRPr="00F15C03">
        <w:rPr>
          <w:rFonts w:eastAsia="Times-Roman"/>
          <w:sz w:val="20"/>
          <w:szCs w:val="20"/>
        </w:rPr>
        <w:t xml:space="preserve">Claudio </w:t>
      </w:r>
      <w:proofErr w:type="spellStart"/>
      <w:r w:rsidRPr="00F15C03">
        <w:rPr>
          <w:rFonts w:eastAsia="Times-Roman"/>
          <w:sz w:val="20"/>
          <w:szCs w:val="20"/>
        </w:rPr>
        <w:t>Lucifora</w:t>
      </w:r>
      <w:proofErr w:type="spellEnd"/>
      <w:r w:rsidRPr="00F15C03">
        <w:rPr>
          <w:rFonts w:eastAsia="Times-Roman"/>
          <w:sz w:val="20"/>
          <w:szCs w:val="20"/>
        </w:rPr>
        <w:t xml:space="preserve"> </w:t>
      </w:r>
      <w:r w:rsidRPr="00F15C03">
        <w:rPr>
          <w:rFonts w:eastAsia="Times-Italic"/>
          <w:iCs/>
          <w:sz w:val="20"/>
          <w:szCs w:val="20"/>
        </w:rPr>
        <w:t xml:space="preserve">2008 </w:t>
      </w:r>
    </w:p>
  </w:endnote>
  <w:endnote w:id="43">
    <w:p w:rsidR="0058678A" w:rsidRPr="00F15C03" w:rsidRDefault="0058678A">
      <w:pPr>
        <w:pStyle w:val="EndnoteText"/>
        <w:rPr>
          <w:color w:val="000000"/>
        </w:rPr>
      </w:pPr>
      <w:r w:rsidRPr="00F15C03">
        <w:rPr>
          <w:rStyle w:val="EndnoteCharacters"/>
        </w:rPr>
        <w:endnoteRef/>
      </w:r>
      <w:r w:rsidRPr="00F15C03">
        <w:tab/>
        <w:t xml:space="preserve">  </w:t>
      </w:r>
      <w:r w:rsidRPr="00F15C03">
        <w:rPr>
          <w:rStyle w:val="Hyperlink"/>
          <w:color w:val="000000"/>
        </w:rPr>
        <w:t xml:space="preserve">R.B. Freeman 1987 How Do Public Sector Wages and Employment Respond to Economic Conditions? p.184 </w:t>
      </w:r>
      <w:r w:rsidRPr="00F15C03">
        <w:rPr>
          <w:color w:val="000000"/>
        </w:rPr>
        <w:t xml:space="preserve">in Public sector payrolls David A. Wise  1987 </w:t>
      </w:r>
      <w:proofErr w:type="spellStart"/>
      <w:r w:rsidRPr="00F15C03">
        <w:rPr>
          <w:color w:val="000000"/>
        </w:rPr>
        <w:t>Univ</w:t>
      </w:r>
      <w:proofErr w:type="spellEnd"/>
      <w:r w:rsidRPr="00F15C03">
        <w:rPr>
          <w:color w:val="000000"/>
        </w:rPr>
        <w:t xml:space="preserve"> of Chicago press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rowallia New">
    <w:panose1 w:val="020B0604020202020204"/>
    <w:charset w:val="00"/>
    <w:family w:val="swiss"/>
    <w:pitch w:val="variable"/>
    <w:sig w:usb0="81000003" w:usb1="00000000" w:usb2="00000000" w:usb3="00000000" w:csb0="00010001" w:csb1="00000000"/>
  </w:font>
  <w:font w:name="TimesNewRomanWGL">
    <w:altName w:val="Arial"/>
    <w:charset w:val="00"/>
    <w:family w:val="swiss"/>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Narrow">
    <w:charset w:val="00"/>
    <w:family w:val="swiss"/>
    <w:pitch w:val="default"/>
  </w:font>
  <w:font w:name="GillSansMTPro-BoldCondensed">
    <w:altName w:val="Arial"/>
    <w:charset w:val="00"/>
    <w:family w:val="swiss"/>
    <w:pitch w:val="default"/>
  </w:font>
  <w:font w:name="GillSansMyriad-Condensed">
    <w:altName w:val="Arial"/>
    <w:charset w:val="00"/>
    <w:family w:val="swiss"/>
    <w:pitch w:val="default"/>
  </w:font>
  <w:font w:name="GillSansMTPro-Condensed">
    <w:altName w:val="Arial"/>
    <w:charset w:val="00"/>
    <w:family w:val="swiss"/>
    <w:pitch w:val="default"/>
  </w:font>
  <w:font w:name="TimesNewRomanWGL-Italic">
    <w:charset w:val="00"/>
    <w:family w:val="swiss"/>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Bold">
    <w:altName w:val="Times New Roman"/>
    <w:charset w:val="00"/>
    <w:family w:val="auto"/>
    <w:pitch w:val="default"/>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78A" w:rsidRDefault="0058678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78A" w:rsidRDefault="0058678A">
    <w:pPr>
      <w:pStyle w:val="Footer"/>
      <w:pBdr>
        <w:top w:val="single" w:sz="4" w:space="1" w:color="FF0000"/>
      </w:pBdr>
      <w:jc w:val="center"/>
      <w:rPr>
        <w:rFonts w:cs="Lucida Sans Unicode"/>
        <w:sz w:val="16"/>
        <w:szCs w:val="16"/>
      </w:rPr>
    </w:pPr>
    <w:r>
      <w:rPr>
        <w:rFonts w:cs="Lucida Sans Unicode"/>
        <w:sz w:val="16"/>
        <w:szCs w:val="16"/>
      </w:rPr>
      <w:fldChar w:fldCharType="begin"/>
    </w:r>
    <w:r>
      <w:rPr>
        <w:rFonts w:cs="Lucida Sans Unicode"/>
        <w:sz w:val="16"/>
        <w:szCs w:val="16"/>
      </w:rPr>
      <w:instrText xml:space="preserve"> DATE \@"DD/MM/YYYY" </w:instrText>
    </w:r>
    <w:r>
      <w:rPr>
        <w:rFonts w:cs="Lucida Sans Unicode"/>
        <w:sz w:val="16"/>
        <w:szCs w:val="16"/>
      </w:rPr>
      <w:fldChar w:fldCharType="separate"/>
    </w:r>
    <w:r w:rsidR="00BA7388">
      <w:rPr>
        <w:rFonts w:cs="Lucida Sans Unicode"/>
        <w:noProof/>
        <w:sz w:val="16"/>
        <w:szCs w:val="16"/>
      </w:rPr>
      <w:t>04/07/2013</w:t>
    </w:r>
    <w:r>
      <w:rPr>
        <w:rFonts w:cs="Lucida Sans Unicode"/>
        <w:sz w:val="16"/>
        <w:szCs w:val="16"/>
      </w:rPr>
      <w:fldChar w:fldCharType="end"/>
    </w:r>
    <w:r>
      <w:rPr>
        <w:rFonts w:cs="Lucida Sans Unicode"/>
        <w:sz w:val="16"/>
        <w:szCs w:val="16"/>
      </w:rPr>
      <w:tab/>
    </w:r>
    <w:r>
      <w:rPr>
        <w:rFonts w:cs="Lucida Sans Unicode"/>
        <w:sz w:val="16"/>
        <w:szCs w:val="16"/>
      </w:rPr>
      <w:tab/>
      <w:t xml:space="preserve">Page </w:t>
    </w:r>
    <w:r>
      <w:rPr>
        <w:rFonts w:cs="Lucida Sans Unicode"/>
        <w:sz w:val="16"/>
        <w:szCs w:val="16"/>
      </w:rPr>
      <w:fldChar w:fldCharType="begin"/>
    </w:r>
    <w:r>
      <w:rPr>
        <w:rFonts w:cs="Lucida Sans Unicode"/>
        <w:sz w:val="16"/>
        <w:szCs w:val="16"/>
      </w:rPr>
      <w:instrText xml:space="preserve"> PAGE </w:instrText>
    </w:r>
    <w:r>
      <w:rPr>
        <w:rFonts w:cs="Lucida Sans Unicode"/>
        <w:sz w:val="16"/>
        <w:szCs w:val="16"/>
      </w:rPr>
      <w:fldChar w:fldCharType="separate"/>
    </w:r>
    <w:r w:rsidR="00BA7388">
      <w:rPr>
        <w:rFonts w:cs="Lucida Sans Unicode"/>
        <w:noProof/>
        <w:sz w:val="16"/>
        <w:szCs w:val="16"/>
      </w:rPr>
      <w:t>1</w:t>
    </w:r>
    <w:r>
      <w:rPr>
        <w:rFonts w:cs="Lucida Sans Unicode"/>
        <w:sz w:val="16"/>
        <w:szCs w:val="16"/>
      </w:rPr>
      <w:fldChar w:fldCharType="end"/>
    </w:r>
    <w:r>
      <w:rPr>
        <w:rFonts w:cs="Lucida Sans Unicode"/>
        <w:sz w:val="16"/>
        <w:szCs w:val="16"/>
      </w:rPr>
      <w:t xml:space="preserve"> of </w:t>
    </w:r>
    <w:r>
      <w:rPr>
        <w:rFonts w:cs="Lucida Sans Unicode"/>
        <w:sz w:val="16"/>
        <w:szCs w:val="16"/>
      </w:rPr>
      <w:fldChar w:fldCharType="begin"/>
    </w:r>
    <w:r>
      <w:rPr>
        <w:rFonts w:cs="Lucida Sans Unicode"/>
        <w:sz w:val="16"/>
        <w:szCs w:val="16"/>
      </w:rPr>
      <w:instrText xml:space="preserve"> NUMPAGES \*Arabic </w:instrText>
    </w:r>
    <w:r>
      <w:rPr>
        <w:rFonts w:cs="Lucida Sans Unicode"/>
        <w:sz w:val="16"/>
        <w:szCs w:val="16"/>
      </w:rPr>
      <w:fldChar w:fldCharType="separate"/>
    </w:r>
    <w:r w:rsidR="00BA7388">
      <w:rPr>
        <w:rFonts w:cs="Lucida Sans Unicode"/>
        <w:noProof/>
        <w:sz w:val="16"/>
        <w:szCs w:val="16"/>
      </w:rPr>
      <w:t>32</w:t>
    </w:r>
    <w:r>
      <w:rPr>
        <w:rFonts w:cs="Lucida Sans Unicode"/>
        <w:sz w:val="16"/>
        <w:szCs w:val="16"/>
      </w:rPr>
      <w:fldChar w:fldCharType="end"/>
    </w:r>
    <w:r>
      <w:rPr>
        <w:rFonts w:cs="Lucida Sans Unicode"/>
        <w:sz w:val="16"/>
        <w:szCs w:val="16"/>
      </w:rPr>
      <w:tab/>
    </w:r>
    <w:r>
      <w:rPr>
        <w:rFonts w:cs="Lucida Sans Unicode"/>
        <w:sz w:val="16"/>
        <w:szCs w:val="16"/>
      </w:rPr>
      <w:tab/>
    </w:r>
    <w:r>
      <w:rPr>
        <w:rFonts w:cs="Lucida Sans Unicode"/>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78A" w:rsidRDefault="0058678A">
    <w:pPr>
      <w:pBdr>
        <w:top w:val="single" w:sz="4" w:space="1" w:color="000000"/>
        <w:left w:val="single" w:sz="4" w:space="4" w:color="000000"/>
        <w:bottom w:val="single" w:sz="4" w:space="1" w:color="000000"/>
        <w:right w:val="single" w:sz="4" w:space="4" w:color="000000"/>
      </w:pBdr>
      <w:jc w:val="center"/>
      <w:rPr>
        <w:rFonts w:ascii="Lucida Sans Unicode" w:hAnsi="Lucida Sans Unicode" w:cs="Lucida Sans Unicode"/>
        <w:i/>
        <w:sz w:val="16"/>
        <w:szCs w:val="16"/>
      </w:rPr>
    </w:pPr>
    <w:r>
      <w:rPr>
        <w:rFonts w:ascii="Lucida Sans Unicode" w:hAnsi="Lucida Sans Unicode" w:cs="Lucida Sans Unicode"/>
        <w:b/>
        <w:color w:val="FF0000"/>
        <w:sz w:val="16"/>
        <w:szCs w:val="16"/>
      </w:rPr>
      <w:t>PSIRU, Business School, University of Greenwich, Park Row, London SE10 9LS, U.K.</w:t>
    </w:r>
    <w:r>
      <w:rPr>
        <w:rFonts w:ascii="Lucida Sans Unicode" w:hAnsi="Lucida Sans Unicode" w:cs="Lucida Sans Unicode"/>
        <w:i/>
        <w:sz w:val="16"/>
        <w:szCs w:val="16"/>
      </w:rPr>
      <w:t xml:space="preserve"> </w:t>
    </w:r>
  </w:p>
  <w:p w:rsidR="0058678A" w:rsidRDefault="0058678A">
    <w:pPr>
      <w:pBdr>
        <w:top w:val="single" w:sz="4" w:space="1" w:color="000000"/>
        <w:left w:val="single" w:sz="4" w:space="4" w:color="000000"/>
        <w:bottom w:val="single" w:sz="4" w:space="1" w:color="000000"/>
        <w:right w:val="single" w:sz="4" w:space="4" w:color="000000"/>
      </w:pBdr>
      <w:jc w:val="center"/>
      <w:rPr>
        <w:rFonts w:ascii="Lucida Sans Unicode" w:hAnsi="Lucida Sans Unicode" w:cs="Lucida Sans Unicode"/>
        <w:sz w:val="16"/>
        <w:szCs w:val="16"/>
      </w:rPr>
    </w:pPr>
    <w:r>
      <w:rPr>
        <w:rFonts w:ascii="Lucida Sans Unicode" w:hAnsi="Lucida Sans Unicode" w:cs="Lucida Sans Unicode"/>
        <w:iCs/>
        <w:sz w:val="16"/>
        <w:szCs w:val="16"/>
      </w:rPr>
      <w:t xml:space="preserve">Website: </w:t>
    </w:r>
    <w:hyperlink r:id="rId1" w:history="1">
      <w:r>
        <w:rPr>
          <w:rStyle w:val="Hyperlink"/>
          <w:rFonts w:ascii="Lucida Sans Unicode" w:hAnsi="Lucida Sans Unicode"/>
        </w:rPr>
        <w:t>www.psiru.org</w:t>
      </w:r>
    </w:hyperlink>
    <w:r>
      <w:rPr>
        <w:rFonts w:ascii="Lucida Sans Unicode" w:hAnsi="Lucida Sans Unicode" w:cs="Lucida Sans Unicode"/>
        <w:sz w:val="16"/>
        <w:szCs w:val="16"/>
      </w:rPr>
      <w:t xml:space="preserve">   </w:t>
    </w:r>
    <w:r>
      <w:rPr>
        <w:rFonts w:ascii="Lucida Sans Unicode" w:hAnsi="Lucida Sans Unicode" w:cs="Lucida Sans Unicode"/>
        <w:i/>
        <w:sz w:val="16"/>
        <w:szCs w:val="16"/>
      </w:rPr>
      <w:t xml:space="preserve">Email: </w:t>
    </w:r>
    <w:hyperlink r:id="rId2" w:history="1">
      <w:r>
        <w:rPr>
          <w:rStyle w:val="Hyperlink"/>
          <w:rFonts w:ascii="Lucida Sans Unicode" w:hAnsi="Lucida Sans Unicode"/>
        </w:rPr>
        <w:t>psiru@psiru.org</w:t>
      </w:r>
    </w:hyperlink>
    <w:r>
      <w:rPr>
        <w:rFonts w:ascii="Lucida Sans Unicode" w:hAnsi="Lucida Sans Unicode" w:cs="Lucida Sans Unicode"/>
        <w:iCs/>
        <w:sz w:val="16"/>
        <w:szCs w:val="16"/>
      </w:rPr>
      <w:t xml:space="preserve">  </w:t>
    </w:r>
    <w:r>
      <w:rPr>
        <w:rFonts w:ascii="Lucida Sans Unicode" w:hAnsi="Lucida Sans Unicode" w:cs="Lucida Sans Unicode"/>
        <w:sz w:val="16"/>
        <w:szCs w:val="16"/>
      </w:rPr>
      <w:t xml:space="preserve">  </w:t>
    </w:r>
    <w:r>
      <w:rPr>
        <w:rFonts w:ascii="Lucida Sans Unicode" w:hAnsi="Lucida Sans Unicode" w:cs="Lucida Sans Unicode"/>
        <w:i/>
        <w:sz w:val="16"/>
        <w:szCs w:val="16"/>
      </w:rPr>
      <w:t>Tel</w:t>
    </w:r>
    <w:r>
      <w:rPr>
        <w:rFonts w:ascii="Lucida Sans Unicode" w:hAnsi="Lucida Sans Unicode" w:cs="Lucida Sans Unicode"/>
        <w:sz w:val="16"/>
        <w:szCs w:val="16"/>
      </w:rPr>
      <w:t xml:space="preserve">: +44-(0)208-331-9933 </w:t>
    </w:r>
    <w:r>
      <w:rPr>
        <w:rFonts w:ascii="Lucida Sans Unicode" w:hAnsi="Lucida Sans Unicode" w:cs="Lucida Sans Unicode"/>
        <w:i/>
        <w:sz w:val="16"/>
        <w:szCs w:val="16"/>
      </w:rPr>
      <w:t>Fax</w:t>
    </w:r>
    <w:r>
      <w:rPr>
        <w:rFonts w:ascii="Lucida Sans Unicode" w:hAnsi="Lucida Sans Unicode" w:cs="Lucida Sans Unicode"/>
        <w:sz w:val="16"/>
        <w:szCs w:val="16"/>
      </w:rPr>
      <w:t xml:space="preserve">: +44 (0)208-331-8665 </w:t>
    </w:r>
  </w:p>
  <w:p w:rsidR="0058678A" w:rsidRDefault="0058678A">
    <w:pPr>
      <w:pBdr>
        <w:top w:val="single" w:sz="4" w:space="1" w:color="000000"/>
        <w:left w:val="single" w:sz="4" w:space="4" w:color="000000"/>
        <w:bottom w:val="single" w:sz="4" w:space="1" w:color="000000"/>
        <w:right w:val="single" w:sz="4" w:space="4" w:color="000000"/>
      </w:pBdr>
      <w:jc w:val="center"/>
      <w:rPr>
        <w:rFonts w:ascii="Lucida Sans Unicode" w:hAnsi="Lucida Sans Unicode" w:cs="Lucida Sans Unicode"/>
        <w:color w:val="FF0000"/>
        <w:sz w:val="16"/>
        <w:szCs w:val="16"/>
      </w:rPr>
    </w:pPr>
    <w:r>
      <w:rPr>
        <w:rFonts w:ascii="Lucida Sans Unicode" w:hAnsi="Lucida Sans Unicode" w:cs="Lucida Sans Unicode"/>
        <w:color w:val="FF0000"/>
        <w:sz w:val="16"/>
        <w:szCs w:val="16"/>
      </w:rPr>
      <w:t xml:space="preserve">Researchers: </w:t>
    </w:r>
    <w:proofErr w:type="spellStart"/>
    <w:r>
      <w:rPr>
        <w:rFonts w:ascii="Lucida Sans Unicode" w:hAnsi="Lucida Sans Unicode" w:cs="Lucida Sans Unicode"/>
        <w:color w:val="FF0000"/>
        <w:sz w:val="16"/>
        <w:szCs w:val="16"/>
      </w:rPr>
      <w:t>Prof.</w:t>
    </w:r>
    <w:proofErr w:type="spellEnd"/>
    <w:r>
      <w:rPr>
        <w:rFonts w:ascii="Lucida Sans Unicode" w:hAnsi="Lucida Sans Unicode" w:cs="Lucida Sans Unicode"/>
        <w:color w:val="FF0000"/>
        <w:sz w:val="16"/>
        <w:szCs w:val="16"/>
      </w:rPr>
      <w:t xml:space="preserve"> Stephen Thomas, David Hall (Director), Jane Lethbridge, Emanuele Lobina, Vladimir Popov, </w:t>
    </w:r>
    <w:proofErr w:type="spellStart"/>
    <w:r>
      <w:rPr>
        <w:rFonts w:ascii="Lucida Sans Unicode" w:hAnsi="Lucida Sans Unicode" w:cs="Lucida Sans Unicode"/>
        <w:color w:val="FF0000"/>
        <w:sz w:val="16"/>
        <w:szCs w:val="16"/>
      </w:rPr>
      <w:t>Violeta</w:t>
    </w:r>
    <w:proofErr w:type="spellEnd"/>
    <w:r>
      <w:rPr>
        <w:rFonts w:ascii="Lucida Sans Unicode" w:hAnsi="Lucida Sans Unicode" w:cs="Lucida Sans Unicode"/>
        <w:color w:val="FF0000"/>
        <w:sz w:val="16"/>
        <w:szCs w:val="16"/>
      </w:rPr>
      <w:t xml:space="preserve"> Corral</w:t>
    </w:r>
  </w:p>
  <w:p w:rsidR="0058678A" w:rsidRDefault="0058678A">
    <w:pPr>
      <w:jc w:val="center"/>
      <w:rPr>
        <w:rFonts w:ascii="Lucida Sans Unicode" w:hAnsi="Lucida Sans Unicode" w:cs="Lucida Sans Unicode"/>
        <w:color w:val="FF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7E7" w:rsidRDefault="009607E7">
      <w:r>
        <w:separator/>
      </w:r>
    </w:p>
  </w:footnote>
  <w:footnote w:type="continuationSeparator" w:id="0">
    <w:p w:rsidR="009607E7" w:rsidRDefault="009607E7">
      <w:r>
        <w:continuationSeparator/>
      </w:r>
    </w:p>
  </w:footnote>
  <w:footnote w:id="1">
    <w:p w:rsidR="0058678A" w:rsidRDefault="0058678A">
      <w:pPr>
        <w:pStyle w:val="FootnoteText"/>
      </w:pPr>
      <w:r>
        <w:rPr>
          <w:rStyle w:val="FootnoteCharacters"/>
        </w:rPr>
        <w:footnoteRef/>
      </w:r>
      <w:r>
        <w:tab/>
        <w:t xml:space="preserve"> R</w:t>
      </w:r>
      <w:r>
        <w:rPr>
          <w:vertAlign w:val="superscript"/>
        </w:rPr>
        <w:t>2</w:t>
      </w:r>
      <w:r>
        <w:t xml:space="preserve"> = 0.60 compared with R</w:t>
      </w:r>
      <w:r>
        <w:rPr>
          <w:vertAlign w:val="superscript"/>
        </w:rPr>
        <w:t>2</w:t>
      </w:r>
      <w:r>
        <w:t xml:space="preserve"> = 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78A" w:rsidRDefault="0058678A">
    <w:pPr>
      <w:pStyle w:val="Header"/>
      <w:pBdr>
        <w:bottom w:val="single" w:sz="4" w:space="1" w:color="FF0000"/>
      </w:pBdr>
    </w:pPr>
    <w:r>
      <w:rPr>
        <w:rFonts w:cs="Lucida Sans Unicode"/>
        <w:sz w:val="16"/>
        <w:szCs w:val="16"/>
      </w:rPr>
      <w:t xml:space="preserve">PSIRU University of Greenwich                                                                                                                        </w:t>
    </w:r>
    <w:hyperlink r:id="rId1" w:history="1">
      <w:r>
        <w:rPr>
          <w:rStyle w:val="Hyperlink"/>
        </w:rPr>
        <w:t>www.psiru.org</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78A" w:rsidRDefault="0058678A">
    <w:pPr>
      <w:pStyle w:val="Header"/>
      <w:pBdr>
        <w:bottom w:val="single" w:sz="4" w:space="1" w:color="000000"/>
      </w:pBdr>
      <w:jc w:val="center"/>
      <w:rPr>
        <w:rFonts w:cs="Lucida Sans Unicode"/>
        <w:sz w:val="24"/>
      </w:rPr>
    </w:pPr>
    <w:r>
      <w:rPr>
        <w:rFonts w:cs="Lucida Sans Unicode"/>
        <w:b/>
        <w:color w:val="FF0000"/>
        <w:sz w:val="24"/>
      </w:rPr>
      <w:t xml:space="preserve">                     Public Services International Research Unit (PSIRU)    </w:t>
    </w:r>
    <w:r>
      <w:rPr>
        <w:rFonts w:cs="Lucida Sans Unicode"/>
        <w:sz w:val="24"/>
      </w:rPr>
      <w:t xml:space="preserve">  </w:t>
    </w:r>
    <w:hyperlink r:id="rId1" w:history="1">
      <w:r>
        <w:rPr>
          <w:rStyle w:val="Hyperlink"/>
        </w:rPr>
        <w:t>www.psiru.org</w:t>
      </w:r>
    </w:hyperlink>
    <w:r>
      <w:rPr>
        <w:rFonts w:cs="Lucida Sans Unicode"/>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2BB0524A"/>
    <w:lvl w:ilvl="0">
      <w:start w:val="1"/>
      <w:numFmt w:val="bullet"/>
      <w:lvlText w:val=""/>
      <w:lvlJc w:val="left"/>
      <w:pPr>
        <w:tabs>
          <w:tab w:val="num" w:pos="1209"/>
        </w:tabs>
        <w:ind w:left="1209" w:hanging="360"/>
      </w:pPr>
      <w:rPr>
        <w:rFonts w:ascii="Symbol" w:hAnsi="Symbol" w:hint="default"/>
      </w:rPr>
    </w:lvl>
  </w:abstractNum>
  <w:abstractNum w:abstractNumId="1">
    <w:nsid w:val="00000001"/>
    <w:multiLevelType w:val="multilevel"/>
    <w:tmpl w:val="00000001"/>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792"/>
      </w:pPr>
    </w:lvl>
    <w:lvl w:ilvl="2">
      <w:start w:val="1"/>
      <w:numFmt w:val="decimal"/>
      <w:pStyle w:val="Heading3"/>
      <w:lvlText w:val="%1.%2.%3."/>
      <w:lvlJc w:val="left"/>
      <w:pPr>
        <w:tabs>
          <w:tab w:val="num" w:pos="1224"/>
        </w:tabs>
        <w:ind w:left="1224" w:hanging="1224"/>
      </w:pPr>
    </w:lvl>
    <w:lvl w:ilvl="3">
      <w:start w:val="1"/>
      <w:numFmt w:val="decimal"/>
      <w:lvlText w:val="%1.%2.%3.%4."/>
      <w:lvlJc w:val="left"/>
      <w:pPr>
        <w:tabs>
          <w:tab w:val="num" w:pos="1800"/>
        </w:tabs>
        <w:ind w:left="1728" w:hanging="1728"/>
      </w:pPr>
    </w:lvl>
    <w:lvl w:ilvl="4">
      <w:start w:val="1"/>
      <w:numFmt w:val="decimal"/>
      <w:lvlText w:val="%1.%2.%3.%4.%5."/>
      <w:lvlJc w:val="left"/>
      <w:pPr>
        <w:tabs>
          <w:tab w:val="num" w:pos="2520"/>
        </w:tabs>
        <w:ind w:left="2232" w:hanging="223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2"/>
    <w:multiLevelType w:val="singleLevel"/>
    <w:tmpl w:val="00000002"/>
    <w:name w:val="WW8Num2"/>
    <w:lvl w:ilvl="0">
      <w:start w:val="1"/>
      <w:numFmt w:val="decimal"/>
      <w:pStyle w:val="ListNumber5"/>
      <w:lvlText w:val="%1."/>
      <w:lvlJc w:val="left"/>
      <w:pPr>
        <w:tabs>
          <w:tab w:val="num" w:pos="1492"/>
        </w:tabs>
        <w:ind w:left="1492" w:hanging="360"/>
      </w:pPr>
    </w:lvl>
  </w:abstractNum>
  <w:abstractNum w:abstractNumId="3">
    <w:nsid w:val="00000003"/>
    <w:multiLevelType w:val="singleLevel"/>
    <w:tmpl w:val="00000003"/>
    <w:name w:val="WW8Num3"/>
    <w:lvl w:ilvl="0">
      <w:start w:val="1"/>
      <w:numFmt w:val="decimal"/>
      <w:pStyle w:val="ListNumber4"/>
      <w:lvlText w:val="%1."/>
      <w:lvlJc w:val="left"/>
      <w:pPr>
        <w:tabs>
          <w:tab w:val="num" w:pos="1209"/>
        </w:tabs>
        <w:ind w:left="1209" w:hanging="360"/>
      </w:pPr>
    </w:lvl>
  </w:abstractNum>
  <w:abstractNum w:abstractNumId="4">
    <w:nsid w:val="00000004"/>
    <w:multiLevelType w:val="singleLevel"/>
    <w:tmpl w:val="00000004"/>
    <w:name w:val="WW8Num4"/>
    <w:lvl w:ilvl="0">
      <w:start w:val="1"/>
      <w:numFmt w:val="decimal"/>
      <w:pStyle w:val="ListNumber3"/>
      <w:lvlText w:val="%1."/>
      <w:lvlJc w:val="left"/>
      <w:pPr>
        <w:tabs>
          <w:tab w:val="num" w:pos="926"/>
        </w:tabs>
        <w:ind w:left="926" w:hanging="360"/>
      </w:pPr>
    </w:lvl>
  </w:abstractNum>
  <w:abstractNum w:abstractNumId="5">
    <w:nsid w:val="00000005"/>
    <w:multiLevelType w:val="singleLevel"/>
    <w:tmpl w:val="00000005"/>
    <w:name w:val="WW8Num5"/>
    <w:lvl w:ilvl="0">
      <w:start w:val="1"/>
      <w:numFmt w:val="decimal"/>
      <w:pStyle w:val="ListNumber2"/>
      <w:lvlText w:val="%1."/>
      <w:lvlJc w:val="left"/>
      <w:pPr>
        <w:tabs>
          <w:tab w:val="num" w:pos="643"/>
        </w:tabs>
        <w:ind w:left="643" w:hanging="360"/>
      </w:pPr>
    </w:lvl>
  </w:abstractNum>
  <w:abstractNum w:abstractNumId="6">
    <w:nsid w:val="00000006"/>
    <w:multiLevelType w:val="singleLevel"/>
    <w:tmpl w:val="00000006"/>
    <w:name w:val="WW8Num6"/>
    <w:lvl w:ilvl="0">
      <w:start w:val="1"/>
      <w:numFmt w:val="bullet"/>
      <w:pStyle w:val="ListBullet5"/>
      <w:lvlText w:val=""/>
      <w:lvlJc w:val="left"/>
      <w:pPr>
        <w:tabs>
          <w:tab w:val="num" w:pos="1492"/>
        </w:tabs>
        <w:ind w:left="1492" w:hanging="360"/>
      </w:pPr>
      <w:rPr>
        <w:rFonts w:ascii="Symbol" w:hAnsi="Symbol"/>
      </w:rPr>
    </w:lvl>
  </w:abstractNum>
  <w:abstractNum w:abstractNumId="7">
    <w:nsid w:val="00000007"/>
    <w:multiLevelType w:val="singleLevel"/>
    <w:tmpl w:val="00000007"/>
    <w:name w:val="WW8Num7"/>
    <w:lvl w:ilvl="0">
      <w:start w:val="1"/>
      <w:numFmt w:val="bullet"/>
      <w:pStyle w:val="ListBullet4"/>
      <w:lvlText w:val=""/>
      <w:lvlJc w:val="left"/>
      <w:pPr>
        <w:tabs>
          <w:tab w:val="num" w:pos="1209"/>
        </w:tabs>
        <w:ind w:left="1209" w:hanging="360"/>
      </w:pPr>
      <w:rPr>
        <w:rFonts w:ascii="Symbol" w:hAnsi="Symbol"/>
      </w:rPr>
    </w:lvl>
  </w:abstractNum>
  <w:abstractNum w:abstractNumId="8">
    <w:nsid w:val="00000008"/>
    <w:multiLevelType w:val="singleLevel"/>
    <w:tmpl w:val="00000008"/>
    <w:name w:val="WW8Num8"/>
    <w:lvl w:ilvl="0">
      <w:start w:val="1"/>
      <w:numFmt w:val="bullet"/>
      <w:pStyle w:val="ListBullet3"/>
      <w:lvlText w:val=""/>
      <w:lvlJc w:val="left"/>
      <w:pPr>
        <w:tabs>
          <w:tab w:val="num" w:pos="926"/>
        </w:tabs>
        <w:ind w:left="926" w:hanging="360"/>
      </w:pPr>
      <w:rPr>
        <w:rFonts w:ascii="Symbol" w:hAnsi="Symbol"/>
      </w:rPr>
    </w:lvl>
  </w:abstractNum>
  <w:abstractNum w:abstractNumId="9">
    <w:nsid w:val="00000009"/>
    <w:multiLevelType w:val="singleLevel"/>
    <w:tmpl w:val="00000009"/>
    <w:name w:val="WW8Num9"/>
    <w:lvl w:ilvl="0">
      <w:start w:val="1"/>
      <w:numFmt w:val="bullet"/>
      <w:pStyle w:val="ListBullet2"/>
      <w:lvlText w:val=""/>
      <w:lvlJc w:val="left"/>
      <w:pPr>
        <w:tabs>
          <w:tab w:val="num" w:pos="643"/>
        </w:tabs>
        <w:ind w:left="643" w:hanging="360"/>
      </w:pPr>
      <w:rPr>
        <w:rFonts w:ascii="Symbol" w:hAnsi="Symbol"/>
      </w:rPr>
    </w:lvl>
  </w:abstractNum>
  <w:abstractNum w:abstractNumId="10">
    <w:nsid w:val="0000000A"/>
    <w:multiLevelType w:val="singleLevel"/>
    <w:tmpl w:val="0000000A"/>
    <w:name w:val="WW8Num10"/>
    <w:lvl w:ilvl="0">
      <w:start w:val="1"/>
      <w:numFmt w:val="decimal"/>
      <w:pStyle w:val="ListNumber"/>
      <w:lvlText w:val="%1."/>
      <w:lvlJc w:val="left"/>
      <w:pPr>
        <w:tabs>
          <w:tab w:val="num" w:pos="360"/>
        </w:tabs>
        <w:ind w:left="360" w:hanging="360"/>
      </w:pPr>
    </w:lvl>
  </w:abstractNum>
  <w:abstractNum w:abstractNumId="11">
    <w:nsid w:val="0000000B"/>
    <w:multiLevelType w:val="singleLevel"/>
    <w:tmpl w:val="0000000B"/>
    <w:name w:val="WW8Num11"/>
    <w:lvl w:ilvl="0">
      <w:start w:val="1"/>
      <w:numFmt w:val="upperLetter"/>
      <w:pStyle w:val="Heading8"/>
      <w:lvlText w:val="Chart %1."/>
      <w:lvlJc w:val="left"/>
      <w:pPr>
        <w:tabs>
          <w:tab w:val="num" w:pos="360"/>
        </w:tabs>
        <w:ind w:left="360" w:hanging="360"/>
      </w:pPr>
    </w:lvl>
  </w:abstractNum>
  <w:abstractNum w:abstractNumId="12">
    <w:nsid w:val="0000000C"/>
    <w:multiLevelType w:val="multilevel"/>
    <w:tmpl w:val="0000000C"/>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0000000D"/>
    <w:multiLevelType w:val="singleLevel"/>
    <w:tmpl w:val="0000000D"/>
    <w:name w:val="WW8Num13"/>
    <w:lvl w:ilvl="0">
      <w:start w:val="1"/>
      <w:numFmt w:val="bullet"/>
      <w:lvlText w:val=""/>
      <w:lvlJc w:val="left"/>
      <w:pPr>
        <w:tabs>
          <w:tab w:val="num" w:pos="0"/>
        </w:tabs>
        <w:ind w:left="720" w:hanging="360"/>
      </w:pPr>
      <w:rPr>
        <w:rFonts w:ascii="Symbol" w:hAnsi="Symbol"/>
        <w:sz w:val="20"/>
      </w:rPr>
    </w:lvl>
  </w:abstractNum>
  <w:abstractNum w:abstractNumId="14">
    <w:nsid w:val="0000000E"/>
    <w:multiLevelType w:val="multilevel"/>
    <w:tmpl w:val="0000000E"/>
    <w:name w:val="WW8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nsid w:val="0000000F"/>
    <w:multiLevelType w:val="multilevel"/>
    <w:tmpl w:val="0000000F"/>
    <w:name w:val="WW8Num16"/>
    <w:lvl w:ilvl="0">
      <w:start w:val="1"/>
      <w:numFmt w:val="decimal"/>
      <w:pStyle w:val="Heading7"/>
      <w:lvlText w:val="Table %1. "/>
      <w:lvlJc w:val="left"/>
      <w:pPr>
        <w:tabs>
          <w:tab w:val="num" w:pos="180"/>
        </w:tabs>
        <w:ind w:left="180" w:hanging="18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0"/>
    <w:multiLevelType w:val="multilevel"/>
    <w:tmpl w:val="00000010"/>
    <w:name w:val="WW8Num18"/>
    <w:lvl w:ilvl="0">
      <w:start w:val="1"/>
      <w:numFmt w:val="decimal"/>
      <w:pStyle w:val="Heading4"/>
      <w:lvlText w:val="Annexe %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17">
    <w:nsid w:val="00000011"/>
    <w:multiLevelType w:val="multilevel"/>
    <w:tmpl w:val="00000011"/>
    <w:name w:val="WW8Num20"/>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bullet"/>
      <w:lvlText w:val="-"/>
      <w:lvlJc w:val="left"/>
      <w:pPr>
        <w:tabs>
          <w:tab w:val="num" w:pos="1980"/>
        </w:tabs>
        <w:ind w:left="1980" w:hanging="360"/>
      </w:pPr>
      <w:rPr>
        <w:rFonts w:ascii="Comic Sans MS" w:hAnsi="Comic Sans MS"/>
      </w:r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8">
    <w:nsid w:val="00000012"/>
    <w:multiLevelType w:val="multilevel"/>
    <w:tmpl w:val="00000012"/>
    <w:name w:val="WW8Num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90B1340"/>
    <w:multiLevelType w:val="hybridMultilevel"/>
    <w:tmpl w:val="55924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6CD68A0"/>
    <w:multiLevelType w:val="hybridMultilevel"/>
    <w:tmpl w:val="FC48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B745A25"/>
    <w:multiLevelType w:val="hybridMultilevel"/>
    <w:tmpl w:val="33303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C3D6B0A"/>
    <w:multiLevelType w:val="hybridMultilevel"/>
    <w:tmpl w:val="7F3E0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2C1622A"/>
    <w:multiLevelType w:val="hybridMultilevel"/>
    <w:tmpl w:val="43100E5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33992D6A"/>
    <w:multiLevelType w:val="multilevel"/>
    <w:tmpl w:val="EB269B9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360"/>
        </w:tabs>
        <w:ind w:left="1080" w:hanging="360"/>
      </w:pPr>
    </w:lvl>
    <w:lvl w:ilvl="2">
      <w:start w:val="1"/>
      <w:numFmt w:val="bullet"/>
      <w:lvlText w:val="-"/>
      <w:lvlJc w:val="left"/>
      <w:pPr>
        <w:tabs>
          <w:tab w:val="num" w:pos="1980"/>
        </w:tabs>
        <w:ind w:left="1980" w:hanging="360"/>
      </w:pPr>
      <w:rPr>
        <w:rFonts w:ascii="Comic Sans MS" w:hAnsi="Comic Sans MS"/>
      </w:r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26">
    <w:nsid w:val="37F166D5"/>
    <w:multiLevelType w:val="hybridMultilevel"/>
    <w:tmpl w:val="8716C1FE"/>
    <w:lvl w:ilvl="0" w:tplc="BFC6AA94">
      <w:start w:val="1"/>
      <w:numFmt w:val="decimal"/>
      <w:lvlText w:val="Table %1. "/>
      <w:lvlJc w:val="left"/>
      <w:pPr>
        <w:tabs>
          <w:tab w:val="num" w:pos="180"/>
        </w:tabs>
        <w:ind w:left="18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402F1147"/>
    <w:multiLevelType w:val="hybridMultilevel"/>
    <w:tmpl w:val="091A9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A3C22A1"/>
    <w:multiLevelType w:val="hybridMultilevel"/>
    <w:tmpl w:val="8130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DB6786"/>
    <w:multiLevelType w:val="multilevel"/>
    <w:tmpl w:val="0DA849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4CB87D03"/>
    <w:multiLevelType w:val="hybridMultilevel"/>
    <w:tmpl w:val="6B1A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FA70AAF"/>
    <w:multiLevelType w:val="hybridMultilevel"/>
    <w:tmpl w:val="026C3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16C7463"/>
    <w:multiLevelType w:val="multilevel"/>
    <w:tmpl w:val="170CAF02"/>
    <w:lvl w:ilvl="0">
      <w:start w:val="1"/>
      <w:numFmt w:val="decimal"/>
      <w:lvlText w:val="Annexe %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none"/>
      <w:lvlText w:val=""/>
      <w:lvlJc w:val="left"/>
      <w:pPr>
        <w:tabs>
          <w:tab w:val="num" w:pos="360"/>
        </w:tabs>
        <w:ind w:left="0" w:firstLine="0"/>
      </w:pPr>
      <w:rPr>
        <w:rFonts w:hint="default"/>
      </w:rPr>
    </w:lvl>
  </w:abstractNum>
  <w:abstractNum w:abstractNumId="33">
    <w:nsid w:val="644869F6"/>
    <w:multiLevelType w:val="hybridMultilevel"/>
    <w:tmpl w:val="B06EE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4F54BD1"/>
    <w:multiLevelType w:val="hybridMultilevel"/>
    <w:tmpl w:val="D08E51EA"/>
    <w:lvl w:ilvl="0" w:tplc="14A8EC3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C0B2914"/>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5"/>
  </w:num>
  <w:num w:numId="21">
    <w:abstractNumId w:val="32"/>
  </w:num>
  <w:num w:numId="22">
    <w:abstractNumId w:val="0"/>
  </w:num>
  <w:num w:numId="23">
    <w:abstractNumId w:val="31"/>
  </w:num>
  <w:num w:numId="24">
    <w:abstractNumId w:val="23"/>
  </w:num>
  <w:num w:numId="25">
    <w:abstractNumId w:val="28"/>
  </w:num>
  <w:num w:numId="26">
    <w:abstractNumId w:val="35"/>
  </w:num>
  <w:num w:numId="27">
    <w:abstractNumId w:val="29"/>
  </w:num>
  <w:num w:numId="28">
    <w:abstractNumId w:val="20"/>
  </w:num>
  <w:num w:numId="29">
    <w:abstractNumId w:val="22"/>
  </w:num>
  <w:num w:numId="30">
    <w:abstractNumId w:val="27"/>
  </w:num>
  <w:num w:numId="31">
    <w:abstractNumId w:val="30"/>
  </w:num>
  <w:num w:numId="32">
    <w:abstractNumId w:val="33"/>
  </w:num>
  <w:num w:numId="33">
    <w:abstractNumId w:val="21"/>
  </w:num>
  <w:num w:numId="34">
    <w:abstractNumId w:val="24"/>
  </w:num>
  <w:num w:numId="35">
    <w:abstractNumId w:val="26"/>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618"/>
    <w:rsid w:val="00070336"/>
    <w:rsid w:val="000F5065"/>
    <w:rsid w:val="001132F9"/>
    <w:rsid w:val="002066FA"/>
    <w:rsid w:val="0021143A"/>
    <w:rsid w:val="00243CA5"/>
    <w:rsid w:val="002733BC"/>
    <w:rsid w:val="002A1270"/>
    <w:rsid w:val="002C2BD8"/>
    <w:rsid w:val="002D22EB"/>
    <w:rsid w:val="002E5C30"/>
    <w:rsid w:val="003500F3"/>
    <w:rsid w:val="003D3E93"/>
    <w:rsid w:val="003F1A75"/>
    <w:rsid w:val="00400048"/>
    <w:rsid w:val="00435A60"/>
    <w:rsid w:val="00464BD3"/>
    <w:rsid w:val="004674C3"/>
    <w:rsid w:val="00470910"/>
    <w:rsid w:val="00476226"/>
    <w:rsid w:val="00480BB7"/>
    <w:rsid w:val="00486D54"/>
    <w:rsid w:val="004C5A9B"/>
    <w:rsid w:val="005247D2"/>
    <w:rsid w:val="00530BF8"/>
    <w:rsid w:val="0058678A"/>
    <w:rsid w:val="00597262"/>
    <w:rsid w:val="006A2108"/>
    <w:rsid w:val="006B581F"/>
    <w:rsid w:val="0070557E"/>
    <w:rsid w:val="00707A10"/>
    <w:rsid w:val="00715884"/>
    <w:rsid w:val="00744AB7"/>
    <w:rsid w:val="00756DE6"/>
    <w:rsid w:val="007F1D73"/>
    <w:rsid w:val="00843618"/>
    <w:rsid w:val="00854344"/>
    <w:rsid w:val="00865308"/>
    <w:rsid w:val="00895501"/>
    <w:rsid w:val="008C3A56"/>
    <w:rsid w:val="008F2A2D"/>
    <w:rsid w:val="009607E7"/>
    <w:rsid w:val="009C5E23"/>
    <w:rsid w:val="00A1382F"/>
    <w:rsid w:val="00A45AB1"/>
    <w:rsid w:val="00AA059B"/>
    <w:rsid w:val="00B00A56"/>
    <w:rsid w:val="00B02EE9"/>
    <w:rsid w:val="00B374A0"/>
    <w:rsid w:val="00B4304C"/>
    <w:rsid w:val="00B518AF"/>
    <w:rsid w:val="00B607B6"/>
    <w:rsid w:val="00BA7388"/>
    <w:rsid w:val="00BF1F03"/>
    <w:rsid w:val="00C4279B"/>
    <w:rsid w:val="00C47D29"/>
    <w:rsid w:val="00C60EE0"/>
    <w:rsid w:val="00C96716"/>
    <w:rsid w:val="00D10E2A"/>
    <w:rsid w:val="00D43BE0"/>
    <w:rsid w:val="00D75B02"/>
    <w:rsid w:val="00DD0CEC"/>
    <w:rsid w:val="00DF7569"/>
    <w:rsid w:val="00E15AB0"/>
    <w:rsid w:val="00E43956"/>
    <w:rsid w:val="00E94AB7"/>
    <w:rsid w:val="00E97329"/>
    <w:rsid w:val="00EC0F58"/>
    <w:rsid w:val="00EE5744"/>
    <w:rsid w:val="00EF12ED"/>
    <w:rsid w:val="00EF5FAA"/>
    <w:rsid w:val="00F15C03"/>
    <w:rsid w:val="00F44DAB"/>
    <w:rsid w:val="00F51568"/>
    <w:rsid w:val="00F75586"/>
    <w:rsid w:val="00FA45C5"/>
    <w:rsid w:val="00FD3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Outlin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2ED"/>
    <w:pPr>
      <w:suppressAutoHyphens/>
    </w:pPr>
    <w:rPr>
      <w:sz w:val="22"/>
      <w:szCs w:val="24"/>
      <w:lang w:eastAsia="ar-SA"/>
    </w:rPr>
  </w:style>
  <w:style w:type="paragraph" w:styleId="Heading1">
    <w:name w:val="heading 1"/>
    <w:basedOn w:val="Normal"/>
    <w:next w:val="Normal"/>
    <w:qFormat/>
    <w:pPr>
      <w:keepNext/>
      <w:numPr>
        <w:numId w:val="1"/>
      </w:numPr>
      <w:spacing w:before="240" w:after="120"/>
      <w:outlineLvl w:val="0"/>
    </w:pPr>
    <w:rPr>
      <w:rFonts w:ascii="Trebuchet MS" w:hAnsi="Trebuchet MS" w:cs="Arial"/>
      <w:b/>
      <w:bCs/>
      <w:kern w:val="1"/>
      <w:sz w:val="24"/>
      <w:szCs w:val="32"/>
    </w:rPr>
  </w:style>
  <w:style w:type="paragraph" w:styleId="Heading2">
    <w:name w:val="heading 2"/>
    <w:basedOn w:val="Normal"/>
    <w:next w:val="Normal"/>
    <w:qFormat/>
    <w:pPr>
      <w:keepNext/>
      <w:numPr>
        <w:ilvl w:val="1"/>
        <w:numId w:val="1"/>
      </w:numPr>
      <w:spacing w:before="240" w:after="60"/>
      <w:outlineLvl w:val="1"/>
    </w:pPr>
    <w:rPr>
      <w:rFonts w:ascii="Trebuchet MS" w:hAnsi="Trebuchet MS" w:cs="Arial"/>
      <w:b/>
      <w:bCs/>
      <w:iCs/>
      <w:szCs w:val="28"/>
    </w:rPr>
  </w:style>
  <w:style w:type="paragraph" w:styleId="Heading3">
    <w:name w:val="heading 3"/>
    <w:aliases w:val="H3"/>
    <w:basedOn w:val="Normal"/>
    <w:next w:val="Normal"/>
    <w:link w:val="Heading3Char"/>
    <w:qFormat/>
    <w:pPr>
      <w:keepNext/>
      <w:numPr>
        <w:ilvl w:val="2"/>
        <w:numId w:val="1"/>
      </w:numPr>
      <w:spacing w:before="120" w:after="60"/>
      <w:outlineLvl w:val="2"/>
    </w:pPr>
    <w:rPr>
      <w:rFonts w:ascii="Trebuchet MS" w:hAnsi="Trebuchet MS"/>
      <w:b/>
      <w:bCs/>
      <w:sz w:val="20"/>
      <w:szCs w:val="26"/>
      <w:lang w:val="x-none"/>
    </w:rPr>
  </w:style>
  <w:style w:type="paragraph" w:styleId="Heading4">
    <w:name w:val="heading 4"/>
    <w:basedOn w:val="Normal"/>
    <w:next w:val="Normal"/>
    <w:qFormat/>
    <w:pPr>
      <w:keepNext/>
      <w:numPr>
        <w:numId w:val="16"/>
      </w:numPr>
      <w:spacing w:before="60" w:after="60"/>
      <w:ind w:left="0" w:firstLine="0"/>
      <w:outlineLvl w:val="3"/>
    </w:pPr>
    <w:rPr>
      <w:rFonts w:ascii="Trebuchet MS" w:hAnsi="Trebuchet MS"/>
      <w:b/>
      <w:bCs/>
      <w:sz w:val="20"/>
      <w:szCs w:val="28"/>
    </w:rPr>
  </w:style>
  <w:style w:type="paragraph" w:styleId="Heading5">
    <w:name w:val="heading 5"/>
    <w:basedOn w:val="Normal"/>
    <w:next w:val="Normal"/>
    <w:qFormat/>
    <w:pPr>
      <w:tabs>
        <w:tab w:val="num" w:pos="360"/>
      </w:tabs>
      <w:spacing w:before="240" w:after="60"/>
      <w:ind w:left="360" w:hanging="360"/>
      <w:outlineLvl w:val="4"/>
    </w:pPr>
    <w:rPr>
      <w:rFonts w:ascii="Trebuchet MS" w:hAnsi="Trebuchet MS"/>
      <w:b/>
      <w:bCs/>
      <w:iCs/>
      <w:sz w:val="20"/>
      <w:szCs w:val="26"/>
    </w:rPr>
  </w:style>
  <w:style w:type="paragraph" w:styleId="Heading6">
    <w:name w:val="heading 6"/>
    <w:basedOn w:val="Normal"/>
    <w:next w:val="Normal"/>
    <w:qFormat/>
    <w:pPr>
      <w:tabs>
        <w:tab w:val="num" w:pos="360"/>
      </w:tabs>
      <w:spacing w:before="240" w:after="60"/>
      <w:ind w:left="360" w:hanging="360"/>
      <w:outlineLvl w:val="5"/>
    </w:pPr>
    <w:rPr>
      <w:bCs/>
      <w:szCs w:val="22"/>
    </w:rPr>
  </w:style>
  <w:style w:type="paragraph" w:styleId="Heading7">
    <w:name w:val="heading 7"/>
    <w:basedOn w:val="Normal"/>
    <w:next w:val="Normal"/>
    <w:qFormat/>
    <w:pPr>
      <w:numPr>
        <w:numId w:val="15"/>
      </w:numPr>
      <w:spacing w:before="240" w:after="60"/>
      <w:outlineLvl w:val="6"/>
    </w:pPr>
    <w:rPr>
      <w:rFonts w:ascii="Trebuchet MS" w:hAnsi="Trebuchet MS"/>
      <w:b/>
      <w:sz w:val="20"/>
    </w:rPr>
  </w:style>
  <w:style w:type="paragraph" w:styleId="Heading8">
    <w:name w:val="heading 8"/>
    <w:basedOn w:val="Normal"/>
    <w:next w:val="Normal"/>
    <w:qFormat/>
    <w:pPr>
      <w:numPr>
        <w:numId w:val="11"/>
      </w:numPr>
      <w:spacing w:before="240" w:after="60"/>
      <w:outlineLvl w:val="7"/>
    </w:pPr>
    <w:rPr>
      <w:rFonts w:ascii="Trebuchet MS" w:hAnsi="Trebuchet MS"/>
      <w:b/>
      <w:iCs/>
      <w:sz w:val="20"/>
    </w:rPr>
  </w:style>
  <w:style w:type="paragraph" w:styleId="Heading9">
    <w:name w:val="heading 9"/>
    <w:basedOn w:val="Normal"/>
    <w:next w:val="Normal"/>
    <w:qFormat/>
    <w:pPr>
      <w:tabs>
        <w:tab w:val="num" w:pos="360"/>
      </w:tabs>
      <w:spacing w:before="240" w:after="60"/>
      <w:ind w:left="360" w:hanging="360"/>
      <w:outlineLvl w:val="8"/>
    </w:pPr>
    <w:rPr>
      <w:rFonts w:ascii="Trebuchet MS" w:hAnsi="Trebuchet MS" w:cs="Arial"/>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3z0">
    <w:name w:val="WW8Num13z0"/>
    <w:rPr>
      <w:rFonts w:ascii="Symbol" w:hAnsi="Symbol"/>
      <w:sz w:val="20"/>
    </w:rPr>
  </w:style>
  <w:style w:type="character" w:customStyle="1" w:styleId="WW8Num14z0">
    <w:name w:val="WW8Num14z0"/>
    <w:rPr>
      <w:rFonts w:ascii="Symbol" w:hAnsi="Symbol"/>
      <w:sz w:val="20"/>
    </w:rPr>
  </w:style>
  <w:style w:type="character" w:customStyle="1" w:styleId="WW8Num14z1">
    <w:name w:val="WW8Num14z1"/>
    <w:rPr>
      <w:rFonts w:ascii="Courier New" w:hAnsi="Courier New"/>
      <w:sz w:val="20"/>
    </w:rPr>
  </w:style>
  <w:style w:type="character" w:customStyle="1" w:styleId="WW8Num14z2">
    <w:name w:val="WW8Num14z2"/>
    <w:rPr>
      <w:rFonts w:ascii="Wingdings" w:hAnsi="Wingdings"/>
      <w:sz w:val="20"/>
    </w:rPr>
  </w:style>
  <w:style w:type="character" w:customStyle="1" w:styleId="WW8Num17z0">
    <w:name w:val="WW8Num17z0"/>
    <w:rPr>
      <w:rFonts w:ascii="Symbol" w:hAnsi="Symbol"/>
      <w:sz w:val="20"/>
    </w:rPr>
  </w:style>
  <w:style w:type="character" w:customStyle="1" w:styleId="WW8Num17z1">
    <w:name w:val="WW8Num17z1"/>
    <w:rPr>
      <w:rFonts w:ascii="Courier New" w:hAnsi="Courier New"/>
      <w:sz w:val="20"/>
    </w:rPr>
  </w:style>
  <w:style w:type="character" w:customStyle="1" w:styleId="WW8Num17z2">
    <w:name w:val="WW8Num17z2"/>
    <w:rPr>
      <w:rFonts w:ascii="Wingdings" w:hAnsi="Wingdings"/>
      <w:sz w:val="20"/>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2">
    <w:name w:val="WW8Num20z2"/>
    <w:rPr>
      <w:rFonts w:ascii="Wingdings" w:hAnsi="Wingdings"/>
    </w:rPr>
  </w:style>
  <w:style w:type="character" w:customStyle="1" w:styleId="WW8Num22z0">
    <w:name w:val="WW8Num22z0"/>
    <w:rPr>
      <w:rFonts w:ascii="Symbol" w:eastAsia="Times New Roman" w:hAnsi="Symbol"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sz w:val="20"/>
    </w:rPr>
  </w:style>
  <w:style w:type="character" w:customStyle="1" w:styleId="WW8Num23z1">
    <w:name w:val="WW8Num23z1"/>
    <w:rPr>
      <w:rFonts w:ascii="Courier New" w:hAnsi="Courier New"/>
      <w:sz w:val="20"/>
    </w:rPr>
  </w:style>
  <w:style w:type="character" w:customStyle="1" w:styleId="WW8Num23z2">
    <w:name w:val="WW8Num23z2"/>
    <w:rPr>
      <w:rFonts w:ascii="Wingdings" w:hAnsi="Wingdings"/>
      <w:sz w:val="20"/>
    </w:rPr>
  </w:style>
  <w:style w:type="character" w:customStyle="1" w:styleId="Absatz-Standardschriftart">
    <w:name w:val="Absatz-Standardschriftart"/>
  </w:style>
  <w:style w:type="character" w:customStyle="1" w:styleId="WW8Num11z0">
    <w:name w:val="WW8Num11z0"/>
    <w:rPr>
      <w:rFonts w:ascii="Symbol" w:hAnsi="Symbol"/>
      <w:sz w:val="2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1z2">
    <w:name w:val="WW8Num21z2"/>
    <w:rPr>
      <w:rFonts w:ascii="Wingdings" w:hAnsi="Wingdings"/>
      <w:sz w:val="20"/>
    </w:rPr>
  </w:style>
  <w:style w:type="character" w:customStyle="1" w:styleId="WW8Num24z0">
    <w:name w:val="WW8Num24z0"/>
    <w:rPr>
      <w:rFonts w:ascii="Symbol" w:hAnsi="Symbol"/>
      <w:sz w:val="20"/>
    </w:rPr>
  </w:style>
  <w:style w:type="character" w:customStyle="1" w:styleId="WW8Num24z1">
    <w:name w:val="WW8Num24z1"/>
    <w:rPr>
      <w:rFonts w:ascii="Courier New" w:hAnsi="Courier New"/>
      <w:sz w:val="20"/>
    </w:rPr>
  </w:style>
  <w:style w:type="character" w:customStyle="1" w:styleId="WW8Num24z2">
    <w:name w:val="WW8Num24z2"/>
    <w:rPr>
      <w:rFonts w:ascii="Wingdings" w:hAnsi="Wingdings"/>
      <w:sz w:val="20"/>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2z0">
    <w:name w:val="WW8Num12z0"/>
    <w:rPr>
      <w:rFonts w:ascii="Symbol" w:hAnsi="Symbol"/>
      <w:sz w:val="20"/>
    </w:rPr>
  </w:style>
  <w:style w:type="character" w:customStyle="1" w:styleId="WW8Num12z1">
    <w:name w:val="WW8Num12z1"/>
    <w:rPr>
      <w:rFonts w:ascii="Courier New" w:hAnsi="Courier New"/>
      <w:sz w:val="20"/>
    </w:rPr>
  </w:style>
  <w:style w:type="character" w:customStyle="1" w:styleId="WW8Num12z2">
    <w:name w:val="WW8Num12z2"/>
    <w:rPr>
      <w:rFonts w:ascii="Wingdings" w:hAnsi="Wingdings"/>
      <w:sz w:val="20"/>
    </w:rPr>
  </w:style>
  <w:style w:type="character" w:customStyle="1" w:styleId="WW8Num16z0">
    <w:name w:val="WW8Num16z0"/>
    <w:rPr>
      <w:rFonts w:ascii="Symbol" w:hAnsi="Symbol"/>
    </w:rPr>
  </w:style>
  <w:style w:type="character" w:customStyle="1" w:styleId="WW8Num21z0">
    <w:name w:val="WW8Num21z0"/>
    <w:rPr>
      <w:rFonts w:ascii="Symbol" w:hAnsi="Symbol"/>
      <w:sz w:val="20"/>
    </w:rPr>
  </w:style>
  <w:style w:type="character" w:customStyle="1" w:styleId="WW8Num21z1">
    <w:name w:val="WW8Num21z1"/>
    <w:rPr>
      <w:rFonts w:ascii="Courier New" w:hAnsi="Courier New"/>
      <w:sz w:val="20"/>
    </w:rPr>
  </w:style>
  <w:style w:type="character" w:customStyle="1" w:styleId="WW8Num25z2">
    <w:name w:val="WW8Num25z2"/>
    <w:rPr>
      <w:rFonts w:ascii="Comic Sans MS" w:hAnsi="Comic Sans MS" w:cs="Times New Roman"/>
    </w:rPr>
  </w:style>
  <w:style w:type="character" w:customStyle="1" w:styleId="WW8Num27z0">
    <w:name w:val="WW8Num27z0"/>
    <w:rPr>
      <w:rFonts w:ascii="Symbol" w:hAnsi="Symbol"/>
      <w:sz w:val="20"/>
    </w:rPr>
  </w:style>
  <w:style w:type="character" w:customStyle="1" w:styleId="WW8Num27z1">
    <w:name w:val="WW8Num27z1"/>
    <w:rPr>
      <w:rFonts w:ascii="Courier New" w:hAnsi="Courier New"/>
      <w:sz w:val="20"/>
    </w:rPr>
  </w:style>
  <w:style w:type="character" w:customStyle="1" w:styleId="WW8Num27z2">
    <w:name w:val="WW8Num27z2"/>
    <w:rPr>
      <w:rFonts w:ascii="Wingdings" w:hAnsi="Wingdings"/>
      <w:sz w:val="20"/>
    </w:rPr>
  </w:style>
  <w:style w:type="character" w:customStyle="1" w:styleId="WW8Num28z0">
    <w:name w:val="WW8Num28z0"/>
    <w:rPr>
      <w:rFonts w:ascii="Symbol" w:eastAsia="Times New Roman" w:hAnsi="Symbol"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Absatz-Standardschriftart1111111">
    <w:name w:val="WW-Absatz-Standardschriftart1111111"/>
  </w:style>
  <w:style w:type="character" w:customStyle="1" w:styleId="WW8Num5z0">
    <w:name w:val="WW8Num5z0"/>
    <w:rPr>
      <w:rFonts w:ascii="Symbol" w:hAnsi="Symbol"/>
    </w:rPr>
  </w:style>
  <w:style w:type="character" w:customStyle="1" w:styleId="WW8Num10z0">
    <w:name w:val="WW8Num10z0"/>
    <w:rPr>
      <w:rFonts w:ascii="Symbol" w:hAnsi="Symbol"/>
    </w:rPr>
  </w:style>
  <w:style w:type="character" w:customStyle="1" w:styleId="WW8Num13z1">
    <w:name w:val="WW8Num13z1"/>
    <w:rPr>
      <w:rFonts w:ascii="Courier New" w:hAnsi="Courier New"/>
      <w:sz w:val="20"/>
    </w:rPr>
  </w:style>
  <w:style w:type="character" w:customStyle="1" w:styleId="WW8Num13z2">
    <w:name w:val="WW8Num13z2"/>
    <w:rPr>
      <w:rFonts w:ascii="Wingdings" w:hAnsi="Wingdings"/>
      <w:sz w:val="20"/>
    </w:rPr>
  </w:style>
  <w:style w:type="character" w:customStyle="1" w:styleId="WW8Num22z3">
    <w:name w:val="WW8Num22z3"/>
    <w:rPr>
      <w:rFonts w:ascii="Symbol" w:hAnsi="Symbol"/>
    </w:rPr>
  </w:style>
  <w:style w:type="character" w:customStyle="1" w:styleId="WW8Num28z3">
    <w:name w:val="WW8Num28z3"/>
    <w:rPr>
      <w:rFonts w:ascii="Symbol" w:hAnsi="Symbol"/>
    </w:rPr>
  </w:style>
  <w:style w:type="character" w:customStyle="1" w:styleId="WW8Num31z0">
    <w:name w:val="WW8Num31z0"/>
    <w:rPr>
      <w:rFonts w:ascii="Symbol" w:hAnsi="Symbol"/>
      <w:sz w:val="20"/>
    </w:rPr>
  </w:style>
  <w:style w:type="character" w:customStyle="1" w:styleId="WW8Num31z1">
    <w:name w:val="WW8Num31z1"/>
    <w:rPr>
      <w:rFonts w:ascii="Courier New" w:hAnsi="Courier New"/>
      <w:sz w:val="20"/>
    </w:rPr>
  </w:style>
  <w:style w:type="character" w:customStyle="1" w:styleId="WW8Num31z2">
    <w:name w:val="WW8Num31z2"/>
    <w:rPr>
      <w:rFonts w:ascii="Wingdings" w:hAnsi="Wingdings"/>
      <w:sz w:val="20"/>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7z0">
    <w:name w:val="WW8Num37z0"/>
    <w:rPr>
      <w:rFonts w:ascii="Symbol" w:hAnsi="Symbol"/>
      <w:sz w:val="20"/>
    </w:rPr>
  </w:style>
  <w:style w:type="character" w:customStyle="1" w:styleId="WW8Num37z1">
    <w:name w:val="WW8Num37z1"/>
    <w:rPr>
      <w:rFonts w:ascii="Courier New" w:hAnsi="Courier New"/>
      <w:sz w:val="20"/>
    </w:rPr>
  </w:style>
  <w:style w:type="character" w:customStyle="1" w:styleId="WW8Num37z2">
    <w:name w:val="WW8Num37z2"/>
    <w:rPr>
      <w:rFonts w:ascii="Wingdings" w:hAnsi="Wingdings"/>
      <w:sz w:val="20"/>
    </w:rPr>
  </w:style>
  <w:style w:type="character" w:customStyle="1" w:styleId="WW8Num40z0">
    <w:name w:val="WW8Num40z0"/>
    <w:rPr>
      <w:rFonts w:ascii="Symbol" w:hAnsi="Symbol"/>
      <w:sz w:val="20"/>
    </w:rPr>
  </w:style>
  <w:style w:type="character" w:customStyle="1" w:styleId="WW8Num40z1">
    <w:name w:val="WW8Num40z1"/>
    <w:rPr>
      <w:rFonts w:ascii="Courier New" w:hAnsi="Courier New"/>
      <w:sz w:val="20"/>
    </w:rPr>
  </w:style>
  <w:style w:type="character" w:customStyle="1" w:styleId="WW8Num40z2">
    <w:name w:val="WW8Num40z2"/>
    <w:rPr>
      <w:rFonts w:ascii="Wingdings" w:hAnsi="Wingdings"/>
      <w:sz w:val="20"/>
    </w:rPr>
  </w:style>
  <w:style w:type="character" w:customStyle="1" w:styleId="WW8Num41z2">
    <w:name w:val="WW8Num41z2"/>
    <w:rPr>
      <w:rFonts w:ascii="Comic Sans MS" w:eastAsia="Times New Roman" w:hAnsi="Comic Sans MS" w:cs="Times New Roman"/>
    </w:rPr>
  </w:style>
  <w:style w:type="character" w:customStyle="1" w:styleId="WW8Num47z0">
    <w:name w:val="WW8Num47z0"/>
    <w:rPr>
      <w:rFonts w:ascii="Symbol" w:hAnsi="Symbol"/>
      <w:sz w:val="20"/>
    </w:rPr>
  </w:style>
  <w:style w:type="character" w:customStyle="1" w:styleId="WW8Num47z1">
    <w:name w:val="WW8Num47z1"/>
    <w:rPr>
      <w:rFonts w:ascii="Courier New" w:hAnsi="Courier New"/>
      <w:sz w:val="20"/>
    </w:rPr>
  </w:style>
  <w:style w:type="character" w:customStyle="1" w:styleId="WW8Num47z2">
    <w:name w:val="WW8Num47z2"/>
    <w:rPr>
      <w:rFonts w:ascii="Wingdings" w:hAnsi="Wingdings"/>
      <w:sz w:val="20"/>
    </w:rPr>
  </w:style>
  <w:style w:type="character" w:customStyle="1" w:styleId="WW8Num48z0">
    <w:name w:val="WW8Num48z0"/>
    <w:rPr>
      <w:rFonts w:ascii="Symbol" w:hAnsi="Symbol"/>
      <w:sz w:val="20"/>
    </w:rPr>
  </w:style>
  <w:style w:type="character" w:customStyle="1" w:styleId="WW8Num48z1">
    <w:name w:val="WW8Num48z1"/>
    <w:rPr>
      <w:rFonts w:ascii="Courier New" w:hAnsi="Courier New"/>
      <w:sz w:val="20"/>
    </w:rPr>
  </w:style>
  <w:style w:type="character" w:customStyle="1" w:styleId="WW8Num48z2">
    <w:name w:val="WW8Num48z2"/>
    <w:rPr>
      <w:rFonts w:ascii="Wingdings" w:hAnsi="Wingdings"/>
      <w:sz w:val="20"/>
    </w:rPr>
  </w:style>
  <w:style w:type="character" w:styleId="Hyperlink">
    <w:name w:val="Hyperlink"/>
    <w:rPr>
      <w:color w:val="0000FF"/>
      <w:u w:val="single"/>
    </w:rPr>
  </w:style>
  <w:style w:type="character" w:styleId="Emphasis">
    <w:name w:val="Emphasis"/>
    <w:qFormat/>
    <w:rPr>
      <w:i/>
      <w:iCs/>
    </w:rPr>
  </w:style>
  <w:style w:type="character" w:styleId="FollowedHyperlink">
    <w:name w:val="FollowedHyperlink"/>
    <w:rPr>
      <w:color w:val="800080"/>
      <w:u w:val="single"/>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basedOn w:val="DefaultParagraphFont"/>
  </w:style>
  <w:style w:type="character" w:styleId="PageNumber">
    <w:name w:val="page number"/>
    <w:basedOn w:val="DefaultParagraphFont"/>
  </w:style>
  <w:style w:type="character" w:styleId="Strong">
    <w:name w:val="Strong"/>
    <w:qFormat/>
    <w:rPr>
      <w:b/>
      <w:bCs/>
    </w:rPr>
  </w:style>
  <w:style w:type="character" w:customStyle="1" w:styleId="EndnoteCharacters">
    <w:name w:val="Endnote Characters"/>
    <w:rPr>
      <w:vertAlign w:val="superscript"/>
    </w:rPr>
  </w:style>
  <w:style w:type="character" w:customStyle="1" w:styleId="EndnoteTextChar2">
    <w:name w:val="Endnote Text Char2"/>
    <w:rPr>
      <w:lang w:val="en-GB" w:eastAsia="ar-SA" w:bidi="ar-SA"/>
    </w:rPr>
  </w:style>
  <w:style w:type="character" w:customStyle="1" w:styleId="currencyconverterlink">
    <w:name w:val="currency_converter_link"/>
    <w:basedOn w:val="DefaultParagraphFont"/>
  </w:style>
  <w:style w:type="character" w:customStyle="1" w:styleId="Date1">
    <w:name w:val="Date1"/>
    <w:basedOn w:val="DefaultParagraphFont"/>
  </w:style>
  <w:style w:type="character" w:customStyle="1" w:styleId="gsa">
    <w:name w:val="gs_a"/>
    <w:basedOn w:val="DefaultParagraphFont"/>
  </w:style>
  <w:style w:type="character" w:customStyle="1" w:styleId="gsfl">
    <w:name w:val="gs_fl"/>
    <w:basedOn w:val="DefaultParagraphFont"/>
  </w:style>
  <w:style w:type="character" w:customStyle="1" w:styleId="gsctc">
    <w:name w:val="gs_ctc"/>
    <w:basedOn w:val="DefaultParagraphFont"/>
  </w:style>
  <w:style w:type="character" w:customStyle="1" w:styleId="gsggsgsfl">
    <w:name w:val="gs_ggs gs_fl"/>
    <w:basedOn w:val="DefaultParagraphFont"/>
  </w:style>
  <w:style w:type="character" w:customStyle="1" w:styleId="gsctg">
    <w:name w:val="gs_ctg"/>
    <w:basedOn w:val="DefaultParagraphFont"/>
  </w:style>
  <w:style w:type="character" w:customStyle="1" w:styleId="BalloonTextChar">
    <w:name w:val="Balloon Text Char"/>
    <w:rPr>
      <w:rFonts w:ascii="Tahoma" w:hAnsi="Tahoma" w:cs="Tahoma"/>
      <w:sz w:val="16"/>
      <w:szCs w:val="16"/>
    </w:rPr>
  </w:style>
  <w:style w:type="character" w:customStyle="1" w:styleId="FootnoteCharacters">
    <w:name w:val="Footnote Characters"/>
    <w:rPr>
      <w:vertAlign w:val="superscript"/>
    </w:rPr>
  </w:style>
  <w:style w:type="character" w:customStyle="1" w:styleId="small-normalChar">
    <w:name w:val="small-normal Char"/>
    <w:rPr>
      <w:rFonts w:ascii="Calibri" w:hAnsi="Calibri"/>
      <w:b/>
      <w:szCs w:val="18"/>
    </w:rPr>
  </w:style>
  <w:style w:type="character" w:customStyle="1" w:styleId="ssl0">
    <w:name w:val="ss_l0"/>
  </w:style>
  <w:style w:type="character" w:customStyle="1" w:styleId="hit">
    <w:name w:val="hit"/>
  </w:style>
  <w:style w:type="character" w:customStyle="1" w:styleId="headlineloupe">
    <w:name w:val="headlineloupe"/>
  </w:style>
  <w:style w:type="character" w:customStyle="1" w:styleId="headlinevert">
    <w:name w:val="headlinevert"/>
  </w:style>
  <w:style w:type="character" w:customStyle="1" w:styleId="noirbold">
    <w:name w:val="noirbold"/>
  </w:style>
  <w:style w:type="character" w:customStyle="1" w:styleId="metadatatime">
    <w:name w:val="metadata_time"/>
  </w:style>
  <w:style w:type="character" w:styleId="EndnoteReference">
    <w:name w:val="endnote reference"/>
    <w:rPr>
      <w:vertAlign w:val="superscript"/>
    </w:rPr>
  </w:style>
  <w:style w:type="character" w:styleId="FootnoteReference">
    <w:name w:val="footnote reference"/>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style>
  <w:style w:type="paragraph" w:styleId="List">
    <w:name w:val="List"/>
    <w:basedOn w:val="Normal"/>
    <w:pPr>
      <w:ind w:left="283" w:hanging="283"/>
    </w:p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rFonts w:ascii="Lucida Sans Unicode" w:hAnsi="Lucida Sans Unicode"/>
      <w:sz w:val="18"/>
    </w:rPr>
  </w:style>
  <w:style w:type="paragraph" w:styleId="Footer">
    <w:name w:val="footer"/>
    <w:basedOn w:val="Normal"/>
    <w:pPr>
      <w:tabs>
        <w:tab w:val="center" w:pos="4153"/>
        <w:tab w:val="right" w:pos="8306"/>
      </w:tabs>
    </w:pPr>
    <w:rPr>
      <w:rFonts w:ascii="Lucida Sans Unicode" w:hAnsi="Lucida Sans Unicode"/>
      <w:sz w:val="18"/>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rPr>
      <w:sz w:val="20"/>
      <w:szCs w:val="20"/>
    </w:rPr>
  </w:style>
  <w:style w:type="paragraph" w:styleId="EnvelopeAddress">
    <w:name w:val="envelope address"/>
    <w:basedOn w:val="Normal"/>
    <w:pPr>
      <w:ind w:left="2880"/>
    </w:pPr>
    <w:rPr>
      <w:rFonts w:ascii="Arial" w:hAnsi="Arial" w:cs="Arial"/>
      <w:sz w:val="24"/>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Normal"/>
    <w:pPr>
      <w:numPr>
        <w:numId w:val="9"/>
      </w:numPr>
    </w:pPr>
  </w:style>
  <w:style w:type="paragraph" w:styleId="ListBullet3">
    <w:name w:val="List Bullet 3"/>
    <w:basedOn w:val="Normal"/>
    <w:pPr>
      <w:numPr>
        <w:numId w:val="8"/>
      </w:numPr>
    </w:pPr>
  </w:style>
  <w:style w:type="paragraph" w:styleId="ListBullet4">
    <w:name w:val="List Bullet 4"/>
    <w:basedOn w:val="Normal"/>
    <w:pPr>
      <w:numPr>
        <w:numId w:val="7"/>
      </w:numPr>
    </w:pPr>
  </w:style>
  <w:style w:type="paragraph" w:styleId="ListBullet5">
    <w:name w:val="List Bullet 5"/>
    <w:basedOn w:val="Normal"/>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0"/>
      </w:numPr>
    </w:pPr>
  </w:style>
  <w:style w:type="paragraph" w:styleId="ListNumber2">
    <w:name w:val="List Number 2"/>
    <w:basedOn w:val="Normal"/>
    <w:pPr>
      <w:numPr>
        <w:numId w:val="5"/>
      </w:numPr>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essageHeader">
    <w:name w:val="Message Header"/>
    <w:basedOn w:val="Normal"/>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sz w:val="24"/>
    </w:rPr>
  </w:style>
  <w:style w:type="paragraph" w:styleId="NormalWeb">
    <w:name w:val="Normal (Web)"/>
    <w:basedOn w:val="Normal"/>
    <w:rPr>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next w:val="BodyText"/>
    <w:qFormat/>
    <w:pPr>
      <w:spacing w:after="60"/>
      <w:jc w:val="center"/>
    </w:pPr>
    <w:rPr>
      <w:rFonts w:ascii="Lucida Sans Unicode" w:hAnsi="Lucida Sans Unicode" w:cs="Arial"/>
      <w:b/>
      <w:color w:val="FF0000"/>
      <w:sz w:val="24"/>
    </w:rPr>
  </w:style>
  <w:style w:type="paragraph" w:styleId="TOC1">
    <w:name w:val="toc 1"/>
    <w:basedOn w:val="Normal"/>
    <w:next w:val="Normal"/>
    <w:uiPriority w:val="39"/>
    <w:pPr>
      <w:spacing w:before="120" w:after="120"/>
    </w:pPr>
    <w:rPr>
      <w:b/>
      <w:bCs/>
      <w:caps/>
      <w:sz w:val="20"/>
      <w:szCs w:val="20"/>
    </w:rPr>
  </w:style>
  <w:style w:type="paragraph" w:styleId="Title">
    <w:name w:val="Title"/>
    <w:basedOn w:val="Normal"/>
    <w:next w:val="Subtitle"/>
    <w:qFormat/>
    <w:pPr>
      <w:spacing w:before="240" w:after="60"/>
      <w:jc w:val="center"/>
    </w:pPr>
    <w:rPr>
      <w:rFonts w:ascii="Lucida Sans Unicode" w:hAnsi="Lucida Sans Unicode" w:cs="Arial"/>
      <w:b/>
      <w:bCs/>
      <w:color w:val="FF0000"/>
      <w:kern w:val="1"/>
      <w:sz w:val="36"/>
      <w:szCs w:val="32"/>
    </w:rPr>
  </w:style>
  <w:style w:type="paragraph" w:styleId="TOC2">
    <w:name w:val="toc 2"/>
    <w:basedOn w:val="Normal"/>
    <w:next w:val="Normal"/>
    <w:uiPriority w:val="39"/>
    <w:pPr>
      <w:ind w:left="220"/>
    </w:pPr>
    <w:rPr>
      <w:smallCaps/>
      <w:sz w:val="20"/>
      <w:szCs w:val="20"/>
    </w:rPr>
  </w:style>
  <w:style w:type="paragraph" w:styleId="TOC3">
    <w:name w:val="toc 3"/>
    <w:basedOn w:val="Normal"/>
    <w:next w:val="Normal"/>
    <w:uiPriority w:val="39"/>
    <w:pPr>
      <w:ind w:left="440"/>
    </w:pPr>
    <w:rPr>
      <w:i/>
      <w:iCs/>
      <w:sz w:val="20"/>
      <w:szCs w:val="20"/>
    </w:rPr>
  </w:style>
  <w:style w:type="paragraph" w:styleId="TOC4">
    <w:name w:val="toc 4"/>
    <w:basedOn w:val="Normal"/>
    <w:next w:val="Normal"/>
    <w:pPr>
      <w:ind w:left="660"/>
    </w:pPr>
    <w:rPr>
      <w:sz w:val="18"/>
      <w:szCs w:val="18"/>
    </w:rPr>
  </w:style>
  <w:style w:type="paragraph" w:styleId="TOC5">
    <w:name w:val="toc 5"/>
    <w:basedOn w:val="Normal"/>
    <w:next w:val="Normal"/>
    <w:pPr>
      <w:ind w:left="880"/>
    </w:pPr>
    <w:rPr>
      <w:sz w:val="18"/>
      <w:szCs w:val="18"/>
    </w:rPr>
  </w:style>
  <w:style w:type="paragraph" w:styleId="TOC6">
    <w:name w:val="toc 6"/>
    <w:basedOn w:val="Normal"/>
    <w:next w:val="Normal"/>
    <w:pPr>
      <w:ind w:left="1100"/>
    </w:pPr>
    <w:rPr>
      <w:sz w:val="18"/>
      <w:szCs w:val="18"/>
    </w:rPr>
  </w:style>
  <w:style w:type="paragraph" w:styleId="TOC7">
    <w:name w:val="toc 7"/>
    <w:basedOn w:val="Normal"/>
    <w:next w:val="Normal"/>
    <w:pPr>
      <w:ind w:left="1320"/>
    </w:pPr>
    <w:rPr>
      <w:sz w:val="18"/>
      <w:szCs w:val="18"/>
    </w:rPr>
  </w:style>
  <w:style w:type="paragraph" w:styleId="TOC8">
    <w:name w:val="toc 8"/>
    <w:basedOn w:val="Normal"/>
    <w:next w:val="Normal"/>
    <w:pPr>
      <w:ind w:left="1540"/>
    </w:pPr>
    <w:rPr>
      <w:sz w:val="18"/>
      <w:szCs w:val="18"/>
    </w:rPr>
  </w:style>
  <w:style w:type="paragraph" w:styleId="TOC9">
    <w:name w:val="toc 9"/>
    <w:basedOn w:val="Normal"/>
    <w:next w:val="Normal"/>
    <w:pPr>
      <w:ind w:left="1760"/>
    </w:pPr>
    <w:rPr>
      <w:sz w:val="18"/>
      <w:szCs w:val="18"/>
    </w:rPr>
  </w:style>
  <w:style w:type="paragraph" w:styleId="DocumentMap">
    <w:name w:val="Document Map"/>
    <w:basedOn w:val="Normal"/>
    <w:pPr>
      <w:shd w:val="clear" w:color="auto" w:fill="000080"/>
    </w:pPr>
    <w:rPr>
      <w:rFonts w:ascii="Browallia New" w:hAnsi="Browallia New" w:cs="Tahoma"/>
      <w:sz w:val="16"/>
    </w:rPr>
  </w:style>
  <w:style w:type="paragraph" w:styleId="BalloonText">
    <w:name w:val="Balloon Text"/>
    <w:basedOn w:val="Normal"/>
    <w:rPr>
      <w:rFonts w:ascii="Tahoma" w:hAnsi="Tahoma" w:cs="Tahoma"/>
      <w:sz w:val="16"/>
      <w:szCs w:val="16"/>
    </w:rPr>
  </w:style>
  <w:style w:type="paragraph" w:styleId="FootnoteText">
    <w:name w:val="footnote text"/>
    <w:basedOn w:val="Normal"/>
    <w:rPr>
      <w:sz w:val="20"/>
      <w:szCs w:val="20"/>
    </w:rPr>
  </w:style>
  <w:style w:type="paragraph" w:customStyle="1" w:styleId="small-normal">
    <w:name w:val="small-normal"/>
    <w:basedOn w:val="Normal"/>
    <w:pPr>
      <w:tabs>
        <w:tab w:val="left" w:pos="1682"/>
        <w:tab w:val="left" w:pos="2674"/>
        <w:tab w:val="left" w:pos="3524"/>
      </w:tabs>
      <w:ind w:left="15"/>
    </w:pPr>
    <w:rPr>
      <w:rFonts w:ascii="Calibri" w:hAnsi="Calibri"/>
      <w:b/>
      <w:sz w:val="20"/>
      <w:szCs w:val="18"/>
    </w:rPr>
  </w:style>
  <w:style w:type="paragraph" w:styleId="ListParagraph">
    <w:name w:val="List Paragraph"/>
    <w:basedOn w:val="Normal"/>
    <w:uiPriority w:val="34"/>
    <w:qFormat/>
    <w:pPr>
      <w:ind w:left="720"/>
    </w:pPr>
  </w:style>
  <w:style w:type="paragraph" w:customStyle="1" w:styleId="WW-Default">
    <w:name w:val="WW-Default"/>
    <w:pPr>
      <w:suppressAutoHyphens/>
      <w:autoSpaceDE w:val="0"/>
    </w:pPr>
    <w:rPr>
      <w:rFonts w:ascii="Arial" w:eastAsia="Arial" w:hAnsi="Arial" w:cs="Arial"/>
      <w:color w:val="000000"/>
      <w:sz w:val="24"/>
      <w:szCs w:val="24"/>
      <w:lang w:eastAsia="ar-SA"/>
    </w:rPr>
  </w:style>
  <w:style w:type="paragraph" w:customStyle="1" w:styleId="Contents10">
    <w:name w:val="Contents 10"/>
    <w:basedOn w:val="Index"/>
    <w:pPr>
      <w:tabs>
        <w:tab w:val="right" w:leader="dot" w:pos="7091"/>
      </w:tabs>
      <w:ind w:left="2547"/>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numbering" w:styleId="1ai">
    <w:name w:val="Outline List 1"/>
    <w:basedOn w:val="NoList"/>
    <w:semiHidden/>
    <w:rsid w:val="00470910"/>
    <w:pPr>
      <w:numPr>
        <w:numId w:val="26"/>
      </w:numPr>
    </w:pPr>
  </w:style>
  <w:style w:type="character" w:customStyle="1" w:styleId="Heading3Char">
    <w:name w:val="Heading 3 Char"/>
    <w:aliases w:val="H3 Char"/>
    <w:link w:val="Heading3"/>
    <w:rsid w:val="007F1D73"/>
    <w:rPr>
      <w:rFonts w:ascii="Trebuchet MS" w:hAnsi="Trebuchet MS" w:cs="Arial"/>
      <w:b/>
      <w:bCs/>
      <w:szCs w:val="26"/>
      <w:lang w:eastAsia="ar-SA"/>
    </w:rPr>
  </w:style>
  <w:style w:type="table" w:styleId="TableGrid">
    <w:name w:val="Table Grid"/>
    <w:basedOn w:val="TableNormal"/>
    <w:uiPriority w:val="59"/>
    <w:rsid w:val="00B430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Outlin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2ED"/>
    <w:pPr>
      <w:suppressAutoHyphens/>
    </w:pPr>
    <w:rPr>
      <w:sz w:val="22"/>
      <w:szCs w:val="24"/>
      <w:lang w:eastAsia="ar-SA"/>
    </w:rPr>
  </w:style>
  <w:style w:type="paragraph" w:styleId="Heading1">
    <w:name w:val="heading 1"/>
    <w:basedOn w:val="Normal"/>
    <w:next w:val="Normal"/>
    <w:qFormat/>
    <w:pPr>
      <w:keepNext/>
      <w:numPr>
        <w:numId w:val="1"/>
      </w:numPr>
      <w:spacing w:before="240" w:after="120"/>
      <w:outlineLvl w:val="0"/>
    </w:pPr>
    <w:rPr>
      <w:rFonts w:ascii="Trebuchet MS" w:hAnsi="Trebuchet MS" w:cs="Arial"/>
      <w:b/>
      <w:bCs/>
      <w:kern w:val="1"/>
      <w:sz w:val="24"/>
      <w:szCs w:val="32"/>
    </w:rPr>
  </w:style>
  <w:style w:type="paragraph" w:styleId="Heading2">
    <w:name w:val="heading 2"/>
    <w:basedOn w:val="Normal"/>
    <w:next w:val="Normal"/>
    <w:qFormat/>
    <w:pPr>
      <w:keepNext/>
      <w:numPr>
        <w:ilvl w:val="1"/>
        <w:numId w:val="1"/>
      </w:numPr>
      <w:spacing w:before="240" w:after="60"/>
      <w:outlineLvl w:val="1"/>
    </w:pPr>
    <w:rPr>
      <w:rFonts w:ascii="Trebuchet MS" w:hAnsi="Trebuchet MS" w:cs="Arial"/>
      <w:b/>
      <w:bCs/>
      <w:iCs/>
      <w:szCs w:val="28"/>
    </w:rPr>
  </w:style>
  <w:style w:type="paragraph" w:styleId="Heading3">
    <w:name w:val="heading 3"/>
    <w:aliases w:val="H3"/>
    <w:basedOn w:val="Normal"/>
    <w:next w:val="Normal"/>
    <w:link w:val="Heading3Char"/>
    <w:qFormat/>
    <w:pPr>
      <w:keepNext/>
      <w:numPr>
        <w:ilvl w:val="2"/>
        <w:numId w:val="1"/>
      </w:numPr>
      <w:spacing w:before="120" w:after="60"/>
      <w:outlineLvl w:val="2"/>
    </w:pPr>
    <w:rPr>
      <w:rFonts w:ascii="Trebuchet MS" w:hAnsi="Trebuchet MS"/>
      <w:b/>
      <w:bCs/>
      <w:sz w:val="20"/>
      <w:szCs w:val="26"/>
      <w:lang w:val="x-none"/>
    </w:rPr>
  </w:style>
  <w:style w:type="paragraph" w:styleId="Heading4">
    <w:name w:val="heading 4"/>
    <w:basedOn w:val="Normal"/>
    <w:next w:val="Normal"/>
    <w:qFormat/>
    <w:pPr>
      <w:keepNext/>
      <w:numPr>
        <w:numId w:val="16"/>
      </w:numPr>
      <w:spacing w:before="60" w:after="60"/>
      <w:ind w:left="0" w:firstLine="0"/>
      <w:outlineLvl w:val="3"/>
    </w:pPr>
    <w:rPr>
      <w:rFonts w:ascii="Trebuchet MS" w:hAnsi="Trebuchet MS"/>
      <w:b/>
      <w:bCs/>
      <w:sz w:val="20"/>
      <w:szCs w:val="28"/>
    </w:rPr>
  </w:style>
  <w:style w:type="paragraph" w:styleId="Heading5">
    <w:name w:val="heading 5"/>
    <w:basedOn w:val="Normal"/>
    <w:next w:val="Normal"/>
    <w:qFormat/>
    <w:pPr>
      <w:tabs>
        <w:tab w:val="num" w:pos="360"/>
      </w:tabs>
      <w:spacing w:before="240" w:after="60"/>
      <w:ind w:left="360" w:hanging="360"/>
      <w:outlineLvl w:val="4"/>
    </w:pPr>
    <w:rPr>
      <w:rFonts w:ascii="Trebuchet MS" w:hAnsi="Trebuchet MS"/>
      <w:b/>
      <w:bCs/>
      <w:iCs/>
      <w:sz w:val="20"/>
      <w:szCs w:val="26"/>
    </w:rPr>
  </w:style>
  <w:style w:type="paragraph" w:styleId="Heading6">
    <w:name w:val="heading 6"/>
    <w:basedOn w:val="Normal"/>
    <w:next w:val="Normal"/>
    <w:qFormat/>
    <w:pPr>
      <w:tabs>
        <w:tab w:val="num" w:pos="360"/>
      </w:tabs>
      <w:spacing w:before="240" w:after="60"/>
      <w:ind w:left="360" w:hanging="360"/>
      <w:outlineLvl w:val="5"/>
    </w:pPr>
    <w:rPr>
      <w:bCs/>
      <w:szCs w:val="22"/>
    </w:rPr>
  </w:style>
  <w:style w:type="paragraph" w:styleId="Heading7">
    <w:name w:val="heading 7"/>
    <w:basedOn w:val="Normal"/>
    <w:next w:val="Normal"/>
    <w:qFormat/>
    <w:pPr>
      <w:numPr>
        <w:numId w:val="15"/>
      </w:numPr>
      <w:spacing w:before="240" w:after="60"/>
      <w:outlineLvl w:val="6"/>
    </w:pPr>
    <w:rPr>
      <w:rFonts w:ascii="Trebuchet MS" w:hAnsi="Trebuchet MS"/>
      <w:b/>
      <w:sz w:val="20"/>
    </w:rPr>
  </w:style>
  <w:style w:type="paragraph" w:styleId="Heading8">
    <w:name w:val="heading 8"/>
    <w:basedOn w:val="Normal"/>
    <w:next w:val="Normal"/>
    <w:qFormat/>
    <w:pPr>
      <w:numPr>
        <w:numId w:val="11"/>
      </w:numPr>
      <w:spacing w:before="240" w:after="60"/>
      <w:outlineLvl w:val="7"/>
    </w:pPr>
    <w:rPr>
      <w:rFonts w:ascii="Trebuchet MS" w:hAnsi="Trebuchet MS"/>
      <w:b/>
      <w:iCs/>
      <w:sz w:val="20"/>
    </w:rPr>
  </w:style>
  <w:style w:type="paragraph" w:styleId="Heading9">
    <w:name w:val="heading 9"/>
    <w:basedOn w:val="Normal"/>
    <w:next w:val="Normal"/>
    <w:qFormat/>
    <w:pPr>
      <w:tabs>
        <w:tab w:val="num" w:pos="360"/>
      </w:tabs>
      <w:spacing w:before="240" w:after="60"/>
      <w:ind w:left="360" w:hanging="360"/>
      <w:outlineLvl w:val="8"/>
    </w:pPr>
    <w:rPr>
      <w:rFonts w:ascii="Trebuchet MS" w:hAnsi="Trebuchet MS" w:cs="Arial"/>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3z0">
    <w:name w:val="WW8Num13z0"/>
    <w:rPr>
      <w:rFonts w:ascii="Symbol" w:hAnsi="Symbol"/>
      <w:sz w:val="20"/>
    </w:rPr>
  </w:style>
  <w:style w:type="character" w:customStyle="1" w:styleId="WW8Num14z0">
    <w:name w:val="WW8Num14z0"/>
    <w:rPr>
      <w:rFonts w:ascii="Symbol" w:hAnsi="Symbol"/>
      <w:sz w:val="20"/>
    </w:rPr>
  </w:style>
  <w:style w:type="character" w:customStyle="1" w:styleId="WW8Num14z1">
    <w:name w:val="WW8Num14z1"/>
    <w:rPr>
      <w:rFonts w:ascii="Courier New" w:hAnsi="Courier New"/>
      <w:sz w:val="20"/>
    </w:rPr>
  </w:style>
  <w:style w:type="character" w:customStyle="1" w:styleId="WW8Num14z2">
    <w:name w:val="WW8Num14z2"/>
    <w:rPr>
      <w:rFonts w:ascii="Wingdings" w:hAnsi="Wingdings"/>
      <w:sz w:val="20"/>
    </w:rPr>
  </w:style>
  <w:style w:type="character" w:customStyle="1" w:styleId="WW8Num17z0">
    <w:name w:val="WW8Num17z0"/>
    <w:rPr>
      <w:rFonts w:ascii="Symbol" w:hAnsi="Symbol"/>
      <w:sz w:val="20"/>
    </w:rPr>
  </w:style>
  <w:style w:type="character" w:customStyle="1" w:styleId="WW8Num17z1">
    <w:name w:val="WW8Num17z1"/>
    <w:rPr>
      <w:rFonts w:ascii="Courier New" w:hAnsi="Courier New"/>
      <w:sz w:val="20"/>
    </w:rPr>
  </w:style>
  <w:style w:type="character" w:customStyle="1" w:styleId="WW8Num17z2">
    <w:name w:val="WW8Num17z2"/>
    <w:rPr>
      <w:rFonts w:ascii="Wingdings" w:hAnsi="Wingdings"/>
      <w:sz w:val="20"/>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2">
    <w:name w:val="WW8Num20z2"/>
    <w:rPr>
      <w:rFonts w:ascii="Wingdings" w:hAnsi="Wingdings"/>
    </w:rPr>
  </w:style>
  <w:style w:type="character" w:customStyle="1" w:styleId="WW8Num22z0">
    <w:name w:val="WW8Num22z0"/>
    <w:rPr>
      <w:rFonts w:ascii="Symbol" w:eastAsia="Times New Roman" w:hAnsi="Symbol"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sz w:val="20"/>
    </w:rPr>
  </w:style>
  <w:style w:type="character" w:customStyle="1" w:styleId="WW8Num23z1">
    <w:name w:val="WW8Num23z1"/>
    <w:rPr>
      <w:rFonts w:ascii="Courier New" w:hAnsi="Courier New"/>
      <w:sz w:val="20"/>
    </w:rPr>
  </w:style>
  <w:style w:type="character" w:customStyle="1" w:styleId="WW8Num23z2">
    <w:name w:val="WW8Num23z2"/>
    <w:rPr>
      <w:rFonts w:ascii="Wingdings" w:hAnsi="Wingdings"/>
      <w:sz w:val="20"/>
    </w:rPr>
  </w:style>
  <w:style w:type="character" w:customStyle="1" w:styleId="Absatz-Standardschriftart">
    <w:name w:val="Absatz-Standardschriftart"/>
  </w:style>
  <w:style w:type="character" w:customStyle="1" w:styleId="WW8Num11z0">
    <w:name w:val="WW8Num11z0"/>
    <w:rPr>
      <w:rFonts w:ascii="Symbol" w:hAnsi="Symbol"/>
      <w:sz w:val="2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1z2">
    <w:name w:val="WW8Num21z2"/>
    <w:rPr>
      <w:rFonts w:ascii="Wingdings" w:hAnsi="Wingdings"/>
      <w:sz w:val="20"/>
    </w:rPr>
  </w:style>
  <w:style w:type="character" w:customStyle="1" w:styleId="WW8Num24z0">
    <w:name w:val="WW8Num24z0"/>
    <w:rPr>
      <w:rFonts w:ascii="Symbol" w:hAnsi="Symbol"/>
      <w:sz w:val="20"/>
    </w:rPr>
  </w:style>
  <w:style w:type="character" w:customStyle="1" w:styleId="WW8Num24z1">
    <w:name w:val="WW8Num24z1"/>
    <w:rPr>
      <w:rFonts w:ascii="Courier New" w:hAnsi="Courier New"/>
      <w:sz w:val="20"/>
    </w:rPr>
  </w:style>
  <w:style w:type="character" w:customStyle="1" w:styleId="WW8Num24z2">
    <w:name w:val="WW8Num24z2"/>
    <w:rPr>
      <w:rFonts w:ascii="Wingdings" w:hAnsi="Wingdings"/>
      <w:sz w:val="20"/>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2z0">
    <w:name w:val="WW8Num12z0"/>
    <w:rPr>
      <w:rFonts w:ascii="Symbol" w:hAnsi="Symbol"/>
      <w:sz w:val="20"/>
    </w:rPr>
  </w:style>
  <w:style w:type="character" w:customStyle="1" w:styleId="WW8Num12z1">
    <w:name w:val="WW8Num12z1"/>
    <w:rPr>
      <w:rFonts w:ascii="Courier New" w:hAnsi="Courier New"/>
      <w:sz w:val="20"/>
    </w:rPr>
  </w:style>
  <w:style w:type="character" w:customStyle="1" w:styleId="WW8Num12z2">
    <w:name w:val="WW8Num12z2"/>
    <w:rPr>
      <w:rFonts w:ascii="Wingdings" w:hAnsi="Wingdings"/>
      <w:sz w:val="20"/>
    </w:rPr>
  </w:style>
  <w:style w:type="character" w:customStyle="1" w:styleId="WW8Num16z0">
    <w:name w:val="WW8Num16z0"/>
    <w:rPr>
      <w:rFonts w:ascii="Symbol" w:hAnsi="Symbol"/>
    </w:rPr>
  </w:style>
  <w:style w:type="character" w:customStyle="1" w:styleId="WW8Num21z0">
    <w:name w:val="WW8Num21z0"/>
    <w:rPr>
      <w:rFonts w:ascii="Symbol" w:hAnsi="Symbol"/>
      <w:sz w:val="20"/>
    </w:rPr>
  </w:style>
  <w:style w:type="character" w:customStyle="1" w:styleId="WW8Num21z1">
    <w:name w:val="WW8Num21z1"/>
    <w:rPr>
      <w:rFonts w:ascii="Courier New" w:hAnsi="Courier New"/>
      <w:sz w:val="20"/>
    </w:rPr>
  </w:style>
  <w:style w:type="character" w:customStyle="1" w:styleId="WW8Num25z2">
    <w:name w:val="WW8Num25z2"/>
    <w:rPr>
      <w:rFonts w:ascii="Comic Sans MS" w:hAnsi="Comic Sans MS" w:cs="Times New Roman"/>
    </w:rPr>
  </w:style>
  <w:style w:type="character" w:customStyle="1" w:styleId="WW8Num27z0">
    <w:name w:val="WW8Num27z0"/>
    <w:rPr>
      <w:rFonts w:ascii="Symbol" w:hAnsi="Symbol"/>
      <w:sz w:val="20"/>
    </w:rPr>
  </w:style>
  <w:style w:type="character" w:customStyle="1" w:styleId="WW8Num27z1">
    <w:name w:val="WW8Num27z1"/>
    <w:rPr>
      <w:rFonts w:ascii="Courier New" w:hAnsi="Courier New"/>
      <w:sz w:val="20"/>
    </w:rPr>
  </w:style>
  <w:style w:type="character" w:customStyle="1" w:styleId="WW8Num27z2">
    <w:name w:val="WW8Num27z2"/>
    <w:rPr>
      <w:rFonts w:ascii="Wingdings" w:hAnsi="Wingdings"/>
      <w:sz w:val="20"/>
    </w:rPr>
  </w:style>
  <w:style w:type="character" w:customStyle="1" w:styleId="WW8Num28z0">
    <w:name w:val="WW8Num28z0"/>
    <w:rPr>
      <w:rFonts w:ascii="Symbol" w:eastAsia="Times New Roman" w:hAnsi="Symbol"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Absatz-Standardschriftart1111111">
    <w:name w:val="WW-Absatz-Standardschriftart1111111"/>
  </w:style>
  <w:style w:type="character" w:customStyle="1" w:styleId="WW8Num5z0">
    <w:name w:val="WW8Num5z0"/>
    <w:rPr>
      <w:rFonts w:ascii="Symbol" w:hAnsi="Symbol"/>
    </w:rPr>
  </w:style>
  <w:style w:type="character" w:customStyle="1" w:styleId="WW8Num10z0">
    <w:name w:val="WW8Num10z0"/>
    <w:rPr>
      <w:rFonts w:ascii="Symbol" w:hAnsi="Symbol"/>
    </w:rPr>
  </w:style>
  <w:style w:type="character" w:customStyle="1" w:styleId="WW8Num13z1">
    <w:name w:val="WW8Num13z1"/>
    <w:rPr>
      <w:rFonts w:ascii="Courier New" w:hAnsi="Courier New"/>
      <w:sz w:val="20"/>
    </w:rPr>
  </w:style>
  <w:style w:type="character" w:customStyle="1" w:styleId="WW8Num13z2">
    <w:name w:val="WW8Num13z2"/>
    <w:rPr>
      <w:rFonts w:ascii="Wingdings" w:hAnsi="Wingdings"/>
      <w:sz w:val="20"/>
    </w:rPr>
  </w:style>
  <w:style w:type="character" w:customStyle="1" w:styleId="WW8Num22z3">
    <w:name w:val="WW8Num22z3"/>
    <w:rPr>
      <w:rFonts w:ascii="Symbol" w:hAnsi="Symbol"/>
    </w:rPr>
  </w:style>
  <w:style w:type="character" w:customStyle="1" w:styleId="WW8Num28z3">
    <w:name w:val="WW8Num28z3"/>
    <w:rPr>
      <w:rFonts w:ascii="Symbol" w:hAnsi="Symbol"/>
    </w:rPr>
  </w:style>
  <w:style w:type="character" w:customStyle="1" w:styleId="WW8Num31z0">
    <w:name w:val="WW8Num31z0"/>
    <w:rPr>
      <w:rFonts w:ascii="Symbol" w:hAnsi="Symbol"/>
      <w:sz w:val="20"/>
    </w:rPr>
  </w:style>
  <w:style w:type="character" w:customStyle="1" w:styleId="WW8Num31z1">
    <w:name w:val="WW8Num31z1"/>
    <w:rPr>
      <w:rFonts w:ascii="Courier New" w:hAnsi="Courier New"/>
      <w:sz w:val="20"/>
    </w:rPr>
  </w:style>
  <w:style w:type="character" w:customStyle="1" w:styleId="WW8Num31z2">
    <w:name w:val="WW8Num31z2"/>
    <w:rPr>
      <w:rFonts w:ascii="Wingdings" w:hAnsi="Wingdings"/>
      <w:sz w:val="20"/>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7z0">
    <w:name w:val="WW8Num37z0"/>
    <w:rPr>
      <w:rFonts w:ascii="Symbol" w:hAnsi="Symbol"/>
      <w:sz w:val="20"/>
    </w:rPr>
  </w:style>
  <w:style w:type="character" w:customStyle="1" w:styleId="WW8Num37z1">
    <w:name w:val="WW8Num37z1"/>
    <w:rPr>
      <w:rFonts w:ascii="Courier New" w:hAnsi="Courier New"/>
      <w:sz w:val="20"/>
    </w:rPr>
  </w:style>
  <w:style w:type="character" w:customStyle="1" w:styleId="WW8Num37z2">
    <w:name w:val="WW8Num37z2"/>
    <w:rPr>
      <w:rFonts w:ascii="Wingdings" w:hAnsi="Wingdings"/>
      <w:sz w:val="20"/>
    </w:rPr>
  </w:style>
  <w:style w:type="character" w:customStyle="1" w:styleId="WW8Num40z0">
    <w:name w:val="WW8Num40z0"/>
    <w:rPr>
      <w:rFonts w:ascii="Symbol" w:hAnsi="Symbol"/>
      <w:sz w:val="20"/>
    </w:rPr>
  </w:style>
  <w:style w:type="character" w:customStyle="1" w:styleId="WW8Num40z1">
    <w:name w:val="WW8Num40z1"/>
    <w:rPr>
      <w:rFonts w:ascii="Courier New" w:hAnsi="Courier New"/>
      <w:sz w:val="20"/>
    </w:rPr>
  </w:style>
  <w:style w:type="character" w:customStyle="1" w:styleId="WW8Num40z2">
    <w:name w:val="WW8Num40z2"/>
    <w:rPr>
      <w:rFonts w:ascii="Wingdings" w:hAnsi="Wingdings"/>
      <w:sz w:val="20"/>
    </w:rPr>
  </w:style>
  <w:style w:type="character" w:customStyle="1" w:styleId="WW8Num41z2">
    <w:name w:val="WW8Num41z2"/>
    <w:rPr>
      <w:rFonts w:ascii="Comic Sans MS" w:eastAsia="Times New Roman" w:hAnsi="Comic Sans MS" w:cs="Times New Roman"/>
    </w:rPr>
  </w:style>
  <w:style w:type="character" w:customStyle="1" w:styleId="WW8Num47z0">
    <w:name w:val="WW8Num47z0"/>
    <w:rPr>
      <w:rFonts w:ascii="Symbol" w:hAnsi="Symbol"/>
      <w:sz w:val="20"/>
    </w:rPr>
  </w:style>
  <w:style w:type="character" w:customStyle="1" w:styleId="WW8Num47z1">
    <w:name w:val="WW8Num47z1"/>
    <w:rPr>
      <w:rFonts w:ascii="Courier New" w:hAnsi="Courier New"/>
      <w:sz w:val="20"/>
    </w:rPr>
  </w:style>
  <w:style w:type="character" w:customStyle="1" w:styleId="WW8Num47z2">
    <w:name w:val="WW8Num47z2"/>
    <w:rPr>
      <w:rFonts w:ascii="Wingdings" w:hAnsi="Wingdings"/>
      <w:sz w:val="20"/>
    </w:rPr>
  </w:style>
  <w:style w:type="character" w:customStyle="1" w:styleId="WW8Num48z0">
    <w:name w:val="WW8Num48z0"/>
    <w:rPr>
      <w:rFonts w:ascii="Symbol" w:hAnsi="Symbol"/>
      <w:sz w:val="20"/>
    </w:rPr>
  </w:style>
  <w:style w:type="character" w:customStyle="1" w:styleId="WW8Num48z1">
    <w:name w:val="WW8Num48z1"/>
    <w:rPr>
      <w:rFonts w:ascii="Courier New" w:hAnsi="Courier New"/>
      <w:sz w:val="20"/>
    </w:rPr>
  </w:style>
  <w:style w:type="character" w:customStyle="1" w:styleId="WW8Num48z2">
    <w:name w:val="WW8Num48z2"/>
    <w:rPr>
      <w:rFonts w:ascii="Wingdings" w:hAnsi="Wingdings"/>
      <w:sz w:val="20"/>
    </w:rPr>
  </w:style>
  <w:style w:type="character" w:styleId="Hyperlink">
    <w:name w:val="Hyperlink"/>
    <w:rPr>
      <w:color w:val="0000FF"/>
      <w:u w:val="single"/>
    </w:rPr>
  </w:style>
  <w:style w:type="character" w:styleId="Emphasis">
    <w:name w:val="Emphasis"/>
    <w:qFormat/>
    <w:rPr>
      <w:i/>
      <w:iCs/>
    </w:rPr>
  </w:style>
  <w:style w:type="character" w:styleId="FollowedHyperlink">
    <w:name w:val="FollowedHyperlink"/>
    <w:rPr>
      <w:color w:val="800080"/>
      <w:u w:val="single"/>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basedOn w:val="DefaultParagraphFont"/>
  </w:style>
  <w:style w:type="character" w:styleId="PageNumber">
    <w:name w:val="page number"/>
    <w:basedOn w:val="DefaultParagraphFont"/>
  </w:style>
  <w:style w:type="character" w:styleId="Strong">
    <w:name w:val="Strong"/>
    <w:qFormat/>
    <w:rPr>
      <w:b/>
      <w:bCs/>
    </w:rPr>
  </w:style>
  <w:style w:type="character" w:customStyle="1" w:styleId="EndnoteCharacters">
    <w:name w:val="Endnote Characters"/>
    <w:rPr>
      <w:vertAlign w:val="superscript"/>
    </w:rPr>
  </w:style>
  <w:style w:type="character" w:customStyle="1" w:styleId="EndnoteTextChar2">
    <w:name w:val="Endnote Text Char2"/>
    <w:rPr>
      <w:lang w:val="en-GB" w:eastAsia="ar-SA" w:bidi="ar-SA"/>
    </w:rPr>
  </w:style>
  <w:style w:type="character" w:customStyle="1" w:styleId="currencyconverterlink">
    <w:name w:val="currency_converter_link"/>
    <w:basedOn w:val="DefaultParagraphFont"/>
  </w:style>
  <w:style w:type="character" w:customStyle="1" w:styleId="Date1">
    <w:name w:val="Date1"/>
    <w:basedOn w:val="DefaultParagraphFont"/>
  </w:style>
  <w:style w:type="character" w:customStyle="1" w:styleId="gsa">
    <w:name w:val="gs_a"/>
    <w:basedOn w:val="DefaultParagraphFont"/>
  </w:style>
  <w:style w:type="character" w:customStyle="1" w:styleId="gsfl">
    <w:name w:val="gs_fl"/>
    <w:basedOn w:val="DefaultParagraphFont"/>
  </w:style>
  <w:style w:type="character" w:customStyle="1" w:styleId="gsctc">
    <w:name w:val="gs_ctc"/>
    <w:basedOn w:val="DefaultParagraphFont"/>
  </w:style>
  <w:style w:type="character" w:customStyle="1" w:styleId="gsggsgsfl">
    <w:name w:val="gs_ggs gs_fl"/>
    <w:basedOn w:val="DefaultParagraphFont"/>
  </w:style>
  <w:style w:type="character" w:customStyle="1" w:styleId="gsctg">
    <w:name w:val="gs_ctg"/>
    <w:basedOn w:val="DefaultParagraphFont"/>
  </w:style>
  <w:style w:type="character" w:customStyle="1" w:styleId="BalloonTextChar">
    <w:name w:val="Balloon Text Char"/>
    <w:rPr>
      <w:rFonts w:ascii="Tahoma" w:hAnsi="Tahoma" w:cs="Tahoma"/>
      <w:sz w:val="16"/>
      <w:szCs w:val="16"/>
    </w:rPr>
  </w:style>
  <w:style w:type="character" w:customStyle="1" w:styleId="FootnoteCharacters">
    <w:name w:val="Footnote Characters"/>
    <w:rPr>
      <w:vertAlign w:val="superscript"/>
    </w:rPr>
  </w:style>
  <w:style w:type="character" w:customStyle="1" w:styleId="small-normalChar">
    <w:name w:val="small-normal Char"/>
    <w:rPr>
      <w:rFonts w:ascii="Calibri" w:hAnsi="Calibri"/>
      <w:b/>
      <w:szCs w:val="18"/>
    </w:rPr>
  </w:style>
  <w:style w:type="character" w:customStyle="1" w:styleId="ssl0">
    <w:name w:val="ss_l0"/>
  </w:style>
  <w:style w:type="character" w:customStyle="1" w:styleId="hit">
    <w:name w:val="hit"/>
  </w:style>
  <w:style w:type="character" w:customStyle="1" w:styleId="headlineloupe">
    <w:name w:val="headlineloupe"/>
  </w:style>
  <w:style w:type="character" w:customStyle="1" w:styleId="headlinevert">
    <w:name w:val="headlinevert"/>
  </w:style>
  <w:style w:type="character" w:customStyle="1" w:styleId="noirbold">
    <w:name w:val="noirbold"/>
  </w:style>
  <w:style w:type="character" w:customStyle="1" w:styleId="metadatatime">
    <w:name w:val="metadata_time"/>
  </w:style>
  <w:style w:type="character" w:styleId="EndnoteReference">
    <w:name w:val="endnote reference"/>
    <w:rPr>
      <w:vertAlign w:val="superscript"/>
    </w:rPr>
  </w:style>
  <w:style w:type="character" w:styleId="FootnoteReference">
    <w:name w:val="footnote reference"/>
    <w:rPr>
      <w:vertAlign w:val="superscript"/>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style>
  <w:style w:type="paragraph" w:styleId="List">
    <w:name w:val="List"/>
    <w:basedOn w:val="Normal"/>
    <w:pPr>
      <w:ind w:left="283" w:hanging="283"/>
    </w:p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rFonts w:ascii="Lucida Sans Unicode" w:hAnsi="Lucida Sans Unicode"/>
      <w:sz w:val="18"/>
    </w:rPr>
  </w:style>
  <w:style w:type="paragraph" w:styleId="Footer">
    <w:name w:val="footer"/>
    <w:basedOn w:val="Normal"/>
    <w:pPr>
      <w:tabs>
        <w:tab w:val="center" w:pos="4153"/>
        <w:tab w:val="right" w:pos="8306"/>
      </w:tabs>
    </w:pPr>
    <w:rPr>
      <w:rFonts w:ascii="Lucida Sans Unicode" w:hAnsi="Lucida Sans Unicode"/>
      <w:sz w:val="18"/>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rPr>
      <w:sz w:val="20"/>
      <w:szCs w:val="20"/>
    </w:rPr>
  </w:style>
  <w:style w:type="paragraph" w:styleId="EnvelopeAddress">
    <w:name w:val="envelope address"/>
    <w:basedOn w:val="Normal"/>
    <w:pPr>
      <w:ind w:left="2880"/>
    </w:pPr>
    <w:rPr>
      <w:rFonts w:ascii="Arial" w:hAnsi="Arial" w:cs="Arial"/>
      <w:sz w:val="24"/>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Normal"/>
    <w:pPr>
      <w:numPr>
        <w:numId w:val="9"/>
      </w:numPr>
    </w:pPr>
  </w:style>
  <w:style w:type="paragraph" w:styleId="ListBullet3">
    <w:name w:val="List Bullet 3"/>
    <w:basedOn w:val="Normal"/>
    <w:pPr>
      <w:numPr>
        <w:numId w:val="8"/>
      </w:numPr>
    </w:pPr>
  </w:style>
  <w:style w:type="paragraph" w:styleId="ListBullet4">
    <w:name w:val="List Bullet 4"/>
    <w:basedOn w:val="Normal"/>
    <w:pPr>
      <w:numPr>
        <w:numId w:val="7"/>
      </w:numPr>
    </w:pPr>
  </w:style>
  <w:style w:type="paragraph" w:styleId="ListBullet5">
    <w:name w:val="List Bullet 5"/>
    <w:basedOn w:val="Normal"/>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0"/>
      </w:numPr>
    </w:pPr>
  </w:style>
  <w:style w:type="paragraph" w:styleId="ListNumber2">
    <w:name w:val="List Number 2"/>
    <w:basedOn w:val="Normal"/>
    <w:pPr>
      <w:numPr>
        <w:numId w:val="5"/>
      </w:numPr>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essageHeader">
    <w:name w:val="Message Header"/>
    <w:basedOn w:val="Normal"/>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sz w:val="24"/>
    </w:rPr>
  </w:style>
  <w:style w:type="paragraph" w:styleId="NormalWeb">
    <w:name w:val="Normal (Web)"/>
    <w:basedOn w:val="Normal"/>
    <w:rPr>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next w:val="BodyText"/>
    <w:qFormat/>
    <w:pPr>
      <w:spacing w:after="60"/>
      <w:jc w:val="center"/>
    </w:pPr>
    <w:rPr>
      <w:rFonts w:ascii="Lucida Sans Unicode" w:hAnsi="Lucida Sans Unicode" w:cs="Arial"/>
      <w:b/>
      <w:color w:val="FF0000"/>
      <w:sz w:val="24"/>
    </w:rPr>
  </w:style>
  <w:style w:type="paragraph" w:styleId="TOC1">
    <w:name w:val="toc 1"/>
    <w:basedOn w:val="Normal"/>
    <w:next w:val="Normal"/>
    <w:uiPriority w:val="39"/>
    <w:pPr>
      <w:spacing w:before="120" w:after="120"/>
    </w:pPr>
    <w:rPr>
      <w:b/>
      <w:bCs/>
      <w:caps/>
      <w:sz w:val="20"/>
      <w:szCs w:val="20"/>
    </w:rPr>
  </w:style>
  <w:style w:type="paragraph" w:styleId="Title">
    <w:name w:val="Title"/>
    <w:basedOn w:val="Normal"/>
    <w:next w:val="Subtitle"/>
    <w:qFormat/>
    <w:pPr>
      <w:spacing w:before="240" w:after="60"/>
      <w:jc w:val="center"/>
    </w:pPr>
    <w:rPr>
      <w:rFonts w:ascii="Lucida Sans Unicode" w:hAnsi="Lucida Sans Unicode" w:cs="Arial"/>
      <w:b/>
      <w:bCs/>
      <w:color w:val="FF0000"/>
      <w:kern w:val="1"/>
      <w:sz w:val="36"/>
      <w:szCs w:val="32"/>
    </w:rPr>
  </w:style>
  <w:style w:type="paragraph" w:styleId="TOC2">
    <w:name w:val="toc 2"/>
    <w:basedOn w:val="Normal"/>
    <w:next w:val="Normal"/>
    <w:uiPriority w:val="39"/>
    <w:pPr>
      <w:ind w:left="220"/>
    </w:pPr>
    <w:rPr>
      <w:smallCaps/>
      <w:sz w:val="20"/>
      <w:szCs w:val="20"/>
    </w:rPr>
  </w:style>
  <w:style w:type="paragraph" w:styleId="TOC3">
    <w:name w:val="toc 3"/>
    <w:basedOn w:val="Normal"/>
    <w:next w:val="Normal"/>
    <w:uiPriority w:val="39"/>
    <w:pPr>
      <w:ind w:left="440"/>
    </w:pPr>
    <w:rPr>
      <w:i/>
      <w:iCs/>
      <w:sz w:val="20"/>
      <w:szCs w:val="20"/>
    </w:rPr>
  </w:style>
  <w:style w:type="paragraph" w:styleId="TOC4">
    <w:name w:val="toc 4"/>
    <w:basedOn w:val="Normal"/>
    <w:next w:val="Normal"/>
    <w:pPr>
      <w:ind w:left="660"/>
    </w:pPr>
    <w:rPr>
      <w:sz w:val="18"/>
      <w:szCs w:val="18"/>
    </w:rPr>
  </w:style>
  <w:style w:type="paragraph" w:styleId="TOC5">
    <w:name w:val="toc 5"/>
    <w:basedOn w:val="Normal"/>
    <w:next w:val="Normal"/>
    <w:pPr>
      <w:ind w:left="880"/>
    </w:pPr>
    <w:rPr>
      <w:sz w:val="18"/>
      <w:szCs w:val="18"/>
    </w:rPr>
  </w:style>
  <w:style w:type="paragraph" w:styleId="TOC6">
    <w:name w:val="toc 6"/>
    <w:basedOn w:val="Normal"/>
    <w:next w:val="Normal"/>
    <w:pPr>
      <w:ind w:left="1100"/>
    </w:pPr>
    <w:rPr>
      <w:sz w:val="18"/>
      <w:szCs w:val="18"/>
    </w:rPr>
  </w:style>
  <w:style w:type="paragraph" w:styleId="TOC7">
    <w:name w:val="toc 7"/>
    <w:basedOn w:val="Normal"/>
    <w:next w:val="Normal"/>
    <w:pPr>
      <w:ind w:left="1320"/>
    </w:pPr>
    <w:rPr>
      <w:sz w:val="18"/>
      <w:szCs w:val="18"/>
    </w:rPr>
  </w:style>
  <w:style w:type="paragraph" w:styleId="TOC8">
    <w:name w:val="toc 8"/>
    <w:basedOn w:val="Normal"/>
    <w:next w:val="Normal"/>
    <w:pPr>
      <w:ind w:left="1540"/>
    </w:pPr>
    <w:rPr>
      <w:sz w:val="18"/>
      <w:szCs w:val="18"/>
    </w:rPr>
  </w:style>
  <w:style w:type="paragraph" w:styleId="TOC9">
    <w:name w:val="toc 9"/>
    <w:basedOn w:val="Normal"/>
    <w:next w:val="Normal"/>
    <w:pPr>
      <w:ind w:left="1760"/>
    </w:pPr>
    <w:rPr>
      <w:sz w:val="18"/>
      <w:szCs w:val="18"/>
    </w:rPr>
  </w:style>
  <w:style w:type="paragraph" w:styleId="DocumentMap">
    <w:name w:val="Document Map"/>
    <w:basedOn w:val="Normal"/>
    <w:pPr>
      <w:shd w:val="clear" w:color="auto" w:fill="000080"/>
    </w:pPr>
    <w:rPr>
      <w:rFonts w:ascii="Browallia New" w:hAnsi="Browallia New" w:cs="Tahoma"/>
      <w:sz w:val="16"/>
    </w:rPr>
  </w:style>
  <w:style w:type="paragraph" w:styleId="BalloonText">
    <w:name w:val="Balloon Text"/>
    <w:basedOn w:val="Normal"/>
    <w:rPr>
      <w:rFonts w:ascii="Tahoma" w:hAnsi="Tahoma" w:cs="Tahoma"/>
      <w:sz w:val="16"/>
      <w:szCs w:val="16"/>
    </w:rPr>
  </w:style>
  <w:style w:type="paragraph" w:styleId="FootnoteText">
    <w:name w:val="footnote text"/>
    <w:basedOn w:val="Normal"/>
    <w:rPr>
      <w:sz w:val="20"/>
      <w:szCs w:val="20"/>
    </w:rPr>
  </w:style>
  <w:style w:type="paragraph" w:customStyle="1" w:styleId="small-normal">
    <w:name w:val="small-normal"/>
    <w:basedOn w:val="Normal"/>
    <w:pPr>
      <w:tabs>
        <w:tab w:val="left" w:pos="1682"/>
        <w:tab w:val="left" w:pos="2674"/>
        <w:tab w:val="left" w:pos="3524"/>
      </w:tabs>
      <w:ind w:left="15"/>
    </w:pPr>
    <w:rPr>
      <w:rFonts w:ascii="Calibri" w:hAnsi="Calibri"/>
      <w:b/>
      <w:sz w:val="20"/>
      <w:szCs w:val="18"/>
    </w:rPr>
  </w:style>
  <w:style w:type="paragraph" w:styleId="ListParagraph">
    <w:name w:val="List Paragraph"/>
    <w:basedOn w:val="Normal"/>
    <w:uiPriority w:val="34"/>
    <w:qFormat/>
    <w:pPr>
      <w:ind w:left="720"/>
    </w:pPr>
  </w:style>
  <w:style w:type="paragraph" w:customStyle="1" w:styleId="WW-Default">
    <w:name w:val="WW-Default"/>
    <w:pPr>
      <w:suppressAutoHyphens/>
      <w:autoSpaceDE w:val="0"/>
    </w:pPr>
    <w:rPr>
      <w:rFonts w:ascii="Arial" w:eastAsia="Arial" w:hAnsi="Arial" w:cs="Arial"/>
      <w:color w:val="000000"/>
      <w:sz w:val="24"/>
      <w:szCs w:val="24"/>
      <w:lang w:eastAsia="ar-SA"/>
    </w:rPr>
  </w:style>
  <w:style w:type="paragraph" w:customStyle="1" w:styleId="Contents10">
    <w:name w:val="Contents 10"/>
    <w:basedOn w:val="Index"/>
    <w:pPr>
      <w:tabs>
        <w:tab w:val="right" w:leader="dot" w:pos="7091"/>
      </w:tabs>
      <w:ind w:left="2547"/>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numbering" w:styleId="1ai">
    <w:name w:val="Outline List 1"/>
    <w:basedOn w:val="NoList"/>
    <w:semiHidden/>
    <w:rsid w:val="00470910"/>
    <w:pPr>
      <w:numPr>
        <w:numId w:val="26"/>
      </w:numPr>
    </w:pPr>
  </w:style>
  <w:style w:type="character" w:customStyle="1" w:styleId="Heading3Char">
    <w:name w:val="Heading 3 Char"/>
    <w:aliases w:val="H3 Char"/>
    <w:link w:val="Heading3"/>
    <w:rsid w:val="007F1D73"/>
    <w:rPr>
      <w:rFonts w:ascii="Trebuchet MS" w:hAnsi="Trebuchet MS" w:cs="Arial"/>
      <w:b/>
      <w:bCs/>
      <w:szCs w:val="26"/>
      <w:lang w:eastAsia="ar-SA"/>
    </w:rPr>
  </w:style>
  <w:style w:type="table" w:styleId="TableGrid">
    <w:name w:val="Table Grid"/>
    <w:basedOn w:val="TableNormal"/>
    <w:uiPriority w:val="59"/>
    <w:rsid w:val="00B430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0738">
      <w:bodyDiv w:val="1"/>
      <w:marLeft w:val="0"/>
      <w:marRight w:val="0"/>
      <w:marTop w:val="0"/>
      <w:marBottom w:val="0"/>
      <w:divBdr>
        <w:top w:val="none" w:sz="0" w:space="0" w:color="auto"/>
        <w:left w:val="none" w:sz="0" w:space="0" w:color="auto"/>
        <w:bottom w:val="none" w:sz="0" w:space="0" w:color="auto"/>
        <w:right w:val="none" w:sz="0" w:space="0" w:color="auto"/>
      </w:divBdr>
    </w:div>
    <w:div w:id="809178659">
      <w:bodyDiv w:val="1"/>
      <w:marLeft w:val="0"/>
      <w:marRight w:val="0"/>
      <w:marTop w:val="0"/>
      <w:marBottom w:val="0"/>
      <w:divBdr>
        <w:top w:val="none" w:sz="0" w:space="0" w:color="auto"/>
        <w:left w:val="none" w:sz="0" w:space="0" w:color="auto"/>
        <w:bottom w:val="none" w:sz="0" w:space="0" w:color="auto"/>
        <w:right w:val="none" w:sz="0" w:space="0" w:color="auto"/>
      </w:divBdr>
    </w:div>
    <w:div w:id="975836691">
      <w:bodyDiv w:val="1"/>
      <w:marLeft w:val="0"/>
      <w:marRight w:val="0"/>
      <w:marTop w:val="0"/>
      <w:marBottom w:val="0"/>
      <w:divBdr>
        <w:top w:val="none" w:sz="0" w:space="0" w:color="auto"/>
        <w:left w:val="none" w:sz="0" w:space="0" w:color="auto"/>
        <w:bottom w:val="none" w:sz="0" w:space="0" w:color="auto"/>
        <w:right w:val="none" w:sz="0" w:space="0" w:color="auto"/>
      </w:divBdr>
    </w:div>
    <w:div w:id="1214384338">
      <w:bodyDiv w:val="1"/>
      <w:marLeft w:val="0"/>
      <w:marRight w:val="0"/>
      <w:marTop w:val="0"/>
      <w:marBottom w:val="0"/>
      <w:divBdr>
        <w:top w:val="none" w:sz="0" w:space="0" w:color="auto"/>
        <w:left w:val="none" w:sz="0" w:space="0" w:color="auto"/>
        <w:bottom w:val="none" w:sz="0" w:space="0" w:color="auto"/>
        <w:right w:val="none" w:sz="0" w:space="0" w:color="auto"/>
      </w:divBdr>
    </w:div>
    <w:div w:id="156987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j.hall@gre.ac.uk" TargetMode="External"/><Relationship Id="rId13" Type="http://schemas.openxmlformats.org/officeDocument/2006/relationships/footer" Target="footer3.xml"/><Relationship Id="rId18" Type="http://schemas.openxmlformats.org/officeDocument/2006/relationships/hyperlink" Target="http://www.nga.org/files/live/sites/NGA/files/pdf/FSS1106.PDF" TargetMode="External"/><Relationship Id="rId26" Type="http://schemas.openxmlformats.org/officeDocument/2006/relationships/hyperlink" Target="http://epp.eurostat.ec.europa.eu/tgm/table.do?tab=table&amp;init=1&amp;plugin=1&amp;language=en&amp;pcode=tsieb060" TargetMode="External"/><Relationship Id="rId39" Type="http://schemas.openxmlformats.org/officeDocument/2006/relationships/hyperlink" Target="http://en.rian.ru/health/20100420/158669620.html" TargetMode="External"/><Relationship Id="rId3" Type="http://schemas.microsoft.com/office/2007/relationships/stylesWithEffects" Target="stylesWithEffects.xml"/><Relationship Id="rId21" Type="http://schemas.openxmlformats.org/officeDocument/2006/relationships/hyperlink" Target="http://www.bls.gov/web/eci/echistrynaics.pdf" TargetMode="External"/><Relationship Id="rId34" Type="http://schemas.openxmlformats.org/officeDocument/2006/relationships/hyperlink" Target="http://www.stat.go.jp/data/getujidb/zuhyou/g12.xls" TargetMode="External"/><Relationship Id="rId42" Type="http://schemas.openxmlformats.org/officeDocument/2006/relationships/hyperlink" Target="http://www.youtube.com/watch?v=tugAcPb1e9I&amp;feature=channel_video_title"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hyperlink" Target="http://epp.eurostat.ec.europa.eu/portal/page/portal/labour_market/labour_costs/database" TargetMode="External"/><Relationship Id="rId33" Type="http://schemas.openxmlformats.org/officeDocument/2006/relationships/hyperlink" Target="http://www.athensnews.gr/issue/13450/44199" TargetMode="External"/><Relationship Id="rId38" Type="http://schemas.openxmlformats.org/officeDocument/2006/relationships/hyperlink" Target="http://www.psiru.org/node/1603"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bo.gov/doc.cfm?index=12212" TargetMode="External"/><Relationship Id="rId20" Type="http://schemas.openxmlformats.org/officeDocument/2006/relationships/hyperlink" Target="http://www.usinflationcalculator.com/inflation/consumer-price-index-and-annual-percent-changes-from-1913-to-2008/" TargetMode="External"/><Relationship Id="rId29" Type="http://schemas.openxmlformats.org/officeDocument/2006/relationships/hyperlink" Target="http://www.eurofound.europa.eu/eiro/studies/tn1004029s/tn1004029s.htm" TargetMode="External"/><Relationship Id="rId41" Type="http://schemas.openxmlformats.org/officeDocument/2006/relationships/hyperlink" Target="http://local.mb.rian.ru/cgi-bin/href/4277?22693&amp;login=russiaprofile.chetvernik_eng_70x50&amp;options=NVTA&amp;referer=http%3A//local.mb.rian.ru/cgi-bin/iframe/chetvernik-eng.chetvernik-eng%3F86567%26options%3DT%26n%3D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bls.gov/news.release/empsit.t17.htm" TargetMode="External"/><Relationship Id="rId32" Type="http://schemas.openxmlformats.org/officeDocument/2006/relationships/hyperlink" Target="http://ec.europa.eu/economy_finance/publications/occasional_paper/2011/pdf/ocp82_en.pdf" TargetMode="External"/><Relationship Id="rId37" Type="http://schemas.openxmlformats.org/officeDocument/2006/relationships/hyperlink" Target="http://www.youtube.com/watch?v=k1Cxp6piqPU&amp;feature=channel_video_title" TargetMode="External"/><Relationship Id="rId40" Type="http://schemas.openxmlformats.org/officeDocument/2006/relationships/hyperlink" Target="http://en.rian.ru/valdai_op/20110610/164557971.html" TargetMode="External"/><Relationship Id="rId45"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4.png"/><Relationship Id="rId28" Type="http://schemas.openxmlformats.org/officeDocument/2006/relationships/chart" Target="charts/chart2.xml"/><Relationship Id="rId36" Type="http://schemas.openxmlformats.org/officeDocument/2006/relationships/hyperlink" Target="http://www.stats.gov.cn/english/statisticaldata/Quarterlydata/t20090520_402560312.htm" TargetMode="External"/><Relationship Id="rId10" Type="http://schemas.openxmlformats.org/officeDocument/2006/relationships/footer" Target="footer1.xml"/><Relationship Id="rId19" Type="http://schemas.openxmlformats.org/officeDocument/2006/relationships/hyperlink" Target="http://www.bls.gov/web/eci/echistrynaics.pdf" TargetMode="External"/><Relationship Id="rId31" Type="http://schemas.openxmlformats.org/officeDocument/2006/relationships/hyperlink" Target="http://www.etui.org/research/activities/Employment-and-social-policies/Reports-and-working-papers/WP-2010.07" TargetMode="External"/><Relationship Id="rId44"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recovery.gov/Transparency/MapGallery/Pages/maps.aspx" TargetMode="External"/><Relationship Id="rId22" Type="http://schemas.openxmlformats.org/officeDocument/2006/relationships/image" Target="media/image3.emf"/><Relationship Id="rId27" Type="http://schemas.openxmlformats.org/officeDocument/2006/relationships/chart" Target="charts/chart1.xml"/><Relationship Id="rId30" Type="http://schemas.openxmlformats.org/officeDocument/2006/relationships/hyperlink" Target="http://epp.eurostat.ec.europa.eu/portal/page/portal/employment_unemployment_lfs/data/database" TargetMode="External"/><Relationship Id="rId35" Type="http://schemas.openxmlformats.org/officeDocument/2006/relationships/hyperlink" Target="http://www.stats.gov.cn/english/statisticaldata/Quarterlydata/t20100202_402618894.htm" TargetMode="External"/><Relationship Id="rId43" Type="http://schemas.openxmlformats.org/officeDocument/2006/relationships/hyperlink" Target="http://www.youtube.com/watch?v=3gIJMXJyPfk&amp;feature=channel_video_title"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www.insidebayarea.com/columns/ci_15536011" TargetMode="External"/><Relationship Id="rId18" Type="http://schemas.openxmlformats.org/officeDocument/2006/relationships/hyperlink" Target="http://www.afscme.org/blog/illinois-union-coalition-blocks-bills-attacking-public-service-workers" TargetMode="External"/><Relationship Id="rId26" Type="http://schemas.openxmlformats.org/officeDocument/2006/relationships/hyperlink" Target="http://www.forbes.com/feeds/ap/2011/06/29/business-us-ohio-budget-ohio_8540848.html" TargetMode="External"/><Relationship Id="rId39" Type="http://schemas.openxmlformats.org/officeDocument/2006/relationships/hyperlink" Target="http://www.eurofound.europa.eu/eiro/2009/12/articles/ie0912019i.htm" TargetMode="External"/><Relationship Id="rId21" Type="http://schemas.openxmlformats.org/officeDocument/2006/relationships/hyperlink" Target="http://www.cbpp.org/cms/index.cfm?fa=view&amp;id=1214" TargetMode="External"/><Relationship Id="rId34" Type="http://schemas.openxmlformats.org/officeDocument/2006/relationships/hyperlink" Target="http://www.rcpar.org/mediaupload/events/Tallinnfeb10/20100204_Background_note_Hardiman.pdf" TargetMode="External"/><Relationship Id="rId42" Type="http://schemas.openxmlformats.org/officeDocument/2006/relationships/hyperlink" Target="http://www.eurofound.europa.eu/eiro/2010/01/articles/ie1001039i.htm" TargetMode="External"/><Relationship Id="rId47" Type="http://schemas.openxmlformats.org/officeDocument/2006/relationships/hyperlink" Target="http://www.eurofound.europa.eu/eiro/2009/11/articles/lt0911019i.htm" TargetMode="External"/><Relationship Id="rId50" Type="http://schemas.openxmlformats.org/officeDocument/2006/relationships/hyperlink" Target="http://www.eurofound.europa.eu/eiro/2010/05/articles/pt1005019i.htm" TargetMode="External"/><Relationship Id="rId55" Type="http://schemas.openxmlformats.org/officeDocument/2006/relationships/hyperlink" Target="http://www.eurofound.europa.eu/eiro/2010/05/articles/ro1005019i.htm" TargetMode="External"/><Relationship Id="rId63" Type="http://schemas.openxmlformats.org/officeDocument/2006/relationships/hyperlink" Target="http://www.ft.com/cms/s/0/70505da4-7e60-11df-94a8-00144feabdc0.html" TargetMode="External"/><Relationship Id="rId68" Type="http://schemas.openxmlformats.org/officeDocument/2006/relationships/hyperlink" Target="http://books.google.co.uk/books?id=8bpFTfTp0BkC&amp;lpg=PA1&amp;lr&amp;pg=PA9" TargetMode="External"/><Relationship Id="rId7" Type="http://schemas.openxmlformats.org/officeDocument/2006/relationships/hyperlink" Target="http://www.imf.org/external/pubs/ft/weo/2011/update/02/index.htm" TargetMode="External"/><Relationship Id="rId2" Type="http://schemas.openxmlformats.org/officeDocument/2006/relationships/hyperlink" Target="http://www.cbo.gov/doc.cfm?index=12212" TargetMode="External"/><Relationship Id="rId16" Type="http://schemas.openxmlformats.org/officeDocument/2006/relationships/hyperlink" Target="http://voices.washingtonpost.com/federal-eye/2010/11/obama_announces_pay_freeze_for.html" TargetMode="External"/><Relationship Id="rId29" Type="http://schemas.openxmlformats.org/officeDocument/2006/relationships/hyperlink" Target="http://www.eurofound.europa.eu/eiro/2010/05/articles/gr1005019i.htm" TargetMode="External"/><Relationship Id="rId1" Type="http://schemas.openxmlformats.org/officeDocument/2006/relationships/hyperlink" Target="http://www.cbo.gov/doc.cfm?index=12130" TargetMode="External"/><Relationship Id="rId6" Type="http://schemas.openxmlformats.org/officeDocument/2006/relationships/hyperlink" Target="http://online.wsj.com/article/SB10001424052702303627104576414081019643192.html?mod=googlenews_wsj" TargetMode="External"/><Relationship Id="rId11" Type="http://schemas.openxmlformats.org/officeDocument/2006/relationships/hyperlink" Target="http://www.govexec.com/dailyfed/0510/052810e1.htm" TargetMode="External"/><Relationship Id="rId24" Type="http://schemas.openxmlformats.org/officeDocument/2006/relationships/hyperlink" Target="http://www.truth-out.org/dirty-deals-social-security-likely-succeed/1308757282" TargetMode="External"/><Relationship Id="rId32" Type="http://schemas.openxmlformats.org/officeDocument/2006/relationships/hyperlink" Target="http://www.brettonwoodsproject.org/art-562981" TargetMode="External"/><Relationship Id="rId37" Type="http://schemas.openxmlformats.org/officeDocument/2006/relationships/hyperlink" Target="http://www.eurofound.europa.eu/eiro/2009/05/articles/ie0905039i.htm" TargetMode="External"/><Relationship Id="rId40" Type="http://schemas.openxmlformats.org/officeDocument/2006/relationships/hyperlink" Target="http://www.crfr.ac.uk/spa2009/Considine%20M,%20Dukelow%20F%20-%20Globalisation,%20economic%20growth%20and%20recession%20-%20learning%20from%20the%201980s%20to%20understand%20the%20challenges%20to%20the%20contemporary%20Irish%20welfare%20state.pdf" TargetMode="External"/><Relationship Id="rId45" Type="http://schemas.openxmlformats.org/officeDocument/2006/relationships/hyperlink" Target="http://www.eurofound.europa.eu/eiro/2009/07/articles/lv0907019i.htm" TargetMode="External"/><Relationship Id="rId53" Type="http://schemas.openxmlformats.org/officeDocument/2006/relationships/hyperlink" Target="http://www.nineoclock.ro/index.php?issue=4717&amp;page=detalii&amp;categorie=business&amp;id=20100804-517822" TargetMode="External"/><Relationship Id="rId58" Type="http://schemas.openxmlformats.org/officeDocument/2006/relationships/hyperlink" Target="http://www.eurofound.europa.eu/eiro/2009/04/articles/de0904019i.htm" TargetMode="External"/><Relationship Id="rId66" Type="http://schemas.openxmlformats.org/officeDocument/2006/relationships/hyperlink" Target="http://www.google.com/hostednews/afp/article/ALeqM5hmzu7tuH3Q3_jBlXq3f1d82-7NUw" TargetMode="External"/><Relationship Id="rId5" Type="http://schemas.openxmlformats.org/officeDocument/2006/relationships/hyperlink" Target="http://www.cbpp.org/cms/?fa=view&amp;id=711" TargetMode="External"/><Relationship Id="rId15" Type="http://schemas.openxmlformats.org/officeDocument/2006/relationships/hyperlink" Target="http://www.chicagotribune.com/news/local/breaking/chi-after-heated-debate-wisconsin-union-law-takes-effect-20110628,0,4560030.story" TargetMode="External"/><Relationship Id="rId23" Type="http://schemas.openxmlformats.org/officeDocument/2006/relationships/hyperlink" Target="http://www.statefiscal.org/" TargetMode="External"/><Relationship Id="rId28" Type="http://schemas.openxmlformats.org/officeDocument/2006/relationships/hyperlink" Target="http://www.eurofound.europa.eu/eiro/studies/tn1004039s/tn1004039s.htm" TargetMode="External"/><Relationship Id="rId36" Type="http://schemas.openxmlformats.org/officeDocument/2006/relationships/hyperlink" Target="http://www.eurofound.europa.eu/eiro/2009/02/articles/ie0902019i.htm" TargetMode="External"/><Relationship Id="rId49" Type="http://schemas.openxmlformats.org/officeDocument/2006/relationships/hyperlink" Target="http://www.eurofound.europa.eu/eiro/2011/02/articles/pt1102019i.htm" TargetMode="External"/><Relationship Id="rId57" Type="http://schemas.openxmlformats.org/officeDocument/2006/relationships/hyperlink" Target="http://www.nineoclock.ro/index.php?issue=4750&amp;page=detalii&amp;categorie=frontpage&amp;id=20100824-501738" TargetMode="External"/><Relationship Id="rId61" Type="http://schemas.openxmlformats.org/officeDocument/2006/relationships/hyperlink" Target="http://www.kienbaum.de/Portaldata/3/Resources/documents/downloadcenter/studien/human_resource_management/Kienbaum_Forecast_of_Salary_Increases_2010_EN.pdf" TargetMode="External"/><Relationship Id="rId10" Type="http://schemas.openxmlformats.org/officeDocument/2006/relationships/hyperlink" Target="http://www.bls.gov/opub/mlr/2006/04/art5full.pdf" TargetMode="External"/><Relationship Id="rId19" Type="http://schemas.openxmlformats.org/officeDocument/2006/relationships/hyperlink" Target="http://www.youtube.com/watch?v=2WiCzvXXb94" TargetMode="External"/><Relationship Id="rId31" Type="http://schemas.openxmlformats.org/officeDocument/2006/relationships/hyperlink" Target="http://www.nber.org/papers/w14789" TargetMode="External"/><Relationship Id="rId44" Type="http://schemas.openxmlformats.org/officeDocument/2006/relationships/hyperlink" Target="http://www.brettonwoodsproject.org/art-563607;Eurofound" TargetMode="External"/><Relationship Id="rId52" Type="http://schemas.openxmlformats.org/officeDocument/2006/relationships/hyperlink" Target="http://www.fsc.ccoo.es/webfsc/menu.do?Inicio:95068" TargetMode="External"/><Relationship Id="rId60" Type="http://schemas.openxmlformats.org/officeDocument/2006/relationships/hyperlink" Target="http://www.eurofound.europa.eu/eiro/2009/03/articles/si0903029i.htm" TargetMode="External"/><Relationship Id="rId65" Type="http://schemas.openxmlformats.org/officeDocument/2006/relationships/hyperlink" Target="http://www.observer.org.sz/index.php?news=15192" TargetMode="External"/><Relationship Id="rId4" Type="http://schemas.openxmlformats.org/officeDocument/2006/relationships/hyperlink" Target="http://www.cbpp.org/cms/index.cfm?fa=view&amp;id=1214" TargetMode="External"/><Relationship Id="rId9" Type="http://schemas.openxmlformats.org/officeDocument/2006/relationships/hyperlink" Target="http://www.bls.gov/news.release/union2.nr0.htm" TargetMode="External"/><Relationship Id="rId14" Type="http://schemas.openxmlformats.org/officeDocument/2006/relationships/hyperlink" Target="http://www.acslaw.org/sites/default/files/Slater_Collective_Bargaining.pdf" TargetMode="External"/><Relationship Id="rId22" Type="http://schemas.openxmlformats.org/officeDocument/2006/relationships/hyperlink" Target="http://www.cbpp.org/cms/index.cfm?fa=view&amp;id=1214" TargetMode="External"/><Relationship Id="rId27" Type="http://schemas.openxmlformats.org/officeDocument/2006/relationships/hyperlink" Target="http://www.eurofound.europa.eu/eiro/studies/tn1004039s/tn1004039s.htm" TargetMode="External"/><Relationship Id="rId30" Type="http://schemas.openxmlformats.org/officeDocument/2006/relationships/hyperlink" Target="http://www.eurofound.europa.eu/eiro/2010/03/articles/gr1003029i.htm" TargetMode="External"/><Relationship Id="rId35" Type="http://schemas.openxmlformats.org/officeDocument/2006/relationships/hyperlink" Target="http://www.finance.gov.ie/documents/circulars/circular2009/circ282009.pdf" TargetMode="External"/><Relationship Id="rId43" Type="http://schemas.openxmlformats.org/officeDocument/2006/relationships/hyperlink" Target="http://www.brettonwoodsproject.org/art-563607" TargetMode="External"/><Relationship Id="rId48" Type="http://schemas.openxmlformats.org/officeDocument/2006/relationships/hyperlink" Target="http://www.eurofound.europa.eu/eiro/2009/12/articles/lt0912019i.htm" TargetMode="External"/><Relationship Id="rId56" Type="http://schemas.openxmlformats.org/officeDocument/2006/relationships/hyperlink" Target="mailto:redactia@nineoclock.ro" TargetMode="External"/><Relationship Id="rId64" Type="http://schemas.openxmlformats.org/officeDocument/2006/relationships/hyperlink" Target="http://www.africanmanager.com/site_eng/detail_article.php?art_id=15323" TargetMode="External"/><Relationship Id="rId69" Type="http://schemas.openxmlformats.org/officeDocument/2006/relationships/hyperlink" Target="http://unpan1.un.org/intradoc/groups/public/documents/APCITY/UNPAN014322.pdf" TargetMode="External"/><Relationship Id="rId8" Type="http://schemas.openxmlformats.org/officeDocument/2006/relationships/hyperlink" Target="http://www.nytimes.com/2010/01/23/business/23labor.html" TargetMode="External"/><Relationship Id="rId51" Type="http://schemas.openxmlformats.org/officeDocument/2006/relationships/hyperlink" Target="http://www.eurofound.europa.eu/eiro/2010/06/articles/es1006011i.htm" TargetMode="External"/><Relationship Id="rId3" Type="http://schemas.openxmlformats.org/officeDocument/2006/relationships/hyperlink" Target="http://www.nga.org/files/live/sites/NGA/files/pdf/FSS1106.PDF" TargetMode="External"/><Relationship Id="rId12" Type="http://schemas.openxmlformats.org/officeDocument/2006/relationships/hyperlink" Target="http://voices.washingtonpost.com/federal-eye/2010/05/could_obama_ask_for_a_federal.html" TargetMode="External"/><Relationship Id="rId17" Type="http://schemas.openxmlformats.org/officeDocument/2006/relationships/hyperlink" Target="http://management.fortune.cnn.com/2011/03/10/federal-jobs-fast-becoming-an-endangered-species/" TargetMode="External"/><Relationship Id="rId25" Type="http://schemas.openxmlformats.org/officeDocument/2006/relationships/hyperlink" Target="http://www.cbsnews.com/stories/2011/06/22/ap/national/main20073184.shtml" TargetMode="External"/><Relationship Id="rId33" Type="http://schemas.openxmlformats.org/officeDocument/2006/relationships/hyperlink" Target="http://www.ft.com/cms/s/0/aaa8ffc2-7e2b-11df-94a8-00144feabdc0.html" TargetMode="External"/><Relationship Id="rId38" Type="http://schemas.openxmlformats.org/officeDocument/2006/relationships/hyperlink" Target="http://www.eurofound.europa.eu/eiro/2009/12/articles/ie0912029i.htm" TargetMode="External"/><Relationship Id="rId46" Type="http://schemas.openxmlformats.org/officeDocument/2006/relationships/hyperlink" Target="http://www.eurofound.europa.eu/eiro/2009/07/articles/lt0907029i.htm" TargetMode="External"/><Relationship Id="rId59" Type="http://schemas.openxmlformats.org/officeDocument/2006/relationships/hyperlink" Target="http://www.eurofound.europa.eu/eiro/2009/11/articles/sk0911029i.htm" TargetMode="External"/><Relationship Id="rId67" Type="http://schemas.openxmlformats.org/officeDocument/2006/relationships/hyperlink" Target="http://www.ecb.int/pub/pdf/scpops/ecbocp112.pdf" TargetMode="External"/><Relationship Id="rId20" Type="http://schemas.openxmlformats.org/officeDocument/2006/relationships/hyperlink" Target="http://www.youtube.com/watch?v=Jy-Bcg9h_tE" TargetMode="External"/><Relationship Id="rId41" Type="http://schemas.openxmlformats.org/officeDocument/2006/relationships/hyperlink" Target="http://www.rcpar.org/mediaupload/events/Tallinnfeb10/20100204_Background_note_Hardiman.pdf" TargetMode="External"/><Relationship Id="rId54" Type="http://schemas.openxmlformats.org/officeDocument/2006/relationships/hyperlink" Target="http://www.ft.com/cms/s/0/aaa8ffc2-7e2b-11df-94a8-00144feabdc0.html" TargetMode="External"/><Relationship Id="rId62" Type="http://schemas.openxmlformats.org/officeDocument/2006/relationships/hyperlink" Target="http://www.ft.com/cms/s/0/aaa8ffc2-7e2b-11df-94a8-00144feabdc0.htm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psiru@psiru.org" TargetMode="External"/><Relationship Id="rId1" Type="http://schemas.openxmlformats.org/officeDocument/2006/relationships/hyperlink" Target="http://www.psiru.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193.60.77.220\psiru\Working\Projects\ILO-pay-2009\2011-sadawt-ws-lc_lci_r2_q.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93.60.77.220\psiru\Working\Projects\ILO-pay-2009\2011-sadawt-ws-lc_lci_r2_q.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1"/>
  <c:style val="2"/>
  <c:chart>
    <c:title>
      <c:tx>
        <c:rich>
          <a:bodyPr/>
          <a:lstStyle/>
          <a:p>
            <a:pPr algn="l">
              <a:defRPr/>
            </a:pPr>
            <a:r>
              <a:rPr lang="en-US" sz="800" b="0" baseline="0">
                <a:latin typeface="Calibri" pitchFamily="34" charset="0"/>
              </a:rPr>
              <a:t>Public sector (vertical axis)</a:t>
            </a:r>
          </a:p>
          <a:p>
            <a:pPr algn="l">
              <a:defRPr/>
            </a:pPr>
            <a:r>
              <a:rPr lang="en-US" sz="800" b="0" baseline="0">
                <a:latin typeface="Calibri" pitchFamily="34" charset="0"/>
              </a:rPr>
              <a:t>Business sector (horizontal axis)</a:t>
            </a:r>
          </a:p>
        </c:rich>
      </c:tx>
      <c:layout>
        <c:manualLayout>
          <c:xMode val="edge"/>
          <c:yMode val="edge"/>
          <c:x val="2.9249589415358181E-2"/>
          <c:y val="0.88025860059676031"/>
        </c:manualLayout>
      </c:layout>
      <c:overlay val="1"/>
      <c:spPr>
        <a:solidFill>
          <a:srgbClr val="FFC000"/>
        </a:solidFill>
      </c:spPr>
    </c:title>
    <c:autoTitleDeleted val="0"/>
    <c:plotArea>
      <c:layout>
        <c:manualLayout>
          <c:layoutTarget val="inner"/>
          <c:xMode val="edge"/>
          <c:yMode val="edge"/>
          <c:x val="0.18282021764823256"/>
          <c:y val="7.1844635784000285E-2"/>
          <c:w val="0.75499654648432135"/>
          <c:h val="0.72404157886618326"/>
        </c:manualLayout>
      </c:layout>
      <c:scatterChart>
        <c:scatterStyle val="lineMarker"/>
        <c:varyColors val="1"/>
        <c:ser>
          <c:idx val="0"/>
          <c:order val="0"/>
          <c:tx>
            <c:strRef>
              <c:f>calcs!$C$38</c:f>
              <c:strCache>
                <c:ptCount val="1"/>
                <c:pt idx="0">
                  <c:v>Public sector</c:v>
                </c:pt>
              </c:strCache>
            </c:strRef>
          </c:tx>
          <c:spPr>
            <a:ln w="28575">
              <a:noFill/>
            </a:ln>
          </c:spPr>
          <c:trendline>
            <c:spPr>
              <a:ln w="25400">
                <a:solidFill>
                  <a:srgbClr val="7030A0"/>
                </a:solidFill>
              </a:ln>
            </c:spPr>
            <c:trendlineType val="linear"/>
            <c:dispRSqr val="1"/>
            <c:dispEq val="1"/>
            <c:trendlineLbl>
              <c:numFmt formatCode="General" sourceLinked="0"/>
            </c:trendlineLbl>
          </c:trendline>
          <c:xVal>
            <c:numRef>
              <c:f>calcs!$B$39:$B$58</c:f>
              <c:numCache>
                <c:formatCode>0.0%</c:formatCode>
                <c:ptCount val="20"/>
                <c:pt idx="0">
                  <c:v>0.2178569961710215</c:v>
                </c:pt>
                <c:pt idx="1">
                  <c:v>6.8257248600560594E-3</c:v>
                </c:pt>
                <c:pt idx="2">
                  <c:v>2.1796165352065078E-2</c:v>
                </c:pt>
                <c:pt idx="3">
                  <c:v>-0.123169098122488</c:v>
                </c:pt>
                <c:pt idx="4">
                  <c:v>1.300549026831832E-2</c:v>
                </c:pt>
                <c:pt idx="5">
                  <c:v>1.4542251657077898E-2</c:v>
                </c:pt>
                <c:pt idx="6">
                  <c:v>-6.6510780467597841E-2</c:v>
                </c:pt>
                <c:pt idx="7">
                  <c:v>-8.948010205456991E-3</c:v>
                </c:pt>
                <c:pt idx="8">
                  <c:v>-0.13089296790908611</c:v>
                </c:pt>
                <c:pt idx="9">
                  <c:v>-0.21639733997152932</c:v>
                </c:pt>
                <c:pt idx="10">
                  <c:v>3.4908322020799964E-2</c:v>
                </c:pt>
                <c:pt idx="11">
                  <c:v>-5.3419461928157053E-2</c:v>
                </c:pt>
                <c:pt idx="12">
                  <c:v>4.7048997072507426E-4</c:v>
                </c:pt>
                <c:pt idx="13">
                  <c:v>9.3483682823940484E-3</c:v>
                </c:pt>
                <c:pt idx="14">
                  <c:v>1.4056154283551558E-2</c:v>
                </c:pt>
                <c:pt idx="15">
                  <c:v>8.9432742985772196E-2</c:v>
                </c:pt>
                <c:pt idx="16">
                  <c:v>3.4151768805677829E-2</c:v>
                </c:pt>
                <c:pt idx="17">
                  <c:v>5.906271095331217E-2</c:v>
                </c:pt>
                <c:pt idx="18">
                  <c:v>2.7888302740427084E-2</c:v>
                </c:pt>
                <c:pt idx="19">
                  <c:v>-7.6565480023519927E-2</c:v>
                </c:pt>
              </c:numCache>
            </c:numRef>
          </c:xVal>
          <c:yVal>
            <c:numRef>
              <c:f>calcs!$C$39:$C$58</c:f>
              <c:numCache>
                <c:formatCode>0.0%</c:formatCode>
                <c:ptCount val="20"/>
                <c:pt idx="0">
                  <c:v>0.14115302101243099</c:v>
                </c:pt>
                <c:pt idx="1">
                  <c:v>2.9289952698811073E-2</c:v>
                </c:pt>
                <c:pt idx="2">
                  <c:v>4.4149661268374274E-2</c:v>
                </c:pt>
                <c:pt idx="3">
                  <c:v>-0.12228196222002219</c:v>
                </c:pt>
                <c:pt idx="4">
                  <c:v>1.5946599777992176E-2</c:v>
                </c:pt>
                <c:pt idx="5">
                  <c:v>1.8537902555974428E-2</c:v>
                </c:pt>
                <c:pt idx="6">
                  <c:v>-0.17178608796281247</c:v>
                </c:pt>
                <c:pt idx="7">
                  <c:v>-0.21237148895688118</c:v>
                </c:pt>
                <c:pt idx="8">
                  <c:v>-0.26811203637647196</c:v>
                </c:pt>
                <c:pt idx="9">
                  <c:v>-0.17769265256022626</c:v>
                </c:pt>
                <c:pt idx="10">
                  <c:v>3.7011794220028982E-2</c:v>
                </c:pt>
                <c:pt idx="11">
                  <c:v>-7.4699511502488547E-2</c:v>
                </c:pt>
                <c:pt idx="12">
                  <c:v>3.9746981327761999E-2</c:v>
                </c:pt>
                <c:pt idx="13">
                  <c:v>7.1674141647154466E-2</c:v>
                </c:pt>
                <c:pt idx="14">
                  <c:v>-5.0162948679859931E-2</c:v>
                </c:pt>
                <c:pt idx="15">
                  <c:v>-0.25099438646995065</c:v>
                </c:pt>
                <c:pt idx="16">
                  <c:v>8.0909056079100372E-2</c:v>
                </c:pt>
                <c:pt idx="17">
                  <c:v>5.9851290782763744E-2</c:v>
                </c:pt>
                <c:pt idx="18">
                  <c:v>-2.4814231015572008E-2</c:v>
                </c:pt>
                <c:pt idx="19">
                  <c:v>-6.5644901735083638E-2</c:v>
                </c:pt>
              </c:numCache>
            </c:numRef>
          </c:yVal>
          <c:smooth val="1"/>
        </c:ser>
        <c:dLbls>
          <c:showLegendKey val="0"/>
          <c:showVal val="0"/>
          <c:showCatName val="0"/>
          <c:showSerName val="0"/>
          <c:showPercent val="0"/>
          <c:showBubbleSize val="0"/>
        </c:dLbls>
        <c:axId val="150602496"/>
        <c:axId val="150604032"/>
      </c:scatterChart>
      <c:valAx>
        <c:axId val="150602496"/>
        <c:scaling>
          <c:orientation val="minMax"/>
        </c:scaling>
        <c:delete val="1"/>
        <c:axPos val="b"/>
        <c:majorGridlines/>
        <c:numFmt formatCode="0.0%" sourceLinked="1"/>
        <c:majorTickMark val="cross"/>
        <c:minorTickMark val="cross"/>
        <c:tickLblPos val="nextTo"/>
        <c:crossAx val="150604032"/>
        <c:crossesAt val="-0.30000000000000021"/>
        <c:crossBetween val="midCat"/>
      </c:valAx>
      <c:valAx>
        <c:axId val="150604032"/>
        <c:scaling>
          <c:orientation val="minMax"/>
          <c:max val="0.30000000000000021"/>
        </c:scaling>
        <c:delete val="1"/>
        <c:axPos val="l"/>
        <c:majorGridlines/>
        <c:numFmt formatCode="0.0%" sourceLinked="1"/>
        <c:majorTickMark val="cross"/>
        <c:minorTickMark val="cross"/>
        <c:tickLblPos val="nextTo"/>
        <c:crossAx val="150602496"/>
        <c:crossesAt val="-0.30000000000000021"/>
        <c:crossBetween val="midCat"/>
      </c:valAx>
    </c:plotArea>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1"/>
  <c:style val="2"/>
  <c:chart>
    <c:autoTitleDeleted val="1"/>
    <c:plotArea>
      <c:layout>
        <c:manualLayout>
          <c:layoutTarget val="inner"/>
          <c:xMode val="edge"/>
          <c:yMode val="edge"/>
          <c:x val="0.18934147276534269"/>
          <c:y val="4.9862633150237756E-2"/>
          <c:w val="0.70529770857294527"/>
          <c:h val="0.83878164713946879"/>
        </c:manualLayout>
      </c:layout>
      <c:scatterChart>
        <c:scatterStyle val="lineMarker"/>
        <c:varyColors val="1"/>
        <c:ser>
          <c:idx val="0"/>
          <c:order val="0"/>
          <c:spPr>
            <a:ln w="28575">
              <a:noFill/>
            </a:ln>
          </c:spPr>
          <c:trendline>
            <c:spPr>
              <a:ln w="25400">
                <a:solidFill>
                  <a:srgbClr val="7030A0"/>
                </a:solidFill>
              </a:ln>
            </c:spPr>
            <c:trendlineType val="linear"/>
            <c:dispRSqr val="1"/>
            <c:dispEq val="1"/>
            <c:trendlineLbl>
              <c:numFmt formatCode="General" sourceLinked="0"/>
            </c:trendlineLbl>
          </c:trendline>
          <c:xVal>
            <c:numRef>
              <c:f>calcs!$B$62:$B$77</c:f>
              <c:numCache>
                <c:formatCode>0.0%</c:formatCode>
                <c:ptCount val="16"/>
                <c:pt idx="0">
                  <c:v>0.2178569961710215</c:v>
                </c:pt>
                <c:pt idx="1">
                  <c:v>6.8257248600560594E-3</c:v>
                </c:pt>
                <c:pt idx="2">
                  <c:v>2.1796165352065078E-2</c:v>
                </c:pt>
                <c:pt idx="3">
                  <c:v>-0.123169098122488</c:v>
                </c:pt>
                <c:pt idx="4">
                  <c:v>1.300549026831832E-2</c:v>
                </c:pt>
                <c:pt idx="5">
                  <c:v>1.4542251657077898E-2</c:v>
                </c:pt>
                <c:pt idx="6">
                  <c:v>-0.21639733997152932</c:v>
                </c:pt>
                <c:pt idx="7">
                  <c:v>3.4908322020799964E-2</c:v>
                </c:pt>
                <c:pt idx="8">
                  <c:v>-5.3419461928157053E-2</c:v>
                </c:pt>
                <c:pt idx="9">
                  <c:v>4.7048997072507426E-4</c:v>
                </c:pt>
                <c:pt idx="10">
                  <c:v>9.3483682823940484E-3</c:v>
                </c:pt>
                <c:pt idx="11">
                  <c:v>1.4056154283551558E-2</c:v>
                </c:pt>
                <c:pt idx="12">
                  <c:v>3.4151768805677829E-2</c:v>
                </c:pt>
                <c:pt idx="13">
                  <c:v>5.906271095331217E-2</c:v>
                </c:pt>
                <c:pt idx="14">
                  <c:v>2.7888302740427084E-2</c:v>
                </c:pt>
                <c:pt idx="15">
                  <c:v>-7.6565480023519927E-2</c:v>
                </c:pt>
              </c:numCache>
            </c:numRef>
          </c:xVal>
          <c:yVal>
            <c:numRef>
              <c:f>calcs!$C$62:$C$77</c:f>
              <c:numCache>
                <c:formatCode>0.0%</c:formatCode>
                <c:ptCount val="16"/>
                <c:pt idx="0">
                  <c:v>0.14115302101243099</c:v>
                </c:pt>
                <c:pt idx="1">
                  <c:v>2.9289952698811073E-2</c:v>
                </c:pt>
                <c:pt idx="2">
                  <c:v>4.4149661268374274E-2</c:v>
                </c:pt>
                <c:pt idx="3">
                  <c:v>-0.12228196222002219</c:v>
                </c:pt>
                <c:pt idx="4">
                  <c:v>1.5946599777992176E-2</c:v>
                </c:pt>
                <c:pt idx="5">
                  <c:v>1.8537902555974428E-2</c:v>
                </c:pt>
                <c:pt idx="6">
                  <c:v>-0.17769265256022626</c:v>
                </c:pt>
                <c:pt idx="7">
                  <c:v>3.7011794220028982E-2</c:v>
                </c:pt>
                <c:pt idx="8">
                  <c:v>-7.4699511502488547E-2</c:v>
                </c:pt>
                <c:pt idx="9">
                  <c:v>3.9746981327761999E-2</c:v>
                </c:pt>
                <c:pt idx="10">
                  <c:v>7.1674141647154466E-2</c:v>
                </c:pt>
                <c:pt idx="11">
                  <c:v>-5.0162948679859931E-2</c:v>
                </c:pt>
                <c:pt idx="12">
                  <c:v>8.0909056079100372E-2</c:v>
                </c:pt>
                <c:pt idx="13">
                  <c:v>5.9851290782763744E-2</c:v>
                </c:pt>
                <c:pt idx="14">
                  <c:v>-2.4814231015572008E-2</c:v>
                </c:pt>
                <c:pt idx="15">
                  <c:v>-6.5644901735083638E-2</c:v>
                </c:pt>
              </c:numCache>
            </c:numRef>
          </c:yVal>
          <c:smooth val="1"/>
        </c:ser>
        <c:dLbls>
          <c:showLegendKey val="0"/>
          <c:showVal val="0"/>
          <c:showCatName val="0"/>
          <c:showSerName val="0"/>
          <c:showPercent val="0"/>
          <c:showBubbleSize val="0"/>
        </c:dLbls>
        <c:axId val="154247552"/>
        <c:axId val="154249088"/>
      </c:scatterChart>
      <c:valAx>
        <c:axId val="154247552"/>
        <c:scaling>
          <c:orientation val="minMax"/>
        </c:scaling>
        <c:delete val="1"/>
        <c:axPos val="b"/>
        <c:majorGridlines/>
        <c:numFmt formatCode="0.0%" sourceLinked="1"/>
        <c:majorTickMark val="cross"/>
        <c:minorTickMark val="cross"/>
        <c:tickLblPos val="nextTo"/>
        <c:crossAx val="154249088"/>
        <c:crossesAt val="-0.30000000000000021"/>
        <c:crossBetween val="midCat"/>
      </c:valAx>
      <c:valAx>
        <c:axId val="154249088"/>
        <c:scaling>
          <c:orientation val="minMax"/>
          <c:max val="0.30000000000000021"/>
          <c:min val="-0.30000000000000021"/>
        </c:scaling>
        <c:delete val="1"/>
        <c:axPos val="l"/>
        <c:majorGridlines/>
        <c:numFmt formatCode="0.0%" sourceLinked="1"/>
        <c:majorTickMark val="cross"/>
        <c:minorTickMark val="cross"/>
        <c:tickLblPos val="nextTo"/>
        <c:crossAx val="154247552"/>
        <c:crossesAt val="-0.30000000000000021"/>
        <c:crossBetween val="midCat"/>
      </c:valAx>
    </c:plotArea>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F0E8B384</Template>
  <TotalTime>9</TotalTime>
  <Pages>32</Pages>
  <Words>14377</Words>
  <Characters>81955</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lpstr>
    </vt:vector>
  </TitlesOfParts>
  <Company>psiru</Company>
  <LinksUpToDate>false</LinksUpToDate>
  <CharactersWithSpaces>96140</CharactersWithSpaces>
  <SharedDoc>false</SharedDoc>
  <HLinks>
    <vt:vector size="594" baseType="variant">
      <vt:variant>
        <vt:i4>7143487</vt:i4>
      </vt:variant>
      <vt:variant>
        <vt:i4>285</vt:i4>
      </vt:variant>
      <vt:variant>
        <vt:i4>0</vt:i4>
      </vt:variant>
      <vt:variant>
        <vt:i4>5</vt:i4>
      </vt:variant>
      <vt:variant>
        <vt:lpwstr>http://www.youtube.com/watch?v=3gIJMXJyPfk&amp;feature=channel_video_title</vt:lpwstr>
      </vt:variant>
      <vt:variant>
        <vt:lpwstr/>
      </vt:variant>
      <vt:variant>
        <vt:i4>3473465</vt:i4>
      </vt:variant>
      <vt:variant>
        <vt:i4>282</vt:i4>
      </vt:variant>
      <vt:variant>
        <vt:i4>0</vt:i4>
      </vt:variant>
      <vt:variant>
        <vt:i4>5</vt:i4>
      </vt:variant>
      <vt:variant>
        <vt:lpwstr>http://www.youtube.com/watch?v=tugAcPb1e9I&amp;feature=channel_video_title</vt:lpwstr>
      </vt:variant>
      <vt:variant>
        <vt:lpwstr/>
      </vt:variant>
      <vt:variant>
        <vt:i4>6357028</vt:i4>
      </vt:variant>
      <vt:variant>
        <vt:i4>279</vt:i4>
      </vt:variant>
      <vt:variant>
        <vt:i4>0</vt:i4>
      </vt:variant>
      <vt:variant>
        <vt:i4>5</vt:i4>
      </vt:variant>
      <vt:variant>
        <vt:lpwstr>http://local.mb.rian.ru/cgi-bin/href/4277?22693&amp;login=russiaprofile.chetvernik_eng_70x50&amp;options=NVTA&amp;referer=http%3A//local.mb.rian.ru/cgi-bin/iframe/chetvernik-eng.chetvernik-eng%3F86567%26options%3DT%26n%3D1</vt:lpwstr>
      </vt:variant>
      <vt:variant>
        <vt:lpwstr/>
      </vt:variant>
      <vt:variant>
        <vt:i4>2883599</vt:i4>
      </vt:variant>
      <vt:variant>
        <vt:i4>276</vt:i4>
      </vt:variant>
      <vt:variant>
        <vt:i4>0</vt:i4>
      </vt:variant>
      <vt:variant>
        <vt:i4>5</vt:i4>
      </vt:variant>
      <vt:variant>
        <vt:lpwstr>http://en.rian.ru/valdai_op/20110610/164557971.html</vt:lpwstr>
      </vt:variant>
      <vt:variant>
        <vt:lpwstr/>
      </vt:variant>
      <vt:variant>
        <vt:i4>4915269</vt:i4>
      </vt:variant>
      <vt:variant>
        <vt:i4>273</vt:i4>
      </vt:variant>
      <vt:variant>
        <vt:i4>0</vt:i4>
      </vt:variant>
      <vt:variant>
        <vt:i4>5</vt:i4>
      </vt:variant>
      <vt:variant>
        <vt:lpwstr>http://en.rian.ru/health/20100420/158669620.html</vt:lpwstr>
      </vt:variant>
      <vt:variant>
        <vt:lpwstr/>
      </vt:variant>
      <vt:variant>
        <vt:i4>7274537</vt:i4>
      </vt:variant>
      <vt:variant>
        <vt:i4>270</vt:i4>
      </vt:variant>
      <vt:variant>
        <vt:i4>0</vt:i4>
      </vt:variant>
      <vt:variant>
        <vt:i4>5</vt:i4>
      </vt:variant>
      <vt:variant>
        <vt:lpwstr>http://www.psiru.org/node/1603</vt:lpwstr>
      </vt:variant>
      <vt:variant>
        <vt:lpwstr/>
      </vt:variant>
      <vt:variant>
        <vt:i4>2555955</vt:i4>
      </vt:variant>
      <vt:variant>
        <vt:i4>267</vt:i4>
      </vt:variant>
      <vt:variant>
        <vt:i4>0</vt:i4>
      </vt:variant>
      <vt:variant>
        <vt:i4>5</vt:i4>
      </vt:variant>
      <vt:variant>
        <vt:lpwstr>http://www.youtube.com/watch?v=k1Cxp6piqPU&amp;feature=channel_video_title</vt:lpwstr>
      </vt:variant>
      <vt:variant>
        <vt:lpwstr/>
      </vt:variant>
      <vt:variant>
        <vt:i4>3997724</vt:i4>
      </vt:variant>
      <vt:variant>
        <vt:i4>264</vt:i4>
      </vt:variant>
      <vt:variant>
        <vt:i4>0</vt:i4>
      </vt:variant>
      <vt:variant>
        <vt:i4>5</vt:i4>
      </vt:variant>
      <vt:variant>
        <vt:lpwstr>http://www.stats.gov.cn/english/statisticaldata/Quarterlydata/t20090520_402560312.htm</vt:lpwstr>
      </vt:variant>
      <vt:variant>
        <vt:lpwstr/>
      </vt:variant>
      <vt:variant>
        <vt:i4>3997722</vt:i4>
      </vt:variant>
      <vt:variant>
        <vt:i4>261</vt:i4>
      </vt:variant>
      <vt:variant>
        <vt:i4>0</vt:i4>
      </vt:variant>
      <vt:variant>
        <vt:i4>5</vt:i4>
      </vt:variant>
      <vt:variant>
        <vt:lpwstr>http://www.stats.gov.cn/english/statisticaldata/Quarterlydata/t20100202_402618894.htm</vt:lpwstr>
      </vt:variant>
      <vt:variant>
        <vt:lpwstr/>
      </vt:variant>
      <vt:variant>
        <vt:i4>2621548</vt:i4>
      </vt:variant>
      <vt:variant>
        <vt:i4>258</vt:i4>
      </vt:variant>
      <vt:variant>
        <vt:i4>0</vt:i4>
      </vt:variant>
      <vt:variant>
        <vt:i4>5</vt:i4>
      </vt:variant>
      <vt:variant>
        <vt:lpwstr>http://www.stat.go.jp/data/getujidb/zuhyou/g12.xls</vt:lpwstr>
      </vt:variant>
      <vt:variant>
        <vt:lpwstr/>
      </vt:variant>
      <vt:variant>
        <vt:i4>8323169</vt:i4>
      </vt:variant>
      <vt:variant>
        <vt:i4>255</vt:i4>
      </vt:variant>
      <vt:variant>
        <vt:i4>0</vt:i4>
      </vt:variant>
      <vt:variant>
        <vt:i4>5</vt:i4>
      </vt:variant>
      <vt:variant>
        <vt:lpwstr>http://www.athensnews.gr/issue/13450/44199</vt:lpwstr>
      </vt:variant>
      <vt:variant>
        <vt:lpwstr/>
      </vt:variant>
      <vt:variant>
        <vt:i4>2621469</vt:i4>
      </vt:variant>
      <vt:variant>
        <vt:i4>252</vt:i4>
      </vt:variant>
      <vt:variant>
        <vt:i4>0</vt:i4>
      </vt:variant>
      <vt:variant>
        <vt:i4>5</vt:i4>
      </vt:variant>
      <vt:variant>
        <vt:lpwstr>http://ec.europa.eu/economy_finance/publications/occasional_paper/2011/pdf/ocp82_en.pdf</vt:lpwstr>
      </vt:variant>
      <vt:variant>
        <vt:lpwstr/>
      </vt:variant>
      <vt:variant>
        <vt:i4>1638418</vt:i4>
      </vt:variant>
      <vt:variant>
        <vt:i4>249</vt:i4>
      </vt:variant>
      <vt:variant>
        <vt:i4>0</vt:i4>
      </vt:variant>
      <vt:variant>
        <vt:i4>5</vt:i4>
      </vt:variant>
      <vt:variant>
        <vt:lpwstr>http://www.etui.org/research/activities/Employment-and-social-policies/Reports-and-working-papers/WP-2010.07</vt:lpwstr>
      </vt:variant>
      <vt:variant>
        <vt:lpwstr/>
      </vt:variant>
      <vt:variant>
        <vt:i4>3932271</vt:i4>
      </vt:variant>
      <vt:variant>
        <vt:i4>246</vt:i4>
      </vt:variant>
      <vt:variant>
        <vt:i4>0</vt:i4>
      </vt:variant>
      <vt:variant>
        <vt:i4>5</vt:i4>
      </vt:variant>
      <vt:variant>
        <vt:lpwstr>http://epp.eurostat.ec.europa.eu/portal/page/portal/employment_unemployment_lfs/data/database</vt:lpwstr>
      </vt:variant>
      <vt:variant>
        <vt:lpwstr/>
      </vt:variant>
      <vt:variant>
        <vt:i4>1572958</vt:i4>
      </vt:variant>
      <vt:variant>
        <vt:i4>243</vt:i4>
      </vt:variant>
      <vt:variant>
        <vt:i4>0</vt:i4>
      </vt:variant>
      <vt:variant>
        <vt:i4>5</vt:i4>
      </vt:variant>
      <vt:variant>
        <vt:lpwstr>http://www.eurofound.europa.eu/eiro/studies/tn1004029s/tn1004029s.htm</vt:lpwstr>
      </vt:variant>
      <vt:variant>
        <vt:lpwstr/>
      </vt:variant>
      <vt:variant>
        <vt:i4>3997801</vt:i4>
      </vt:variant>
      <vt:variant>
        <vt:i4>240</vt:i4>
      </vt:variant>
      <vt:variant>
        <vt:i4>0</vt:i4>
      </vt:variant>
      <vt:variant>
        <vt:i4>5</vt:i4>
      </vt:variant>
      <vt:variant>
        <vt:lpwstr>http://epp.eurostat.ec.europa.eu/tgm/table.do?tab=table&amp;init=1&amp;plugin=1&amp;language=en&amp;pcode=tsieb060</vt:lpwstr>
      </vt:variant>
      <vt:variant>
        <vt:lpwstr/>
      </vt:variant>
      <vt:variant>
        <vt:i4>7929892</vt:i4>
      </vt:variant>
      <vt:variant>
        <vt:i4>237</vt:i4>
      </vt:variant>
      <vt:variant>
        <vt:i4>0</vt:i4>
      </vt:variant>
      <vt:variant>
        <vt:i4>5</vt:i4>
      </vt:variant>
      <vt:variant>
        <vt:lpwstr>http://epp.eurostat.ec.europa.eu/portal/page/portal/labour_market/labour_costs/database</vt:lpwstr>
      </vt:variant>
      <vt:variant>
        <vt:lpwstr/>
      </vt:variant>
      <vt:variant>
        <vt:i4>7077991</vt:i4>
      </vt:variant>
      <vt:variant>
        <vt:i4>234</vt:i4>
      </vt:variant>
      <vt:variant>
        <vt:i4>0</vt:i4>
      </vt:variant>
      <vt:variant>
        <vt:i4>5</vt:i4>
      </vt:variant>
      <vt:variant>
        <vt:lpwstr>http://www.bls.gov/news.release/empsit.t17.htm</vt:lpwstr>
      </vt:variant>
      <vt:variant>
        <vt:lpwstr/>
      </vt:variant>
      <vt:variant>
        <vt:i4>983058</vt:i4>
      </vt:variant>
      <vt:variant>
        <vt:i4>231</vt:i4>
      </vt:variant>
      <vt:variant>
        <vt:i4>0</vt:i4>
      </vt:variant>
      <vt:variant>
        <vt:i4>5</vt:i4>
      </vt:variant>
      <vt:variant>
        <vt:lpwstr>http://www.bls.gov/opub/mlr/2011/04/art1full.pdf</vt:lpwstr>
      </vt:variant>
      <vt:variant>
        <vt:lpwstr/>
      </vt:variant>
      <vt:variant>
        <vt:i4>6029339</vt:i4>
      </vt:variant>
      <vt:variant>
        <vt:i4>228</vt:i4>
      </vt:variant>
      <vt:variant>
        <vt:i4>0</vt:i4>
      </vt:variant>
      <vt:variant>
        <vt:i4>5</vt:i4>
      </vt:variant>
      <vt:variant>
        <vt:lpwstr>http://www.bls.gov/web/eci/echistrynaics.pdf</vt:lpwstr>
      </vt:variant>
      <vt:variant>
        <vt:lpwstr/>
      </vt:variant>
      <vt:variant>
        <vt:i4>6029326</vt:i4>
      </vt:variant>
      <vt:variant>
        <vt:i4>225</vt:i4>
      </vt:variant>
      <vt:variant>
        <vt:i4>0</vt:i4>
      </vt:variant>
      <vt:variant>
        <vt:i4>5</vt:i4>
      </vt:variant>
      <vt:variant>
        <vt:lpwstr>http://www.usinflationcalculator.com/inflation/consumer-price-index-and-annual-percent-changes-from-1913-to-2008/</vt:lpwstr>
      </vt:variant>
      <vt:variant>
        <vt:lpwstr/>
      </vt:variant>
      <vt:variant>
        <vt:i4>6029339</vt:i4>
      </vt:variant>
      <vt:variant>
        <vt:i4>222</vt:i4>
      </vt:variant>
      <vt:variant>
        <vt:i4>0</vt:i4>
      </vt:variant>
      <vt:variant>
        <vt:i4>5</vt:i4>
      </vt:variant>
      <vt:variant>
        <vt:lpwstr>http://www.bls.gov/web/eci/echistrynaics.pdf</vt:lpwstr>
      </vt:variant>
      <vt:variant>
        <vt:lpwstr/>
      </vt:variant>
      <vt:variant>
        <vt:i4>5963805</vt:i4>
      </vt:variant>
      <vt:variant>
        <vt:i4>219</vt:i4>
      </vt:variant>
      <vt:variant>
        <vt:i4>0</vt:i4>
      </vt:variant>
      <vt:variant>
        <vt:i4>5</vt:i4>
      </vt:variant>
      <vt:variant>
        <vt:lpwstr>http://www.nga.org/files/live/sites/NGA/files/pdf/FSS1106.PDF</vt:lpwstr>
      </vt:variant>
      <vt:variant>
        <vt:lpwstr/>
      </vt:variant>
      <vt:variant>
        <vt:i4>8061041</vt:i4>
      </vt:variant>
      <vt:variant>
        <vt:i4>216</vt:i4>
      </vt:variant>
      <vt:variant>
        <vt:i4>0</vt:i4>
      </vt:variant>
      <vt:variant>
        <vt:i4>5</vt:i4>
      </vt:variant>
      <vt:variant>
        <vt:lpwstr>http://www.cbo.gov/doc.cfm?index=12212</vt:lpwstr>
      </vt:variant>
      <vt:variant>
        <vt:lpwstr/>
      </vt:variant>
      <vt:variant>
        <vt:i4>3932241</vt:i4>
      </vt:variant>
      <vt:variant>
        <vt:i4>213</vt:i4>
      </vt:variant>
      <vt:variant>
        <vt:i4>0</vt:i4>
      </vt:variant>
      <vt:variant>
        <vt:i4>5</vt:i4>
      </vt:variant>
      <vt:variant>
        <vt:lpwstr>http://www.recovery.gov/Transparency/MapGallery/Pages/maps.aspx</vt:lpwstr>
      </vt:variant>
      <vt:variant>
        <vt:lpwstr>z</vt:lpwstr>
      </vt:variant>
      <vt:variant>
        <vt:i4>6422538</vt:i4>
      </vt:variant>
      <vt:variant>
        <vt:i4>0</vt:i4>
      </vt:variant>
      <vt:variant>
        <vt:i4>0</vt:i4>
      </vt:variant>
      <vt:variant>
        <vt:i4>5</vt:i4>
      </vt:variant>
      <vt:variant>
        <vt:lpwstr>mailto:d.j.hall@gre.ac.uk</vt:lpwstr>
      </vt:variant>
      <vt:variant>
        <vt:lpwstr/>
      </vt:variant>
      <vt:variant>
        <vt:i4>6946902</vt:i4>
      </vt:variant>
      <vt:variant>
        <vt:i4>18</vt:i4>
      </vt:variant>
      <vt:variant>
        <vt:i4>0</vt:i4>
      </vt:variant>
      <vt:variant>
        <vt:i4>5</vt:i4>
      </vt:variant>
      <vt:variant>
        <vt:lpwstr>mailto:psiru@psiru.org</vt:lpwstr>
      </vt:variant>
      <vt:variant>
        <vt:lpwstr/>
      </vt:variant>
      <vt:variant>
        <vt:i4>5177357</vt:i4>
      </vt:variant>
      <vt:variant>
        <vt:i4>15</vt:i4>
      </vt:variant>
      <vt:variant>
        <vt:i4>0</vt:i4>
      </vt:variant>
      <vt:variant>
        <vt:i4>5</vt:i4>
      </vt:variant>
      <vt:variant>
        <vt:lpwstr>http://www.psiru.org/</vt:lpwstr>
      </vt:variant>
      <vt:variant>
        <vt:lpwstr/>
      </vt:variant>
      <vt:variant>
        <vt:i4>5177357</vt:i4>
      </vt:variant>
      <vt:variant>
        <vt:i4>12</vt:i4>
      </vt:variant>
      <vt:variant>
        <vt:i4>0</vt:i4>
      </vt:variant>
      <vt:variant>
        <vt:i4>5</vt:i4>
      </vt:variant>
      <vt:variant>
        <vt:lpwstr>http://www.psiru.org/</vt:lpwstr>
      </vt:variant>
      <vt:variant>
        <vt:lpwstr/>
      </vt:variant>
      <vt:variant>
        <vt:i4>5177357</vt:i4>
      </vt:variant>
      <vt:variant>
        <vt:i4>0</vt:i4>
      </vt:variant>
      <vt:variant>
        <vt:i4>0</vt:i4>
      </vt:variant>
      <vt:variant>
        <vt:i4>5</vt:i4>
      </vt:variant>
      <vt:variant>
        <vt:lpwstr>http://www.psiru.org/</vt:lpwstr>
      </vt:variant>
      <vt:variant>
        <vt:lpwstr/>
      </vt:variant>
      <vt:variant>
        <vt:i4>1900634</vt:i4>
      </vt:variant>
      <vt:variant>
        <vt:i4>204</vt:i4>
      </vt:variant>
      <vt:variant>
        <vt:i4>0</vt:i4>
      </vt:variant>
      <vt:variant>
        <vt:i4>5</vt:i4>
      </vt:variant>
      <vt:variant>
        <vt:lpwstr>http://unpan1.un.org/intradoc/groups/public/documents/APCITY/UNPAN014322.pdf</vt:lpwstr>
      </vt:variant>
      <vt:variant>
        <vt:lpwstr/>
      </vt:variant>
      <vt:variant>
        <vt:i4>8323107</vt:i4>
      </vt:variant>
      <vt:variant>
        <vt:i4>201</vt:i4>
      </vt:variant>
      <vt:variant>
        <vt:i4>0</vt:i4>
      </vt:variant>
      <vt:variant>
        <vt:i4>5</vt:i4>
      </vt:variant>
      <vt:variant>
        <vt:lpwstr>http://books.google.co.uk/books?id=8bpFTfTp0BkC&amp;lpg=PA1&amp;lr&amp;pg=PA9</vt:lpwstr>
      </vt:variant>
      <vt:variant>
        <vt:lpwstr>v=onepage&amp;q&amp;f=false</vt:lpwstr>
      </vt:variant>
      <vt:variant>
        <vt:i4>7208997</vt:i4>
      </vt:variant>
      <vt:variant>
        <vt:i4>198</vt:i4>
      </vt:variant>
      <vt:variant>
        <vt:i4>0</vt:i4>
      </vt:variant>
      <vt:variant>
        <vt:i4>5</vt:i4>
      </vt:variant>
      <vt:variant>
        <vt:lpwstr>http://www.ecb.int/pub/pdf/scpops/ecbocp112.pdf</vt:lpwstr>
      </vt:variant>
      <vt:variant>
        <vt:lpwstr/>
      </vt:variant>
      <vt:variant>
        <vt:i4>7733259</vt:i4>
      </vt:variant>
      <vt:variant>
        <vt:i4>195</vt:i4>
      </vt:variant>
      <vt:variant>
        <vt:i4>0</vt:i4>
      </vt:variant>
      <vt:variant>
        <vt:i4>5</vt:i4>
      </vt:variant>
      <vt:variant>
        <vt:lpwstr>http://www.google.com/hostednews/afp/article/ALeqM5hmzu7tuH3Q3_jBlXq3f1d82-7NUw</vt:lpwstr>
      </vt:variant>
      <vt:variant>
        <vt:lpwstr/>
      </vt:variant>
      <vt:variant>
        <vt:i4>7667811</vt:i4>
      </vt:variant>
      <vt:variant>
        <vt:i4>192</vt:i4>
      </vt:variant>
      <vt:variant>
        <vt:i4>0</vt:i4>
      </vt:variant>
      <vt:variant>
        <vt:i4>5</vt:i4>
      </vt:variant>
      <vt:variant>
        <vt:lpwstr>http://www.observer.org.sz/index.php?news=15192</vt:lpwstr>
      </vt:variant>
      <vt:variant>
        <vt:lpwstr/>
      </vt:variant>
      <vt:variant>
        <vt:i4>6291458</vt:i4>
      </vt:variant>
      <vt:variant>
        <vt:i4>189</vt:i4>
      </vt:variant>
      <vt:variant>
        <vt:i4>0</vt:i4>
      </vt:variant>
      <vt:variant>
        <vt:i4>5</vt:i4>
      </vt:variant>
      <vt:variant>
        <vt:lpwstr>http://www.africanmanager.com/site_eng/detail_article.php?art_id=15323</vt:lpwstr>
      </vt:variant>
      <vt:variant>
        <vt:lpwstr/>
      </vt:variant>
      <vt:variant>
        <vt:i4>7143464</vt:i4>
      </vt:variant>
      <vt:variant>
        <vt:i4>186</vt:i4>
      </vt:variant>
      <vt:variant>
        <vt:i4>0</vt:i4>
      </vt:variant>
      <vt:variant>
        <vt:i4>5</vt:i4>
      </vt:variant>
      <vt:variant>
        <vt:lpwstr>http://www.ft.com/cms/s/0/70505da4-7e60-11df-94a8-00144feabdc0.html</vt:lpwstr>
      </vt:variant>
      <vt:variant>
        <vt:lpwstr/>
      </vt:variant>
      <vt:variant>
        <vt:i4>3407913</vt:i4>
      </vt:variant>
      <vt:variant>
        <vt:i4>183</vt:i4>
      </vt:variant>
      <vt:variant>
        <vt:i4>0</vt:i4>
      </vt:variant>
      <vt:variant>
        <vt:i4>5</vt:i4>
      </vt:variant>
      <vt:variant>
        <vt:lpwstr>http://www.ft.com/cms/s/0/aaa8ffc2-7e2b-11df-94a8-00144feabdc0.html</vt:lpwstr>
      </vt:variant>
      <vt:variant>
        <vt:lpwstr/>
      </vt:variant>
      <vt:variant>
        <vt:i4>7864374</vt:i4>
      </vt:variant>
      <vt:variant>
        <vt:i4>180</vt:i4>
      </vt:variant>
      <vt:variant>
        <vt:i4>0</vt:i4>
      </vt:variant>
      <vt:variant>
        <vt:i4>5</vt:i4>
      </vt:variant>
      <vt:variant>
        <vt:lpwstr>http://www.kienbaum.de/Portaldata/3/Resources/documents/downloadcenter/studien/human_resource_management/Kienbaum_Forecast_of_Salary_Increases_2010_EN.pdf</vt:lpwstr>
      </vt:variant>
      <vt:variant>
        <vt:lpwstr/>
      </vt:variant>
      <vt:variant>
        <vt:i4>8192032</vt:i4>
      </vt:variant>
      <vt:variant>
        <vt:i4>177</vt:i4>
      </vt:variant>
      <vt:variant>
        <vt:i4>0</vt:i4>
      </vt:variant>
      <vt:variant>
        <vt:i4>5</vt:i4>
      </vt:variant>
      <vt:variant>
        <vt:lpwstr>http://www.eurofound.europa.eu/eiro/2009/03/articles/si0903029i.htm</vt:lpwstr>
      </vt:variant>
      <vt:variant>
        <vt:lpwstr/>
      </vt:variant>
      <vt:variant>
        <vt:i4>8192034</vt:i4>
      </vt:variant>
      <vt:variant>
        <vt:i4>174</vt:i4>
      </vt:variant>
      <vt:variant>
        <vt:i4>0</vt:i4>
      </vt:variant>
      <vt:variant>
        <vt:i4>5</vt:i4>
      </vt:variant>
      <vt:variant>
        <vt:lpwstr>http://www.eurofound.europa.eu/eiro/2009/11/articles/sk0911029i.htm</vt:lpwstr>
      </vt:variant>
      <vt:variant>
        <vt:lpwstr/>
      </vt:variant>
      <vt:variant>
        <vt:i4>6946863</vt:i4>
      </vt:variant>
      <vt:variant>
        <vt:i4>171</vt:i4>
      </vt:variant>
      <vt:variant>
        <vt:i4>0</vt:i4>
      </vt:variant>
      <vt:variant>
        <vt:i4>5</vt:i4>
      </vt:variant>
      <vt:variant>
        <vt:lpwstr>http://www.eurofound.europa.eu/eiro/2009/04/articles/de0904019i.htm</vt:lpwstr>
      </vt:variant>
      <vt:variant>
        <vt:lpwstr/>
      </vt:variant>
      <vt:variant>
        <vt:i4>4653076</vt:i4>
      </vt:variant>
      <vt:variant>
        <vt:i4>168</vt:i4>
      </vt:variant>
      <vt:variant>
        <vt:i4>0</vt:i4>
      </vt:variant>
      <vt:variant>
        <vt:i4>5</vt:i4>
      </vt:variant>
      <vt:variant>
        <vt:lpwstr>http://www.nineoclock.ro/index.php?issue=4750&amp;page=detalii&amp;categorie=frontpage&amp;id=20100824-501738</vt:lpwstr>
      </vt:variant>
      <vt:variant>
        <vt:lpwstr/>
      </vt:variant>
      <vt:variant>
        <vt:i4>2555925</vt:i4>
      </vt:variant>
      <vt:variant>
        <vt:i4>165</vt:i4>
      </vt:variant>
      <vt:variant>
        <vt:i4>0</vt:i4>
      </vt:variant>
      <vt:variant>
        <vt:i4>5</vt:i4>
      </vt:variant>
      <vt:variant>
        <vt:lpwstr>mailto:redactia@nineoclock.ro</vt:lpwstr>
      </vt:variant>
      <vt:variant>
        <vt:lpwstr/>
      </vt:variant>
      <vt:variant>
        <vt:i4>7602221</vt:i4>
      </vt:variant>
      <vt:variant>
        <vt:i4>162</vt:i4>
      </vt:variant>
      <vt:variant>
        <vt:i4>0</vt:i4>
      </vt:variant>
      <vt:variant>
        <vt:i4>5</vt:i4>
      </vt:variant>
      <vt:variant>
        <vt:lpwstr>http://www.eurofound.europa.eu/eiro/2010/05/articles/ro1005019i.htm</vt:lpwstr>
      </vt:variant>
      <vt:variant>
        <vt:lpwstr/>
      </vt:variant>
      <vt:variant>
        <vt:i4>3407913</vt:i4>
      </vt:variant>
      <vt:variant>
        <vt:i4>159</vt:i4>
      </vt:variant>
      <vt:variant>
        <vt:i4>0</vt:i4>
      </vt:variant>
      <vt:variant>
        <vt:i4>5</vt:i4>
      </vt:variant>
      <vt:variant>
        <vt:lpwstr>http://www.ft.com/cms/s/0/aaa8ffc2-7e2b-11df-94a8-00144feabdc0.html</vt:lpwstr>
      </vt:variant>
      <vt:variant>
        <vt:lpwstr/>
      </vt:variant>
      <vt:variant>
        <vt:i4>917523</vt:i4>
      </vt:variant>
      <vt:variant>
        <vt:i4>156</vt:i4>
      </vt:variant>
      <vt:variant>
        <vt:i4>0</vt:i4>
      </vt:variant>
      <vt:variant>
        <vt:i4>5</vt:i4>
      </vt:variant>
      <vt:variant>
        <vt:lpwstr>http://www.nineoclock.ro/index.php?issue=4717&amp;page=detalii&amp;categorie=business&amp;id=20100804-517822</vt:lpwstr>
      </vt:variant>
      <vt:variant>
        <vt:lpwstr/>
      </vt:variant>
      <vt:variant>
        <vt:i4>3014713</vt:i4>
      </vt:variant>
      <vt:variant>
        <vt:i4>153</vt:i4>
      </vt:variant>
      <vt:variant>
        <vt:i4>0</vt:i4>
      </vt:variant>
      <vt:variant>
        <vt:i4>5</vt:i4>
      </vt:variant>
      <vt:variant>
        <vt:lpwstr>http://www.fsc.ccoo.es/webfsc/menu.do?Inicio:95068</vt:lpwstr>
      </vt:variant>
      <vt:variant>
        <vt:lpwstr/>
      </vt:variant>
      <vt:variant>
        <vt:i4>7012401</vt:i4>
      </vt:variant>
      <vt:variant>
        <vt:i4>150</vt:i4>
      </vt:variant>
      <vt:variant>
        <vt:i4>0</vt:i4>
      </vt:variant>
      <vt:variant>
        <vt:i4>5</vt:i4>
      </vt:variant>
      <vt:variant>
        <vt:lpwstr>http://www.eurofound.europa.eu/eiro/2010/06/articles/es1006011i.htm</vt:lpwstr>
      </vt:variant>
      <vt:variant>
        <vt:lpwstr/>
      </vt:variant>
      <vt:variant>
        <vt:i4>7733302</vt:i4>
      </vt:variant>
      <vt:variant>
        <vt:i4>147</vt:i4>
      </vt:variant>
      <vt:variant>
        <vt:i4>0</vt:i4>
      </vt:variant>
      <vt:variant>
        <vt:i4>5</vt:i4>
      </vt:variant>
      <vt:variant>
        <vt:lpwstr>http://www.eurofound.europa.eu/eiro/2010/05/articles/pt1005019i.htm</vt:lpwstr>
      </vt:variant>
      <vt:variant>
        <vt:lpwstr/>
      </vt:variant>
      <vt:variant>
        <vt:i4>7798839</vt:i4>
      </vt:variant>
      <vt:variant>
        <vt:i4>144</vt:i4>
      </vt:variant>
      <vt:variant>
        <vt:i4>0</vt:i4>
      </vt:variant>
      <vt:variant>
        <vt:i4>5</vt:i4>
      </vt:variant>
      <vt:variant>
        <vt:lpwstr>http://www.eurofound.europa.eu/eiro/2011/02/articles/pt1102019i.htm</vt:lpwstr>
      </vt:variant>
      <vt:variant>
        <vt:lpwstr/>
      </vt:variant>
      <vt:variant>
        <vt:i4>6422590</vt:i4>
      </vt:variant>
      <vt:variant>
        <vt:i4>141</vt:i4>
      </vt:variant>
      <vt:variant>
        <vt:i4>0</vt:i4>
      </vt:variant>
      <vt:variant>
        <vt:i4>5</vt:i4>
      </vt:variant>
      <vt:variant>
        <vt:lpwstr>http://www.eurofound.europa.eu/eiro/2009/12/articles/lt0912019i.htm</vt:lpwstr>
      </vt:variant>
      <vt:variant>
        <vt:lpwstr/>
      </vt:variant>
      <vt:variant>
        <vt:i4>6422590</vt:i4>
      </vt:variant>
      <vt:variant>
        <vt:i4>138</vt:i4>
      </vt:variant>
      <vt:variant>
        <vt:i4>0</vt:i4>
      </vt:variant>
      <vt:variant>
        <vt:i4>5</vt:i4>
      </vt:variant>
      <vt:variant>
        <vt:lpwstr>http://www.eurofound.europa.eu/eiro/2009/11/articles/lt0911019i.htm</vt:lpwstr>
      </vt:variant>
      <vt:variant>
        <vt:lpwstr/>
      </vt:variant>
      <vt:variant>
        <vt:i4>6422589</vt:i4>
      </vt:variant>
      <vt:variant>
        <vt:i4>135</vt:i4>
      </vt:variant>
      <vt:variant>
        <vt:i4>0</vt:i4>
      </vt:variant>
      <vt:variant>
        <vt:i4>5</vt:i4>
      </vt:variant>
      <vt:variant>
        <vt:lpwstr>http://www.eurofound.europa.eu/eiro/2009/07/articles/lt0907029i.htm</vt:lpwstr>
      </vt:variant>
      <vt:variant>
        <vt:lpwstr/>
      </vt:variant>
      <vt:variant>
        <vt:i4>6422588</vt:i4>
      </vt:variant>
      <vt:variant>
        <vt:i4>132</vt:i4>
      </vt:variant>
      <vt:variant>
        <vt:i4>0</vt:i4>
      </vt:variant>
      <vt:variant>
        <vt:i4>5</vt:i4>
      </vt:variant>
      <vt:variant>
        <vt:lpwstr>http://www.eurofound.europa.eu/eiro/2009/07/articles/lv0907019i.htm</vt:lpwstr>
      </vt:variant>
      <vt:variant>
        <vt:lpwstr/>
      </vt:variant>
      <vt:variant>
        <vt:i4>3670070</vt:i4>
      </vt:variant>
      <vt:variant>
        <vt:i4>129</vt:i4>
      </vt:variant>
      <vt:variant>
        <vt:i4>0</vt:i4>
      </vt:variant>
      <vt:variant>
        <vt:i4>5</vt:i4>
      </vt:variant>
      <vt:variant>
        <vt:lpwstr>http://www.brettonwoodsproject.org/art-563607;Eurofound</vt:lpwstr>
      </vt:variant>
      <vt:variant>
        <vt:lpwstr/>
      </vt:variant>
      <vt:variant>
        <vt:i4>1572869</vt:i4>
      </vt:variant>
      <vt:variant>
        <vt:i4>126</vt:i4>
      </vt:variant>
      <vt:variant>
        <vt:i4>0</vt:i4>
      </vt:variant>
      <vt:variant>
        <vt:i4>5</vt:i4>
      </vt:variant>
      <vt:variant>
        <vt:lpwstr>http://www.brettonwoodsproject.org/art-563607</vt:lpwstr>
      </vt:variant>
      <vt:variant>
        <vt:lpwstr/>
      </vt:variant>
      <vt:variant>
        <vt:i4>7274533</vt:i4>
      </vt:variant>
      <vt:variant>
        <vt:i4>123</vt:i4>
      </vt:variant>
      <vt:variant>
        <vt:i4>0</vt:i4>
      </vt:variant>
      <vt:variant>
        <vt:i4>5</vt:i4>
      </vt:variant>
      <vt:variant>
        <vt:lpwstr>http://www.eurofound.europa.eu/eiro/2010/01/articles/ie1001039i.htm</vt:lpwstr>
      </vt:variant>
      <vt:variant>
        <vt:lpwstr/>
      </vt:variant>
      <vt:variant>
        <vt:i4>2883609</vt:i4>
      </vt:variant>
      <vt:variant>
        <vt:i4>120</vt:i4>
      </vt:variant>
      <vt:variant>
        <vt:i4>0</vt:i4>
      </vt:variant>
      <vt:variant>
        <vt:i4>5</vt:i4>
      </vt:variant>
      <vt:variant>
        <vt:lpwstr>http://www.rcpar.org/mediaupload/events/Tallinnfeb10/20100204_Background_note_Hardiman.pdf</vt:lpwstr>
      </vt:variant>
      <vt:variant>
        <vt:lpwstr/>
      </vt:variant>
      <vt:variant>
        <vt:i4>3866727</vt:i4>
      </vt:variant>
      <vt:variant>
        <vt:i4>117</vt:i4>
      </vt:variant>
      <vt:variant>
        <vt:i4>0</vt:i4>
      </vt:variant>
      <vt:variant>
        <vt:i4>5</vt:i4>
      </vt:variant>
      <vt:variant>
        <vt:lpwstr>http://www.crfr.ac.uk/spa2009/Considine M, Dukelow F - Globalisation, economic growth and recession - learning from the 1980s to understand the challenges to the contemporary Irish welfare state.pdf</vt:lpwstr>
      </vt:variant>
      <vt:variant>
        <vt:lpwstr/>
      </vt:variant>
      <vt:variant>
        <vt:i4>6750255</vt:i4>
      </vt:variant>
      <vt:variant>
        <vt:i4>114</vt:i4>
      </vt:variant>
      <vt:variant>
        <vt:i4>0</vt:i4>
      </vt:variant>
      <vt:variant>
        <vt:i4>5</vt:i4>
      </vt:variant>
      <vt:variant>
        <vt:lpwstr>http://www.eurofound.europa.eu/eiro/2009/12/articles/ie0912019i.htm</vt:lpwstr>
      </vt:variant>
      <vt:variant>
        <vt:lpwstr/>
      </vt:variant>
      <vt:variant>
        <vt:i4>6750252</vt:i4>
      </vt:variant>
      <vt:variant>
        <vt:i4>111</vt:i4>
      </vt:variant>
      <vt:variant>
        <vt:i4>0</vt:i4>
      </vt:variant>
      <vt:variant>
        <vt:i4>5</vt:i4>
      </vt:variant>
      <vt:variant>
        <vt:lpwstr>http://www.eurofound.europa.eu/eiro/2009/12/articles/ie0912029i.htm</vt:lpwstr>
      </vt:variant>
      <vt:variant>
        <vt:lpwstr/>
      </vt:variant>
      <vt:variant>
        <vt:i4>6750253</vt:i4>
      </vt:variant>
      <vt:variant>
        <vt:i4>108</vt:i4>
      </vt:variant>
      <vt:variant>
        <vt:i4>0</vt:i4>
      </vt:variant>
      <vt:variant>
        <vt:i4>5</vt:i4>
      </vt:variant>
      <vt:variant>
        <vt:lpwstr>http://www.eurofound.europa.eu/eiro/2009/05/articles/ie0905039i.htm</vt:lpwstr>
      </vt:variant>
      <vt:variant>
        <vt:lpwstr/>
      </vt:variant>
      <vt:variant>
        <vt:i4>6750255</vt:i4>
      </vt:variant>
      <vt:variant>
        <vt:i4>105</vt:i4>
      </vt:variant>
      <vt:variant>
        <vt:i4>0</vt:i4>
      </vt:variant>
      <vt:variant>
        <vt:i4>5</vt:i4>
      </vt:variant>
      <vt:variant>
        <vt:lpwstr>http://www.eurofound.europa.eu/eiro/2009/02/articles/ie0902019i.htm</vt:lpwstr>
      </vt:variant>
      <vt:variant>
        <vt:lpwstr/>
      </vt:variant>
      <vt:variant>
        <vt:i4>1441875</vt:i4>
      </vt:variant>
      <vt:variant>
        <vt:i4>102</vt:i4>
      </vt:variant>
      <vt:variant>
        <vt:i4>0</vt:i4>
      </vt:variant>
      <vt:variant>
        <vt:i4>5</vt:i4>
      </vt:variant>
      <vt:variant>
        <vt:lpwstr>http://www.finance.gov.ie/documents/circulars/circular2009/circ282009.pdf</vt:lpwstr>
      </vt:variant>
      <vt:variant>
        <vt:lpwstr/>
      </vt:variant>
      <vt:variant>
        <vt:i4>2883609</vt:i4>
      </vt:variant>
      <vt:variant>
        <vt:i4>99</vt:i4>
      </vt:variant>
      <vt:variant>
        <vt:i4>0</vt:i4>
      </vt:variant>
      <vt:variant>
        <vt:i4>5</vt:i4>
      </vt:variant>
      <vt:variant>
        <vt:lpwstr>http://www.rcpar.org/mediaupload/events/Tallinnfeb10/20100204_Background_note_Hardiman.pdf</vt:lpwstr>
      </vt:variant>
      <vt:variant>
        <vt:lpwstr/>
      </vt:variant>
      <vt:variant>
        <vt:i4>3407913</vt:i4>
      </vt:variant>
      <vt:variant>
        <vt:i4>96</vt:i4>
      </vt:variant>
      <vt:variant>
        <vt:i4>0</vt:i4>
      </vt:variant>
      <vt:variant>
        <vt:i4>5</vt:i4>
      </vt:variant>
      <vt:variant>
        <vt:lpwstr>http://www.ft.com/cms/s/0/aaa8ffc2-7e2b-11df-94a8-00144feabdc0.html</vt:lpwstr>
      </vt:variant>
      <vt:variant>
        <vt:lpwstr/>
      </vt:variant>
      <vt:variant>
        <vt:i4>1114122</vt:i4>
      </vt:variant>
      <vt:variant>
        <vt:i4>93</vt:i4>
      </vt:variant>
      <vt:variant>
        <vt:i4>0</vt:i4>
      </vt:variant>
      <vt:variant>
        <vt:i4>5</vt:i4>
      </vt:variant>
      <vt:variant>
        <vt:lpwstr>http://www.brettonwoodsproject.org/art-562981</vt:lpwstr>
      </vt:variant>
      <vt:variant>
        <vt:lpwstr/>
      </vt:variant>
      <vt:variant>
        <vt:i4>6225939</vt:i4>
      </vt:variant>
      <vt:variant>
        <vt:i4>90</vt:i4>
      </vt:variant>
      <vt:variant>
        <vt:i4>0</vt:i4>
      </vt:variant>
      <vt:variant>
        <vt:i4>5</vt:i4>
      </vt:variant>
      <vt:variant>
        <vt:lpwstr>http://www.nber.org/papers/w14789</vt:lpwstr>
      </vt:variant>
      <vt:variant>
        <vt:lpwstr/>
      </vt:variant>
      <vt:variant>
        <vt:i4>6357043</vt:i4>
      </vt:variant>
      <vt:variant>
        <vt:i4>87</vt:i4>
      </vt:variant>
      <vt:variant>
        <vt:i4>0</vt:i4>
      </vt:variant>
      <vt:variant>
        <vt:i4>5</vt:i4>
      </vt:variant>
      <vt:variant>
        <vt:lpwstr>http://www.eurofound.europa.eu/eiro/2010/03/articles/gr1003029i.htm</vt:lpwstr>
      </vt:variant>
      <vt:variant>
        <vt:lpwstr/>
      </vt:variant>
      <vt:variant>
        <vt:i4>6357040</vt:i4>
      </vt:variant>
      <vt:variant>
        <vt:i4>84</vt:i4>
      </vt:variant>
      <vt:variant>
        <vt:i4>0</vt:i4>
      </vt:variant>
      <vt:variant>
        <vt:i4>5</vt:i4>
      </vt:variant>
      <vt:variant>
        <vt:lpwstr>http://www.eurofound.europa.eu/eiro/2010/05/articles/gr1005019i.htm</vt:lpwstr>
      </vt:variant>
      <vt:variant>
        <vt:lpwstr/>
      </vt:variant>
      <vt:variant>
        <vt:i4>1638495</vt:i4>
      </vt:variant>
      <vt:variant>
        <vt:i4>81</vt:i4>
      </vt:variant>
      <vt:variant>
        <vt:i4>0</vt:i4>
      </vt:variant>
      <vt:variant>
        <vt:i4>5</vt:i4>
      </vt:variant>
      <vt:variant>
        <vt:lpwstr>http://www.eurofound.europa.eu/eiro/studies/tn1004039s/tn1004039s.htm</vt:lpwstr>
      </vt:variant>
      <vt:variant>
        <vt:lpwstr/>
      </vt:variant>
      <vt:variant>
        <vt:i4>1638495</vt:i4>
      </vt:variant>
      <vt:variant>
        <vt:i4>78</vt:i4>
      </vt:variant>
      <vt:variant>
        <vt:i4>0</vt:i4>
      </vt:variant>
      <vt:variant>
        <vt:i4>5</vt:i4>
      </vt:variant>
      <vt:variant>
        <vt:lpwstr>http://www.eurofound.europa.eu/eiro/studies/tn1004039s/tn1004039s.htm</vt:lpwstr>
      </vt:variant>
      <vt:variant>
        <vt:lpwstr/>
      </vt:variant>
      <vt:variant>
        <vt:i4>7864340</vt:i4>
      </vt:variant>
      <vt:variant>
        <vt:i4>75</vt:i4>
      </vt:variant>
      <vt:variant>
        <vt:i4>0</vt:i4>
      </vt:variant>
      <vt:variant>
        <vt:i4>5</vt:i4>
      </vt:variant>
      <vt:variant>
        <vt:lpwstr>http://www.forbes.com/feeds/ap/2011/06/29/business-us-ohio-budget-ohio_8540848.html</vt:lpwstr>
      </vt:variant>
      <vt:variant>
        <vt:lpwstr/>
      </vt:variant>
      <vt:variant>
        <vt:i4>983111</vt:i4>
      </vt:variant>
      <vt:variant>
        <vt:i4>72</vt:i4>
      </vt:variant>
      <vt:variant>
        <vt:i4>0</vt:i4>
      </vt:variant>
      <vt:variant>
        <vt:i4>5</vt:i4>
      </vt:variant>
      <vt:variant>
        <vt:lpwstr>http://www.cbsnews.com/stories/2011/06/22/ap/national/main20073184.shtml</vt:lpwstr>
      </vt:variant>
      <vt:variant>
        <vt:lpwstr/>
      </vt:variant>
      <vt:variant>
        <vt:i4>3145829</vt:i4>
      </vt:variant>
      <vt:variant>
        <vt:i4>69</vt:i4>
      </vt:variant>
      <vt:variant>
        <vt:i4>0</vt:i4>
      </vt:variant>
      <vt:variant>
        <vt:i4>5</vt:i4>
      </vt:variant>
      <vt:variant>
        <vt:lpwstr>http://www.truth-out.org/dirty-deals-social-security-likely-succeed/1308757282</vt:lpwstr>
      </vt:variant>
      <vt:variant>
        <vt:lpwstr/>
      </vt:variant>
      <vt:variant>
        <vt:i4>3276920</vt:i4>
      </vt:variant>
      <vt:variant>
        <vt:i4>66</vt:i4>
      </vt:variant>
      <vt:variant>
        <vt:i4>0</vt:i4>
      </vt:variant>
      <vt:variant>
        <vt:i4>5</vt:i4>
      </vt:variant>
      <vt:variant>
        <vt:lpwstr>http://www.statefiscal.org/</vt:lpwstr>
      </vt:variant>
      <vt:variant>
        <vt:lpwstr/>
      </vt:variant>
      <vt:variant>
        <vt:i4>4521986</vt:i4>
      </vt:variant>
      <vt:variant>
        <vt:i4>63</vt:i4>
      </vt:variant>
      <vt:variant>
        <vt:i4>0</vt:i4>
      </vt:variant>
      <vt:variant>
        <vt:i4>5</vt:i4>
      </vt:variant>
      <vt:variant>
        <vt:lpwstr>http://www.cbpp.org/cms/index.cfm?fa=view&amp;id=1214</vt:lpwstr>
      </vt:variant>
      <vt:variant>
        <vt:lpwstr/>
      </vt:variant>
      <vt:variant>
        <vt:i4>4521986</vt:i4>
      </vt:variant>
      <vt:variant>
        <vt:i4>60</vt:i4>
      </vt:variant>
      <vt:variant>
        <vt:i4>0</vt:i4>
      </vt:variant>
      <vt:variant>
        <vt:i4>5</vt:i4>
      </vt:variant>
      <vt:variant>
        <vt:lpwstr>http://www.cbpp.org/cms/index.cfm?fa=view&amp;id=1214</vt:lpwstr>
      </vt:variant>
      <vt:variant>
        <vt:lpwstr/>
      </vt:variant>
      <vt:variant>
        <vt:i4>196647</vt:i4>
      </vt:variant>
      <vt:variant>
        <vt:i4>57</vt:i4>
      </vt:variant>
      <vt:variant>
        <vt:i4>0</vt:i4>
      </vt:variant>
      <vt:variant>
        <vt:i4>5</vt:i4>
      </vt:variant>
      <vt:variant>
        <vt:lpwstr>http://www.youtube.com/watch?v=Jy-Bcg9h_tE</vt:lpwstr>
      </vt:variant>
      <vt:variant>
        <vt:lpwstr/>
      </vt:variant>
      <vt:variant>
        <vt:i4>2818148</vt:i4>
      </vt:variant>
      <vt:variant>
        <vt:i4>54</vt:i4>
      </vt:variant>
      <vt:variant>
        <vt:i4>0</vt:i4>
      </vt:variant>
      <vt:variant>
        <vt:i4>5</vt:i4>
      </vt:variant>
      <vt:variant>
        <vt:lpwstr>http://www.youtube.com/watch?v=2WiCzvXXb94</vt:lpwstr>
      </vt:variant>
      <vt:variant>
        <vt:lpwstr/>
      </vt:variant>
      <vt:variant>
        <vt:i4>1966164</vt:i4>
      </vt:variant>
      <vt:variant>
        <vt:i4>51</vt:i4>
      </vt:variant>
      <vt:variant>
        <vt:i4>0</vt:i4>
      </vt:variant>
      <vt:variant>
        <vt:i4>5</vt:i4>
      </vt:variant>
      <vt:variant>
        <vt:lpwstr>http://www.afscme.org/blog/illinois-union-coalition-blocks-bills-attacking-public-service-workers</vt:lpwstr>
      </vt:variant>
      <vt:variant>
        <vt:lpwstr/>
      </vt:variant>
      <vt:variant>
        <vt:i4>6357033</vt:i4>
      </vt:variant>
      <vt:variant>
        <vt:i4>48</vt:i4>
      </vt:variant>
      <vt:variant>
        <vt:i4>0</vt:i4>
      </vt:variant>
      <vt:variant>
        <vt:i4>5</vt:i4>
      </vt:variant>
      <vt:variant>
        <vt:lpwstr>http://management.fortune.cnn.com/2011/03/10/federal-jobs-fast-becoming-an-endangered-species/</vt:lpwstr>
      </vt:variant>
      <vt:variant>
        <vt:lpwstr/>
      </vt:variant>
      <vt:variant>
        <vt:i4>6619170</vt:i4>
      </vt:variant>
      <vt:variant>
        <vt:i4>45</vt:i4>
      </vt:variant>
      <vt:variant>
        <vt:i4>0</vt:i4>
      </vt:variant>
      <vt:variant>
        <vt:i4>5</vt:i4>
      </vt:variant>
      <vt:variant>
        <vt:lpwstr>http://voices.washingtonpost.com/federal-eye/2010/11/obama_announces_pay_freeze_for.html</vt:lpwstr>
      </vt:variant>
      <vt:variant>
        <vt:lpwstr/>
      </vt:variant>
      <vt:variant>
        <vt:i4>2556007</vt:i4>
      </vt:variant>
      <vt:variant>
        <vt:i4>42</vt:i4>
      </vt:variant>
      <vt:variant>
        <vt:i4>0</vt:i4>
      </vt:variant>
      <vt:variant>
        <vt:i4>5</vt:i4>
      </vt:variant>
      <vt:variant>
        <vt:lpwstr>http://www.chicagotribune.com/news/local/breaking/chi-after-heated-debate-wisconsin-union-law-takes-effect-20110628,0,4560030.story</vt:lpwstr>
      </vt:variant>
      <vt:variant>
        <vt:lpwstr/>
      </vt:variant>
      <vt:variant>
        <vt:i4>4587601</vt:i4>
      </vt:variant>
      <vt:variant>
        <vt:i4>39</vt:i4>
      </vt:variant>
      <vt:variant>
        <vt:i4>0</vt:i4>
      </vt:variant>
      <vt:variant>
        <vt:i4>5</vt:i4>
      </vt:variant>
      <vt:variant>
        <vt:lpwstr>http://www.acslaw.org/sites/default/files/Slater_Collective_Bargaining.pdf</vt:lpwstr>
      </vt:variant>
      <vt:variant>
        <vt:lpwstr/>
      </vt:variant>
      <vt:variant>
        <vt:i4>7929864</vt:i4>
      </vt:variant>
      <vt:variant>
        <vt:i4>36</vt:i4>
      </vt:variant>
      <vt:variant>
        <vt:i4>0</vt:i4>
      </vt:variant>
      <vt:variant>
        <vt:i4>5</vt:i4>
      </vt:variant>
      <vt:variant>
        <vt:lpwstr>http://www.insidebayarea.com/columns/ci_15536011</vt:lpwstr>
      </vt:variant>
      <vt:variant>
        <vt:lpwstr/>
      </vt:variant>
      <vt:variant>
        <vt:i4>6881295</vt:i4>
      </vt:variant>
      <vt:variant>
        <vt:i4>33</vt:i4>
      </vt:variant>
      <vt:variant>
        <vt:i4>0</vt:i4>
      </vt:variant>
      <vt:variant>
        <vt:i4>5</vt:i4>
      </vt:variant>
      <vt:variant>
        <vt:lpwstr>http://voices.washingtonpost.com/federal-eye/2010/05/could_obama_ask_for_a_federal.html</vt:lpwstr>
      </vt:variant>
      <vt:variant>
        <vt:lpwstr/>
      </vt:variant>
      <vt:variant>
        <vt:i4>1572884</vt:i4>
      </vt:variant>
      <vt:variant>
        <vt:i4>30</vt:i4>
      </vt:variant>
      <vt:variant>
        <vt:i4>0</vt:i4>
      </vt:variant>
      <vt:variant>
        <vt:i4>5</vt:i4>
      </vt:variant>
      <vt:variant>
        <vt:lpwstr>http://www.govexec.com/dailyfed/0510/052810e1.htm</vt:lpwstr>
      </vt:variant>
      <vt:variant>
        <vt:lpwstr/>
      </vt:variant>
      <vt:variant>
        <vt:i4>786451</vt:i4>
      </vt:variant>
      <vt:variant>
        <vt:i4>27</vt:i4>
      </vt:variant>
      <vt:variant>
        <vt:i4>0</vt:i4>
      </vt:variant>
      <vt:variant>
        <vt:i4>5</vt:i4>
      </vt:variant>
      <vt:variant>
        <vt:lpwstr>http://www.bls.gov/opub/mlr/2006/04/art5full.pdf</vt:lpwstr>
      </vt:variant>
      <vt:variant>
        <vt:lpwstr/>
      </vt:variant>
      <vt:variant>
        <vt:i4>2621482</vt:i4>
      </vt:variant>
      <vt:variant>
        <vt:i4>24</vt:i4>
      </vt:variant>
      <vt:variant>
        <vt:i4>0</vt:i4>
      </vt:variant>
      <vt:variant>
        <vt:i4>5</vt:i4>
      </vt:variant>
      <vt:variant>
        <vt:lpwstr>http://www.bls.gov/news.release/union2.nr0.htm</vt:lpwstr>
      </vt:variant>
      <vt:variant>
        <vt:lpwstr/>
      </vt:variant>
      <vt:variant>
        <vt:i4>6291491</vt:i4>
      </vt:variant>
      <vt:variant>
        <vt:i4>21</vt:i4>
      </vt:variant>
      <vt:variant>
        <vt:i4>0</vt:i4>
      </vt:variant>
      <vt:variant>
        <vt:i4>5</vt:i4>
      </vt:variant>
      <vt:variant>
        <vt:lpwstr>http://www.nytimes.com/2010/01/23/business/23labor.html</vt:lpwstr>
      </vt:variant>
      <vt:variant>
        <vt:lpwstr/>
      </vt:variant>
      <vt:variant>
        <vt:i4>851990</vt:i4>
      </vt:variant>
      <vt:variant>
        <vt:i4>18</vt:i4>
      </vt:variant>
      <vt:variant>
        <vt:i4>0</vt:i4>
      </vt:variant>
      <vt:variant>
        <vt:i4>5</vt:i4>
      </vt:variant>
      <vt:variant>
        <vt:lpwstr>http://www.imf.org/external/pubs/ft/weo/2011/update/02/index.htm</vt:lpwstr>
      </vt:variant>
      <vt:variant>
        <vt:lpwstr/>
      </vt:variant>
      <vt:variant>
        <vt:i4>3014730</vt:i4>
      </vt:variant>
      <vt:variant>
        <vt:i4>15</vt:i4>
      </vt:variant>
      <vt:variant>
        <vt:i4>0</vt:i4>
      </vt:variant>
      <vt:variant>
        <vt:i4>5</vt:i4>
      </vt:variant>
      <vt:variant>
        <vt:lpwstr>http://online.wsj.com/article/SB10001424052702303627104576414081019643192.html?mod=googlenews_wsj</vt:lpwstr>
      </vt:variant>
      <vt:variant>
        <vt:lpwstr/>
      </vt:variant>
      <vt:variant>
        <vt:i4>2687074</vt:i4>
      </vt:variant>
      <vt:variant>
        <vt:i4>12</vt:i4>
      </vt:variant>
      <vt:variant>
        <vt:i4>0</vt:i4>
      </vt:variant>
      <vt:variant>
        <vt:i4>5</vt:i4>
      </vt:variant>
      <vt:variant>
        <vt:lpwstr>http://www.cbpp.org/cms/?fa=view&amp;id=711</vt:lpwstr>
      </vt:variant>
      <vt:variant>
        <vt:lpwstr/>
      </vt:variant>
      <vt:variant>
        <vt:i4>4521986</vt:i4>
      </vt:variant>
      <vt:variant>
        <vt:i4>9</vt:i4>
      </vt:variant>
      <vt:variant>
        <vt:i4>0</vt:i4>
      </vt:variant>
      <vt:variant>
        <vt:i4>5</vt:i4>
      </vt:variant>
      <vt:variant>
        <vt:lpwstr>http://www.cbpp.org/cms/index.cfm?fa=view&amp;id=1214</vt:lpwstr>
      </vt:variant>
      <vt:variant>
        <vt:lpwstr/>
      </vt:variant>
      <vt:variant>
        <vt:i4>5963805</vt:i4>
      </vt:variant>
      <vt:variant>
        <vt:i4>6</vt:i4>
      </vt:variant>
      <vt:variant>
        <vt:i4>0</vt:i4>
      </vt:variant>
      <vt:variant>
        <vt:i4>5</vt:i4>
      </vt:variant>
      <vt:variant>
        <vt:lpwstr>http://www.nga.org/files/live/sites/NGA/files/pdf/FSS1106.PDF</vt:lpwstr>
      </vt:variant>
      <vt:variant>
        <vt:lpwstr/>
      </vt:variant>
      <vt:variant>
        <vt:i4>8061041</vt:i4>
      </vt:variant>
      <vt:variant>
        <vt:i4>3</vt:i4>
      </vt:variant>
      <vt:variant>
        <vt:i4>0</vt:i4>
      </vt:variant>
      <vt:variant>
        <vt:i4>5</vt:i4>
      </vt:variant>
      <vt:variant>
        <vt:lpwstr>http://www.cbo.gov/doc.cfm?index=12212</vt:lpwstr>
      </vt:variant>
      <vt:variant>
        <vt:lpwstr/>
      </vt:variant>
      <vt:variant>
        <vt:i4>7995507</vt:i4>
      </vt:variant>
      <vt:variant>
        <vt:i4>0</vt:i4>
      </vt:variant>
      <vt:variant>
        <vt:i4>0</vt:i4>
      </vt:variant>
      <vt:variant>
        <vt:i4>5</vt:i4>
      </vt:variant>
      <vt:variant>
        <vt:lpwstr>http://www.cbo.gov/doc.cfm?index=12130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David Hall</cp:lastModifiedBy>
  <cp:revision>4</cp:revision>
  <cp:lastPrinted>2011-07-09T10:42:00Z</cp:lastPrinted>
  <dcterms:created xsi:type="dcterms:W3CDTF">2013-07-04T08:48:00Z</dcterms:created>
  <dcterms:modified xsi:type="dcterms:W3CDTF">2013-07-04T08:59:00Z</dcterms:modified>
</cp:coreProperties>
</file>