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98BBC" w14:textId="77777777" w:rsidR="00117FCC" w:rsidRDefault="00117FCC" w:rsidP="00117FCC">
      <w:pPr>
        <w:rPr>
          <w:rFonts w:ascii="Work Sans" w:hAnsi="Work Sans"/>
          <w:b/>
        </w:rPr>
      </w:pPr>
    </w:p>
    <w:p w14:paraId="3E249226" w14:textId="66C3C101" w:rsidR="00117FCC" w:rsidRDefault="4B5A8796" w:rsidP="75CA53AF">
      <w:pPr>
        <w:jc w:val="center"/>
      </w:pPr>
      <w:r>
        <w:rPr>
          <w:noProof/>
        </w:rPr>
        <w:drawing>
          <wp:inline distT="0" distB="0" distL="0" distR="0" wp14:anchorId="779EC74A" wp14:editId="299C29E9">
            <wp:extent cx="4502314" cy="1654337"/>
            <wp:effectExtent l="0" t="0" r="0" b="0"/>
            <wp:docPr id="1839238164" name="Picture 183923816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238164"/>
                    <pic:cNvPicPr/>
                  </pic:nvPicPr>
                  <pic:blipFill>
                    <a:blip r:embed="rId8">
                      <a:extLst>
                        <a:ext uri="{28A0092B-C50C-407E-A947-70E740481C1C}">
                          <a14:useLocalDpi xmlns:a14="http://schemas.microsoft.com/office/drawing/2010/main" val="0"/>
                        </a:ext>
                      </a:extLst>
                    </a:blip>
                    <a:stretch>
                      <a:fillRect/>
                    </a:stretch>
                  </pic:blipFill>
                  <pic:spPr>
                    <a:xfrm>
                      <a:off x="0" y="0"/>
                      <a:ext cx="4502314" cy="1654337"/>
                    </a:xfrm>
                    <a:prstGeom prst="rect">
                      <a:avLst/>
                    </a:prstGeom>
                  </pic:spPr>
                </pic:pic>
              </a:graphicData>
            </a:graphic>
          </wp:inline>
        </w:drawing>
      </w:r>
    </w:p>
    <w:p w14:paraId="1C07A36F" w14:textId="096570B0" w:rsidR="00117FCC" w:rsidRDefault="00117FCC" w:rsidP="75CA53AF"/>
    <w:p w14:paraId="6C1594D1" w14:textId="77777777" w:rsidR="00117FCC" w:rsidRDefault="00117FCC" w:rsidP="00117FCC"/>
    <w:p w14:paraId="14FAA83C" w14:textId="77777777" w:rsidR="00117FCC" w:rsidRDefault="00117FCC" w:rsidP="00117FCC">
      <w:pPr>
        <w:ind w:left="705"/>
        <w:rPr>
          <w:rFonts w:ascii="Work Sans" w:hAnsi="Work Sans"/>
          <w:b/>
          <w:bCs/>
        </w:rPr>
      </w:pPr>
    </w:p>
    <w:p w14:paraId="0D8A4412" w14:textId="77777777" w:rsidR="00117FCC" w:rsidRDefault="00117FCC" w:rsidP="75CA53AF">
      <w:pPr>
        <w:rPr>
          <w:rFonts w:ascii="Work Sans" w:hAnsi="Work Sans"/>
          <w:b/>
          <w:bCs/>
        </w:rPr>
      </w:pPr>
    </w:p>
    <w:p w14:paraId="2C99EE93" w14:textId="7ADF1B31" w:rsidR="75CA53AF" w:rsidRDefault="206F6762" w:rsidP="57897CA1">
      <w:pPr>
        <w:jc w:val="center"/>
        <w:rPr>
          <w:rFonts w:ascii="Arial" w:eastAsia="Arial" w:hAnsi="Arial" w:cs="Arial"/>
          <w:color w:val="000000" w:themeColor="text1"/>
        </w:rPr>
      </w:pPr>
      <w:r w:rsidRPr="5904C04C">
        <w:rPr>
          <w:rFonts w:ascii="Arial" w:eastAsia="Arial" w:hAnsi="Arial" w:cs="Arial"/>
          <w:b/>
          <w:color w:val="000000" w:themeColor="text1"/>
        </w:rPr>
        <w:t xml:space="preserve">FINANCE DIRECTORATE </w:t>
      </w:r>
    </w:p>
    <w:p w14:paraId="75E5739F" w14:textId="5669AE13" w:rsidR="75CA53AF" w:rsidRDefault="75CA53AF" w:rsidP="57897CA1">
      <w:pPr>
        <w:jc w:val="center"/>
        <w:rPr>
          <w:rFonts w:ascii="Arial" w:eastAsia="Arial" w:hAnsi="Arial" w:cs="Arial"/>
          <w:color w:val="000000" w:themeColor="text1"/>
        </w:rPr>
      </w:pPr>
    </w:p>
    <w:p w14:paraId="3ACD855A" w14:textId="48CD6057" w:rsidR="75CA53AF" w:rsidRDefault="206F6762" w:rsidP="57897CA1">
      <w:pPr>
        <w:jc w:val="center"/>
        <w:rPr>
          <w:rFonts w:ascii="Arial" w:eastAsia="Arial" w:hAnsi="Arial" w:cs="Arial"/>
          <w:color w:val="000000" w:themeColor="text1"/>
        </w:rPr>
      </w:pPr>
      <w:r w:rsidRPr="5904C04C">
        <w:rPr>
          <w:rFonts w:ascii="Arial" w:eastAsia="Arial" w:hAnsi="Arial" w:cs="Arial"/>
          <w:b/>
          <w:color w:val="000000" w:themeColor="text1"/>
        </w:rPr>
        <w:t>ASSETS &amp; INVENTORIES POLICY</w:t>
      </w:r>
    </w:p>
    <w:p w14:paraId="4F7A39FE" w14:textId="1F803FCE" w:rsidR="75CA53AF" w:rsidRDefault="75CA53AF" w:rsidP="75CA53AF">
      <w:pPr>
        <w:rPr>
          <w:rFonts w:ascii="Arial" w:eastAsia="Arial" w:hAnsi="Arial" w:cs="Arial"/>
          <w:b/>
        </w:rPr>
      </w:pPr>
    </w:p>
    <w:p w14:paraId="4AC4A194" w14:textId="0C476925" w:rsidR="75CA53AF" w:rsidRDefault="75CA53AF" w:rsidP="75CA53AF">
      <w:pPr>
        <w:rPr>
          <w:rFonts w:ascii="Arial" w:eastAsia="Arial" w:hAnsi="Arial" w:cs="Arial"/>
          <w:b/>
        </w:rPr>
      </w:pPr>
    </w:p>
    <w:p w14:paraId="0EEC316F" w14:textId="2D2340B8" w:rsidR="75CA53AF" w:rsidRDefault="75CA53AF" w:rsidP="75CA53AF">
      <w:pPr>
        <w:rPr>
          <w:rFonts w:ascii="Arial" w:eastAsia="Arial" w:hAnsi="Arial" w:cs="Arial"/>
          <w:b/>
        </w:rPr>
      </w:pPr>
    </w:p>
    <w:p w14:paraId="41E74EB8" w14:textId="360AD880" w:rsidR="75CA53AF" w:rsidRDefault="75CA53AF" w:rsidP="75CA53AF">
      <w:pPr>
        <w:rPr>
          <w:rFonts w:ascii="Arial" w:eastAsia="Arial" w:hAnsi="Arial" w:cs="Arial"/>
          <w:b/>
        </w:rPr>
      </w:pPr>
    </w:p>
    <w:p w14:paraId="6B834C83" w14:textId="166BBD68" w:rsidR="75CA53AF" w:rsidRDefault="75CA53AF" w:rsidP="75CA53AF">
      <w:pPr>
        <w:rPr>
          <w:rFonts w:ascii="Arial" w:eastAsia="Arial" w:hAnsi="Arial" w:cs="Arial"/>
          <w:b/>
        </w:rPr>
      </w:pPr>
    </w:p>
    <w:p w14:paraId="763B25B8" w14:textId="373CB19D" w:rsidR="75CA53AF" w:rsidRDefault="75CA53AF" w:rsidP="75CA53AF">
      <w:pPr>
        <w:rPr>
          <w:rFonts w:ascii="Arial" w:eastAsia="Arial" w:hAnsi="Arial" w:cs="Arial"/>
          <w:b/>
        </w:rPr>
      </w:pPr>
    </w:p>
    <w:p w14:paraId="62BE29E0" w14:textId="32E08186" w:rsidR="75CA53AF" w:rsidRDefault="75CA53AF" w:rsidP="75CA53AF">
      <w:pPr>
        <w:rPr>
          <w:rFonts w:ascii="Arial" w:eastAsia="Arial" w:hAnsi="Arial" w:cs="Arial"/>
          <w:b/>
        </w:rPr>
      </w:pPr>
    </w:p>
    <w:p w14:paraId="0C1B5D03" w14:textId="0AED945F" w:rsidR="75CA53AF" w:rsidRDefault="75CA53AF" w:rsidP="75CA53AF">
      <w:pPr>
        <w:rPr>
          <w:rFonts w:ascii="Arial" w:eastAsia="Arial" w:hAnsi="Arial" w:cs="Arial"/>
          <w:b/>
        </w:rPr>
      </w:pPr>
    </w:p>
    <w:p w14:paraId="50EB248E" w14:textId="66C09FCD" w:rsidR="75CA53AF" w:rsidRDefault="75CA53AF" w:rsidP="75CA53AF">
      <w:pPr>
        <w:rPr>
          <w:rFonts w:ascii="Arial" w:eastAsia="Arial" w:hAnsi="Arial" w:cs="Arial"/>
          <w:b/>
        </w:rPr>
      </w:pPr>
    </w:p>
    <w:p w14:paraId="1023EFDF" w14:textId="7FCBE9AE" w:rsidR="75CA53AF" w:rsidRDefault="75CA53AF" w:rsidP="75CA53AF">
      <w:pPr>
        <w:rPr>
          <w:rFonts w:ascii="Arial" w:eastAsia="Arial" w:hAnsi="Arial" w:cs="Arial"/>
          <w:b/>
        </w:rPr>
      </w:pPr>
    </w:p>
    <w:p w14:paraId="156E5F98" w14:textId="274C0AE1" w:rsidR="75CA53AF" w:rsidRDefault="75CA53AF" w:rsidP="75CA53AF">
      <w:pPr>
        <w:rPr>
          <w:rFonts w:ascii="Arial" w:eastAsia="Arial" w:hAnsi="Arial" w:cs="Arial"/>
          <w:b/>
        </w:rPr>
      </w:pPr>
    </w:p>
    <w:p w14:paraId="566A58D4" w14:textId="2FD60AFF" w:rsidR="75CA53AF" w:rsidRDefault="75CA53AF" w:rsidP="75CA53AF">
      <w:pPr>
        <w:rPr>
          <w:rFonts w:ascii="Arial" w:eastAsia="Arial" w:hAnsi="Arial" w:cs="Arial"/>
          <w:b/>
        </w:rPr>
      </w:pPr>
    </w:p>
    <w:p w14:paraId="6DE499B1" w14:textId="42C47387" w:rsidR="75CA53AF" w:rsidRDefault="75CA53AF" w:rsidP="75CA53AF">
      <w:pPr>
        <w:rPr>
          <w:rFonts w:ascii="Arial" w:eastAsia="Arial" w:hAnsi="Arial" w:cs="Arial"/>
          <w:b/>
        </w:rPr>
      </w:pPr>
    </w:p>
    <w:p w14:paraId="58CEE816" w14:textId="01892F0A" w:rsidR="75CA53AF" w:rsidRDefault="75CA53AF" w:rsidP="75CA53AF">
      <w:pPr>
        <w:rPr>
          <w:rFonts w:ascii="Arial" w:eastAsia="Arial" w:hAnsi="Arial" w:cs="Arial"/>
          <w:b/>
        </w:rPr>
      </w:pPr>
    </w:p>
    <w:p w14:paraId="43558F23" w14:textId="649AED52" w:rsidR="75CA53AF" w:rsidRDefault="75CA53AF" w:rsidP="75CA53AF">
      <w:pPr>
        <w:rPr>
          <w:rFonts w:ascii="Arial" w:eastAsia="Arial" w:hAnsi="Arial" w:cs="Arial"/>
          <w:b/>
        </w:rPr>
      </w:pPr>
    </w:p>
    <w:p w14:paraId="55A0FD9B" w14:textId="20579949" w:rsidR="75CA53AF" w:rsidRDefault="75CA53AF" w:rsidP="75CA53AF">
      <w:pPr>
        <w:rPr>
          <w:rFonts w:ascii="Arial" w:eastAsia="Arial" w:hAnsi="Arial" w:cs="Arial"/>
          <w:b/>
        </w:rPr>
      </w:pPr>
    </w:p>
    <w:p w14:paraId="525D4844" w14:textId="2C626A0D" w:rsidR="75CA53AF" w:rsidRDefault="75CA53AF" w:rsidP="75CA53AF">
      <w:pPr>
        <w:rPr>
          <w:rFonts w:ascii="Arial" w:eastAsia="Arial" w:hAnsi="Arial" w:cs="Arial"/>
          <w:b/>
        </w:rPr>
      </w:pPr>
    </w:p>
    <w:p w14:paraId="69E12A76" w14:textId="43B87B51" w:rsidR="75CA53AF" w:rsidRDefault="75CA53AF" w:rsidP="75CA53AF">
      <w:pPr>
        <w:rPr>
          <w:rFonts w:ascii="Arial" w:eastAsia="Arial" w:hAnsi="Arial" w:cs="Arial"/>
          <w:b/>
        </w:rPr>
      </w:pPr>
    </w:p>
    <w:p w14:paraId="49AA678C" w14:textId="45731B72" w:rsidR="75CA53AF" w:rsidRDefault="75CA53AF" w:rsidP="75CA53AF">
      <w:pPr>
        <w:rPr>
          <w:rFonts w:ascii="Arial" w:eastAsia="Arial" w:hAnsi="Arial" w:cs="Arial"/>
          <w:b/>
        </w:rPr>
      </w:pPr>
    </w:p>
    <w:p w14:paraId="5875373B" w14:textId="133E35DC" w:rsidR="75CA53AF" w:rsidRDefault="75CA53AF" w:rsidP="75CA53AF">
      <w:pPr>
        <w:rPr>
          <w:rFonts w:ascii="Arial" w:eastAsia="Arial" w:hAnsi="Arial" w:cs="Arial"/>
          <w:b/>
        </w:rPr>
      </w:pPr>
    </w:p>
    <w:p w14:paraId="5131A7E7" w14:textId="3675E3EA" w:rsidR="75CA53AF" w:rsidRDefault="75CA53AF" w:rsidP="75CA53AF">
      <w:pPr>
        <w:rPr>
          <w:rFonts w:ascii="Arial" w:eastAsia="Arial" w:hAnsi="Arial" w:cs="Arial"/>
          <w:b/>
        </w:rPr>
      </w:pPr>
    </w:p>
    <w:p w14:paraId="01E7919A" w14:textId="2F94B29A" w:rsidR="75CA53AF" w:rsidRDefault="75CA53AF" w:rsidP="75CA53AF">
      <w:pPr>
        <w:rPr>
          <w:rFonts w:ascii="Arial" w:eastAsia="Arial" w:hAnsi="Arial" w:cs="Arial"/>
          <w:b/>
        </w:rPr>
      </w:pPr>
    </w:p>
    <w:p w14:paraId="63CD6D53" w14:textId="69693622" w:rsidR="75CA53AF" w:rsidRDefault="75CA53AF" w:rsidP="75CA53AF">
      <w:pPr>
        <w:rPr>
          <w:rFonts w:ascii="Arial" w:eastAsia="Arial" w:hAnsi="Arial" w:cs="Arial"/>
          <w:b/>
        </w:rPr>
      </w:pPr>
    </w:p>
    <w:p w14:paraId="1898F5C0" w14:textId="290F37FA" w:rsidR="75CA53AF" w:rsidRDefault="75CA53AF" w:rsidP="75CA53AF">
      <w:pPr>
        <w:rPr>
          <w:rFonts w:ascii="Arial" w:eastAsia="Arial" w:hAnsi="Arial" w:cs="Arial"/>
          <w:b/>
        </w:rPr>
      </w:pPr>
    </w:p>
    <w:p w14:paraId="1B1E780E" w14:textId="4CE42368" w:rsidR="75CA53AF" w:rsidRDefault="75CA53AF" w:rsidP="75CA53AF">
      <w:pPr>
        <w:rPr>
          <w:rFonts w:ascii="Arial" w:eastAsia="Arial" w:hAnsi="Arial" w:cs="Arial"/>
          <w:b/>
        </w:rPr>
      </w:pPr>
    </w:p>
    <w:p w14:paraId="764C2662" w14:textId="208A58E5" w:rsidR="75CA53AF" w:rsidRDefault="75CA53AF" w:rsidP="75CA53AF">
      <w:pPr>
        <w:rPr>
          <w:rFonts w:ascii="Arial" w:eastAsia="Arial" w:hAnsi="Arial" w:cs="Arial"/>
          <w:b/>
        </w:rPr>
      </w:pPr>
    </w:p>
    <w:tbl>
      <w:tblPr>
        <w:tblStyle w:val="TableGrid"/>
        <w:tblW w:w="0" w:type="auto"/>
        <w:tblLayout w:type="fixed"/>
        <w:tblLook w:val="04A0" w:firstRow="1" w:lastRow="0" w:firstColumn="1" w:lastColumn="0" w:noHBand="0" w:noVBand="1"/>
      </w:tblPr>
      <w:tblGrid>
        <w:gridCol w:w="3105"/>
        <w:gridCol w:w="3240"/>
      </w:tblGrid>
      <w:tr w:rsidR="75CA53AF" w14:paraId="48A0D754" w14:textId="77777777" w:rsidTr="75CA53AF">
        <w:tc>
          <w:tcPr>
            <w:tcW w:w="3105" w:type="dxa"/>
          </w:tcPr>
          <w:p w14:paraId="17A0991F" w14:textId="29A33CDF" w:rsidR="75CA53AF" w:rsidRDefault="75CA53AF" w:rsidP="75CA53AF">
            <w:pPr>
              <w:rPr>
                <w:rFonts w:ascii="Arial" w:eastAsia="Arial" w:hAnsi="Arial" w:cs="Arial"/>
                <w:color w:val="000000" w:themeColor="text1"/>
                <w:sz w:val="22"/>
                <w:szCs w:val="22"/>
              </w:rPr>
            </w:pPr>
            <w:r w:rsidRPr="5904C04C">
              <w:rPr>
                <w:rFonts w:ascii="Arial" w:eastAsia="Arial" w:hAnsi="Arial" w:cs="Arial"/>
                <w:color w:val="000000" w:themeColor="text1"/>
                <w:sz w:val="22"/>
                <w:szCs w:val="22"/>
              </w:rPr>
              <w:t>Owner:</w:t>
            </w:r>
          </w:p>
        </w:tc>
        <w:tc>
          <w:tcPr>
            <w:tcW w:w="3240" w:type="dxa"/>
          </w:tcPr>
          <w:p w14:paraId="245D0462" w14:textId="5883CE78" w:rsidR="75CA53AF" w:rsidRDefault="75CA53AF" w:rsidP="75CA53AF">
            <w:pPr>
              <w:jc w:val="right"/>
              <w:rPr>
                <w:rFonts w:ascii="Arial" w:eastAsia="Arial" w:hAnsi="Arial" w:cs="Arial"/>
                <w:color w:val="000000" w:themeColor="text1"/>
                <w:sz w:val="22"/>
                <w:szCs w:val="22"/>
              </w:rPr>
            </w:pPr>
            <w:r w:rsidRPr="5904C04C">
              <w:rPr>
                <w:rFonts w:ascii="Arial" w:eastAsia="Arial" w:hAnsi="Arial" w:cs="Arial"/>
                <w:color w:val="000000" w:themeColor="text1"/>
                <w:sz w:val="22"/>
                <w:szCs w:val="22"/>
              </w:rPr>
              <w:t xml:space="preserve">Chief Financial Officer </w:t>
            </w:r>
          </w:p>
        </w:tc>
      </w:tr>
      <w:tr w:rsidR="75CA53AF" w14:paraId="3E62CDB0" w14:textId="77777777" w:rsidTr="75CA53AF">
        <w:tc>
          <w:tcPr>
            <w:tcW w:w="3105" w:type="dxa"/>
          </w:tcPr>
          <w:p w14:paraId="24C967B5" w14:textId="18000434" w:rsidR="75CA53AF" w:rsidRDefault="75CA53AF" w:rsidP="75CA53AF">
            <w:pPr>
              <w:rPr>
                <w:rFonts w:ascii="Arial" w:eastAsia="Arial" w:hAnsi="Arial" w:cs="Arial"/>
                <w:color w:val="000000" w:themeColor="text1"/>
              </w:rPr>
            </w:pPr>
            <w:r w:rsidRPr="5904C04C">
              <w:rPr>
                <w:rFonts w:ascii="Arial" w:eastAsia="Arial" w:hAnsi="Arial" w:cs="Arial"/>
                <w:color w:val="000000" w:themeColor="text1"/>
              </w:rPr>
              <w:t>Version number:</w:t>
            </w:r>
          </w:p>
        </w:tc>
        <w:tc>
          <w:tcPr>
            <w:tcW w:w="3240" w:type="dxa"/>
          </w:tcPr>
          <w:p w14:paraId="2BAB2920" w14:textId="3899A19C" w:rsidR="75CA53AF" w:rsidRDefault="75CA53AF" w:rsidP="75CA53AF">
            <w:pPr>
              <w:jc w:val="right"/>
              <w:rPr>
                <w:rFonts w:ascii="Arial" w:eastAsia="Arial" w:hAnsi="Arial" w:cs="Arial"/>
                <w:color w:val="000000" w:themeColor="text1"/>
              </w:rPr>
            </w:pPr>
            <w:r w:rsidRPr="5904C04C">
              <w:rPr>
                <w:rFonts w:ascii="Arial" w:eastAsia="Arial" w:hAnsi="Arial" w:cs="Arial"/>
                <w:color w:val="000000" w:themeColor="text1"/>
              </w:rPr>
              <w:t>1.0</w:t>
            </w:r>
          </w:p>
        </w:tc>
      </w:tr>
      <w:tr w:rsidR="75CA53AF" w14:paraId="34281F86" w14:textId="77777777" w:rsidTr="75CA53AF">
        <w:tc>
          <w:tcPr>
            <w:tcW w:w="3105" w:type="dxa"/>
          </w:tcPr>
          <w:p w14:paraId="240B2C01" w14:textId="4CF67155" w:rsidR="75CA53AF" w:rsidRDefault="75CA53AF" w:rsidP="75CA53AF">
            <w:pPr>
              <w:rPr>
                <w:rFonts w:ascii="Arial" w:eastAsia="Arial" w:hAnsi="Arial" w:cs="Arial"/>
                <w:color w:val="000000" w:themeColor="text1"/>
              </w:rPr>
            </w:pPr>
            <w:r w:rsidRPr="5904C04C">
              <w:rPr>
                <w:rFonts w:ascii="Arial" w:eastAsia="Arial" w:hAnsi="Arial" w:cs="Arial"/>
                <w:color w:val="000000" w:themeColor="text1"/>
              </w:rPr>
              <w:t>Last revised date:</w:t>
            </w:r>
          </w:p>
        </w:tc>
        <w:tc>
          <w:tcPr>
            <w:tcW w:w="3240" w:type="dxa"/>
          </w:tcPr>
          <w:p w14:paraId="7CA89DFC" w14:textId="3ABC521A" w:rsidR="07240773" w:rsidRDefault="07240773" w:rsidP="75CA53AF">
            <w:pPr>
              <w:jc w:val="right"/>
              <w:rPr>
                <w:rFonts w:ascii="Arial" w:eastAsia="Arial" w:hAnsi="Arial" w:cs="Arial"/>
                <w:color w:val="000000" w:themeColor="text1"/>
              </w:rPr>
            </w:pPr>
            <w:r w:rsidRPr="5904C04C">
              <w:rPr>
                <w:rFonts w:ascii="Arial" w:eastAsia="Arial" w:hAnsi="Arial" w:cs="Arial"/>
                <w:color w:val="000000" w:themeColor="text1"/>
              </w:rPr>
              <w:t>Octobe</w:t>
            </w:r>
            <w:r w:rsidR="75CA53AF" w:rsidRPr="5904C04C">
              <w:rPr>
                <w:rFonts w:ascii="Arial" w:eastAsia="Arial" w:hAnsi="Arial" w:cs="Arial"/>
                <w:color w:val="000000" w:themeColor="text1"/>
              </w:rPr>
              <w:t>r 202</w:t>
            </w:r>
            <w:r w:rsidR="60664ABF" w:rsidRPr="5904C04C">
              <w:rPr>
                <w:rFonts w:ascii="Arial" w:eastAsia="Arial" w:hAnsi="Arial" w:cs="Arial"/>
                <w:color w:val="000000" w:themeColor="text1"/>
              </w:rPr>
              <w:t>2</w:t>
            </w:r>
          </w:p>
        </w:tc>
      </w:tr>
      <w:tr w:rsidR="75CA53AF" w14:paraId="0FFABC0C" w14:textId="77777777" w:rsidTr="75CA53AF">
        <w:tc>
          <w:tcPr>
            <w:tcW w:w="3105" w:type="dxa"/>
          </w:tcPr>
          <w:p w14:paraId="71E65CA7" w14:textId="485B60B7" w:rsidR="75CA53AF" w:rsidRDefault="75CA53AF" w:rsidP="75CA53AF">
            <w:pPr>
              <w:rPr>
                <w:rFonts w:ascii="Arial" w:eastAsia="Arial" w:hAnsi="Arial" w:cs="Arial"/>
                <w:color w:val="000000" w:themeColor="text1"/>
              </w:rPr>
            </w:pPr>
            <w:r w:rsidRPr="5904C04C">
              <w:rPr>
                <w:rFonts w:ascii="Arial" w:eastAsia="Arial" w:hAnsi="Arial" w:cs="Arial"/>
                <w:color w:val="000000" w:themeColor="text1"/>
              </w:rPr>
              <w:t>Next revised date:</w:t>
            </w:r>
          </w:p>
        </w:tc>
        <w:tc>
          <w:tcPr>
            <w:tcW w:w="3240" w:type="dxa"/>
          </w:tcPr>
          <w:p w14:paraId="212102E3" w14:textId="2661C9E0" w:rsidR="6F9A24C8" w:rsidRDefault="6F9A24C8" w:rsidP="75CA53AF">
            <w:pPr>
              <w:jc w:val="right"/>
              <w:rPr>
                <w:rFonts w:ascii="Arial" w:eastAsia="Arial" w:hAnsi="Arial" w:cs="Arial"/>
                <w:color w:val="000000" w:themeColor="text1"/>
              </w:rPr>
            </w:pPr>
            <w:r w:rsidRPr="5904C04C">
              <w:rPr>
                <w:rFonts w:ascii="Arial" w:eastAsia="Arial" w:hAnsi="Arial" w:cs="Arial"/>
                <w:color w:val="000000" w:themeColor="text1"/>
              </w:rPr>
              <w:t>October</w:t>
            </w:r>
            <w:r w:rsidR="75CA53AF" w:rsidRPr="5904C04C">
              <w:rPr>
                <w:rFonts w:ascii="Arial" w:eastAsia="Arial" w:hAnsi="Arial" w:cs="Arial"/>
                <w:color w:val="000000" w:themeColor="text1"/>
              </w:rPr>
              <w:t xml:space="preserve"> 202</w:t>
            </w:r>
            <w:r w:rsidR="787EC36D" w:rsidRPr="5904C04C">
              <w:rPr>
                <w:rFonts w:ascii="Arial" w:eastAsia="Arial" w:hAnsi="Arial" w:cs="Arial"/>
                <w:color w:val="000000" w:themeColor="text1"/>
              </w:rPr>
              <w:t>4</w:t>
            </w:r>
          </w:p>
        </w:tc>
      </w:tr>
    </w:tbl>
    <w:p w14:paraId="43B7A993" w14:textId="4F047C16" w:rsidR="75CA53AF" w:rsidRDefault="75CA53AF" w:rsidP="75CA53AF">
      <w:pPr>
        <w:rPr>
          <w:rFonts w:ascii="Work Sans" w:hAnsi="Work Sans"/>
          <w:b/>
          <w:bCs/>
        </w:rPr>
      </w:pPr>
    </w:p>
    <w:p w14:paraId="241BAFAE" w14:textId="0D73C992" w:rsidR="75CA53AF" w:rsidRDefault="75CA53AF" w:rsidP="75CA53AF">
      <w:pPr>
        <w:rPr>
          <w:rFonts w:ascii="Work Sans" w:hAnsi="Work Sans"/>
          <w:b/>
          <w:bCs/>
        </w:rPr>
      </w:pPr>
    </w:p>
    <w:p w14:paraId="0469419D" w14:textId="02AD331E" w:rsidR="75CA53AF" w:rsidRDefault="75CA53AF" w:rsidP="75CA53AF">
      <w:pPr>
        <w:rPr>
          <w:rFonts w:ascii="Work Sans" w:hAnsi="Work Sans"/>
          <w:b/>
          <w:bCs/>
        </w:rPr>
      </w:pPr>
    </w:p>
    <w:p w14:paraId="14373435" w14:textId="7F6EC333" w:rsidR="75CA53AF" w:rsidRDefault="75CA53AF" w:rsidP="75CA53AF">
      <w:pPr>
        <w:rPr>
          <w:rFonts w:ascii="Work Sans" w:hAnsi="Work Sans"/>
          <w:b/>
          <w:bCs/>
        </w:rPr>
      </w:pPr>
    </w:p>
    <w:p w14:paraId="344C8785" w14:textId="19A154CF" w:rsidR="008D22CF" w:rsidRPr="00D97BFE" w:rsidRDefault="00117FCC" w:rsidP="00117FCC">
      <w:pPr>
        <w:rPr>
          <w:rFonts w:ascii="Arial" w:hAnsi="Arial" w:cs="Arial"/>
          <w:b/>
        </w:rPr>
      </w:pPr>
      <w:r w:rsidRPr="00D97BFE">
        <w:rPr>
          <w:rFonts w:ascii="Arial" w:hAnsi="Arial" w:cs="Arial"/>
          <w:b/>
        </w:rPr>
        <w:t xml:space="preserve">1     </w:t>
      </w:r>
      <w:r w:rsidR="008D22CF" w:rsidRPr="00D97BFE">
        <w:rPr>
          <w:rFonts w:ascii="Arial" w:hAnsi="Arial" w:cs="Arial"/>
          <w:b/>
        </w:rPr>
        <w:t>ASSETS AND INVENTORIES</w:t>
      </w:r>
    </w:p>
    <w:p w14:paraId="76F7BD0C" w14:textId="77777777" w:rsidR="008D22CF" w:rsidRPr="00D97BFE" w:rsidRDefault="008D22CF" w:rsidP="008D22CF">
      <w:pPr>
        <w:rPr>
          <w:rFonts w:ascii="Arial" w:hAnsi="Arial" w:cs="Arial"/>
          <w:b/>
        </w:rPr>
      </w:pPr>
    </w:p>
    <w:p w14:paraId="191C7D5B" w14:textId="77777777" w:rsidR="008D22CF" w:rsidRPr="00D97BFE" w:rsidRDefault="008D22CF" w:rsidP="008D22CF">
      <w:pPr>
        <w:numPr>
          <w:ilvl w:val="1"/>
          <w:numId w:val="1"/>
        </w:numPr>
        <w:rPr>
          <w:rFonts w:ascii="Arial" w:hAnsi="Arial" w:cs="Arial"/>
          <w:b/>
        </w:rPr>
      </w:pPr>
      <w:r w:rsidRPr="00D97BFE">
        <w:rPr>
          <w:rFonts w:ascii="Arial" w:hAnsi="Arial" w:cs="Arial"/>
          <w:b/>
        </w:rPr>
        <w:t>General</w:t>
      </w:r>
    </w:p>
    <w:p w14:paraId="7501D99B" w14:textId="77777777" w:rsidR="008D22CF" w:rsidRPr="00D97BFE" w:rsidRDefault="008D22CF" w:rsidP="008D22CF">
      <w:pPr>
        <w:rPr>
          <w:rFonts w:ascii="Arial" w:hAnsi="Arial" w:cs="Arial"/>
          <w:b/>
        </w:rPr>
      </w:pPr>
    </w:p>
    <w:p w14:paraId="63060F6F" w14:textId="7F856F94" w:rsidR="008D22CF" w:rsidRDefault="008D22CF" w:rsidP="008D22CF">
      <w:pPr>
        <w:numPr>
          <w:ilvl w:val="2"/>
          <w:numId w:val="1"/>
        </w:numPr>
        <w:rPr>
          <w:rFonts w:ascii="Arial" w:hAnsi="Arial" w:cs="Arial"/>
        </w:rPr>
      </w:pPr>
      <w:r w:rsidRPr="00D97BFE">
        <w:rPr>
          <w:rFonts w:ascii="Arial" w:hAnsi="Arial" w:cs="Arial"/>
        </w:rPr>
        <w:t>Pro Vice Chancellors and Heads of Professional Services are responsible for:</w:t>
      </w:r>
    </w:p>
    <w:p w14:paraId="25B46C7B" w14:textId="77777777" w:rsidR="00D97BFE" w:rsidRPr="00D97BFE" w:rsidRDefault="00D97BFE" w:rsidP="00D97BFE">
      <w:pPr>
        <w:ind w:left="862"/>
        <w:rPr>
          <w:rFonts w:ascii="Arial" w:hAnsi="Arial" w:cs="Arial"/>
        </w:rPr>
      </w:pPr>
    </w:p>
    <w:p w14:paraId="7A8B068A" w14:textId="77777777" w:rsidR="008D22CF" w:rsidRPr="00D97BFE" w:rsidRDefault="008D22CF" w:rsidP="008D22CF">
      <w:pPr>
        <w:numPr>
          <w:ilvl w:val="0"/>
          <w:numId w:val="4"/>
        </w:numPr>
        <w:tabs>
          <w:tab w:val="clear" w:pos="360"/>
          <w:tab w:val="num" w:pos="1080"/>
        </w:tabs>
        <w:ind w:left="1080"/>
        <w:rPr>
          <w:rFonts w:ascii="Arial" w:hAnsi="Arial" w:cs="Arial"/>
        </w:rPr>
      </w:pPr>
      <w:r w:rsidRPr="00D97BFE">
        <w:rPr>
          <w:rFonts w:ascii="Arial" w:hAnsi="Arial" w:cs="Arial"/>
        </w:rPr>
        <w:t xml:space="preserve">The care and custody of assets in their Faculty/Directorate; </w:t>
      </w:r>
    </w:p>
    <w:p w14:paraId="4286C795" w14:textId="77777777" w:rsidR="008D22CF" w:rsidRPr="00D97BFE" w:rsidRDefault="008D22CF" w:rsidP="008D22CF">
      <w:pPr>
        <w:numPr>
          <w:ilvl w:val="0"/>
          <w:numId w:val="4"/>
        </w:numPr>
        <w:tabs>
          <w:tab w:val="clear" w:pos="360"/>
          <w:tab w:val="num" w:pos="1080"/>
        </w:tabs>
        <w:ind w:left="1080"/>
        <w:rPr>
          <w:rFonts w:ascii="Arial" w:hAnsi="Arial" w:cs="Arial"/>
        </w:rPr>
      </w:pPr>
      <w:r w:rsidRPr="00D97BFE">
        <w:rPr>
          <w:rFonts w:ascii="Arial" w:hAnsi="Arial" w:cs="Arial"/>
        </w:rPr>
        <w:t xml:space="preserve">Maintaining an </w:t>
      </w:r>
      <w:r w:rsidRPr="00D97BFE">
        <w:rPr>
          <w:rFonts w:ascii="Arial" w:hAnsi="Arial" w:cs="Arial"/>
          <w:b/>
        </w:rPr>
        <w:t>inventory</w:t>
      </w:r>
      <w:r w:rsidRPr="00D97BFE">
        <w:rPr>
          <w:rFonts w:ascii="Arial" w:hAnsi="Arial" w:cs="Arial"/>
        </w:rPr>
        <w:t xml:space="preserve"> of all assets in their respective faculty/professional service;</w:t>
      </w:r>
    </w:p>
    <w:p w14:paraId="47A364E3" w14:textId="77777777" w:rsidR="008D22CF" w:rsidRPr="00D97BFE" w:rsidRDefault="008D22CF" w:rsidP="008D22CF">
      <w:pPr>
        <w:numPr>
          <w:ilvl w:val="0"/>
          <w:numId w:val="4"/>
        </w:numPr>
        <w:tabs>
          <w:tab w:val="clear" w:pos="360"/>
          <w:tab w:val="num" w:pos="1080"/>
        </w:tabs>
        <w:ind w:left="1080"/>
        <w:rPr>
          <w:rFonts w:ascii="Arial" w:hAnsi="Arial" w:cs="Arial"/>
        </w:rPr>
      </w:pPr>
      <w:r w:rsidRPr="00D97BFE">
        <w:rPr>
          <w:rFonts w:ascii="Arial" w:hAnsi="Arial" w:cs="Arial"/>
        </w:rPr>
        <w:t>Ensuring that staff in their faculty/professional service comply with these financial regulations in relation to property/assets.</w:t>
      </w:r>
    </w:p>
    <w:p w14:paraId="6262366C" w14:textId="77777777" w:rsidR="008D22CF" w:rsidRPr="00D97BFE" w:rsidRDefault="008D22CF" w:rsidP="008D22CF">
      <w:pPr>
        <w:rPr>
          <w:rFonts w:ascii="Arial" w:hAnsi="Arial" w:cs="Arial"/>
        </w:rPr>
      </w:pPr>
    </w:p>
    <w:p w14:paraId="6CCEC4E4" w14:textId="23A89AEF" w:rsidR="008D22CF" w:rsidRDefault="008D22CF" w:rsidP="008D22CF">
      <w:pPr>
        <w:numPr>
          <w:ilvl w:val="2"/>
          <w:numId w:val="1"/>
        </w:numPr>
        <w:rPr>
          <w:rFonts w:ascii="Arial" w:hAnsi="Arial" w:cs="Arial"/>
        </w:rPr>
      </w:pPr>
      <w:r w:rsidRPr="00D97BFE">
        <w:rPr>
          <w:rFonts w:ascii="Arial" w:hAnsi="Arial" w:cs="Arial"/>
        </w:rPr>
        <w:t>The Chief Financial Officer is responsible for:</w:t>
      </w:r>
    </w:p>
    <w:p w14:paraId="0ECAB4FE" w14:textId="77777777" w:rsidR="00E147B8" w:rsidRPr="00D97BFE" w:rsidRDefault="00E147B8" w:rsidP="00E147B8">
      <w:pPr>
        <w:ind w:left="862"/>
        <w:rPr>
          <w:rFonts w:ascii="Arial" w:hAnsi="Arial" w:cs="Arial"/>
        </w:rPr>
      </w:pPr>
    </w:p>
    <w:p w14:paraId="5364621A" w14:textId="77777777" w:rsidR="008D22CF" w:rsidRPr="00D97BFE" w:rsidRDefault="008D22CF" w:rsidP="008D22CF">
      <w:pPr>
        <w:numPr>
          <w:ilvl w:val="0"/>
          <w:numId w:val="2"/>
        </w:numPr>
        <w:tabs>
          <w:tab w:val="left" w:pos="1080"/>
        </w:tabs>
        <w:ind w:firstLine="360"/>
        <w:rPr>
          <w:rFonts w:ascii="Arial" w:hAnsi="Arial" w:cs="Arial"/>
        </w:rPr>
      </w:pPr>
      <w:r w:rsidRPr="00D97BFE">
        <w:rPr>
          <w:rFonts w:ascii="Arial" w:hAnsi="Arial" w:cs="Arial"/>
        </w:rPr>
        <w:t>Maintaining the University fixed asset register</w:t>
      </w:r>
    </w:p>
    <w:p w14:paraId="4D146246" w14:textId="77777777" w:rsidR="008D22CF" w:rsidRPr="00D97BFE" w:rsidRDefault="008D22CF" w:rsidP="008D22CF">
      <w:pPr>
        <w:numPr>
          <w:ilvl w:val="0"/>
          <w:numId w:val="2"/>
        </w:numPr>
        <w:tabs>
          <w:tab w:val="left" w:pos="1080"/>
        </w:tabs>
        <w:ind w:firstLine="360"/>
        <w:rPr>
          <w:rFonts w:ascii="Arial" w:hAnsi="Arial" w:cs="Arial"/>
        </w:rPr>
      </w:pPr>
      <w:r w:rsidRPr="00D97BFE">
        <w:rPr>
          <w:rFonts w:ascii="Arial" w:hAnsi="Arial" w:cs="Arial"/>
          <w:bCs/>
        </w:rPr>
        <w:t>O</w:t>
      </w:r>
      <w:r w:rsidRPr="00D97BFE">
        <w:rPr>
          <w:rFonts w:ascii="Arial" w:hAnsi="Arial" w:cs="Arial"/>
        </w:rPr>
        <w:t>versight of inventories maintained by faculties and professional services.</w:t>
      </w:r>
    </w:p>
    <w:p w14:paraId="220B07AD" w14:textId="77777777" w:rsidR="008D22CF" w:rsidRPr="00D97BFE" w:rsidRDefault="008D22CF" w:rsidP="008D22CF">
      <w:pPr>
        <w:rPr>
          <w:rFonts w:ascii="Arial" w:hAnsi="Arial" w:cs="Arial"/>
        </w:rPr>
      </w:pPr>
    </w:p>
    <w:p w14:paraId="1C322F13" w14:textId="77777777" w:rsidR="008D22CF" w:rsidRPr="00D97BFE" w:rsidRDefault="008D22CF" w:rsidP="008D22CF">
      <w:pPr>
        <w:numPr>
          <w:ilvl w:val="2"/>
          <w:numId w:val="1"/>
        </w:numPr>
        <w:rPr>
          <w:rFonts w:ascii="Arial" w:hAnsi="Arial" w:cs="Arial"/>
        </w:rPr>
      </w:pPr>
      <w:r w:rsidRPr="00D97BFE">
        <w:rPr>
          <w:rFonts w:ascii="Arial" w:hAnsi="Arial" w:cs="Arial"/>
        </w:rPr>
        <w:t>The Director of Information and Library Services is responsible maintaining an Inventory of Computer Equipment.</w:t>
      </w:r>
    </w:p>
    <w:p w14:paraId="4C449A5C" w14:textId="77777777" w:rsidR="008D22CF" w:rsidRPr="00D97BFE" w:rsidRDefault="008D22CF" w:rsidP="008D22CF">
      <w:pPr>
        <w:rPr>
          <w:rFonts w:ascii="Arial" w:hAnsi="Arial" w:cs="Arial"/>
        </w:rPr>
      </w:pPr>
      <w:r w:rsidRPr="00D97BFE">
        <w:rPr>
          <w:rFonts w:ascii="Arial" w:hAnsi="Arial" w:cs="Arial"/>
        </w:rPr>
        <w:t xml:space="preserve"> </w:t>
      </w:r>
    </w:p>
    <w:p w14:paraId="7EE28692" w14:textId="77777777" w:rsidR="008D22CF" w:rsidRPr="00D97BFE" w:rsidRDefault="008D22CF" w:rsidP="008D22CF">
      <w:pPr>
        <w:numPr>
          <w:ilvl w:val="2"/>
          <w:numId w:val="1"/>
        </w:numPr>
        <w:rPr>
          <w:rFonts w:ascii="Arial" w:hAnsi="Arial" w:cs="Arial"/>
        </w:rPr>
      </w:pPr>
      <w:r w:rsidRPr="00D97BFE">
        <w:rPr>
          <w:rFonts w:ascii="Arial" w:hAnsi="Arial" w:cs="Arial"/>
        </w:rPr>
        <w:t xml:space="preserve">The Director of Estates and Facilities is responsible for the custody and maintenance of all freehold, long leasehold and short leasehold properties. </w:t>
      </w:r>
    </w:p>
    <w:p w14:paraId="5351965C" w14:textId="77777777" w:rsidR="008D22CF" w:rsidRPr="00D97BFE" w:rsidRDefault="008D22CF" w:rsidP="008D22CF">
      <w:pPr>
        <w:rPr>
          <w:rFonts w:ascii="Arial" w:hAnsi="Arial" w:cs="Arial"/>
        </w:rPr>
      </w:pPr>
    </w:p>
    <w:p w14:paraId="7C02230E" w14:textId="77777777" w:rsidR="008D22CF" w:rsidRPr="00D97BFE" w:rsidRDefault="008D22CF" w:rsidP="008D22CF">
      <w:pPr>
        <w:numPr>
          <w:ilvl w:val="2"/>
          <w:numId w:val="1"/>
        </w:numPr>
        <w:rPr>
          <w:rFonts w:ascii="Arial" w:hAnsi="Arial" w:cs="Arial"/>
        </w:rPr>
      </w:pPr>
      <w:r w:rsidRPr="00D97BFE">
        <w:rPr>
          <w:rFonts w:ascii="Arial" w:hAnsi="Arial" w:cs="Arial"/>
        </w:rPr>
        <w:t>Assets owned or leased by the University shall not be subject to personal use without proper authorisation.</w:t>
      </w:r>
    </w:p>
    <w:p w14:paraId="7907D5E8" w14:textId="77777777" w:rsidR="008D22CF" w:rsidRPr="00D97BFE" w:rsidRDefault="008D22CF" w:rsidP="008D22CF">
      <w:pPr>
        <w:rPr>
          <w:rFonts w:ascii="Arial" w:hAnsi="Arial" w:cs="Arial"/>
        </w:rPr>
      </w:pPr>
    </w:p>
    <w:p w14:paraId="3CA60F01" w14:textId="77777777" w:rsidR="008D22CF" w:rsidRPr="00D97BFE" w:rsidRDefault="008D22CF" w:rsidP="008D22CF">
      <w:pPr>
        <w:numPr>
          <w:ilvl w:val="2"/>
          <w:numId w:val="1"/>
        </w:numPr>
        <w:rPr>
          <w:rFonts w:ascii="Arial" w:hAnsi="Arial" w:cs="Arial"/>
        </w:rPr>
      </w:pPr>
      <w:r w:rsidRPr="00D97BFE">
        <w:rPr>
          <w:rFonts w:ascii="Arial" w:hAnsi="Arial" w:cs="Arial"/>
        </w:rPr>
        <w:t>University equipment may not be removed from the premises without prior approval by the appropriate senior manager in writing. Insurance cover must be considered and be adequate.</w:t>
      </w:r>
    </w:p>
    <w:p w14:paraId="499A7E97" w14:textId="77777777" w:rsidR="008D22CF" w:rsidRPr="00D97BFE" w:rsidRDefault="008D22CF" w:rsidP="008D22CF">
      <w:pPr>
        <w:rPr>
          <w:rFonts w:ascii="Arial" w:hAnsi="Arial" w:cs="Arial"/>
        </w:rPr>
      </w:pPr>
    </w:p>
    <w:p w14:paraId="46F74FE8" w14:textId="77777777" w:rsidR="008D22CF" w:rsidRPr="00D97BFE" w:rsidRDefault="008D22CF" w:rsidP="008D22CF">
      <w:pPr>
        <w:numPr>
          <w:ilvl w:val="2"/>
          <w:numId w:val="1"/>
        </w:numPr>
        <w:rPr>
          <w:rFonts w:ascii="Arial" w:hAnsi="Arial" w:cs="Arial"/>
        </w:rPr>
      </w:pPr>
      <w:r w:rsidRPr="00D97BFE">
        <w:rPr>
          <w:rFonts w:ascii="Arial" w:hAnsi="Arial" w:cs="Arial"/>
        </w:rPr>
        <w:t>Employees should inform their manager immediately of any theft / loss of University property. Where appropriate loss must be reported to the University’s Insurance Officer as an insurance claim may need to be made.</w:t>
      </w:r>
    </w:p>
    <w:p w14:paraId="18C14416" w14:textId="77777777" w:rsidR="008D22CF" w:rsidRDefault="008D22CF" w:rsidP="008D22CF">
      <w:pPr>
        <w:rPr>
          <w:rFonts w:ascii="Arial" w:hAnsi="Arial" w:cs="Arial"/>
          <w:b/>
        </w:rPr>
      </w:pPr>
    </w:p>
    <w:p w14:paraId="4CBD6EEC" w14:textId="77777777" w:rsidR="00E147B8" w:rsidRPr="00D97BFE" w:rsidRDefault="00E147B8" w:rsidP="008D22CF">
      <w:pPr>
        <w:rPr>
          <w:rFonts w:ascii="Arial" w:hAnsi="Arial" w:cs="Arial"/>
          <w:b/>
        </w:rPr>
      </w:pPr>
    </w:p>
    <w:p w14:paraId="495DBA70" w14:textId="77777777" w:rsidR="008D22CF" w:rsidRPr="00D97BFE" w:rsidRDefault="008D22CF" w:rsidP="008D22CF">
      <w:pPr>
        <w:numPr>
          <w:ilvl w:val="1"/>
          <w:numId w:val="1"/>
        </w:numPr>
        <w:rPr>
          <w:rFonts w:ascii="Arial" w:hAnsi="Arial" w:cs="Arial"/>
          <w:b/>
        </w:rPr>
      </w:pPr>
      <w:r w:rsidRPr="00D97BFE">
        <w:rPr>
          <w:rFonts w:ascii="Arial" w:hAnsi="Arial" w:cs="Arial"/>
          <w:b/>
        </w:rPr>
        <w:t>Inventories</w:t>
      </w:r>
    </w:p>
    <w:p w14:paraId="2BC6283D" w14:textId="77777777" w:rsidR="008D22CF" w:rsidRPr="00D97BFE" w:rsidRDefault="008D22CF" w:rsidP="008D22CF">
      <w:pPr>
        <w:rPr>
          <w:rFonts w:ascii="Arial" w:hAnsi="Arial" w:cs="Arial"/>
          <w:b/>
        </w:rPr>
      </w:pPr>
    </w:p>
    <w:p w14:paraId="6C0285EC" w14:textId="77777777" w:rsidR="008D22CF" w:rsidRPr="00D97BFE" w:rsidRDefault="008D22CF" w:rsidP="008D22CF">
      <w:pPr>
        <w:numPr>
          <w:ilvl w:val="2"/>
          <w:numId w:val="1"/>
        </w:numPr>
        <w:rPr>
          <w:rFonts w:ascii="Arial" w:hAnsi="Arial" w:cs="Arial"/>
        </w:rPr>
      </w:pPr>
      <w:r w:rsidRPr="00D97BFE">
        <w:rPr>
          <w:rFonts w:ascii="Arial" w:hAnsi="Arial" w:cs="Arial"/>
        </w:rPr>
        <w:t xml:space="preserve">An inventory must be kept by each Faculty and Directorate of all university property. This must be updated on an ongoing basis, with an annual physical verification of inventory items. </w:t>
      </w:r>
    </w:p>
    <w:p w14:paraId="37D89FCD" w14:textId="77777777" w:rsidR="008D22CF" w:rsidRPr="00D97BFE" w:rsidRDefault="008D22CF" w:rsidP="008D22CF">
      <w:pPr>
        <w:rPr>
          <w:rFonts w:ascii="Arial" w:hAnsi="Arial" w:cs="Arial"/>
          <w:b/>
        </w:rPr>
      </w:pPr>
    </w:p>
    <w:p w14:paraId="0C775910" w14:textId="77777777" w:rsidR="008D22CF" w:rsidRPr="00D97BFE" w:rsidRDefault="008D22CF" w:rsidP="008D22CF">
      <w:pPr>
        <w:numPr>
          <w:ilvl w:val="2"/>
          <w:numId w:val="1"/>
        </w:numPr>
        <w:rPr>
          <w:rFonts w:ascii="Arial" w:hAnsi="Arial" w:cs="Arial"/>
        </w:rPr>
      </w:pPr>
      <w:r w:rsidRPr="00D97BFE">
        <w:rPr>
          <w:rFonts w:ascii="Arial" w:hAnsi="Arial" w:cs="Arial"/>
        </w:rPr>
        <w:t xml:space="preserve">The Chief Financial Officer shall determine the format and required content of the inventory and the timing the annual physical inventory. </w:t>
      </w:r>
    </w:p>
    <w:p w14:paraId="59A06944" w14:textId="77777777" w:rsidR="008D22CF" w:rsidRPr="00D97BFE" w:rsidRDefault="008D22CF" w:rsidP="008D22CF">
      <w:pPr>
        <w:rPr>
          <w:rFonts w:ascii="Arial" w:hAnsi="Arial" w:cs="Arial"/>
        </w:rPr>
      </w:pPr>
    </w:p>
    <w:p w14:paraId="79F34737" w14:textId="77777777" w:rsidR="008D22CF" w:rsidRPr="00D97BFE" w:rsidRDefault="008D22CF" w:rsidP="008D22CF">
      <w:pPr>
        <w:numPr>
          <w:ilvl w:val="2"/>
          <w:numId w:val="1"/>
        </w:numPr>
        <w:rPr>
          <w:rFonts w:ascii="Arial" w:hAnsi="Arial" w:cs="Arial"/>
        </w:rPr>
      </w:pPr>
      <w:r w:rsidRPr="00D97BFE">
        <w:rPr>
          <w:rFonts w:ascii="Arial" w:hAnsi="Arial" w:cs="Arial"/>
        </w:rPr>
        <w:t>Inventories maintained by faculties and offices shall be made available to the Chief Financial Officer (or any member of staff nominated by him/her).</w:t>
      </w:r>
    </w:p>
    <w:p w14:paraId="0500104E" w14:textId="77777777" w:rsidR="008D22CF" w:rsidRPr="00D97BFE" w:rsidRDefault="008D22CF" w:rsidP="008D22CF">
      <w:pPr>
        <w:rPr>
          <w:rFonts w:ascii="Arial" w:hAnsi="Arial" w:cs="Arial"/>
        </w:rPr>
      </w:pPr>
    </w:p>
    <w:p w14:paraId="6E7E359C" w14:textId="77777777" w:rsidR="008D22CF" w:rsidRPr="00D97BFE" w:rsidRDefault="008D22CF" w:rsidP="008D22CF">
      <w:pPr>
        <w:numPr>
          <w:ilvl w:val="2"/>
          <w:numId w:val="1"/>
        </w:numPr>
        <w:rPr>
          <w:rFonts w:ascii="Arial" w:hAnsi="Arial" w:cs="Arial"/>
        </w:rPr>
      </w:pPr>
      <w:r w:rsidRPr="00D97BFE">
        <w:rPr>
          <w:rFonts w:ascii="Arial" w:hAnsi="Arial" w:cs="Arial"/>
        </w:rPr>
        <w:lastRenderedPageBreak/>
        <w:t>When transferring equipment, e.g. between faculties/departments, a transfer record must be kept and the inventories amended accordingly.</w:t>
      </w:r>
    </w:p>
    <w:p w14:paraId="7ADB8121" w14:textId="77777777" w:rsidR="008D22CF" w:rsidRPr="00D97BFE" w:rsidRDefault="008D22CF" w:rsidP="008D22CF">
      <w:pPr>
        <w:rPr>
          <w:rFonts w:ascii="Arial" w:hAnsi="Arial" w:cs="Arial"/>
        </w:rPr>
      </w:pPr>
    </w:p>
    <w:p w14:paraId="51F5B8B6" w14:textId="77777777" w:rsidR="008D22CF" w:rsidRPr="00D97BFE" w:rsidRDefault="008D22CF" w:rsidP="008D22CF">
      <w:pPr>
        <w:numPr>
          <w:ilvl w:val="2"/>
          <w:numId w:val="1"/>
        </w:numPr>
        <w:rPr>
          <w:rFonts w:ascii="Arial" w:hAnsi="Arial" w:cs="Arial"/>
        </w:rPr>
      </w:pPr>
      <w:r w:rsidRPr="00D97BFE">
        <w:rPr>
          <w:rFonts w:ascii="Arial" w:hAnsi="Arial" w:cs="Arial"/>
        </w:rPr>
        <w:t xml:space="preserve">Maintenance of inventories shall comply with the detailed </w:t>
      </w:r>
      <w:r w:rsidRPr="00D97BFE">
        <w:rPr>
          <w:rFonts w:ascii="Arial" w:hAnsi="Arial" w:cs="Arial"/>
          <w:u w:val="single"/>
        </w:rPr>
        <w:t>Inventory Procedures</w:t>
      </w:r>
      <w:r w:rsidRPr="00D97BFE">
        <w:rPr>
          <w:rFonts w:ascii="Arial" w:hAnsi="Arial" w:cs="Arial"/>
        </w:rPr>
        <w:t>.</w:t>
      </w:r>
    </w:p>
    <w:p w14:paraId="5ABC0358" w14:textId="77777777" w:rsidR="008D22CF" w:rsidRPr="00D97BFE" w:rsidRDefault="008D22CF" w:rsidP="008D22CF">
      <w:pPr>
        <w:rPr>
          <w:rFonts w:ascii="Arial" w:hAnsi="Arial" w:cs="Arial"/>
          <w:b/>
        </w:rPr>
      </w:pPr>
    </w:p>
    <w:p w14:paraId="79D93004" w14:textId="77777777" w:rsidR="008D22CF" w:rsidRPr="00D97BFE" w:rsidRDefault="008D22CF" w:rsidP="008D22CF">
      <w:pPr>
        <w:rPr>
          <w:rFonts w:ascii="Arial" w:hAnsi="Arial" w:cs="Arial"/>
          <w:b/>
        </w:rPr>
      </w:pPr>
    </w:p>
    <w:p w14:paraId="1C13FC9F" w14:textId="77777777" w:rsidR="008D22CF" w:rsidRPr="00D97BFE" w:rsidRDefault="008D22CF" w:rsidP="008D22CF">
      <w:pPr>
        <w:numPr>
          <w:ilvl w:val="1"/>
          <w:numId w:val="1"/>
        </w:numPr>
        <w:rPr>
          <w:rFonts w:ascii="Arial" w:hAnsi="Arial" w:cs="Arial"/>
          <w:b/>
        </w:rPr>
      </w:pPr>
      <w:r w:rsidRPr="00D97BFE">
        <w:rPr>
          <w:rFonts w:ascii="Arial" w:hAnsi="Arial" w:cs="Arial"/>
          <w:b/>
        </w:rPr>
        <w:t>Fixed assets</w:t>
      </w:r>
    </w:p>
    <w:p w14:paraId="45CF1A48" w14:textId="77777777" w:rsidR="008D22CF" w:rsidRPr="00D97BFE" w:rsidRDefault="008D22CF" w:rsidP="008D22CF">
      <w:pPr>
        <w:tabs>
          <w:tab w:val="num" w:pos="0"/>
        </w:tabs>
        <w:rPr>
          <w:rFonts w:ascii="Arial" w:hAnsi="Arial" w:cs="Arial"/>
        </w:rPr>
      </w:pPr>
    </w:p>
    <w:p w14:paraId="353010AD" w14:textId="1A552B54" w:rsidR="008D22CF" w:rsidRDefault="008D22CF" w:rsidP="008D22CF">
      <w:pPr>
        <w:numPr>
          <w:ilvl w:val="2"/>
          <w:numId w:val="1"/>
        </w:numPr>
        <w:rPr>
          <w:rFonts w:ascii="Arial" w:hAnsi="Arial" w:cs="Arial"/>
        </w:rPr>
      </w:pPr>
      <w:r w:rsidRPr="00D97BFE">
        <w:rPr>
          <w:rFonts w:ascii="Arial" w:hAnsi="Arial" w:cs="Arial"/>
        </w:rPr>
        <w:t>Fixed assets are categorised for the purpose of these financial regulations as follows:</w:t>
      </w:r>
    </w:p>
    <w:p w14:paraId="58C77392" w14:textId="77777777" w:rsidR="00E147B8" w:rsidRPr="00D97BFE" w:rsidRDefault="00E147B8" w:rsidP="00E147B8">
      <w:pPr>
        <w:ind w:left="862"/>
        <w:rPr>
          <w:rFonts w:ascii="Arial" w:hAnsi="Arial" w:cs="Arial"/>
        </w:rPr>
      </w:pPr>
    </w:p>
    <w:p w14:paraId="0FFC927E" w14:textId="77777777" w:rsidR="008D22CF" w:rsidRPr="00D97BFE" w:rsidRDefault="008D22CF" w:rsidP="008D22CF">
      <w:pPr>
        <w:numPr>
          <w:ilvl w:val="0"/>
          <w:numId w:val="3"/>
        </w:numPr>
        <w:tabs>
          <w:tab w:val="left" w:pos="1080"/>
        </w:tabs>
        <w:ind w:firstLine="360"/>
        <w:rPr>
          <w:rFonts w:ascii="Arial" w:hAnsi="Arial" w:cs="Arial"/>
        </w:rPr>
      </w:pPr>
      <w:r w:rsidRPr="00D97BFE">
        <w:rPr>
          <w:rFonts w:ascii="Arial" w:hAnsi="Arial" w:cs="Arial"/>
        </w:rPr>
        <w:t>Freehold land and buildings</w:t>
      </w:r>
    </w:p>
    <w:p w14:paraId="678CB6D9" w14:textId="77777777" w:rsidR="008D22CF" w:rsidRPr="00D97BFE" w:rsidRDefault="008D22CF" w:rsidP="008D22CF">
      <w:pPr>
        <w:numPr>
          <w:ilvl w:val="0"/>
          <w:numId w:val="3"/>
        </w:numPr>
        <w:tabs>
          <w:tab w:val="left" w:pos="1080"/>
        </w:tabs>
        <w:ind w:firstLine="360"/>
        <w:rPr>
          <w:rFonts w:ascii="Arial" w:hAnsi="Arial" w:cs="Arial"/>
        </w:rPr>
      </w:pPr>
      <w:r w:rsidRPr="00D97BFE">
        <w:rPr>
          <w:rFonts w:ascii="Arial" w:hAnsi="Arial" w:cs="Arial"/>
        </w:rPr>
        <w:t>Long leasehold land and buildings</w:t>
      </w:r>
    </w:p>
    <w:p w14:paraId="1C4FA330" w14:textId="77777777" w:rsidR="008D22CF" w:rsidRPr="00D97BFE" w:rsidRDefault="008D22CF" w:rsidP="008D22CF">
      <w:pPr>
        <w:numPr>
          <w:ilvl w:val="0"/>
          <w:numId w:val="3"/>
        </w:numPr>
        <w:tabs>
          <w:tab w:val="left" w:pos="1080"/>
        </w:tabs>
        <w:ind w:firstLine="360"/>
        <w:rPr>
          <w:rFonts w:ascii="Arial" w:hAnsi="Arial" w:cs="Arial"/>
        </w:rPr>
      </w:pPr>
      <w:r w:rsidRPr="00D97BFE">
        <w:rPr>
          <w:rFonts w:ascii="Arial" w:hAnsi="Arial" w:cs="Arial"/>
        </w:rPr>
        <w:t>Short leasehold land and buildings</w:t>
      </w:r>
    </w:p>
    <w:p w14:paraId="363421AF" w14:textId="77777777" w:rsidR="008D22CF" w:rsidRPr="00D97BFE" w:rsidRDefault="008D22CF" w:rsidP="008D22CF">
      <w:pPr>
        <w:numPr>
          <w:ilvl w:val="0"/>
          <w:numId w:val="3"/>
        </w:numPr>
        <w:tabs>
          <w:tab w:val="left" w:pos="1080"/>
        </w:tabs>
        <w:ind w:firstLine="360"/>
        <w:rPr>
          <w:rFonts w:ascii="Arial" w:hAnsi="Arial" w:cs="Arial"/>
        </w:rPr>
      </w:pPr>
      <w:r w:rsidRPr="00D97BFE">
        <w:rPr>
          <w:rFonts w:ascii="Arial" w:hAnsi="Arial" w:cs="Arial"/>
        </w:rPr>
        <w:t xml:space="preserve">Motor vehicles costing &gt;£6,000 (including VAT). </w:t>
      </w:r>
    </w:p>
    <w:p w14:paraId="08FD07BA" w14:textId="77777777" w:rsidR="008D22CF" w:rsidRPr="00D97BFE" w:rsidRDefault="008D22CF" w:rsidP="008D22CF">
      <w:pPr>
        <w:numPr>
          <w:ilvl w:val="0"/>
          <w:numId w:val="3"/>
        </w:numPr>
        <w:tabs>
          <w:tab w:val="clear" w:pos="360"/>
          <w:tab w:val="num" w:pos="1080"/>
        </w:tabs>
        <w:ind w:left="1080"/>
        <w:rPr>
          <w:rFonts w:ascii="Arial" w:hAnsi="Arial" w:cs="Arial"/>
        </w:rPr>
      </w:pPr>
      <w:r w:rsidRPr="00D97BFE">
        <w:rPr>
          <w:rFonts w:ascii="Arial" w:hAnsi="Arial" w:cs="Arial"/>
        </w:rPr>
        <w:t>Computers/computing equipment costing &gt;£6,000 (including VAT) for individual items.</w:t>
      </w:r>
    </w:p>
    <w:p w14:paraId="6E1E132E" w14:textId="77777777" w:rsidR="008D22CF" w:rsidRPr="00D97BFE" w:rsidRDefault="008D22CF" w:rsidP="008D22CF">
      <w:pPr>
        <w:numPr>
          <w:ilvl w:val="0"/>
          <w:numId w:val="3"/>
        </w:numPr>
        <w:tabs>
          <w:tab w:val="clear" w:pos="360"/>
          <w:tab w:val="num" w:pos="1080"/>
        </w:tabs>
        <w:ind w:left="1080"/>
        <w:rPr>
          <w:rFonts w:ascii="Arial" w:hAnsi="Arial" w:cs="Arial"/>
        </w:rPr>
      </w:pPr>
      <w:r w:rsidRPr="00D97BFE">
        <w:rPr>
          <w:rFonts w:ascii="Arial" w:hAnsi="Arial" w:cs="Arial"/>
        </w:rPr>
        <w:t>Equipment costing &gt;£6,000 (individual items).</w:t>
      </w:r>
    </w:p>
    <w:p w14:paraId="12D2B6C9" w14:textId="77777777" w:rsidR="008D22CF" w:rsidRPr="00D97BFE" w:rsidRDefault="008D22CF" w:rsidP="008D22CF">
      <w:pPr>
        <w:tabs>
          <w:tab w:val="num" w:pos="0"/>
        </w:tabs>
        <w:rPr>
          <w:rFonts w:ascii="Arial" w:hAnsi="Arial" w:cs="Arial"/>
        </w:rPr>
      </w:pPr>
    </w:p>
    <w:p w14:paraId="38BB063A" w14:textId="77777777" w:rsidR="008D22CF" w:rsidRPr="00D97BFE" w:rsidRDefault="008D22CF" w:rsidP="008D22CF">
      <w:pPr>
        <w:numPr>
          <w:ilvl w:val="2"/>
          <w:numId w:val="1"/>
        </w:numPr>
        <w:rPr>
          <w:rFonts w:ascii="Arial" w:hAnsi="Arial" w:cs="Arial"/>
        </w:rPr>
      </w:pPr>
      <w:r w:rsidRPr="00D97BFE">
        <w:rPr>
          <w:rFonts w:ascii="Arial" w:hAnsi="Arial" w:cs="Arial"/>
        </w:rPr>
        <w:t>A fixed asset register shall be maintained for all "capital" assets of the University. Heads of Department will provide the Chief Financial Officer with any information he or she may need to maintain the register.</w:t>
      </w:r>
    </w:p>
    <w:p w14:paraId="79EAA44D" w14:textId="77777777" w:rsidR="008D22CF" w:rsidRDefault="008D22CF" w:rsidP="008D22CF">
      <w:pPr>
        <w:rPr>
          <w:rFonts w:ascii="Arial" w:hAnsi="Arial" w:cs="Arial"/>
          <w:b/>
        </w:rPr>
      </w:pPr>
    </w:p>
    <w:p w14:paraId="1649FA68" w14:textId="77777777" w:rsidR="00E147B8" w:rsidRPr="00D97BFE" w:rsidRDefault="00E147B8" w:rsidP="008D22CF">
      <w:pPr>
        <w:rPr>
          <w:rFonts w:ascii="Arial" w:hAnsi="Arial" w:cs="Arial"/>
          <w:b/>
        </w:rPr>
      </w:pPr>
    </w:p>
    <w:p w14:paraId="39AE17E2" w14:textId="77777777" w:rsidR="008D22CF" w:rsidRPr="00D97BFE" w:rsidRDefault="008D22CF" w:rsidP="008D22CF">
      <w:pPr>
        <w:numPr>
          <w:ilvl w:val="1"/>
          <w:numId w:val="1"/>
        </w:numPr>
        <w:rPr>
          <w:rFonts w:ascii="Arial" w:hAnsi="Arial" w:cs="Arial"/>
          <w:b/>
        </w:rPr>
      </w:pPr>
      <w:r w:rsidRPr="00D97BFE">
        <w:rPr>
          <w:rFonts w:ascii="Arial" w:hAnsi="Arial" w:cs="Arial"/>
          <w:b/>
        </w:rPr>
        <w:t xml:space="preserve">Acquisition of Assets </w:t>
      </w:r>
    </w:p>
    <w:p w14:paraId="66D700F5" w14:textId="77777777" w:rsidR="008D22CF" w:rsidRPr="00D97BFE" w:rsidRDefault="008D22CF" w:rsidP="008D22CF">
      <w:pPr>
        <w:rPr>
          <w:rFonts w:ascii="Arial" w:hAnsi="Arial" w:cs="Arial"/>
          <w:b/>
        </w:rPr>
      </w:pPr>
    </w:p>
    <w:p w14:paraId="614C9842" w14:textId="77777777" w:rsidR="008D22CF" w:rsidRPr="00D97BFE" w:rsidRDefault="008D22CF" w:rsidP="008D22CF">
      <w:pPr>
        <w:numPr>
          <w:ilvl w:val="2"/>
          <w:numId w:val="1"/>
        </w:numPr>
        <w:rPr>
          <w:rFonts w:ascii="Arial" w:hAnsi="Arial" w:cs="Arial"/>
        </w:rPr>
      </w:pPr>
      <w:r w:rsidRPr="00D97BFE">
        <w:rPr>
          <w:rFonts w:ascii="Arial" w:hAnsi="Arial" w:cs="Arial"/>
        </w:rPr>
        <w:t>Land and Buildings shall only be purchased or leased on the approval of the Governing Body. The acquisition proposal must be agreed by the Vice Chancellor before submission to the Governing Body (via the Finance Committee).</w:t>
      </w:r>
    </w:p>
    <w:p w14:paraId="527A1356" w14:textId="77777777" w:rsidR="008D22CF" w:rsidRPr="00D97BFE" w:rsidRDefault="008D22CF" w:rsidP="008D22CF">
      <w:pPr>
        <w:rPr>
          <w:rFonts w:ascii="Arial" w:hAnsi="Arial" w:cs="Arial"/>
        </w:rPr>
      </w:pPr>
    </w:p>
    <w:p w14:paraId="3044B1A5" w14:textId="77777777" w:rsidR="008D22CF" w:rsidRPr="00D97BFE" w:rsidRDefault="008D22CF" w:rsidP="008D22CF">
      <w:pPr>
        <w:numPr>
          <w:ilvl w:val="2"/>
          <w:numId w:val="1"/>
        </w:numPr>
        <w:rPr>
          <w:rFonts w:ascii="Arial" w:hAnsi="Arial" w:cs="Arial"/>
        </w:rPr>
      </w:pPr>
      <w:r w:rsidRPr="00D97BFE">
        <w:rPr>
          <w:rFonts w:ascii="Arial" w:hAnsi="Arial" w:cs="Arial"/>
        </w:rPr>
        <w:t xml:space="preserve">Motor Vehicles shall only be acquired through the Office of the Transport Manager in the Estates and Facilities Directorate. This requires the prior approval of the Chief Financial Officer, and must comply with the University’s procurement regulations.  </w:t>
      </w:r>
    </w:p>
    <w:p w14:paraId="565FD3E4" w14:textId="77777777" w:rsidR="008D22CF" w:rsidRPr="00D97BFE" w:rsidRDefault="008D22CF" w:rsidP="008D22CF">
      <w:pPr>
        <w:rPr>
          <w:rFonts w:ascii="Arial" w:hAnsi="Arial" w:cs="Arial"/>
        </w:rPr>
      </w:pPr>
    </w:p>
    <w:p w14:paraId="3550C093" w14:textId="77777777" w:rsidR="008D22CF" w:rsidRPr="00D97BFE" w:rsidRDefault="008D22CF" w:rsidP="008D22CF">
      <w:pPr>
        <w:numPr>
          <w:ilvl w:val="2"/>
          <w:numId w:val="1"/>
        </w:numPr>
        <w:rPr>
          <w:rFonts w:ascii="Arial" w:hAnsi="Arial" w:cs="Arial"/>
        </w:rPr>
      </w:pPr>
      <w:r w:rsidRPr="00D97BFE">
        <w:rPr>
          <w:rFonts w:ascii="Arial" w:hAnsi="Arial" w:cs="Arial"/>
        </w:rPr>
        <w:t>Computers and equipment can be acquired by any faculty or directorate in the course of their normal activities. If there are health and safety or accommodation implications in relation to the acquisition of the item of equipment this should be brought to the attention of the University Secretary before the procurement is made.</w:t>
      </w:r>
    </w:p>
    <w:p w14:paraId="75F88CB5" w14:textId="77777777" w:rsidR="008D22CF" w:rsidRDefault="008D22CF" w:rsidP="008D22CF">
      <w:pPr>
        <w:rPr>
          <w:rFonts w:ascii="Arial" w:hAnsi="Arial" w:cs="Arial"/>
          <w:b/>
        </w:rPr>
      </w:pPr>
    </w:p>
    <w:p w14:paraId="623B6BA3" w14:textId="77777777" w:rsidR="00E147B8" w:rsidRPr="00D97BFE" w:rsidRDefault="00E147B8" w:rsidP="008D22CF">
      <w:pPr>
        <w:rPr>
          <w:rFonts w:ascii="Arial" w:hAnsi="Arial" w:cs="Arial"/>
          <w:b/>
        </w:rPr>
      </w:pPr>
    </w:p>
    <w:p w14:paraId="5B3AFCA1" w14:textId="77777777" w:rsidR="008D22CF" w:rsidRPr="00D97BFE" w:rsidRDefault="008D22CF" w:rsidP="008D22CF">
      <w:pPr>
        <w:numPr>
          <w:ilvl w:val="1"/>
          <w:numId w:val="1"/>
        </w:numPr>
        <w:rPr>
          <w:rFonts w:ascii="Arial" w:hAnsi="Arial" w:cs="Arial"/>
          <w:b/>
        </w:rPr>
      </w:pPr>
      <w:r w:rsidRPr="00D97BFE">
        <w:rPr>
          <w:rFonts w:ascii="Arial" w:hAnsi="Arial" w:cs="Arial"/>
          <w:b/>
        </w:rPr>
        <w:t xml:space="preserve">Disposal of Assets </w:t>
      </w:r>
    </w:p>
    <w:p w14:paraId="00FA9684" w14:textId="77777777" w:rsidR="008D22CF" w:rsidRPr="00D97BFE" w:rsidRDefault="008D22CF" w:rsidP="008D22CF">
      <w:pPr>
        <w:rPr>
          <w:rFonts w:ascii="Arial" w:hAnsi="Arial" w:cs="Arial"/>
          <w:b/>
        </w:rPr>
      </w:pPr>
    </w:p>
    <w:p w14:paraId="286CFA41" w14:textId="77777777" w:rsidR="008D22CF" w:rsidRPr="00D97BFE" w:rsidRDefault="008D22CF" w:rsidP="008D22CF">
      <w:pPr>
        <w:numPr>
          <w:ilvl w:val="2"/>
          <w:numId w:val="1"/>
        </w:numPr>
        <w:rPr>
          <w:rFonts w:ascii="Arial" w:hAnsi="Arial" w:cs="Arial"/>
        </w:rPr>
      </w:pPr>
      <w:r w:rsidRPr="00D97BFE">
        <w:rPr>
          <w:rFonts w:ascii="Arial" w:hAnsi="Arial" w:cs="Arial"/>
        </w:rPr>
        <w:t xml:space="preserve">The disposal of freehold, short leasehold, and long leasehold land and buildings requires the prior approval of the Governing Body. The Director of Estates and Facilities (with the approval of the Vice Chancellor) shall initiate the process of disposing of these categories of assets. VAT and other tax </w:t>
      </w:r>
      <w:r w:rsidRPr="00D97BFE">
        <w:rPr>
          <w:rFonts w:ascii="Arial" w:hAnsi="Arial" w:cs="Arial"/>
        </w:rPr>
        <w:lastRenderedPageBreak/>
        <w:t>implications must be considered for all proposed disposals. OfS consent may also be required if exchequer funds are associated with the asset to be disposed.</w:t>
      </w:r>
    </w:p>
    <w:p w14:paraId="77C96135" w14:textId="77777777" w:rsidR="008D22CF" w:rsidRPr="00D97BFE" w:rsidRDefault="008D22CF" w:rsidP="008D22CF">
      <w:pPr>
        <w:rPr>
          <w:rFonts w:ascii="Arial" w:hAnsi="Arial" w:cs="Arial"/>
        </w:rPr>
      </w:pPr>
    </w:p>
    <w:p w14:paraId="03A3328B" w14:textId="77777777" w:rsidR="008D22CF" w:rsidRPr="00D97BFE" w:rsidRDefault="008D22CF" w:rsidP="008D22CF">
      <w:pPr>
        <w:numPr>
          <w:ilvl w:val="2"/>
          <w:numId w:val="1"/>
        </w:numPr>
        <w:rPr>
          <w:rFonts w:ascii="Arial" w:hAnsi="Arial" w:cs="Arial"/>
        </w:rPr>
      </w:pPr>
      <w:r w:rsidRPr="00D97BFE">
        <w:rPr>
          <w:rFonts w:ascii="Arial" w:hAnsi="Arial" w:cs="Arial"/>
        </w:rPr>
        <w:t>Disposal of computers and computing equipment must be undertaken through the ILS Directorate.</w:t>
      </w:r>
    </w:p>
    <w:p w14:paraId="26D6B92B" w14:textId="77777777" w:rsidR="008D22CF" w:rsidRPr="00D97BFE" w:rsidRDefault="008D22CF" w:rsidP="008D22CF">
      <w:pPr>
        <w:rPr>
          <w:rFonts w:ascii="Arial" w:hAnsi="Arial" w:cs="Arial"/>
        </w:rPr>
      </w:pPr>
    </w:p>
    <w:p w14:paraId="168A62B7" w14:textId="77777777" w:rsidR="008D22CF" w:rsidRPr="00D97BFE" w:rsidRDefault="008D22CF" w:rsidP="008D22CF">
      <w:pPr>
        <w:numPr>
          <w:ilvl w:val="2"/>
          <w:numId w:val="1"/>
        </w:numPr>
        <w:rPr>
          <w:rFonts w:ascii="Arial" w:hAnsi="Arial" w:cs="Arial"/>
        </w:rPr>
      </w:pPr>
      <w:r w:rsidRPr="00D97BFE">
        <w:rPr>
          <w:rFonts w:ascii="Arial" w:hAnsi="Arial" w:cs="Arial"/>
        </w:rPr>
        <w:t xml:space="preserve">Disposal of other property (e.g. equipment) that has a saleable value must be in consultation with the Procurement Office.   </w:t>
      </w:r>
    </w:p>
    <w:p w14:paraId="0493F93E" w14:textId="77777777" w:rsidR="0006747D" w:rsidRPr="00D97BFE" w:rsidRDefault="0006747D">
      <w:pPr>
        <w:rPr>
          <w:rFonts w:ascii="Arial" w:hAnsi="Arial" w:cs="Arial"/>
        </w:rPr>
      </w:pPr>
    </w:p>
    <w:sectPr w:rsidR="0006747D" w:rsidRPr="00D97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600A"/>
    <w:multiLevelType w:val="hybridMultilevel"/>
    <w:tmpl w:val="16E23F76"/>
    <w:lvl w:ilvl="0" w:tplc="55AC2E0E">
      <w:start w:val="1"/>
      <w:numFmt w:val="lowerLetter"/>
      <w:lvlText w:val="(%1)"/>
      <w:lvlJc w:val="left"/>
      <w:pPr>
        <w:tabs>
          <w:tab w:val="num" w:pos="360"/>
        </w:tabs>
        <w:ind w:left="360" w:hanging="360"/>
      </w:pPr>
      <w:rPr>
        <w:rFonts w:hint="default"/>
      </w:rPr>
    </w:lvl>
    <w:lvl w:ilvl="1" w:tplc="DF844580">
      <w:start w:val="1"/>
      <w:numFmt w:val="lowerLetter"/>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9B3490"/>
    <w:multiLevelType w:val="hybridMultilevel"/>
    <w:tmpl w:val="5A168C9C"/>
    <w:lvl w:ilvl="0" w:tplc="EC029752">
      <w:start w:val="1"/>
      <w:numFmt w:val="lowerLetter"/>
      <w:lvlText w:val="(%1)"/>
      <w:lvlJc w:val="left"/>
      <w:pPr>
        <w:tabs>
          <w:tab w:val="num" w:pos="360"/>
        </w:tabs>
        <w:ind w:left="360" w:hanging="360"/>
      </w:pPr>
      <w:rPr>
        <w:rFonts w:hint="default"/>
      </w:rPr>
    </w:lvl>
    <w:lvl w:ilvl="1" w:tplc="B13E1644">
      <w:numFmt w:val="decimal"/>
      <w:lvlText w:val=""/>
      <w:lvlJc w:val="left"/>
    </w:lvl>
    <w:lvl w:ilvl="2" w:tplc="B58A214C">
      <w:numFmt w:val="decimal"/>
      <w:lvlText w:val=""/>
      <w:lvlJc w:val="left"/>
    </w:lvl>
    <w:lvl w:ilvl="3" w:tplc="C7860F4E">
      <w:numFmt w:val="decimal"/>
      <w:lvlText w:val=""/>
      <w:lvlJc w:val="left"/>
    </w:lvl>
    <w:lvl w:ilvl="4" w:tplc="9B709286">
      <w:numFmt w:val="decimal"/>
      <w:lvlText w:val=""/>
      <w:lvlJc w:val="left"/>
    </w:lvl>
    <w:lvl w:ilvl="5" w:tplc="8370C63A">
      <w:numFmt w:val="decimal"/>
      <w:lvlText w:val=""/>
      <w:lvlJc w:val="left"/>
    </w:lvl>
    <w:lvl w:ilvl="6" w:tplc="3EF84140">
      <w:numFmt w:val="decimal"/>
      <w:lvlText w:val=""/>
      <w:lvlJc w:val="left"/>
    </w:lvl>
    <w:lvl w:ilvl="7" w:tplc="87F4390A">
      <w:numFmt w:val="decimal"/>
      <w:lvlText w:val=""/>
      <w:lvlJc w:val="left"/>
    </w:lvl>
    <w:lvl w:ilvl="8" w:tplc="908A9638">
      <w:numFmt w:val="decimal"/>
      <w:lvlText w:val=""/>
      <w:lvlJc w:val="left"/>
    </w:lvl>
  </w:abstractNum>
  <w:abstractNum w:abstractNumId="2" w15:restartNumberingAfterBreak="0">
    <w:nsid w:val="234959CA"/>
    <w:multiLevelType w:val="hybridMultilevel"/>
    <w:tmpl w:val="977AA4AC"/>
    <w:lvl w:ilvl="0" w:tplc="F3C429B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4D667969"/>
    <w:multiLevelType w:val="hybridMultilevel"/>
    <w:tmpl w:val="0470ABF4"/>
    <w:lvl w:ilvl="0" w:tplc="9BF6A1FC">
      <w:start w:val="1"/>
      <w:numFmt w:val="lowerLetter"/>
      <w:lvlText w:val="(%1)"/>
      <w:lvlJc w:val="left"/>
      <w:pPr>
        <w:tabs>
          <w:tab w:val="num" w:pos="360"/>
        </w:tabs>
        <w:ind w:left="360" w:hanging="360"/>
      </w:pPr>
      <w:rPr>
        <w:rFonts w:hint="default"/>
      </w:rPr>
    </w:lvl>
    <w:lvl w:ilvl="1" w:tplc="AB2AEA58">
      <w:numFmt w:val="decimal"/>
      <w:lvlText w:val=""/>
      <w:lvlJc w:val="left"/>
    </w:lvl>
    <w:lvl w:ilvl="2" w:tplc="F2C2C794">
      <w:numFmt w:val="decimal"/>
      <w:lvlText w:val=""/>
      <w:lvlJc w:val="left"/>
    </w:lvl>
    <w:lvl w:ilvl="3" w:tplc="068215B6">
      <w:numFmt w:val="decimal"/>
      <w:lvlText w:val=""/>
      <w:lvlJc w:val="left"/>
    </w:lvl>
    <w:lvl w:ilvl="4" w:tplc="641AA84E">
      <w:numFmt w:val="decimal"/>
      <w:lvlText w:val=""/>
      <w:lvlJc w:val="left"/>
    </w:lvl>
    <w:lvl w:ilvl="5" w:tplc="38E06A1E">
      <w:numFmt w:val="decimal"/>
      <w:lvlText w:val=""/>
      <w:lvlJc w:val="left"/>
    </w:lvl>
    <w:lvl w:ilvl="6" w:tplc="80E08DCC">
      <w:numFmt w:val="decimal"/>
      <w:lvlText w:val=""/>
      <w:lvlJc w:val="left"/>
    </w:lvl>
    <w:lvl w:ilvl="7" w:tplc="62942CF2">
      <w:numFmt w:val="decimal"/>
      <w:lvlText w:val=""/>
      <w:lvlJc w:val="left"/>
    </w:lvl>
    <w:lvl w:ilvl="8" w:tplc="9A62504A">
      <w:numFmt w:val="decimal"/>
      <w:lvlText w:val=""/>
      <w:lvlJc w:val="left"/>
    </w:lvl>
  </w:abstractNum>
  <w:abstractNum w:abstractNumId="4" w15:restartNumberingAfterBreak="0">
    <w:nsid w:val="71035C9C"/>
    <w:multiLevelType w:val="multilevel"/>
    <w:tmpl w:val="42949E90"/>
    <w:lvl w:ilvl="0">
      <w:start w:val="1"/>
      <w:numFmt w:val="decimal"/>
      <w:lvlText w:val="%1"/>
      <w:lvlJc w:val="left"/>
      <w:pPr>
        <w:tabs>
          <w:tab w:val="num" w:pos="340"/>
        </w:tabs>
        <w:ind w:left="705" w:hanging="705"/>
      </w:pPr>
      <w:rPr>
        <w:rFonts w:hint="default"/>
      </w:rPr>
    </w:lvl>
    <w:lvl w:ilvl="1">
      <w:start w:val="1"/>
      <w:numFmt w:val="decimal"/>
      <w:lvlText w:val="%1.%2"/>
      <w:lvlJc w:val="left"/>
      <w:pPr>
        <w:tabs>
          <w:tab w:val="num" w:pos="705"/>
        </w:tabs>
        <w:ind w:left="0" w:firstLine="0"/>
      </w:pPr>
      <w:rPr>
        <w:rFonts w:hint="default"/>
        <w:b/>
        <w:bCs/>
      </w:rPr>
    </w:lvl>
    <w:lvl w:ilvl="2">
      <w:start w:val="1"/>
      <w:numFmt w:val="decimal"/>
      <w:lvlText w:val="%1.%2.%3"/>
      <w:lvlJc w:val="left"/>
      <w:pPr>
        <w:tabs>
          <w:tab w:val="num" w:pos="862"/>
        </w:tabs>
        <w:ind w:left="862" w:hanging="720"/>
      </w:pPr>
      <w:rPr>
        <w:rFonts w:hint="default"/>
        <w:b w:val="0"/>
        <w:bCs w:val="0"/>
        <w:i w:val="0"/>
        <w:iCs/>
        <w:color w:val="auto"/>
        <w:sz w:val="22"/>
        <w:szCs w:val="22"/>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75795571">
    <w:abstractNumId w:val="4"/>
  </w:num>
  <w:num w:numId="2" w16cid:durableId="588583037">
    <w:abstractNumId w:val="0"/>
  </w:num>
  <w:num w:numId="3" w16cid:durableId="1430082835">
    <w:abstractNumId w:val="3"/>
  </w:num>
  <w:num w:numId="4" w16cid:durableId="2000573736">
    <w:abstractNumId w:val="1"/>
  </w:num>
  <w:num w:numId="5" w16cid:durableId="466052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CF"/>
    <w:rsid w:val="0006747D"/>
    <w:rsid w:val="000C24C3"/>
    <w:rsid w:val="00117FCC"/>
    <w:rsid w:val="004C2D5C"/>
    <w:rsid w:val="00521955"/>
    <w:rsid w:val="005437C9"/>
    <w:rsid w:val="00884936"/>
    <w:rsid w:val="00890776"/>
    <w:rsid w:val="008D22CF"/>
    <w:rsid w:val="00914254"/>
    <w:rsid w:val="00A97687"/>
    <w:rsid w:val="00C508C7"/>
    <w:rsid w:val="00CC3ABE"/>
    <w:rsid w:val="00D97BFE"/>
    <w:rsid w:val="00E147B8"/>
    <w:rsid w:val="00E41636"/>
    <w:rsid w:val="07240773"/>
    <w:rsid w:val="16C41F4B"/>
    <w:rsid w:val="206F6762"/>
    <w:rsid w:val="315BBFF1"/>
    <w:rsid w:val="406CE5F1"/>
    <w:rsid w:val="4B5A8796"/>
    <w:rsid w:val="57897CA1"/>
    <w:rsid w:val="5904C04C"/>
    <w:rsid w:val="60664ABF"/>
    <w:rsid w:val="6F9A24C8"/>
    <w:rsid w:val="72BF74B1"/>
    <w:rsid w:val="75CA53AF"/>
    <w:rsid w:val="787EC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6B17"/>
  <w15:chartTrackingRefBased/>
  <w15:docId w15:val="{E3EEF436-F4E5-43AB-8359-5367E219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2C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CC"/>
    <w:pPr>
      <w:ind w:left="720"/>
      <w:contextualSpacing/>
    </w:pPr>
  </w:style>
  <w:style w:type="table" w:styleId="TableGrid">
    <w:name w:val="Table Grid"/>
    <w:basedOn w:val="TableNormal"/>
    <w:uiPriority w:val="59"/>
    <w:rsid w:val="00117FCC"/>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4CC34BA7D48429CFF5B7E264EC5A3" ma:contentTypeVersion="8" ma:contentTypeDescription="Create a new document." ma:contentTypeScope="" ma:versionID="8f39d0d1ffddb50e8ccf72f155ccd1c2">
  <xsd:schema xmlns:xsd="http://www.w3.org/2001/XMLSchema" xmlns:xs="http://www.w3.org/2001/XMLSchema" xmlns:p="http://schemas.microsoft.com/office/2006/metadata/properties" xmlns:ns2="2dc08e4d-e8a0-478d-a5f8-e7df96d41b37" xmlns:ns3="c92a5219-7780-4c60-b1cb-98221f19b422" targetNamespace="http://schemas.microsoft.com/office/2006/metadata/properties" ma:root="true" ma:fieldsID="d7c1123cabb33077338a3c126b7f9ee2" ns2:_="" ns3:_="">
    <xsd:import namespace="2dc08e4d-e8a0-478d-a5f8-e7df96d41b37"/>
    <xsd:import namespace="c92a5219-7780-4c60-b1cb-98221f19b4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08e4d-e8a0-478d-a5f8-e7df96d4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a5219-7780-4c60-b1cb-98221f19b4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A3077-430D-4CBC-B0BC-8A93CF23EA97}">
  <ds:schemaRefs>
    <ds:schemaRef ds:uri="2dc08e4d-e8a0-478d-a5f8-e7df96d41b37"/>
    <ds:schemaRef ds:uri="http://www.w3.org/XML/1998/namespace"/>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c92a5219-7780-4c60-b1cb-98221f19b422"/>
  </ds:schemaRefs>
</ds:datastoreItem>
</file>

<file path=customXml/itemProps2.xml><?xml version="1.0" encoding="utf-8"?>
<ds:datastoreItem xmlns:ds="http://schemas.openxmlformats.org/officeDocument/2006/customXml" ds:itemID="{77201FB6-F12D-4174-937C-6E690E189D4A}">
  <ds:schemaRefs>
    <ds:schemaRef ds:uri="http://schemas.microsoft.com/sharepoint/v3/contenttype/forms"/>
  </ds:schemaRefs>
</ds:datastoreItem>
</file>

<file path=customXml/itemProps3.xml><?xml version="1.0" encoding="utf-8"?>
<ds:datastoreItem xmlns:ds="http://schemas.openxmlformats.org/officeDocument/2006/customXml" ds:itemID="{EB61C899-7F16-45EB-9662-3F5CEE8A5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08e4d-e8a0-478d-a5f8-e7df96d41b37"/>
    <ds:schemaRef ds:uri="c92a5219-7780-4c60-b1cb-98221f19b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Towner</dc:creator>
  <cp:keywords/>
  <dc:description/>
  <cp:lastModifiedBy>Susan Bulbrook</cp:lastModifiedBy>
  <cp:revision>2</cp:revision>
  <dcterms:created xsi:type="dcterms:W3CDTF">2024-07-23T11:36:00Z</dcterms:created>
  <dcterms:modified xsi:type="dcterms:W3CDTF">2024-07-23T11:36:00Z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0x0101005F64CC34BA7D48429CFF5B7E264EC5A3</vt:lpwstr>
  </property>
</Properties>
</file>