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0FA" w:rsidRDefault="00FA20FA" w:rsidP="00FA20FA">
      <w:pPr>
        <w:rPr>
          <w:rFonts w:asciiTheme="minorHAnsi" w:hAnsiTheme="minorHAnsi"/>
        </w:rPr>
      </w:pPr>
      <w:r w:rsidRPr="00FA20FA">
        <w:rPr>
          <w:rFonts w:asciiTheme="minorHAnsi" w:hAnsiTheme="minorHAnsi"/>
        </w:rPr>
        <w:tab/>
      </w:r>
    </w:p>
    <w:p w:rsidR="00FA20FA" w:rsidRDefault="00CB752B" w:rsidP="006524DF">
      <w:pPr>
        <w:pStyle w:val="Subtitle"/>
      </w:pPr>
      <w:r>
        <w:t xml:space="preserve"> </w:t>
      </w:r>
      <w:r w:rsidR="00FA20FA">
        <w:t>E</w:t>
      </w:r>
      <w:r w:rsidR="00A52ADC">
        <w:t xml:space="preserve">quality </w:t>
      </w:r>
      <w:r w:rsidR="00D1544D">
        <w:t xml:space="preserve">and public services </w:t>
      </w:r>
      <w:r w:rsidR="00A52ADC">
        <w:t>– beyond consumer</w:t>
      </w:r>
      <w:r w:rsidR="00D1544D">
        <w:t xml:space="preserve"> spending</w:t>
      </w:r>
    </w:p>
    <w:p w:rsidR="00C57611" w:rsidRDefault="00C57611" w:rsidP="00C57611">
      <w:pPr>
        <w:jc w:val="center"/>
      </w:pPr>
      <w:proofErr w:type="gramStart"/>
      <w:r>
        <w:t>by</w:t>
      </w:r>
      <w:proofErr w:type="gramEnd"/>
      <w:r>
        <w:t xml:space="preserve"> </w:t>
      </w:r>
      <w:r w:rsidRPr="00FA20FA">
        <w:t>David Hall</w:t>
      </w:r>
    </w:p>
    <w:p w:rsidR="002348AB" w:rsidRDefault="002348AB" w:rsidP="00C57611">
      <w:pPr>
        <w:jc w:val="center"/>
      </w:pPr>
    </w:p>
    <w:p w:rsidR="001A0F2E" w:rsidRDefault="001A0F2E" w:rsidP="00C57611">
      <w:pPr>
        <w:jc w:val="center"/>
      </w:pPr>
      <w:r>
        <w:t>PSIRU, University of Greenwich</w:t>
      </w:r>
    </w:p>
    <w:p w:rsidR="00C57611" w:rsidRDefault="00183A02" w:rsidP="00C57611">
      <w:pPr>
        <w:jc w:val="center"/>
        <w:rPr>
          <w:color w:val="0000FF"/>
          <w:u w:val="single"/>
        </w:rPr>
      </w:pPr>
      <w:hyperlink r:id="rId9" w:history="1">
        <w:r w:rsidR="00C57611" w:rsidRPr="00FA20FA">
          <w:rPr>
            <w:color w:val="0000FF"/>
            <w:u w:val="single"/>
          </w:rPr>
          <w:t>d.j.hall@gre.ac.uk</w:t>
        </w:r>
      </w:hyperlink>
    </w:p>
    <w:p w:rsidR="002348AB" w:rsidRDefault="002348AB" w:rsidP="00C57611">
      <w:pPr>
        <w:jc w:val="center"/>
        <w:rPr>
          <w:color w:val="0000FF"/>
          <w:u w:val="single"/>
        </w:rPr>
      </w:pPr>
    </w:p>
    <w:p w:rsidR="002348AB" w:rsidRDefault="002348AB" w:rsidP="002348AB">
      <w:pPr>
        <w:jc w:val="center"/>
      </w:pPr>
      <w:r>
        <w:t>February 2014</w:t>
      </w:r>
    </w:p>
    <w:p w:rsidR="002348AB" w:rsidRDefault="002348AB" w:rsidP="002348AB">
      <w:pPr>
        <w:jc w:val="center"/>
      </w:pPr>
    </w:p>
    <w:p w:rsidR="002348AB" w:rsidRDefault="002348AB" w:rsidP="002348AB">
      <w:pPr>
        <w:jc w:val="center"/>
      </w:pPr>
    </w:p>
    <w:p w:rsidR="002348AB" w:rsidRPr="002348AB" w:rsidRDefault="002348AB" w:rsidP="002348AB">
      <w:pPr>
        <w:pBdr>
          <w:top w:val="single" w:sz="4" w:space="1" w:color="auto"/>
          <w:left w:val="single" w:sz="4" w:space="4" w:color="auto"/>
          <w:bottom w:val="single" w:sz="4" w:space="1" w:color="auto"/>
          <w:right w:val="single" w:sz="4" w:space="4" w:color="auto"/>
        </w:pBdr>
        <w:jc w:val="center"/>
        <w:rPr>
          <w:sz w:val="20"/>
          <w:szCs w:val="20"/>
        </w:rPr>
      </w:pPr>
      <w:r w:rsidRPr="002348AB">
        <w:rPr>
          <w:sz w:val="20"/>
          <w:szCs w:val="20"/>
        </w:rPr>
        <w:t>This report was commissioned by Public Services International (PSI). It also draws on work commissioned by Oxfam.</w:t>
      </w:r>
    </w:p>
    <w:p w:rsidR="002348AB" w:rsidRDefault="002348AB" w:rsidP="002348AB">
      <w:pPr>
        <w:jc w:val="center"/>
      </w:pPr>
    </w:p>
    <w:p w:rsidR="002348AB" w:rsidRDefault="002348AB" w:rsidP="002348AB">
      <w:pPr>
        <w:jc w:val="center"/>
      </w:pPr>
    </w:p>
    <w:p w:rsidR="002348AB" w:rsidRDefault="002348AB" w:rsidP="002348AB">
      <w:pPr>
        <w:jc w:val="center"/>
      </w:pPr>
    </w:p>
    <w:p w:rsidR="002348AB" w:rsidRDefault="00183A02">
      <w:pPr>
        <w:pStyle w:val="TOC1"/>
        <w:tabs>
          <w:tab w:val="right" w:leader="dot" w:pos="9628"/>
        </w:tabs>
        <w:rPr>
          <w:rFonts w:asciiTheme="minorHAnsi" w:eastAsiaTheme="minorEastAsia" w:hAnsiTheme="minorHAnsi" w:cstheme="minorBidi"/>
          <w:b w:val="0"/>
          <w:bCs w:val="0"/>
          <w:caps w:val="0"/>
          <w:noProof/>
          <w:sz w:val="22"/>
          <w:szCs w:val="22"/>
        </w:rPr>
      </w:pPr>
      <w:r>
        <w:t xml:space="preserve"> </w:t>
      </w:r>
      <w:r w:rsidR="001D14A5">
        <w:fldChar w:fldCharType="begin"/>
      </w:r>
      <w:r w:rsidR="001D14A5">
        <w:instrText xml:space="preserve"> TOC \o "3-4" \h \z \t "Heading 1,1,Heading 2,2,Heading 5,4,Heading 6,4,Heading 7,4,Heading 8,4,Heading 9,4" </w:instrText>
      </w:r>
      <w:r w:rsidR="001D14A5">
        <w:fldChar w:fldCharType="separate"/>
      </w:r>
      <w:hyperlink w:anchor="_Toc388199683" w:history="1">
        <w:r w:rsidR="002348AB" w:rsidRPr="00BA4993">
          <w:rPr>
            <w:rStyle w:val="Hyperlink"/>
            <w:noProof/>
          </w:rPr>
          <w:t>Introduction</w:t>
        </w:r>
        <w:r w:rsidR="002348AB">
          <w:rPr>
            <w:noProof/>
            <w:webHidden/>
          </w:rPr>
          <w:tab/>
        </w:r>
        <w:r w:rsidR="002348AB">
          <w:rPr>
            <w:noProof/>
            <w:webHidden/>
          </w:rPr>
          <w:fldChar w:fldCharType="begin"/>
        </w:r>
        <w:r w:rsidR="002348AB">
          <w:rPr>
            <w:noProof/>
            <w:webHidden/>
          </w:rPr>
          <w:instrText xml:space="preserve"> PAGEREF _Toc388199683 \h </w:instrText>
        </w:r>
        <w:r w:rsidR="002348AB">
          <w:rPr>
            <w:noProof/>
            <w:webHidden/>
          </w:rPr>
        </w:r>
        <w:r w:rsidR="002348AB">
          <w:rPr>
            <w:noProof/>
            <w:webHidden/>
          </w:rPr>
          <w:fldChar w:fldCharType="separate"/>
        </w:r>
        <w:r w:rsidR="002348AB">
          <w:rPr>
            <w:noProof/>
            <w:webHidden/>
          </w:rPr>
          <w:t>3</w:t>
        </w:r>
        <w:r w:rsidR="002348AB">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684" w:history="1">
        <w:r w:rsidRPr="00BA4993">
          <w:rPr>
            <w:rStyle w:val="Hyperlink"/>
            <w:noProof/>
          </w:rPr>
          <w:t>1.</w:t>
        </w:r>
        <w:r>
          <w:rPr>
            <w:rFonts w:asciiTheme="minorHAnsi" w:eastAsiaTheme="minorEastAsia" w:hAnsiTheme="minorHAnsi" w:cstheme="minorBidi"/>
            <w:b w:val="0"/>
            <w:bCs w:val="0"/>
            <w:caps w:val="0"/>
            <w:noProof/>
            <w:sz w:val="22"/>
            <w:szCs w:val="22"/>
          </w:rPr>
          <w:tab/>
        </w:r>
        <w:r w:rsidRPr="00BA4993">
          <w:rPr>
            <w:rStyle w:val="Hyperlink"/>
            <w:noProof/>
          </w:rPr>
          <w:t>Context: growing inequality and economic and social consequences</w:t>
        </w:r>
        <w:r>
          <w:rPr>
            <w:noProof/>
            <w:webHidden/>
          </w:rPr>
          <w:tab/>
        </w:r>
        <w:r>
          <w:rPr>
            <w:noProof/>
            <w:webHidden/>
          </w:rPr>
          <w:fldChar w:fldCharType="begin"/>
        </w:r>
        <w:r>
          <w:rPr>
            <w:noProof/>
            <w:webHidden/>
          </w:rPr>
          <w:instrText xml:space="preserve"> PAGEREF _Toc388199684 \h </w:instrText>
        </w:r>
        <w:r>
          <w:rPr>
            <w:noProof/>
            <w:webHidden/>
          </w:rPr>
        </w:r>
        <w:r>
          <w:rPr>
            <w:noProof/>
            <w:webHidden/>
          </w:rPr>
          <w:fldChar w:fldCharType="separate"/>
        </w:r>
        <w:r>
          <w:rPr>
            <w:noProof/>
            <w:webHidden/>
          </w:rPr>
          <w:t>3</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85" w:history="1">
        <w:r w:rsidRPr="00BA4993">
          <w:rPr>
            <w:rStyle w:val="Hyperlink"/>
            <w:rFonts w:eastAsia="SimSun"/>
            <w:noProof/>
          </w:rPr>
          <w:t>Chart A.</w:t>
        </w:r>
        <w:r>
          <w:rPr>
            <w:rFonts w:asciiTheme="minorHAnsi" w:eastAsiaTheme="minorEastAsia" w:hAnsiTheme="minorHAnsi" w:cstheme="minorBidi"/>
            <w:noProof/>
            <w:sz w:val="22"/>
            <w:szCs w:val="22"/>
          </w:rPr>
          <w:tab/>
        </w:r>
        <w:r w:rsidRPr="00BA4993">
          <w:rPr>
            <w:rStyle w:val="Hyperlink"/>
            <w:noProof/>
          </w:rPr>
          <w:t>Falling share of wages 1970-2010: advanced and developing countries</w:t>
        </w:r>
        <w:r>
          <w:rPr>
            <w:noProof/>
            <w:webHidden/>
          </w:rPr>
          <w:tab/>
        </w:r>
        <w:r>
          <w:rPr>
            <w:noProof/>
            <w:webHidden/>
          </w:rPr>
          <w:fldChar w:fldCharType="begin"/>
        </w:r>
        <w:r>
          <w:rPr>
            <w:noProof/>
            <w:webHidden/>
          </w:rPr>
          <w:instrText xml:space="preserve"> PAGEREF _Toc388199685 \h </w:instrText>
        </w:r>
        <w:r>
          <w:rPr>
            <w:noProof/>
            <w:webHidden/>
          </w:rPr>
        </w:r>
        <w:r>
          <w:rPr>
            <w:noProof/>
            <w:webHidden/>
          </w:rPr>
          <w:fldChar w:fldCharType="separate"/>
        </w:r>
        <w:r>
          <w:rPr>
            <w:noProof/>
            <w:webHidden/>
          </w:rPr>
          <w:t>3</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686" w:history="1">
        <w:r w:rsidRPr="00BA4993">
          <w:rPr>
            <w:rStyle w:val="Hyperlink"/>
            <w:rFonts w:eastAsia="SimSun"/>
            <w:noProof/>
          </w:rPr>
          <w:t>2.</w:t>
        </w:r>
        <w:r>
          <w:rPr>
            <w:rFonts w:asciiTheme="minorHAnsi" w:eastAsiaTheme="minorEastAsia" w:hAnsiTheme="minorHAnsi" w:cstheme="minorBidi"/>
            <w:b w:val="0"/>
            <w:bCs w:val="0"/>
            <w:caps w:val="0"/>
            <w:noProof/>
            <w:sz w:val="22"/>
            <w:szCs w:val="22"/>
          </w:rPr>
          <w:tab/>
        </w:r>
        <w:r w:rsidRPr="00BA4993">
          <w:rPr>
            <w:rStyle w:val="Hyperlink"/>
            <w:rFonts w:eastAsia="SimSun"/>
            <w:noProof/>
          </w:rPr>
          <w:t>The social and economic value of equality</w:t>
        </w:r>
        <w:r>
          <w:rPr>
            <w:noProof/>
            <w:webHidden/>
          </w:rPr>
          <w:tab/>
        </w:r>
        <w:r>
          <w:rPr>
            <w:noProof/>
            <w:webHidden/>
          </w:rPr>
          <w:fldChar w:fldCharType="begin"/>
        </w:r>
        <w:r>
          <w:rPr>
            <w:noProof/>
            <w:webHidden/>
          </w:rPr>
          <w:instrText xml:space="preserve"> PAGEREF _Toc388199686 \h </w:instrText>
        </w:r>
        <w:r>
          <w:rPr>
            <w:noProof/>
            <w:webHidden/>
          </w:rPr>
        </w:r>
        <w:r>
          <w:rPr>
            <w:noProof/>
            <w:webHidden/>
          </w:rPr>
          <w:fldChar w:fldCharType="separate"/>
        </w:r>
        <w:r>
          <w:rPr>
            <w:noProof/>
            <w:webHidden/>
          </w:rPr>
          <w:t>4</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687" w:history="1">
        <w:r w:rsidRPr="00BA4993">
          <w:rPr>
            <w:rStyle w:val="Hyperlink"/>
            <w:noProof/>
          </w:rPr>
          <w:t>2.1.</w:t>
        </w:r>
        <w:r>
          <w:rPr>
            <w:rFonts w:asciiTheme="minorHAnsi" w:eastAsiaTheme="minorEastAsia" w:hAnsiTheme="minorHAnsi" w:cstheme="minorBidi"/>
            <w:smallCaps w:val="0"/>
            <w:noProof/>
            <w:sz w:val="22"/>
            <w:szCs w:val="22"/>
          </w:rPr>
          <w:tab/>
        </w:r>
        <w:r w:rsidRPr="00BA4993">
          <w:rPr>
            <w:rStyle w:val="Hyperlink"/>
            <w:noProof/>
          </w:rPr>
          <w:t>The economic value of equality</w:t>
        </w:r>
        <w:r>
          <w:rPr>
            <w:noProof/>
            <w:webHidden/>
          </w:rPr>
          <w:tab/>
        </w:r>
        <w:r>
          <w:rPr>
            <w:noProof/>
            <w:webHidden/>
          </w:rPr>
          <w:fldChar w:fldCharType="begin"/>
        </w:r>
        <w:r>
          <w:rPr>
            <w:noProof/>
            <w:webHidden/>
          </w:rPr>
          <w:instrText xml:space="preserve"> PAGEREF _Toc388199687 \h </w:instrText>
        </w:r>
        <w:r>
          <w:rPr>
            <w:noProof/>
            <w:webHidden/>
          </w:rPr>
        </w:r>
        <w:r>
          <w:rPr>
            <w:noProof/>
            <w:webHidden/>
          </w:rPr>
          <w:fldChar w:fldCharType="separate"/>
        </w:r>
        <w:r>
          <w:rPr>
            <w:noProof/>
            <w:webHidden/>
          </w:rPr>
          <w:t>4</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88" w:history="1">
        <w:r w:rsidRPr="00BA4993">
          <w:rPr>
            <w:rStyle w:val="Hyperlink"/>
            <w:noProof/>
          </w:rPr>
          <w:t>Chart B.</w:t>
        </w:r>
        <w:r>
          <w:rPr>
            <w:rFonts w:asciiTheme="minorHAnsi" w:eastAsiaTheme="minorEastAsia" w:hAnsiTheme="minorHAnsi" w:cstheme="minorBidi"/>
            <w:noProof/>
            <w:sz w:val="22"/>
            <w:szCs w:val="22"/>
          </w:rPr>
          <w:tab/>
        </w:r>
        <w:r w:rsidRPr="00BA4993">
          <w:rPr>
            <w:rStyle w:val="Hyperlink"/>
            <w:noProof/>
          </w:rPr>
          <w:t>Improving equality and improving economic growth</w:t>
        </w:r>
        <w:r>
          <w:rPr>
            <w:noProof/>
            <w:webHidden/>
          </w:rPr>
          <w:tab/>
        </w:r>
        <w:r>
          <w:rPr>
            <w:noProof/>
            <w:webHidden/>
          </w:rPr>
          <w:fldChar w:fldCharType="begin"/>
        </w:r>
        <w:r>
          <w:rPr>
            <w:noProof/>
            <w:webHidden/>
          </w:rPr>
          <w:instrText xml:space="preserve"> PAGEREF _Toc388199688 \h </w:instrText>
        </w:r>
        <w:r>
          <w:rPr>
            <w:noProof/>
            <w:webHidden/>
          </w:rPr>
        </w:r>
        <w:r>
          <w:rPr>
            <w:noProof/>
            <w:webHidden/>
          </w:rPr>
          <w:fldChar w:fldCharType="separate"/>
        </w:r>
        <w:r>
          <w:rPr>
            <w:noProof/>
            <w:webHidden/>
          </w:rPr>
          <w:t>4</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689" w:history="1">
        <w:r w:rsidRPr="00BA4993">
          <w:rPr>
            <w:rStyle w:val="Hyperlink"/>
            <w:noProof/>
          </w:rPr>
          <w:t>2.2.</w:t>
        </w:r>
        <w:r>
          <w:rPr>
            <w:rFonts w:asciiTheme="minorHAnsi" w:eastAsiaTheme="minorEastAsia" w:hAnsiTheme="minorHAnsi" w:cstheme="minorBidi"/>
            <w:smallCaps w:val="0"/>
            <w:noProof/>
            <w:sz w:val="22"/>
            <w:szCs w:val="22"/>
          </w:rPr>
          <w:tab/>
        </w:r>
        <w:r w:rsidRPr="00BA4993">
          <w:rPr>
            <w:rStyle w:val="Hyperlink"/>
            <w:noProof/>
          </w:rPr>
          <w:t>The social value of equality</w:t>
        </w:r>
        <w:r>
          <w:rPr>
            <w:noProof/>
            <w:webHidden/>
          </w:rPr>
          <w:tab/>
        </w:r>
        <w:r>
          <w:rPr>
            <w:noProof/>
            <w:webHidden/>
          </w:rPr>
          <w:fldChar w:fldCharType="begin"/>
        </w:r>
        <w:r>
          <w:rPr>
            <w:noProof/>
            <w:webHidden/>
          </w:rPr>
          <w:instrText xml:space="preserve"> PAGEREF _Toc388199689 \h </w:instrText>
        </w:r>
        <w:r>
          <w:rPr>
            <w:noProof/>
            <w:webHidden/>
          </w:rPr>
        </w:r>
        <w:r>
          <w:rPr>
            <w:noProof/>
            <w:webHidden/>
          </w:rPr>
          <w:fldChar w:fldCharType="separate"/>
        </w:r>
        <w:r>
          <w:rPr>
            <w:noProof/>
            <w:webHidden/>
          </w:rPr>
          <w:t>5</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0" w:history="1">
        <w:r w:rsidRPr="00BA4993">
          <w:rPr>
            <w:rStyle w:val="Hyperlink"/>
            <w:noProof/>
          </w:rPr>
          <w:t>Chart C.</w:t>
        </w:r>
        <w:r>
          <w:rPr>
            <w:rFonts w:asciiTheme="minorHAnsi" w:eastAsiaTheme="minorEastAsia" w:hAnsiTheme="minorHAnsi" w:cstheme="minorBidi"/>
            <w:noProof/>
            <w:sz w:val="22"/>
            <w:szCs w:val="22"/>
          </w:rPr>
          <w:tab/>
        </w:r>
        <w:r w:rsidRPr="00BA4993">
          <w:rPr>
            <w:rStyle w:val="Hyperlink"/>
            <w:noProof/>
          </w:rPr>
          <w:t>Health and social problems are worse in more unequal countries</w:t>
        </w:r>
        <w:r>
          <w:rPr>
            <w:noProof/>
            <w:webHidden/>
          </w:rPr>
          <w:tab/>
        </w:r>
        <w:r>
          <w:rPr>
            <w:noProof/>
            <w:webHidden/>
          </w:rPr>
          <w:fldChar w:fldCharType="begin"/>
        </w:r>
        <w:r>
          <w:rPr>
            <w:noProof/>
            <w:webHidden/>
          </w:rPr>
          <w:instrText xml:space="preserve"> PAGEREF _Toc388199690 \h </w:instrText>
        </w:r>
        <w:r>
          <w:rPr>
            <w:noProof/>
            <w:webHidden/>
          </w:rPr>
        </w:r>
        <w:r>
          <w:rPr>
            <w:noProof/>
            <w:webHidden/>
          </w:rPr>
          <w:fldChar w:fldCharType="separate"/>
        </w:r>
        <w:r>
          <w:rPr>
            <w:noProof/>
            <w:webHidden/>
          </w:rPr>
          <w:t>5</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691" w:history="1">
        <w:r w:rsidRPr="00BA4993">
          <w:rPr>
            <w:rStyle w:val="Hyperlink"/>
            <w:noProof/>
          </w:rPr>
          <w:t>2.3.</w:t>
        </w:r>
        <w:r>
          <w:rPr>
            <w:rFonts w:asciiTheme="minorHAnsi" w:eastAsiaTheme="minorEastAsia" w:hAnsiTheme="minorHAnsi" w:cstheme="minorBidi"/>
            <w:smallCaps w:val="0"/>
            <w:noProof/>
            <w:sz w:val="22"/>
            <w:szCs w:val="22"/>
          </w:rPr>
          <w:tab/>
        </w:r>
        <w:r w:rsidRPr="00BA4993">
          <w:rPr>
            <w:rStyle w:val="Hyperlink"/>
            <w:noProof/>
          </w:rPr>
          <w:t>Mechanisms of equality: trade unions, taxation, benefits, and public services</w:t>
        </w:r>
        <w:r>
          <w:rPr>
            <w:noProof/>
            <w:webHidden/>
          </w:rPr>
          <w:tab/>
        </w:r>
        <w:r>
          <w:rPr>
            <w:noProof/>
            <w:webHidden/>
          </w:rPr>
          <w:fldChar w:fldCharType="begin"/>
        </w:r>
        <w:r>
          <w:rPr>
            <w:noProof/>
            <w:webHidden/>
          </w:rPr>
          <w:instrText xml:space="preserve"> PAGEREF _Toc388199691 \h </w:instrText>
        </w:r>
        <w:r>
          <w:rPr>
            <w:noProof/>
            <w:webHidden/>
          </w:rPr>
        </w:r>
        <w:r>
          <w:rPr>
            <w:noProof/>
            <w:webHidden/>
          </w:rPr>
          <w:fldChar w:fldCharType="separate"/>
        </w:r>
        <w:r>
          <w:rPr>
            <w:noProof/>
            <w:webHidden/>
          </w:rPr>
          <w:t>5</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692" w:history="1">
        <w:r w:rsidRPr="00BA4993">
          <w:rPr>
            <w:rStyle w:val="Hyperlink"/>
            <w:noProof/>
          </w:rPr>
          <w:t>3.</w:t>
        </w:r>
        <w:r>
          <w:rPr>
            <w:rFonts w:asciiTheme="minorHAnsi" w:eastAsiaTheme="minorEastAsia" w:hAnsiTheme="minorHAnsi" w:cstheme="minorBidi"/>
            <w:b w:val="0"/>
            <w:bCs w:val="0"/>
            <w:caps w:val="0"/>
            <w:noProof/>
            <w:sz w:val="22"/>
            <w:szCs w:val="22"/>
          </w:rPr>
          <w:tab/>
        </w:r>
        <w:r w:rsidRPr="00BA4993">
          <w:rPr>
            <w:rStyle w:val="Hyperlink"/>
            <w:noProof/>
          </w:rPr>
          <w:t>The equality economy of public services</w:t>
        </w:r>
        <w:r>
          <w:rPr>
            <w:noProof/>
            <w:webHidden/>
          </w:rPr>
          <w:tab/>
        </w:r>
        <w:r>
          <w:rPr>
            <w:noProof/>
            <w:webHidden/>
          </w:rPr>
          <w:fldChar w:fldCharType="begin"/>
        </w:r>
        <w:r>
          <w:rPr>
            <w:noProof/>
            <w:webHidden/>
          </w:rPr>
          <w:instrText xml:space="preserve"> PAGEREF _Toc388199692 \h </w:instrText>
        </w:r>
        <w:r>
          <w:rPr>
            <w:noProof/>
            <w:webHidden/>
          </w:rPr>
        </w:r>
        <w:r>
          <w:rPr>
            <w:noProof/>
            <w:webHidden/>
          </w:rPr>
          <w:fldChar w:fldCharType="separate"/>
        </w:r>
        <w:r>
          <w:rPr>
            <w:noProof/>
            <w:webHidden/>
          </w:rPr>
          <w:t>5</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693" w:history="1">
        <w:r w:rsidRPr="00BA4993">
          <w:rPr>
            <w:rStyle w:val="Hyperlink"/>
            <w:noProof/>
          </w:rPr>
          <w:t>3.1.</w:t>
        </w:r>
        <w:r>
          <w:rPr>
            <w:rFonts w:asciiTheme="minorHAnsi" w:eastAsiaTheme="minorEastAsia" w:hAnsiTheme="minorHAnsi" w:cstheme="minorBidi"/>
            <w:smallCaps w:val="0"/>
            <w:noProof/>
            <w:sz w:val="22"/>
            <w:szCs w:val="22"/>
          </w:rPr>
          <w:tab/>
        </w:r>
        <w:r w:rsidRPr="00BA4993">
          <w:rPr>
            <w:rStyle w:val="Hyperlink"/>
            <w:noProof/>
          </w:rPr>
          <w:t>Public services and equality: OECD countries</w:t>
        </w:r>
        <w:r>
          <w:rPr>
            <w:noProof/>
            <w:webHidden/>
          </w:rPr>
          <w:tab/>
        </w:r>
        <w:r>
          <w:rPr>
            <w:noProof/>
            <w:webHidden/>
          </w:rPr>
          <w:fldChar w:fldCharType="begin"/>
        </w:r>
        <w:r>
          <w:rPr>
            <w:noProof/>
            <w:webHidden/>
          </w:rPr>
          <w:instrText xml:space="preserve"> PAGEREF _Toc388199693 \h </w:instrText>
        </w:r>
        <w:r>
          <w:rPr>
            <w:noProof/>
            <w:webHidden/>
          </w:rPr>
        </w:r>
        <w:r>
          <w:rPr>
            <w:noProof/>
            <w:webHidden/>
          </w:rPr>
          <w:fldChar w:fldCharType="separate"/>
        </w:r>
        <w:r>
          <w:rPr>
            <w:noProof/>
            <w:webHidden/>
          </w:rPr>
          <w:t>6</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4" w:history="1">
        <w:r w:rsidRPr="00BA4993">
          <w:rPr>
            <w:rStyle w:val="Hyperlink"/>
            <w:noProof/>
          </w:rPr>
          <w:t>Chart D.</w:t>
        </w:r>
        <w:r>
          <w:rPr>
            <w:rFonts w:asciiTheme="minorHAnsi" w:eastAsiaTheme="minorEastAsia" w:hAnsiTheme="minorHAnsi" w:cstheme="minorBidi"/>
            <w:noProof/>
            <w:sz w:val="22"/>
            <w:szCs w:val="22"/>
          </w:rPr>
          <w:tab/>
        </w:r>
        <w:r w:rsidRPr="00BA4993">
          <w:rPr>
            <w:rStyle w:val="Hyperlink"/>
            <w:noProof/>
          </w:rPr>
          <w:t>Distribution of value of public services across household quintiles, 27 OECD countries</w:t>
        </w:r>
        <w:r>
          <w:rPr>
            <w:noProof/>
            <w:webHidden/>
          </w:rPr>
          <w:tab/>
        </w:r>
        <w:r>
          <w:rPr>
            <w:noProof/>
            <w:webHidden/>
          </w:rPr>
          <w:fldChar w:fldCharType="begin"/>
        </w:r>
        <w:r>
          <w:rPr>
            <w:noProof/>
            <w:webHidden/>
          </w:rPr>
          <w:instrText xml:space="preserve"> PAGEREF _Toc388199694 \h </w:instrText>
        </w:r>
        <w:r>
          <w:rPr>
            <w:noProof/>
            <w:webHidden/>
          </w:rPr>
        </w:r>
        <w:r>
          <w:rPr>
            <w:noProof/>
            <w:webHidden/>
          </w:rPr>
          <w:fldChar w:fldCharType="separate"/>
        </w:r>
        <w:r>
          <w:rPr>
            <w:noProof/>
            <w:webHidden/>
          </w:rPr>
          <w:t>6</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5" w:history="1">
        <w:r w:rsidRPr="00BA4993">
          <w:rPr>
            <w:rStyle w:val="Hyperlink"/>
            <w:noProof/>
          </w:rPr>
          <w:t>Chart E.</w:t>
        </w:r>
        <w:r>
          <w:rPr>
            <w:rFonts w:asciiTheme="minorHAnsi" w:eastAsiaTheme="minorEastAsia" w:hAnsiTheme="minorHAnsi" w:cstheme="minorBidi"/>
            <w:noProof/>
            <w:sz w:val="22"/>
            <w:szCs w:val="22"/>
          </w:rPr>
          <w:tab/>
        </w:r>
        <w:r w:rsidRPr="00BA4993">
          <w:rPr>
            <w:rStyle w:val="Hyperlink"/>
            <w:noProof/>
          </w:rPr>
          <w:t>Distribution of value of total public services over quintiles, 2007, OECD.</w:t>
        </w:r>
        <w:r>
          <w:rPr>
            <w:noProof/>
            <w:webHidden/>
          </w:rPr>
          <w:tab/>
        </w:r>
        <w:r>
          <w:rPr>
            <w:noProof/>
            <w:webHidden/>
          </w:rPr>
          <w:fldChar w:fldCharType="begin"/>
        </w:r>
        <w:r>
          <w:rPr>
            <w:noProof/>
            <w:webHidden/>
          </w:rPr>
          <w:instrText xml:space="preserve"> PAGEREF _Toc388199695 \h </w:instrText>
        </w:r>
        <w:r>
          <w:rPr>
            <w:noProof/>
            <w:webHidden/>
          </w:rPr>
        </w:r>
        <w:r>
          <w:rPr>
            <w:noProof/>
            <w:webHidden/>
          </w:rPr>
          <w:fldChar w:fldCharType="separate"/>
        </w:r>
        <w:r>
          <w:rPr>
            <w:noProof/>
            <w:webHidden/>
          </w:rPr>
          <w:t>6</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6" w:history="1">
        <w:r w:rsidRPr="00BA4993">
          <w:rPr>
            <w:rStyle w:val="Hyperlink"/>
            <w:noProof/>
          </w:rPr>
          <w:t>Chart F.</w:t>
        </w:r>
        <w:r>
          <w:rPr>
            <w:rFonts w:asciiTheme="minorHAnsi" w:eastAsiaTheme="minorEastAsia" w:hAnsiTheme="minorHAnsi" w:cstheme="minorBidi"/>
            <w:noProof/>
            <w:sz w:val="22"/>
            <w:szCs w:val="22"/>
          </w:rPr>
          <w:tab/>
        </w:r>
        <w:r w:rsidRPr="00BA4993">
          <w:rPr>
            <w:rStyle w:val="Hyperlink"/>
            <w:noProof/>
          </w:rPr>
          <w:t>Value of public services  relative to disposable income, 27 OECD countries</w:t>
        </w:r>
        <w:r>
          <w:rPr>
            <w:noProof/>
            <w:webHidden/>
          </w:rPr>
          <w:tab/>
        </w:r>
        <w:r>
          <w:rPr>
            <w:noProof/>
            <w:webHidden/>
          </w:rPr>
          <w:fldChar w:fldCharType="begin"/>
        </w:r>
        <w:r>
          <w:rPr>
            <w:noProof/>
            <w:webHidden/>
          </w:rPr>
          <w:instrText xml:space="preserve"> PAGEREF _Toc388199696 \h </w:instrText>
        </w:r>
        <w:r>
          <w:rPr>
            <w:noProof/>
            <w:webHidden/>
          </w:rPr>
        </w:r>
        <w:r>
          <w:rPr>
            <w:noProof/>
            <w:webHidden/>
          </w:rPr>
          <w:fldChar w:fldCharType="separate"/>
        </w:r>
        <w:r>
          <w:rPr>
            <w:noProof/>
            <w:webHidden/>
          </w:rPr>
          <w:t>7</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7" w:history="1">
        <w:r w:rsidRPr="00BA4993">
          <w:rPr>
            <w:rStyle w:val="Hyperlink"/>
            <w:noProof/>
          </w:rPr>
          <w:t>Table 1.</w:t>
        </w:r>
        <w:r>
          <w:rPr>
            <w:rFonts w:asciiTheme="minorHAnsi" w:eastAsiaTheme="minorEastAsia" w:hAnsiTheme="minorHAnsi" w:cstheme="minorBidi"/>
            <w:noProof/>
            <w:sz w:val="22"/>
            <w:szCs w:val="22"/>
          </w:rPr>
          <w:tab/>
        </w:r>
        <w:r w:rsidRPr="00BA4993">
          <w:rPr>
            <w:rStyle w:val="Hyperlink"/>
            <w:noProof/>
          </w:rPr>
          <w:t>In-kind benefits as share of disposable income  (average for 27 OECD countries)</w:t>
        </w:r>
        <w:r>
          <w:rPr>
            <w:noProof/>
            <w:webHidden/>
          </w:rPr>
          <w:tab/>
        </w:r>
        <w:r>
          <w:rPr>
            <w:noProof/>
            <w:webHidden/>
          </w:rPr>
          <w:fldChar w:fldCharType="begin"/>
        </w:r>
        <w:r>
          <w:rPr>
            <w:noProof/>
            <w:webHidden/>
          </w:rPr>
          <w:instrText xml:space="preserve"> PAGEREF _Toc388199697 \h </w:instrText>
        </w:r>
        <w:r>
          <w:rPr>
            <w:noProof/>
            <w:webHidden/>
          </w:rPr>
        </w:r>
        <w:r>
          <w:rPr>
            <w:noProof/>
            <w:webHidden/>
          </w:rPr>
          <w:fldChar w:fldCharType="separate"/>
        </w:r>
        <w:r>
          <w:rPr>
            <w:noProof/>
            <w:webHidden/>
          </w:rPr>
          <w:t>7</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8" w:history="1">
        <w:r w:rsidRPr="00BA4993">
          <w:rPr>
            <w:rStyle w:val="Hyperlink"/>
            <w:noProof/>
          </w:rPr>
          <w:t>Chart G.</w:t>
        </w:r>
        <w:r>
          <w:rPr>
            <w:rFonts w:asciiTheme="minorHAnsi" w:eastAsiaTheme="minorEastAsia" w:hAnsiTheme="minorHAnsi" w:cstheme="minorBidi"/>
            <w:noProof/>
            <w:sz w:val="22"/>
            <w:szCs w:val="22"/>
          </w:rPr>
          <w:tab/>
        </w:r>
        <w:r w:rsidRPr="00BA4993">
          <w:rPr>
            <w:rStyle w:val="Hyperlink"/>
            <w:noProof/>
          </w:rPr>
          <w:t>More valuable to the poorest than benefits or market income (UK)</w:t>
        </w:r>
        <w:r>
          <w:rPr>
            <w:noProof/>
            <w:webHidden/>
          </w:rPr>
          <w:tab/>
        </w:r>
        <w:r>
          <w:rPr>
            <w:noProof/>
            <w:webHidden/>
          </w:rPr>
          <w:fldChar w:fldCharType="begin"/>
        </w:r>
        <w:r>
          <w:rPr>
            <w:noProof/>
            <w:webHidden/>
          </w:rPr>
          <w:instrText xml:space="preserve"> PAGEREF _Toc388199698 \h </w:instrText>
        </w:r>
        <w:r>
          <w:rPr>
            <w:noProof/>
            <w:webHidden/>
          </w:rPr>
        </w:r>
        <w:r>
          <w:rPr>
            <w:noProof/>
            <w:webHidden/>
          </w:rPr>
          <w:fldChar w:fldCharType="separate"/>
        </w:r>
        <w:r>
          <w:rPr>
            <w:noProof/>
            <w:webHidden/>
          </w:rPr>
          <w:t>8</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699" w:history="1">
        <w:r w:rsidRPr="00BA4993">
          <w:rPr>
            <w:rStyle w:val="Hyperlink"/>
            <w:noProof/>
          </w:rPr>
          <w:t>Chart H.</w:t>
        </w:r>
        <w:r>
          <w:rPr>
            <w:rFonts w:asciiTheme="minorHAnsi" w:eastAsiaTheme="minorEastAsia" w:hAnsiTheme="minorHAnsi" w:cstheme="minorBidi"/>
            <w:noProof/>
            <w:sz w:val="22"/>
            <w:szCs w:val="22"/>
          </w:rPr>
          <w:tab/>
        </w:r>
        <w:r w:rsidRPr="00BA4993">
          <w:rPr>
            <w:rStyle w:val="Hyperlink"/>
            <w:bCs/>
            <w:noProof/>
            <w:lang w:val="en-US"/>
          </w:rPr>
          <w:t>Value of public services as % of post-tax money income (UK)</w:t>
        </w:r>
        <w:r>
          <w:rPr>
            <w:noProof/>
            <w:webHidden/>
          </w:rPr>
          <w:tab/>
        </w:r>
        <w:r>
          <w:rPr>
            <w:noProof/>
            <w:webHidden/>
          </w:rPr>
          <w:fldChar w:fldCharType="begin"/>
        </w:r>
        <w:r>
          <w:rPr>
            <w:noProof/>
            <w:webHidden/>
          </w:rPr>
          <w:instrText xml:space="preserve"> PAGEREF _Toc388199699 \h </w:instrText>
        </w:r>
        <w:r>
          <w:rPr>
            <w:noProof/>
            <w:webHidden/>
          </w:rPr>
        </w:r>
        <w:r>
          <w:rPr>
            <w:noProof/>
            <w:webHidden/>
          </w:rPr>
          <w:fldChar w:fldCharType="separate"/>
        </w:r>
        <w:r>
          <w:rPr>
            <w:noProof/>
            <w:webHidden/>
          </w:rPr>
          <w:t>8</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00" w:history="1">
        <w:r w:rsidRPr="00BA4993">
          <w:rPr>
            <w:rStyle w:val="Hyperlink"/>
            <w:noProof/>
          </w:rPr>
          <w:t>Table 2.</w:t>
        </w:r>
        <w:r>
          <w:rPr>
            <w:rFonts w:asciiTheme="minorHAnsi" w:eastAsiaTheme="minorEastAsia" w:hAnsiTheme="minorHAnsi" w:cstheme="minorBidi"/>
            <w:noProof/>
            <w:sz w:val="22"/>
            <w:szCs w:val="22"/>
          </w:rPr>
          <w:tab/>
        </w:r>
        <w:r w:rsidRPr="00BA4993">
          <w:rPr>
            <w:rStyle w:val="Hyperlink"/>
            <w:noProof/>
          </w:rPr>
          <w:t>UK:  Effects of taxes and benefits by quintile groups of households 2010/11(£ per year)</w:t>
        </w:r>
        <w:r>
          <w:rPr>
            <w:noProof/>
            <w:webHidden/>
          </w:rPr>
          <w:tab/>
        </w:r>
        <w:r>
          <w:rPr>
            <w:noProof/>
            <w:webHidden/>
          </w:rPr>
          <w:fldChar w:fldCharType="begin"/>
        </w:r>
        <w:r>
          <w:rPr>
            <w:noProof/>
            <w:webHidden/>
          </w:rPr>
          <w:instrText xml:space="preserve"> PAGEREF _Toc388199700 \h </w:instrText>
        </w:r>
        <w:r>
          <w:rPr>
            <w:noProof/>
            <w:webHidden/>
          </w:rPr>
        </w:r>
        <w:r>
          <w:rPr>
            <w:noProof/>
            <w:webHidden/>
          </w:rPr>
          <w:fldChar w:fldCharType="separate"/>
        </w:r>
        <w:r>
          <w:rPr>
            <w:noProof/>
            <w:webHidden/>
          </w:rPr>
          <w:t>9</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01" w:history="1">
        <w:r w:rsidRPr="00BA4993">
          <w:rPr>
            <w:rStyle w:val="Hyperlink"/>
            <w:noProof/>
          </w:rPr>
          <w:t>3.2.</w:t>
        </w:r>
        <w:r>
          <w:rPr>
            <w:rFonts w:asciiTheme="minorHAnsi" w:eastAsiaTheme="minorEastAsia" w:hAnsiTheme="minorHAnsi" w:cstheme="minorBidi"/>
            <w:smallCaps w:val="0"/>
            <w:noProof/>
            <w:sz w:val="22"/>
            <w:szCs w:val="22"/>
          </w:rPr>
          <w:tab/>
        </w:r>
        <w:r w:rsidRPr="00BA4993">
          <w:rPr>
            <w:rStyle w:val="Hyperlink"/>
            <w:noProof/>
          </w:rPr>
          <w:t>Public services and equality: developing countries</w:t>
        </w:r>
        <w:r>
          <w:rPr>
            <w:noProof/>
            <w:webHidden/>
          </w:rPr>
          <w:tab/>
        </w:r>
        <w:r>
          <w:rPr>
            <w:noProof/>
            <w:webHidden/>
          </w:rPr>
          <w:fldChar w:fldCharType="begin"/>
        </w:r>
        <w:r>
          <w:rPr>
            <w:noProof/>
            <w:webHidden/>
          </w:rPr>
          <w:instrText xml:space="preserve"> PAGEREF _Toc388199701 \h </w:instrText>
        </w:r>
        <w:r>
          <w:rPr>
            <w:noProof/>
            <w:webHidden/>
          </w:rPr>
        </w:r>
        <w:r>
          <w:rPr>
            <w:noProof/>
            <w:webHidden/>
          </w:rPr>
          <w:fldChar w:fldCharType="separate"/>
        </w:r>
        <w:r>
          <w:rPr>
            <w:noProof/>
            <w:webHidden/>
          </w:rPr>
          <w:t>9</w:t>
        </w:r>
        <w:r>
          <w:rPr>
            <w:noProof/>
            <w:webHidden/>
          </w:rPr>
          <w:fldChar w:fldCharType="end"/>
        </w:r>
      </w:hyperlink>
    </w:p>
    <w:p w:rsidR="002348AB" w:rsidRDefault="002348AB">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88199702" w:history="1">
        <w:r w:rsidRPr="00BA4993">
          <w:rPr>
            <w:rStyle w:val="Hyperlink"/>
            <w:noProof/>
          </w:rPr>
          <w:t>3.2.1.</w:t>
        </w:r>
        <w:r>
          <w:rPr>
            <w:rFonts w:asciiTheme="minorHAnsi" w:eastAsiaTheme="minorEastAsia" w:hAnsiTheme="minorHAnsi" w:cstheme="minorBidi"/>
            <w:i w:val="0"/>
            <w:iCs w:val="0"/>
            <w:noProof/>
            <w:sz w:val="22"/>
            <w:szCs w:val="22"/>
          </w:rPr>
          <w:tab/>
        </w:r>
        <w:r w:rsidRPr="00BA4993">
          <w:rPr>
            <w:rStyle w:val="Hyperlink"/>
            <w:noProof/>
          </w:rPr>
          <w:t>Latin America</w:t>
        </w:r>
        <w:r>
          <w:rPr>
            <w:noProof/>
            <w:webHidden/>
          </w:rPr>
          <w:tab/>
        </w:r>
        <w:r>
          <w:rPr>
            <w:noProof/>
            <w:webHidden/>
          </w:rPr>
          <w:fldChar w:fldCharType="begin"/>
        </w:r>
        <w:r>
          <w:rPr>
            <w:noProof/>
            <w:webHidden/>
          </w:rPr>
          <w:instrText xml:space="preserve"> PAGEREF _Toc388199702 \h </w:instrText>
        </w:r>
        <w:r>
          <w:rPr>
            <w:noProof/>
            <w:webHidden/>
          </w:rPr>
        </w:r>
        <w:r>
          <w:rPr>
            <w:noProof/>
            <w:webHidden/>
          </w:rPr>
          <w:fldChar w:fldCharType="separate"/>
        </w:r>
        <w:r>
          <w:rPr>
            <w:noProof/>
            <w:webHidden/>
          </w:rPr>
          <w:t>9</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03" w:history="1">
        <w:r w:rsidRPr="00BA4993">
          <w:rPr>
            <w:rStyle w:val="Hyperlink"/>
            <w:noProof/>
          </w:rPr>
          <w:t>Chart I.</w:t>
        </w:r>
        <w:r>
          <w:rPr>
            <w:rFonts w:asciiTheme="minorHAnsi" w:eastAsiaTheme="minorEastAsia" w:hAnsiTheme="minorHAnsi" w:cstheme="minorBidi"/>
            <w:noProof/>
            <w:sz w:val="22"/>
            <w:szCs w:val="22"/>
          </w:rPr>
          <w:tab/>
        </w:r>
        <w:r w:rsidRPr="00BA4993">
          <w:rPr>
            <w:rStyle w:val="Hyperlink"/>
            <w:noProof/>
          </w:rPr>
          <w:t>Impact on inequality of taxes, benefits, and public services (Gini coefficient, 6 Latin American countries)</w:t>
        </w:r>
        <w:r>
          <w:rPr>
            <w:noProof/>
            <w:webHidden/>
          </w:rPr>
          <w:tab/>
        </w:r>
        <w:r>
          <w:rPr>
            <w:noProof/>
            <w:webHidden/>
          </w:rPr>
          <w:fldChar w:fldCharType="begin"/>
        </w:r>
        <w:r>
          <w:rPr>
            <w:noProof/>
            <w:webHidden/>
          </w:rPr>
          <w:instrText xml:space="preserve"> PAGEREF _Toc388199703 \h </w:instrText>
        </w:r>
        <w:r>
          <w:rPr>
            <w:noProof/>
            <w:webHidden/>
          </w:rPr>
        </w:r>
        <w:r>
          <w:rPr>
            <w:noProof/>
            <w:webHidden/>
          </w:rPr>
          <w:fldChar w:fldCharType="separate"/>
        </w:r>
        <w:r>
          <w:rPr>
            <w:noProof/>
            <w:webHidden/>
          </w:rPr>
          <w:t>10</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04" w:history="1">
        <w:r w:rsidRPr="00BA4993">
          <w:rPr>
            <w:rStyle w:val="Hyperlink"/>
            <w:noProof/>
          </w:rPr>
          <w:t>Table 3.</w:t>
        </w:r>
        <w:r>
          <w:rPr>
            <w:rFonts w:asciiTheme="minorHAnsi" w:eastAsiaTheme="minorEastAsia" w:hAnsiTheme="minorHAnsi" w:cstheme="minorBidi"/>
            <w:noProof/>
            <w:sz w:val="22"/>
            <w:szCs w:val="22"/>
          </w:rPr>
          <w:tab/>
        </w:r>
        <w:r w:rsidRPr="00BA4993">
          <w:rPr>
            <w:rStyle w:val="Hyperlink"/>
            <w:noProof/>
          </w:rPr>
          <w:t>Absolute and relative progressiveness of education and healthcare.</w:t>
        </w:r>
        <w:r>
          <w:rPr>
            <w:noProof/>
            <w:webHidden/>
          </w:rPr>
          <w:tab/>
        </w:r>
        <w:r>
          <w:rPr>
            <w:noProof/>
            <w:webHidden/>
          </w:rPr>
          <w:fldChar w:fldCharType="begin"/>
        </w:r>
        <w:r>
          <w:rPr>
            <w:noProof/>
            <w:webHidden/>
          </w:rPr>
          <w:instrText xml:space="preserve"> PAGEREF _Toc388199704 \h </w:instrText>
        </w:r>
        <w:r>
          <w:rPr>
            <w:noProof/>
            <w:webHidden/>
          </w:rPr>
        </w:r>
        <w:r>
          <w:rPr>
            <w:noProof/>
            <w:webHidden/>
          </w:rPr>
          <w:fldChar w:fldCharType="separate"/>
        </w:r>
        <w:r>
          <w:rPr>
            <w:noProof/>
            <w:webHidden/>
          </w:rPr>
          <w:t>10</w:t>
        </w:r>
        <w:r>
          <w:rPr>
            <w:noProof/>
            <w:webHidden/>
          </w:rPr>
          <w:fldChar w:fldCharType="end"/>
        </w:r>
      </w:hyperlink>
    </w:p>
    <w:p w:rsidR="002348AB" w:rsidRDefault="002348AB">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88199705" w:history="1">
        <w:r w:rsidRPr="00BA4993">
          <w:rPr>
            <w:rStyle w:val="Hyperlink"/>
            <w:noProof/>
          </w:rPr>
          <w:t>3.2.2.</w:t>
        </w:r>
        <w:r>
          <w:rPr>
            <w:rFonts w:asciiTheme="minorHAnsi" w:eastAsiaTheme="minorEastAsia" w:hAnsiTheme="minorHAnsi" w:cstheme="minorBidi"/>
            <w:i w:val="0"/>
            <w:iCs w:val="0"/>
            <w:noProof/>
            <w:sz w:val="22"/>
            <w:szCs w:val="22"/>
          </w:rPr>
          <w:tab/>
        </w:r>
        <w:r w:rsidRPr="00BA4993">
          <w:rPr>
            <w:rStyle w:val="Hyperlink"/>
            <w:noProof/>
          </w:rPr>
          <w:t>Asia: healthcare</w:t>
        </w:r>
        <w:r>
          <w:rPr>
            <w:noProof/>
            <w:webHidden/>
          </w:rPr>
          <w:tab/>
        </w:r>
        <w:r>
          <w:rPr>
            <w:noProof/>
            <w:webHidden/>
          </w:rPr>
          <w:fldChar w:fldCharType="begin"/>
        </w:r>
        <w:r>
          <w:rPr>
            <w:noProof/>
            <w:webHidden/>
          </w:rPr>
          <w:instrText xml:space="preserve"> PAGEREF _Toc388199705 \h </w:instrText>
        </w:r>
        <w:r>
          <w:rPr>
            <w:noProof/>
            <w:webHidden/>
          </w:rPr>
        </w:r>
        <w:r>
          <w:rPr>
            <w:noProof/>
            <w:webHidden/>
          </w:rPr>
          <w:fldChar w:fldCharType="separate"/>
        </w:r>
        <w:r>
          <w:rPr>
            <w:noProof/>
            <w:webHidden/>
          </w:rPr>
          <w:t>10</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06" w:history="1">
        <w:r w:rsidRPr="00BA4993">
          <w:rPr>
            <w:rStyle w:val="Hyperlink"/>
            <w:noProof/>
          </w:rPr>
          <w:t>Table 4.</w:t>
        </w:r>
        <w:r>
          <w:rPr>
            <w:rFonts w:asciiTheme="minorHAnsi" w:eastAsiaTheme="minorEastAsia" w:hAnsiTheme="minorHAnsi" w:cstheme="minorBidi"/>
            <w:noProof/>
            <w:sz w:val="22"/>
            <w:szCs w:val="22"/>
          </w:rPr>
          <w:tab/>
        </w:r>
        <w:r w:rsidRPr="00BA4993">
          <w:rPr>
            <w:rStyle w:val="Hyperlink"/>
            <w:noProof/>
          </w:rPr>
          <w:t>Share of poorest 20% in public healthcare benefits, Asia, 2005</w:t>
        </w:r>
        <w:r>
          <w:rPr>
            <w:noProof/>
            <w:webHidden/>
          </w:rPr>
          <w:tab/>
        </w:r>
        <w:r>
          <w:rPr>
            <w:noProof/>
            <w:webHidden/>
          </w:rPr>
          <w:fldChar w:fldCharType="begin"/>
        </w:r>
        <w:r>
          <w:rPr>
            <w:noProof/>
            <w:webHidden/>
          </w:rPr>
          <w:instrText xml:space="preserve"> PAGEREF _Toc388199706 \h </w:instrText>
        </w:r>
        <w:r>
          <w:rPr>
            <w:noProof/>
            <w:webHidden/>
          </w:rPr>
        </w:r>
        <w:r>
          <w:rPr>
            <w:noProof/>
            <w:webHidden/>
          </w:rPr>
          <w:fldChar w:fldCharType="separate"/>
        </w:r>
        <w:r>
          <w:rPr>
            <w:noProof/>
            <w:webHidden/>
          </w:rPr>
          <w:t>11</w:t>
        </w:r>
        <w:r>
          <w:rPr>
            <w:noProof/>
            <w:webHidden/>
          </w:rPr>
          <w:fldChar w:fldCharType="end"/>
        </w:r>
      </w:hyperlink>
    </w:p>
    <w:p w:rsidR="002348AB" w:rsidRDefault="002348AB">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88199707" w:history="1">
        <w:r w:rsidRPr="00BA4993">
          <w:rPr>
            <w:rStyle w:val="Hyperlink"/>
            <w:noProof/>
          </w:rPr>
          <w:t>3.2.3.</w:t>
        </w:r>
        <w:r>
          <w:rPr>
            <w:rFonts w:asciiTheme="minorHAnsi" w:eastAsiaTheme="minorEastAsia" w:hAnsiTheme="minorHAnsi" w:cstheme="minorBidi"/>
            <w:i w:val="0"/>
            <w:iCs w:val="0"/>
            <w:noProof/>
            <w:sz w:val="22"/>
            <w:szCs w:val="22"/>
          </w:rPr>
          <w:tab/>
        </w:r>
        <w:r w:rsidRPr="00BA4993">
          <w:rPr>
            <w:rStyle w:val="Hyperlink"/>
            <w:noProof/>
          </w:rPr>
          <w:t>Education</w:t>
        </w:r>
        <w:r>
          <w:rPr>
            <w:noProof/>
            <w:webHidden/>
          </w:rPr>
          <w:tab/>
        </w:r>
        <w:r>
          <w:rPr>
            <w:noProof/>
            <w:webHidden/>
          </w:rPr>
          <w:fldChar w:fldCharType="begin"/>
        </w:r>
        <w:r>
          <w:rPr>
            <w:noProof/>
            <w:webHidden/>
          </w:rPr>
          <w:instrText xml:space="preserve"> PAGEREF _Toc388199707 \h </w:instrText>
        </w:r>
        <w:r>
          <w:rPr>
            <w:noProof/>
            <w:webHidden/>
          </w:rPr>
        </w:r>
        <w:r>
          <w:rPr>
            <w:noProof/>
            <w:webHidden/>
          </w:rPr>
          <w:fldChar w:fldCharType="separate"/>
        </w:r>
        <w:r>
          <w:rPr>
            <w:noProof/>
            <w:webHidden/>
          </w:rPr>
          <w:t>11</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08" w:history="1">
        <w:r w:rsidRPr="00BA4993">
          <w:rPr>
            <w:rStyle w:val="Hyperlink"/>
            <w:noProof/>
          </w:rPr>
          <w:t>Table 5.</w:t>
        </w:r>
        <w:r>
          <w:rPr>
            <w:rFonts w:asciiTheme="minorHAnsi" w:eastAsiaTheme="minorEastAsia" w:hAnsiTheme="minorHAnsi" w:cstheme="minorBidi"/>
            <w:noProof/>
            <w:sz w:val="22"/>
            <w:szCs w:val="22"/>
          </w:rPr>
          <w:tab/>
        </w:r>
        <w:r w:rsidRPr="00BA4993">
          <w:rPr>
            <w:rStyle w:val="Hyperlink"/>
            <w:noProof/>
          </w:rPr>
          <w:t>Shares of poorest and richest quintiles in public education spending (1990s)</w:t>
        </w:r>
        <w:r>
          <w:rPr>
            <w:noProof/>
            <w:webHidden/>
          </w:rPr>
          <w:tab/>
        </w:r>
        <w:r>
          <w:rPr>
            <w:noProof/>
            <w:webHidden/>
          </w:rPr>
          <w:fldChar w:fldCharType="begin"/>
        </w:r>
        <w:r>
          <w:rPr>
            <w:noProof/>
            <w:webHidden/>
          </w:rPr>
          <w:instrText xml:space="preserve"> PAGEREF _Toc388199708 \h </w:instrText>
        </w:r>
        <w:r>
          <w:rPr>
            <w:noProof/>
            <w:webHidden/>
          </w:rPr>
        </w:r>
        <w:r>
          <w:rPr>
            <w:noProof/>
            <w:webHidden/>
          </w:rPr>
          <w:fldChar w:fldCharType="separate"/>
        </w:r>
        <w:r>
          <w:rPr>
            <w:noProof/>
            <w:webHidden/>
          </w:rPr>
          <w:t>12</w:t>
        </w:r>
        <w:r>
          <w:rPr>
            <w:noProof/>
            <w:webHidden/>
          </w:rPr>
          <w:fldChar w:fldCharType="end"/>
        </w:r>
      </w:hyperlink>
    </w:p>
    <w:p w:rsidR="002348AB" w:rsidRDefault="002348AB">
      <w:pPr>
        <w:pStyle w:val="TOC3"/>
        <w:tabs>
          <w:tab w:val="left" w:pos="1320"/>
          <w:tab w:val="right" w:leader="dot" w:pos="9628"/>
        </w:tabs>
        <w:rPr>
          <w:rFonts w:asciiTheme="minorHAnsi" w:eastAsiaTheme="minorEastAsia" w:hAnsiTheme="minorHAnsi" w:cstheme="minorBidi"/>
          <w:i w:val="0"/>
          <w:iCs w:val="0"/>
          <w:noProof/>
          <w:sz w:val="22"/>
          <w:szCs w:val="22"/>
        </w:rPr>
      </w:pPr>
      <w:hyperlink w:anchor="_Toc388199709" w:history="1">
        <w:r w:rsidRPr="00BA4993">
          <w:rPr>
            <w:rStyle w:val="Hyperlink"/>
            <w:noProof/>
          </w:rPr>
          <w:t>3.2.4.</w:t>
        </w:r>
        <w:r>
          <w:rPr>
            <w:rFonts w:asciiTheme="minorHAnsi" w:eastAsiaTheme="minorEastAsia" w:hAnsiTheme="minorHAnsi" w:cstheme="minorBidi"/>
            <w:i w:val="0"/>
            <w:iCs w:val="0"/>
            <w:noProof/>
            <w:sz w:val="22"/>
            <w:szCs w:val="22"/>
          </w:rPr>
          <w:tab/>
        </w:r>
        <w:r w:rsidRPr="00BA4993">
          <w:rPr>
            <w:rStyle w:val="Hyperlink"/>
            <w:noProof/>
          </w:rPr>
          <w:t>Education in Indonesia</w:t>
        </w:r>
        <w:r>
          <w:rPr>
            <w:noProof/>
            <w:webHidden/>
          </w:rPr>
          <w:tab/>
        </w:r>
        <w:r>
          <w:rPr>
            <w:noProof/>
            <w:webHidden/>
          </w:rPr>
          <w:fldChar w:fldCharType="begin"/>
        </w:r>
        <w:r>
          <w:rPr>
            <w:noProof/>
            <w:webHidden/>
          </w:rPr>
          <w:instrText xml:space="preserve"> PAGEREF _Toc388199709 \h </w:instrText>
        </w:r>
        <w:r>
          <w:rPr>
            <w:noProof/>
            <w:webHidden/>
          </w:rPr>
        </w:r>
        <w:r>
          <w:rPr>
            <w:noProof/>
            <w:webHidden/>
          </w:rPr>
          <w:fldChar w:fldCharType="separate"/>
        </w:r>
        <w:r>
          <w:rPr>
            <w:noProof/>
            <w:webHidden/>
          </w:rPr>
          <w:t>12</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10" w:history="1">
        <w:r w:rsidRPr="00BA4993">
          <w:rPr>
            <w:rStyle w:val="Hyperlink"/>
            <w:noProof/>
          </w:rPr>
          <w:t>Table 6.</w:t>
        </w:r>
        <w:r>
          <w:rPr>
            <w:rFonts w:asciiTheme="minorHAnsi" w:eastAsiaTheme="minorEastAsia" w:hAnsiTheme="minorHAnsi" w:cstheme="minorBidi"/>
            <w:noProof/>
            <w:sz w:val="22"/>
            <w:szCs w:val="22"/>
          </w:rPr>
          <w:tab/>
        </w:r>
        <w:r w:rsidRPr="00BA4993">
          <w:rPr>
            <w:rStyle w:val="Hyperlink"/>
            <w:noProof/>
          </w:rPr>
          <w:t>Benefits of public spending on education by quintile group, Indonesia, 2005</w:t>
        </w:r>
        <w:r>
          <w:rPr>
            <w:noProof/>
            <w:webHidden/>
          </w:rPr>
          <w:tab/>
        </w:r>
        <w:r>
          <w:rPr>
            <w:noProof/>
            <w:webHidden/>
          </w:rPr>
          <w:fldChar w:fldCharType="begin"/>
        </w:r>
        <w:r>
          <w:rPr>
            <w:noProof/>
            <w:webHidden/>
          </w:rPr>
          <w:instrText xml:space="preserve"> PAGEREF _Toc388199710 \h </w:instrText>
        </w:r>
        <w:r>
          <w:rPr>
            <w:noProof/>
            <w:webHidden/>
          </w:rPr>
        </w:r>
        <w:r>
          <w:rPr>
            <w:noProof/>
            <w:webHidden/>
          </w:rPr>
          <w:fldChar w:fldCharType="separate"/>
        </w:r>
        <w:r>
          <w:rPr>
            <w:noProof/>
            <w:webHidden/>
          </w:rPr>
          <w:t>12</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711" w:history="1">
        <w:r w:rsidRPr="00BA4993">
          <w:rPr>
            <w:rStyle w:val="Hyperlink"/>
            <w:noProof/>
          </w:rPr>
          <w:t>4.</w:t>
        </w:r>
        <w:r>
          <w:rPr>
            <w:rFonts w:asciiTheme="minorHAnsi" w:eastAsiaTheme="minorEastAsia" w:hAnsiTheme="minorHAnsi" w:cstheme="minorBidi"/>
            <w:b w:val="0"/>
            <w:bCs w:val="0"/>
            <w:caps w:val="0"/>
            <w:noProof/>
            <w:sz w:val="22"/>
            <w:szCs w:val="22"/>
          </w:rPr>
          <w:tab/>
        </w:r>
        <w:r w:rsidRPr="00BA4993">
          <w:rPr>
            <w:rStyle w:val="Hyperlink"/>
            <w:noProof/>
          </w:rPr>
          <w:t>Infrastructure and inequality</w:t>
        </w:r>
        <w:r>
          <w:rPr>
            <w:noProof/>
            <w:webHidden/>
          </w:rPr>
          <w:tab/>
        </w:r>
        <w:r>
          <w:rPr>
            <w:noProof/>
            <w:webHidden/>
          </w:rPr>
          <w:fldChar w:fldCharType="begin"/>
        </w:r>
        <w:r>
          <w:rPr>
            <w:noProof/>
            <w:webHidden/>
          </w:rPr>
          <w:instrText xml:space="preserve"> PAGEREF _Toc388199711 \h </w:instrText>
        </w:r>
        <w:r>
          <w:rPr>
            <w:noProof/>
            <w:webHidden/>
          </w:rPr>
        </w:r>
        <w:r>
          <w:rPr>
            <w:noProof/>
            <w:webHidden/>
          </w:rPr>
          <w:fldChar w:fldCharType="separate"/>
        </w:r>
        <w:r>
          <w:rPr>
            <w:noProof/>
            <w:webHidden/>
          </w:rPr>
          <w:t>13</w:t>
        </w:r>
        <w:r>
          <w:rPr>
            <w:noProof/>
            <w:webHidden/>
          </w:rPr>
          <w:fldChar w:fldCharType="end"/>
        </w:r>
      </w:hyperlink>
    </w:p>
    <w:p w:rsidR="002348AB" w:rsidRDefault="002348AB">
      <w:pPr>
        <w:pStyle w:val="TOC4"/>
        <w:tabs>
          <w:tab w:val="right" w:leader="dot" w:pos="9628"/>
        </w:tabs>
        <w:rPr>
          <w:rFonts w:asciiTheme="minorHAnsi" w:eastAsiaTheme="minorEastAsia" w:hAnsiTheme="minorHAnsi" w:cstheme="minorBidi"/>
          <w:noProof/>
          <w:sz w:val="22"/>
          <w:szCs w:val="22"/>
        </w:rPr>
      </w:pPr>
      <w:hyperlink w:anchor="_Toc388199712" w:history="1">
        <w:r w:rsidRPr="00BA4993">
          <w:rPr>
            <w:rStyle w:val="Hyperlink"/>
            <w:noProof/>
          </w:rPr>
          <w:t>Chart J. Improvements in income equality due to infrastructure development, 1990s–2000s, by region</w:t>
        </w:r>
        <w:r>
          <w:rPr>
            <w:noProof/>
            <w:webHidden/>
          </w:rPr>
          <w:tab/>
        </w:r>
        <w:r>
          <w:rPr>
            <w:noProof/>
            <w:webHidden/>
          </w:rPr>
          <w:fldChar w:fldCharType="begin"/>
        </w:r>
        <w:r>
          <w:rPr>
            <w:noProof/>
            <w:webHidden/>
          </w:rPr>
          <w:instrText xml:space="preserve"> PAGEREF _Toc388199712 \h </w:instrText>
        </w:r>
        <w:r>
          <w:rPr>
            <w:noProof/>
            <w:webHidden/>
          </w:rPr>
        </w:r>
        <w:r>
          <w:rPr>
            <w:noProof/>
            <w:webHidden/>
          </w:rPr>
          <w:fldChar w:fldCharType="separate"/>
        </w:r>
        <w:r>
          <w:rPr>
            <w:noProof/>
            <w:webHidden/>
          </w:rPr>
          <w:t>13</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13" w:history="1">
        <w:r w:rsidRPr="00BA4993">
          <w:rPr>
            <w:rStyle w:val="Hyperlink"/>
            <w:noProof/>
          </w:rPr>
          <w:t>4.1.</w:t>
        </w:r>
        <w:r>
          <w:rPr>
            <w:rFonts w:asciiTheme="minorHAnsi" w:eastAsiaTheme="minorEastAsia" w:hAnsiTheme="minorHAnsi" w:cstheme="minorBidi"/>
            <w:smallCaps w:val="0"/>
            <w:noProof/>
            <w:sz w:val="22"/>
            <w:szCs w:val="22"/>
          </w:rPr>
          <w:tab/>
        </w:r>
        <w:r w:rsidRPr="00BA4993">
          <w:rPr>
            <w:rStyle w:val="Hyperlink"/>
            <w:noProof/>
          </w:rPr>
          <w:t>Public water and equality</w:t>
        </w:r>
        <w:r>
          <w:rPr>
            <w:noProof/>
            <w:webHidden/>
          </w:rPr>
          <w:tab/>
        </w:r>
        <w:r>
          <w:rPr>
            <w:noProof/>
            <w:webHidden/>
          </w:rPr>
          <w:fldChar w:fldCharType="begin"/>
        </w:r>
        <w:r>
          <w:rPr>
            <w:noProof/>
            <w:webHidden/>
          </w:rPr>
          <w:instrText xml:space="preserve"> PAGEREF _Toc388199713 \h </w:instrText>
        </w:r>
        <w:r>
          <w:rPr>
            <w:noProof/>
            <w:webHidden/>
          </w:rPr>
        </w:r>
        <w:r>
          <w:rPr>
            <w:noProof/>
            <w:webHidden/>
          </w:rPr>
          <w:fldChar w:fldCharType="separate"/>
        </w:r>
        <w:r>
          <w:rPr>
            <w:noProof/>
            <w:webHidden/>
          </w:rPr>
          <w:t>14</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14" w:history="1">
        <w:r w:rsidRPr="00BA4993">
          <w:rPr>
            <w:rStyle w:val="Hyperlink"/>
            <w:noProof/>
          </w:rPr>
          <w:t>4.2.</w:t>
        </w:r>
        <w:r>
          <w:rPr>
            <w:rFonts w:asciiTheme="minorHAnsi" w:eastAsiaTheme="minorEastAsia" w:hAnsiTheme="minorHAnsi" w:cstheme="minorBidi"/>
            <w:smallCaps w:val="0"/>
            <w:noProof/>
            <w:sz w:val="22"/>
            <w:szCs w:val="22"/>
          </w:rPr>
          <w:tab/>
        </w:r>
        <w:r w:rsidRPr="00BA4993">
          <w:rPr>
            <w:rStyle w:val="Hyperlink"/>
            <w:noProof/>
          </w:rPr>
          <w:t>Rural electrification, gender equality and development</w:t>
        </w:r>
        <w:r>
          <w:rPr>
            <w:noProof/>
            <w:webHidden/>
          </w:rPr>
          <w:tab/>
        </w:r>
        <w:r>
          <w:rPr>
            <w:noProof/>
            <w:webHidden/>
          </w:rPr>
          <w:fldChar w:fldCharType="begin"/>
        </w:r>
        <w:r>
          <w:rPr>
            <w:noProof/>
            <w:webHidden/>
          </w:rPr>
          <w:instrText xml:space="preserve"> PAGEREF _Toc388199714 \h </w:instrText>
        </w:r>
        <w:r>
          <w:rPr>
            <w:noProof/>
            <w:webHidden/>
          </w:rPr>
        </w:r>
        <w:r>
          <w:rPr>
            <w:noProof/>
            <w:webHidden/>
          </w:rPr>
          <w:fldChar w:fldCharType="separate"/>
        </w:r>
        <w:r>
          <w:rPr>
            <w:noProof/>
            <w:webHidden/>
          </w:rPr>
          <w:t>14</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15" w:history="1">
        <w:r w:rsidRPr="00BA4993">
          <w:rPr>
            <w:rStyle w:val="Hyperlink"/>
            <w:noProof/>
          </w:rPr>
          <w:t>4.3.</w:t>
        </w:r>
        <w:r>
          <w:rPr>
            <w:rFonts w:asciiTheme="minorHAnsi" w:eastAsiaTheme="minorEastAsia" w:hAnsiTheme="minorHAnsi" w:cstheme="minorBidi"/>
            <w:smallCaps w:val="0"/>
            <w:noProof/>
            <w:sz w:val="22"/>
            <w:szCs w:val="22"/>
          </w:rPr>
          <w:tab/>
        </w:r>
        <w:r w:rsidRPr="00BA4993">
          <w:rPr>
            <w:rStyle w:val="Hyperlink"/>
            <w:noProof/>
          </w:rPr>
          <w:t>Cross-subsidy and equality</w:t>
        </w:r>
        <w:r>
          <w:rPr>
            <w:noProof/>
            <w:webHidden/>
          </w:rPr>
          <w:tab/>
        </w:r>
        <w:r>
          <w:rPr>
            <w:noProof/>
            <w:webHidden/>
          </w:rPr>
          <w:fldChar w:fldCharType="begin"/>
        </w:r>
        <w:r>
          <w:rPr>
            <w:noProof/>
            <w:webHidden/>
          </w:rPr>
          <w:instrText xml:space="preserve"> PAGEREF _Toc388199715 \h </w:instrText>
        </w:r>
        <w:r>
          <w:rPr>
            <w:noProof/>
            <w:webHidden/>
          </w:rPr>
        </w:r>
        <w:r>
          <w:rPr>
            <w:noProof/>
            <w:webHidden/>
          </w:rPr>
          <w:fldChar w:fldCharType="separate"/>
        </w:r>
        <w:r>
          <w:rPr>
            <w:noProof/>
            <w:webHidden/>
          </w:rPr>
          <w:t>15</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16" w:history="1">
        <w:r w:rsidRPr="00BA4993">
          <w:rPr>
            <w:rStyle w:val="Hyperlink"/>
            <w:noProof/>
          </w:rPr>
          <w:t>4.4.</w:t>
        </w:r>
        <w:r>
          <w:rPr>
            <w:rFonts w:asciiTheme="minorHAnsi" w:eastAsiaTheme="minorEastAsia" w:hAnsiTheme="minorHAnsi" w:cstheme="minorBidi"/>
            <w:smallCaps w:val="0"/>
            <w:noProof/>
            <w:sz w:val="22"/>
            <w:szCs w:val="22"/>
          </w:rPr>
          <w:tab/>
        </w:r>
        <w:r w:rsidRPr="00BA4993">
          <w:rPr>
            <w:rStyle w:val="Hyperlink"/>
            <w:noProof/>
          </w:rPr>
          <w:t>Equality, poverty and living standards</w:t>
        </w:r>
        <w:r>
          <w:rPr>
            <w:noProof/>
            <w:webHidden/>
          </w:rPr>
          <w:tab/>
        </w:r>
        <w:r>
          <w:rPr>
            <w:noProof/>
            <w:webHidden/>
          </w:rPr>
          <w:fldChar w:fldCharType="begin"/>
        </w:r>
        <w:r>
          <w:rPr>
            <w:noProof/>
            <w:webHidden/>
          </w:rPr>
          <w:instrText xml:space="preserve"> PAGEREF _Toc388199716 \h </w:instrText>
        </w:r>
        <w:r>
          <w:rPr>
            <w:noProof/>
            <w:webHidden/>
          </w:rPr>
        </w:r>
        <w:r>
          <w:rPr>
            <w:noProof/>
            <w:webHidden/>
          </w:rPr>
          <w:fldChar w:fldCharType="separate"/>
        </w:r>
        <w:r>
          <w:rPr>
            <w:noProof/>
            <w:webHidden/>
          </w:rPr>
          <w:t>15</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17" w:history="1">
        <w:r w:rsidRPr="00BA4993">
          <w:rPr>
            <w:rStyle w:val="Hyperlink"/>
            <w:noProof/>
          </w:rPr>
          <w:t>Chart J.</w:t>
        </w:r>
        <w:r>
          <w:rPr>
            <w:rFonts w:asciiTheme="minorHAnsi" w:eastAsiaTheme="minorEastAsia" w:hAnsiTheme="minorHAnsi" w:cstheme="minorBidi"/>
            <w:noProof/>
            <w:sz w:val="22"/>
            <w:szCs w:val="22"/>
          </w:rPr>
          <w:tab/>
        </w:r>
        <w:r w:rsidRPr="00BA4993">
          <w:rPr>
            <w:rStyle w:val="Hyperlink"/>
            <w:noProof/>
          </w:rPr>
          <w:t>Public services and infrastructure in multi-dimensional  indicators of poverty (MPI)</w:t>
        </w:r>
        <w:r>
          <w:rPr>
            <w:noProof/>
            <w:webHidden/>
          </w:rPr>
          <w:tab/>
        </w:r>
        <w:r>
          <w:rPr>
            <w:noProof/>
            <w:webHidden/>
          </w:rPr>
          <w:fldChar w:fldCharType="begin"/>
        </w:r>
        <w:r>
          <w:rPr>
            <w:noProof/>
            <w:webHidden/>
          </w:rPr>
          <w:instrText xml:space="preserve"> PAGEREF _Toc388199717 \h </w:instrText>
        </w:r>
        <w:r>
          <w:rPr>
            <w:noProof/>
            <w:webHidden/>
          </w:rPr>
        </w:r>
        <w:r>
          <w:rPr>
            <w:noProof/>
            <w:webHidden/>
          </w:rPr>
          <w:fldChar w:fldCharType="separate"/>
        </w:r>
        <w:r>
          <w:rPr>
            <w:noProof/>
            <w:webHidden/>
          </w:rPr>
          <w:t>15</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718" w:history="1">
        <w:r w:rsidRPr="00BA4993">
          <w:rPr>
            <w:rStyle w:val="Hyperlink"/>
            <w:noProof/>
          </w:rPr>
          <w:t>5.</w:t>
        </w:r>
        <w:r>
          <w:rPr>
            <w:rFonts w:asciiTheme="minorHAnsi" w:eastAsiaTheme="minorEastAsia" w:hAnsiTheme="minorHAnsi" w:cstheme="minorBidi"/>
            <w:b w:val="0"/>
            <w:bCs w:val="0"/>
            <w:caps w:val="0"/>
            <w:noProof/>
            <w:sz w:val="22"/>
            <w:szCs w:val="22"/>
          </w:rPr>
          <w:tab/>
        </w:r>
        <w:r w:rsidRPr="00BA4993">
          <w:rPr>
            <w:rStyle w:val="Hyperlink"/>
            <w:noProof/>
          </w:rPr>
          <w:t>Public services , equality, and quality of life</w:t>
        </w:r>
        <w:r>
          <w:rPr>
            <w:noProof/>
            <w:webHidden/>
          </w:rPr>
          <w:tab/>
        </w:r>
        <w:r>
          <w:rPr>
            <w:noProof/>
            <w:webHidden/>
          </w:rPr>
          <w:fldChar w:fldCharType="begin"/>
        </w:r>
        <w:r>
          <w:rPr>
            <w:noProof/>
            <w:webHidden/>
          </w:rPr>
          <w:instrText xml:space="preserve"> PAGEREF _Toc388199718 \h </w:instrText>
        </w:r>
        <w:r>
          <w:rPr>
            <w:noProof/>
            <w:webHidden/>
          </w:rPr>
        </w:r>
        <w:r>
          <w:rPr>
            <w:noProof/>
            <w:webHidden/>
          </w:rPr>
          <w:fldChar w:fldCharType="separate"/>
        </w:r>
        <w:r>
          <w:rPr>
            <w:noProof/>
            <w:webHidden/>
          </w:rPr>
          <w:t>16</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19" w:history="1">
        <w:r w:rsidRPr="00BA4993">
          <w:rPr>
            <w:rStyle w:val="Hyperlink"/>
            <w:noProof/>
          </w:rPr>
          <w:t>5.1.</w:t>
        </w:r>
        <w:r>
          <w:rPr>
            <w:rFonts w:asciiTheme="minorHAnsi" w:eastAsiaTheme="minorEastAsia" w:hAnsiTheme="minorHAnsi" w:cstheme="minorBidi"/>
            <w:smallCaps w:val="0"/>
            <w:noProof/>
            <w:sz w:val="22"/>
            <w:szCs w:val="22"/>
          </w:rPr>
          <w:tab/>
        </w:r>
        <w:r w:rsidRPr="00BA4993">
          <w:rPr>
            <w:rStyle w:val="Hyperlink"/>
            <w:noProof/>
          </w:rPr>
          <w:t>Public services linked to more equal distribution of income</w:t>
        </w:r>
        <w:r>
          <w:rPr>
            <w:noProof/>
            <w:webHidden/>
          </w:rPr>
          <w:tab/>
        </w:r>
        <w:r>
          <w:rPr>
            <w:noProof/>
            <w:webHidden/>
          </w:rPr>
          <w:fldChar w:fldCharType="begin"/>
        </w:r>
        <w:r>
          <w:rPr>
            <w:noProof/>
            <w:webHidden/>
          </w:rPr>
          <w:instrText xml:space="preserve"> PAGEREF _Toc388199719 \h </w:instrText>
        </w:r>
        <w:r>
          <w:rPr>
            <w:noProof/>
            <w:webHidden/>
          </w:rPr>
        </w:r>
        <w:r>
          <w:rPr>
            <w:noProof/>
            <w:webHidden/>
          </w:rPr>
          <w:fldChar w:fldCharType="separate"/>
        </w:r>
        <w:r>
          <w:rPr>
            <w:noProof/>
            <w:webHidden/>
          </w:rPr>
          <w:t>16</w:t>
        </w:r>
        <w:r>
          <w:rPr>
            <w:noProof/>
            <w:webHidden/>
          </w:rPr>
          <w:fldChar w:fldCharType="end"/>
        </w:r>
      </w:hyperlink>
    </w:p>
    <w:p w:rsidR="002348AB" w:rsidRDefault="002348AB">
      <w:pPr>
        <w:pStyle w:val="TOC4"/>
        <w:tabs>
          <w:tab w:val="left" w:pos="1540"/>
          <w:tab w:val="right" w:leader="dot" w:pos="9628"/>
        </w:tabs>
        <w:rPr>
          <w:rFonts w:asciiTheme="minorHAnsi" w:eastAsiaTheme="minorEastAsia" w:hAnsiTheme="minorHAnsi" w:cstheme="minorBidi"/>
          <w:noProof/>
          <w:sz w:val="22"/>
          <w:szCs w:val="22"/>
        </w:rPr>
      </w:pPr>
      <w:hyperlink w:anchor="_Toc388199720" w:history="1">
        <w:r w:rsidRPr="00BA4993">
          <w:rPr>
            <w:rStyle w:val="Hyperlink"/>
            <w:noProof/>
          </w:rPr>
          <w:t>Table 7.</w:t>
        </w:r>
        <w:r>
          <w:rPr>
            <w:rFonts w:asciiTheme="minorHAnsi" w:eastAsiaTheme="minorEastAsia" w:hAnsiTheme="minorHAnsi" w:cstheme="minorBidi"/>
            <w:noProof/>
            <w:sz w:val="22"/>
            <w:szCs w:val="22"/>
          </w:rPr>
          <w:tab/>
        </w:r>
        <w:r w:rsidRPr="00BA4993">
          <w:rPr>
            <w:rStyle w:val="Hyperlink"/>
            <w:noProof/>
          </w:rPr>
          <w:t>Unequal austerity: effects on inequality of changes in taxes and public spending</w:t>
        </w:r>
        <w:r>
          <w:rPr>
            <w:noProof/>
            <w:webHidden/>
          </w:rPr>
          <w:tab/>
        </w:r>
        <w:r>
          <w:rPr>
            <w:noProof/>
            <w:webHidden/>
          </w:rPr>
          <w:fldChar w:fldCharType="begin"/>
        </w:r>
        <w:r>
          <w:rPr>
            <w:noProof/>
            <w:webHidden/>
          </w:rPr>
          <w:instrText xml:space="preserve"> PAGEREF _Toc388199720 \h </w:instrText>
        </w:r>
        <w:r>
          <w:rPr>
            <w:noProof/>
            <w:webHidden/>
          </w:rPr>
        </w:r>
        <w:r>
          <w:rPr>
            <w:noProof/>
            <w:webHidden/>
          </w:rPr>
          <w:fldChar w:fldCharType="separate"/>
        </w:r>
        <w:r>
          <w:rPr>
            <w:noProof/>
            <w:webHidden/>
          </w:rPr>
          <w:t>16</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21" w:history="1">
        <w:r w:rsidRPr="00BA4993">
          <w:rPr>
            <w:rStyle w:val="Hyperlink"/>
            <w:noProof/>
          </w:rPr>
          <w:t>5.2.</w:t>
        </w:r>
        <w:r>
          <w:rPr>
            <w:rFonts w:asciiTheme="minorHAnsi" w:eastAsiaTheme="minorEastAsia" w:hAnsiTheme="minorHAnsi" w:cstheme="minorBidi"/>
            <w:smallCaps w:val="0"/>
            <w:noProof/>
            <w:sz w:val="22"/>
            <w:szCs w:val="22"/>
          </w:rPr>
          <w:tab/>
        </w:r>
        <w:r w:rsidRPr="00BA4993">
          <w:rPr>
            <w:rStyle w:val="Hyperlink"/>
            <w:noProof/>
          </w:rPr>
          <w:t>Equalisation through public sector employment</w:t>
        </w:r>
        <w:r>
          <w:rPr>
            <w:noProof/>
            <w:webHidden/>
          </w:rPr>
          <w:tab/>
        </w:r>
        <w:r>
          <w:rPr>
            <w:noProof/>
            <w:webHidden/>
          </w:rPr>
          <w:fldChar w:fldCharType="begin"/>
        </w:r>
        <w:r>
          <w:rPr>
            <w:noProof/>
            <w:webHidden/>
          </w:rPr>
          <w:instrText xml:space="preserve"> PAGEREF _Toc388199721 \h </w:instrText>
        </w:r>
        <w:r>
          <w:rPr>
            <w:noProof/>
            <w:webHidden/>
          </w:rPr>
        </w:r>
        <w:r>
          <w:rPr>
            <w:noProof/>
            <w:webHidden/>
          </w:rPr>
          <w:fldChar w:fldCharType="separate"/>
        </w:r>
        <w:r>
          <w:rPr>
            <w:noProof/>
            <w:webHidden/>
          </w:rPr>
          <w:t>16</w:t>
        </w:r>
        <w:r>
          <w:rPr>
            <w:noProof/>
            <w:webHidden/>
          </w:rPr>
          <w:fldChar w:fldCharType="end"/>
        </w:r>
      </w:hyperlink>
    </w:p>
    <w:p w:rsidR="002348AB" w:rsidRDefault="002348AB">
      <w:pPr>
        <w:pStyle w:val="TOC2"/>
        <w:tabs>
          <w:tab w:val="left" w:pos="880"/>
          <w:tab w:val="right" w:leader="dot" w:pos="9628"/>
        </w:tabs>
        <w:rPr>
          <w:rFonts w:asciiTheme="minorHAnsi" w:eastAsiaTheme="minorEastAsia" w:hAnsiTheme="minorHAnsi" w:cstheme="minorBidi"/>
          <w:smallCaps w:val="0"/>
          <w:noProof/>
          <w:sz w:val="22"/>
          <w:szCs w:val="22"/>
        </w:rPr>
      </w:pPr>
      <w:hyperlink w:anchor="_Toc388199722" w:history="1">
        <w:r w:rsidRPr="00BA4993">
          <w:rPr>
            <w:rStyle w:val="Hyperlink"/>
            <w:noProof/>
          </w:rPr>
          <w:t>5.3.</w:t>
        </w:r>
        <w:r>
          <w:rPr>
            <w:rFonts w:asciiTheme="minorHAnsi" w:eastAsiaTheme="minorEastAsia" w:hAnsiTheme="minorHAnsi" w:cstheme="minorBidi"/>
            <w:smallCaps w:val="0"/>
            <w:noProof/>
            <w:sz w:val="22"/>
            <w:szCs w:val="22"/>
          </w:rPr>
          <w:tab/>
        </w:r>
        <w:r w:rsidRPr="00BA4993">
          <w:rPr>
            <w:rStyle w:val="Hyperlink"/>
            <w:noProof/>
          </w:rPr>
          <w:t>Public services as mediator between equality and social benefits</w:t>
        </w:r>
        <w:r>
          <w:rPr>
            <w:noProof/>
            <w:webHidden/>
          </w:rPr>
          <w:tab/>
        </w:r>
        <w:r>
          <w:rPr>
            <w:noProof/>
            <w:webHidden/>
          </w:rPr>
          <w:fldChar w:fldCharType="begin"/>
        </w:r>
        <w:r>
          <w:rPr>
            <w:noProof/>
            <w:webHidden/>
          </w:rPr>
          <w:instrText xml:space="preserve"> PAGEREF _Toc388199722 \h </w:instrText>
        </w:r>
        <w:r>
          <w:rPr>
            <w:noProof/>
            <w:webHidden/>
          </w:rPr>
        </w:r>
        <w:r>
          <w:rPr>
            <w:noProof/>
            <w:webHidden/>
          </w:rPr>
          <w:fldChar w:fldCharType="separate"/>
        </w:r>
        <w:r>
          <w:rPr>
            <w:noProof/>
            <w:webHidden/>
          </w:rPr>
          <w:t>17</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723" w:history="1">
        <w:r w:rsidRPr="00BA4993">
          <w:rPr>
            <w:rStyle w:val="Hyperlink"/>
            <w:noProof/>
          </w:rPr>
          <w:t>6.</w:t>
        </w:r>
        <w:r>
          <w:rPr>
            <w:rFonts w:asciiTheme="minorHAnsi" w:eastAsiaTheme="minorEastAsia" w:hAnsiTheme="minorHAnsi" w:cstheme="minorBidi"/>
            <w:b w:val="0"/>
            <w:bCs w:val="0"/>
            <w:caps w:val="0"/>
            <w:noProof/>
            <w:sz w:val="22"/>
            <w:szCs w:val="22"/>
          </w:rPr>
          <w:tab/>
        </w:r>
        <w:r w:rsidRPr="00BA4993">
          <w:rPr>
            <w:rStyle w:val="Hyperlink"/>
            <w:noProof/>
          </w:rPr>
          <w:t>Conclusions</w:t>
        </w:r>
        <w:r>
          <w:rPr>
            <w:noProof/>
            <w:webHidden/>
          </w:rPr>
          <w:tab/>
        </w:r>
        <w:r>
          <w:rPr>
            <w:noProof/>
            <w:webHidden/>
          </w:rPr>
          <w:fldChar w:fldCharType="begin"/>
        </w:r>
        <w:r>
          <w:rPr>
            <w:noProof/>
            <w:webHidden/>
          </w:rPr>
          <w:instrText xml:space="preserve"> PAGEREF _Toc388199723 \h </w:instrText>
        </w:r>
        <w:r>
          <w:rPr>
            <w:noProof/>
            <w:webHidden/>
          </w:rPr>
        </w:r>
        <w:r>
          <w:rPr>
            <w:noProof/>
            <w:webHidden/>
          </w:rPr>
          <w:fldChar w:fldCharType="separate"/>
        </w:r>
        <w:r>
          <w:rPr>
            <w:noProof/>
            <w:webHidden/>
          </w:rPr>
          <w:t>17</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724" w:history="1">
        <w:r w:rsidRPr="00BA4993">
          <w:rPr>
            <w:rStyle w:val="Hyperlink"/>
            <w:noProof/>
          </w:rPr>
          <w:t>7.</w:t>
        </w:r>
        <w:r>
          <w:rPr>
            <w:rFonts w:asciiTheme="minorHAnsi" w:eastAsiaTheme="minorEastAsia" w:hAnsiTheme="minorHAnsi" w:cstheme="minorBidi"/>
            <w:b w:val="0"/>
            <w:bCs w:val="0"/>
            <w:caps w:val="0"/>
            <w:noProof/>
            <w:sz w:val="22"/>
            <w:szCs w:val="22"/>
          </w:rPr>
          <w:tab/>
        </w:r>
        <w:r w:rsidRPr="00BA4993">
          <w:rPr>
            <w:rStyle w:val="Hyperlink"/>
            <w:noProof/>
          </w:rPr>
          <w:t>Bibliography</w:t>
        </w:r>
        <w:r>
          <w:rPr>
            <w:noProof/>
            <w:webHidden/>
          </w:rPr>
          <w:tab/>
        </w:r>
        <w:r>
          <w:rPr>
            <w:noProof/>
            <w:webHidden/>
          </w:rPr>
          <w:fldChar w:fldCharType="begin"/>
        </w:r>
        <w:r>
          <w:rPr>
            <w:noProof/>
            <w:webHidden/>
          </w:rPr>
          <w:instrText xml:space="preserve"> PAGEREF _Toc388199724 \h </w:instrText>
        </w:r>
        <w:r>
          <w:rPr>
            <w:noProof/>
            <w:webHidden/>
          </w:rPr>
        </w:r>
        <w:r>
          <w:rPr>
            <w:noProof/>
            <w:webHidden/>
          </w:rPr>
          <w:fldChar w:fldCharType="separate"/>
        </w:r>
        <w:r>
          <w:rPr>
            <w:noProof/>
            <w:webHidden/>
          </w:rPr>
          <w:t>19</w:t>
        </w:r>
        <w:r>
          <w:rPr>
            <w:noProof/>
            <w:webHidden/>
          </w:rPr>
          <w:fldChar w:fldCharType="end"/>
        </w:r>
      </w:hyperlink>
    </w:p>
    <w:p w:rsidR="002348AB" w:rsidRDefault="002348AB">
      <w:pPr>
        <w:pStyle w:val="TOC1"/>
        <w:tabs>
          <w:tab w:val="left" w:pos="440"/>
          <w:tab w:val="right" w:leader="dot" w:pos="9628"/>
        </w:tabs>
        <w:rPr>
          <w:rFonts w:asciiTheme="minorHAnsi" w:eastAsiaTheme="minorEastAsia" w:hAnsiTheme="minorHAnsi" w:cstheme="minorBidi"/>
          <w:b w:val="0"/>
          <w:bCs w:val="0"/>
          <w:caps w:val="0"/>
          <w:noProof/>
          <w:sz w:val="22"/>
          <w:szCs w:val="22"/>
        </w:rPr>
      </w:pPr>
      <w:hyperlink w:anchor="_Toc388199725" w:history="1">
        <w:r w:rsidRPr="00BA4993">
          <w:rPr>
            <w:rStyle w:val="Hyperlink"/>
            <w:noProof/>
          </w:rPr>
          <w:t>8.</w:t>
        </w:r>
        <w:r>
          <w:rPr>
            <w:rFonts w:asciiTheme="minorHAnsi" w:eastAsiaTheme="minorEastAsia" w:hAnsiTheme="minorHAnsi" w:cstheme="minorBidi"/>
            <w:b w:val="0"/>
            <w:bCs w:val="0"/>
            <w:caps w:val="0"/>
            <w:noProof/>
            <w:sz w:val="22"/>
            <w:szCs w:val="22"/>
          </w:rPr>
          <w:tab/>
        </w:r>
        <w:r w:rsidRPr="00BA4993">
          <w:rPr>
            <w:rStyle w:val="Hyperlink"/>
            <w:noProof/>
          </w:rPr>
          <w:t>Notes</w:t>
        </w:r>
        <w:r>
          <w:rPr>
            <w:noProof/>
            <w:webHidden/>
          </w:rPr>
          <w:tab/>
        </w:r>
        <w:r>
          <w:rPr>
            <w:noProof/>
            <w:webHidden/>
          </w:rPr>
          <w:fldChar w:fldCharType="begin"/>
        </w:r>
        <w:r>
          <w:rPr>
            <w:noProof/>
            <w:webHidden/>
          </w:rPr>
          <w:instrText xml:space="preserve"> PAGEREF _Toc388199725 \h </w:instrText>
        </w:r>
        <w:r>
          <w:rPr>
            <w:noProof/>
            <w:webHidden/>
          </w:rPr>
        </w:r>
        <w:r>
          <w:rPr>
            <w:noProof/>
            <w:webHidden/>
          </w:rPr>
          <w:fldChar w:fldCharType="separate"/>
        </w:r>
        <w:r>
          <w:rPr>
            <w:noProof/>
            <w:webHidden/>
          </w:rPr>
          <w:t>23</w:t>
        </w:r>
        <w:r>
          <w:rPr>
            <w:noProof/>
            <w:webHidden/>
          </w:rPr>
          <w:fldChar w:fldCharType="end"/>
        </w:r>
      </w:hyperlink>
    </w:p>
    <w:p w:rsidR="002348AB" w:rsidRDefault="001D14A5" w:rsidP="002348AB">
      <w:pPr>
        <w:pStyle w:val="Heading1"/>
        <w:numPr>
          <w:ilvl w:val="0"/>
          <w:numId w:val="0"/>
        </w:numPr>
      </w:pPr>
      <w:r>
        <w:fldChar w:fldCharType="end"/>
      </w:r>
      <w:r>
        <w:br w:type="page"/>
      </w:r>
      <w:bookmarkStart w:id="0" w:name="_Toc274295347"/>
      <w:bookmarkStart w:id="1" w:name="_Toc148373144"/>
      <w:bookmarkStart w:id="2" w:name="_Toc289703262"/>
      <w:bookmarkStart w:id="3" w:name="_Toc378064328"/>
    </w:p>
    <w:p w:rsidR="006524DF" w:rsidRDefault="006524DF" w:rsidP="002348AB">
      <w:pPr>
        <w:pStyle w:val="Heading1"/>
        <w:numPr>
          <w:ilvl w:val="0"/>
          <w:numId w:val="0"/>
        </w:numPr>
        <w:ind w:left="360" w:hanging="360"/>
      </w:pPr>
      <w:bookmarkStart w:id="4" w:name="_Toc388199683"/>
      <w:r>
        <w:lastRenderedPageBreak/>
        <w:t>Introduction</w:t>
      </w:r>
      <w:bookmarkEnd w:id="3"/>
      <w:bookmarkEnd w:id="4"/>
    </w:p>
    <w:p w:rsidR="00BD165F" w:rsidRPr="00CB752B" w:rsidRDefault="00A52ADC" w:rsidP="00BD165F">
      <w:pPr>
        <w:rPr>
          <w:lang w:eastAsia="en-US"/>
        </w:rPr>
      </w:pPr>
      <w:r w:rsidRPr="00CB752B">
        <w:rPr>
          <w:lang w:eastAsia="en-US"/>
        </w:rPr>
        <w:t>There has been much recent research and discussion about equality</w:t>
      </w:r>
      <w:r w:rsidR="0044692C">
        <w:rPr>
          <w:lang w:eastAsia="en-US"/>
        </w:rPr>
        <w:t xml:space="preserve">. The </w:t>
      </w:r>
      <w:r w:rsidRPr="00CB752B">
        <w:rPr>
          <w:lang w:eastAsia="en-US"/>
        </w:rPr>
        <w:t xml:space="preserve">great majority of it focuses on equality in terms of </w:t>
      </w:r>
      <w:r w:rsidR="00CB752B" w:rsidRPr="00CB752B">
        <w:rPr>
          <w:lang w:eastAsia="en-US"/>
        </w:rPr>
        <w:t>the</w:t>
      </w:r>
      <w:r w:rsidR="00675C9E">
        <w:rPr>
          <w:lang w:eastAsia="en-US"/>
        </w:rPr>
        <w:t xml:space="preserve"> money</w:t>
      </w:r>
      <w:r w:rsidRPr="00CB752B">
        <w:rPr>
          <w:lang w:eastAsia="en-US"/>
        </w:rPr>
        <w:t xml:space="preserve"> income </w:t>
      </w:r>
      <w:r w:rsidR="00CB752B" w:rsidRPr="00CB752B">
        <w:rPr>
          <w:lang w:eastAsia="en-US"/>
        </w:rPr>
        <w:t xml:space="preserve">of </w:t>
      </w:r>
      <w:r w:rsidR="0044692C">
        <w:rPr>
          <w:lang w:eastAsia="en-US"/>
        </w:rPr>
        <w:t>households</w:t>
      </w:r>
      <w:r w:rsidRPr="00CB752B">
        <w:rPr>
          <w:lang w:eastAsia="en-US"/>
        </w:rPr>
        <w:t xml:space="preserve">. </w:t>
      </w:r>
      <w:r w:rsidR="0044692C">
        <w:rPr>
          <w:lang w:eastAsia="en-US"/>
        </w:rPr>
        <w:t xml:space="preserve"> </w:t>
      </w:r>
      <w:r w:rsidR="00BD165F">
        <w:rPr>
          <w:lang w:eastAsia="en-US"/>
        </w:rPr>
        <w:t xml:space="preserve">Taxation and social security benefits are recognised as important mechanisms for equalising incomes. </w:t>
      </w:r>
      <w:r w:rsidR="00675C9E">
        <w:rPr>
          <w:lang w:eastAsia="en-US"/>
        </w:rPr>
        <w:t xml:space="preserve"> </w:t>
      </w:r>
      <w:r w:rsidR="00BD165F" w:rsidRPr="00CB752B">
        <w:rPr>
          <w:lang w:eastAsia="en-US"/>
        </w:rPr>
        <w:t>But in all advanced countries, and a growing number of developing countries, public services make a greater contribution to equality than the tax and benefit systems combined</w:t>
      </w:r>
      <w:r w:rsidR="00675C9E">
        <w:rPr>
          <w:lang w:eastAsia="en-US"/>
        </w:rPr>
        <w:t xml:space="preserve">, because of the equal distribution of the value of the services. </w:t>
      </w:r>
      <w:r w:rsidR="00D63B31">
        <w:rPr>
          <w:lang w:eastAsia="en-US"/>
        </w:rPr>
        <w:t>P</w:t>
      </w:r>
      <w:r w:rsidR="00675C9E">
        <w:rPr>
          <w:lang w:eastAsia="en-US"/>
        </w:rPr>
        <w:t>ublic services also contribute to equality of household incomes.</w:t>
      </w:r>
      <w:r w:rsidR="00BD165F" w:rsidRPr="00CB752B">
        <w:rPr>
          <w:lang w:eastAsia="en-US"/>
        </w:rPr>
        <w:t xml:space="preserve"> </w:t>
      </w:r>
    </w:p>
    <w:p w:rsidR="00BD165F" w:rsidRDefault="00BD165F" w:rsidP="002A0662">
      <w:pPr>
        <w:rPr>
          <w:lang w:eastAsia="en-US"/>
        </w:rPr>
      </w:pPr>
    </w:p>
    <w:p w:rsidR="006524DF" w:rsidRPr="00CB752B" w:rsidRDefault="00CB752B" w:rsidP="006524DF">
      <w:r w:rsidRPr="00CB752B">
        <w:rPr>
          <w:lang w:eastAsia="en-US"/>
        </w:rPr>
        <w:t xml:space="preserve">This paper </w:t>
      </w:r>
      <w:r w:rsidR="006524DF" w:rsidRPr="00CB752B">
        <w:rPr>
          <w:lang w:eastAsia="en-US"/>
        </w:rPr>
        <w:t xml:space="preserve">sets out </w:t>
      </w:r>
      <w:r w:rsidR="00D63B31">
        <w:rPr>
          <w:lang w:eastAsia="en-US"/>
        </w:rPr>
        <w:t>the evidence, both from</w:t>
      </w:r>
      <w:r w:rsidR="00D63B31" w:rsidRPr="00CB752B">
        <w:rPr>
          <w:lang w:eastAsia="en-US"/>
        </w:rPr>
        <w:t xml:space="preserve"> </w:t>
      </w:r>
      <w:r w:rsidR="006524DF" w:rsidRPr="00CB752B">
        <w:rPr>
          <w:lang w:eastAsia="en-US"/>
        </w:rPr>
        <w:t xml:space="preserve">high income OECD countries, and from developing countries, showing: </w:t>
      </w:r>
    </w:p>
    <w:p w:rsidR="006524DF" w:rsidRPr="00CB752B" w:rsidRDefault="00CB752B" w:rsidP="006524DF">
      <w:pPr>
        <w:pStyle w:val="ListParagraph"/>
        <w:numPr>
          <w:ilvl w:val="0"/>
          <w:numId w:val="43"/>
        </w:numPr>
        <w:contextualSpacing/>
        <w:rPr>
          <w:rFonts w:ascii="Times New Roman" w:hAnsi="Times New Roman"/>
          <w:lang w:eastAsia="en-US"/>
        </w:rPr>
      </w:pPr>
      <w:r>
        <w:rPr>
          <w:rFonts w:ascii="Times New Roman" w:hAnsi="Times New Roman"/>
          <w:lang w:eastAsia="en-US"/>
        </w:rPr>
        <w:t xml:space="preserve">The </w:t>
      </w:r>
      <w:r w:rsidR="006524DF" w:rsidRPr="00CB752B">
        <w:rPr>
          <w:rFonts w:ascii="Times New Roman" w:hAnsi="Times New Roman"/>
          <w:lang w:eastAsia="en-US"/>
        </w:rPr>
        <w:t xml:space="preserve">extremely equal distribution of the benefits of public healthcare and education </w:t>
      </w:r>
    </w:p>
    <w:p w:rsidR="006524DF" w:rsidRPr="00CB752B" w:rsidRDefault="006524DF" w:rsidP="006524DF">
      <w:pPr>
        <w:pStyle w:val="ListParagraph"/>
        <w:numPr>
          <w:ilvl w:val="0"/>
          <w:numId w:val="43"/>
        </w:numPr>
        <w:contextualSpacing/>
        <w:rPr>
          <w:rFonts w:ascii="Times New Roman" w:hAnsi="Times New Roman"/>
          <w:lang w:eastAsia="en-US"/>
        </w:rPr>
      </w:pPr>
      <w:r w:rsidRPr="00CB752B">
        <w:rPr>
          <w:rFonts w:ascii="Times New Roman" w:hAnsi="Times New Roman"/>
          <w:lang w:eastAsia="en-US"/>
        </w:rPr>
        <w:t>public health and education services are more important equalisers than social security benefits</w:t>
      </w:r>
    </w:p>
    <w:p w:rsidR="006524DF" w:rsidRPr="00CB752B" w:rsidRDefault="00CB752B" w:rsidP="006524DF">
      <w:pPr>
        <w:pStyle w:val="ListParagraph"/>
        <w:numPr>
          <w:ilvl w:val="0"/>
          <w:numId w:val="43"/>
        </w:numPr>
        <w:contextualSpacing/>
        <w:rPr>
          <w:rFonts w:ascii="Times New Roman" w:hAnsi="Times New Roman"/>
          <w:lang w:eastAsia="en-US"/>
        </w:rPr>
      </w:pPr>
      <w:r>
        <w:rPr>
          <w:rFonts w:ascii="Times New Roman" w:hAnsi="Times New Roman"/>
          <w:lang w:eastAsia="en-US"/>
        </w:rPr>
        <w:t>public services</w:t>
      </w:r>
      <w:r w:rsidR="006524DF" w:rsidRPr="00CB752B">
        <w:rPr>
          <w:rFonts w:ascii="Times New Roman" w:hAnsi="Times New Roman"/>
          <w:lang w:eastAsia="en-US"/>
        </w:rPr>
        <w:t xml:space="preserve"> </w:t>
      </w:r>
      <w:r w:rsidR="0079509D">
        <w:rPr>
          <w:rFonts w:ascii="Times New Roman" w:hAnsi="Times New Roman"/>
          <w:lang w:eastAsia="en-US"/>
        </w:rPr>
        <w:t>are</w:t>
      </w:r>
      <w:r w:rsidR="006524DF" w:rsidRPr="00CB752B">
        <w:rPr>
          <w:rFonts w:ascii="Times New Roman" w:hAnsi="Times New Roman"/>
          <w:lang w:eastAsia="en-US"/>
        </w:rPr>
        <w:t xml:space="preserve"> major absolute and/or relative </w:t>
      </w:r>
      <w:r w:rsidR="0079509D">
        <w:rPr>
          <w:rFonts w:ascii="Times New Roman" w:hAnsi="Times New Roman"/>
          <w:lang w:eastAsia="en-US"/>
        </w:rPr>
        <w:t xml:space="preserve">additions to the </w:t>
      </w:r>
      <w:r w:rsidR="006524DF" w:rsidRPr="00CB752B">
        <w:rPr>
          <w:rFonts w:ascii="Times New Roman" w:hAnsi="Times New Roman"/>
          <w:lang w:eastAsia="en-US"/>
        </w:rPr>
        <w:t>economic resources of the poor</w:t>
      </w:r>
    </w:p>
    <w:p w:rsidR="00F72C07" w:rsidRPr="007F1257" w:rsidRDefault="006524DF" w:rsidP="007F1257">
      <w:pPr>
        <w:pStyle w:val="ListParagraph"/>
        <w:numPr>
          <w:ilvl w:val="0"/>
          <w:numId w:val="45"/>
        </w:numPr>
        <w:rPr>
          <w:lang w:eastAsia="en-US"/>
        </w:rPr>
      </w:pPr>
      <w:r w:rsidRPr="00F72C07">
        <w:rPr>
          <w:rFonts w:ascii="Times New Roman" w:hAnsi="Times New Roman"/>
          <w:lang w:eastAsia="en-US"/>
        </w:rPr>
        <w:t>public infrastructure services – water, electricity, telecoms</w:t>
      </w:r>
      <w:r w:rsidR="00F72C07" w:rsidRPr="00F72C07">
        <w:rPr>
          <w:rFonts w:ascii="Times New Roman" w:hAnsi="Times New Roman"/>
          <w:lang w:eastAsia="en-US"/>
        </w:rPr>
        <w:t xml:space="preserve"> –improv</w:t>
      </w:r>
      <w:r w:rsidR="00F72C07">
        <w:rPr>
          <w:rFonts w:ascii="Times New Roman" w:hAnsi="Times New Roman"/>
          <w:lang w:eastAsia="en-US"/>
        </w:rPr>
        <w:t>e</w:t>
      </w:r>
      <w:r w:rsidR="00F72C07" w:rsidRPr="00F72C07">
        <w:rPr>
          <w:rFonts w:ascii="Times New Roman" w:hAnsi="Times New Roman"/>
          <w:lang w:eastAsia="en-US"/>
        </w:rPr>
        <w:t xml:space="preserve"> eq</w:t>
      </w:r>
      <w:r w:rsidR="00F72C07">
        <w:rPr>
          <w:rFonts w:ascii="Times New Roman" w:hAnsi="Times New Roman"/>
          <w:lang w:eastAsia="en-US"/>
        </w:rPr>
        <w:t>u</w:t>
      </w:r>
      <w:r w:rsidR="00F72C07" w:rsidRPr="00F72C07">
        <w:rPr>
          <w:rFonts w:ascii="Times New Roman" w:hAnsi="Times New Roman"/>
          <w:lang w:eastAsia="en-US"/>
        </w:rPr>
        <w:t>ality and reduc</w:t>
      </w:r>
      <w:r w:rsidR="00F72C07">
        <w:rPr>
          <w:rFonts w:ascii="Times New Roman" w:hAnsi="Times New Roman"/>
          <w:lang w:eastAsia="en-US"/>
        </w:rPr>
        <w:t>e</w:t>
      </w:r>
      <w:r w:rsidR="00F72C07" w:rsidRPr="00F72C07">
        <w:rPr>
          <w:rFonts w:ascii="Times New Roman" w:hAnsi="Times New Roman"/>
          <w:lang w:eastAsia="en-US"/>
        </w:rPr>
        <w:t xml:space="preserve"> poverty</w:t>
      </w:r>
    </w:p>
    <w:p w:rsidR="006524DF" w:rsidRPr="00CB752B" w:rsidRDefault="00F72C07" w:rsidP="006524DF">
      <w:pPr>
        <w:pStyle w:val="ListParagraph"/>
        <w:numPr>
          <w:ilvl w:val="0"/>
          <w:numId w:val="45"/>
        </w:numPr>
        <w:rPr>
          <w:rFonts w:ascii="Times New Roman" w:hAnsi="Times New Roman"/>
          <w:lang w:eastAsia="en-US"/>
        </w:rPr>
      </w:pPr>
      <w:r>
        <w:rPr>
          <w:rFonts w:ascii="Times New Roman" w:hAnsi="Times New Roman"/>
          <w:lang w:eastAsia="en-US"/>
        </w:rPr>
        <w:t>public services improve income equality through direct employment and ‘fair wages’ clauses</w:t>
      </w:r>
    </w:p>
    <w:p w:rsidR="0079509D" w:rsidRDefault="0079509D" w:rsidP="0079509D">
      <w:pPr>
        <w:rPr>
          <w:lang w:eastAsia="en-US"/>
        </w:rPr>
      </w:pPr>
    </w:p>
    <w:p w:rsidR="00777100" w:rsidRDefault="00777100" w:rsidP="0079509D">
      <w:pPr>
        <w:rPr>
          <w:lang w:eastAsia="en-US"/>
        </w:rPr>
      </w:pPr>
      <w:r>
        <w:rPr>
          <w:lang w:eastAsia="en-US"/>
        </w:rPr>
        <w:t xml:space="preserve">Failure to acknowledge this evidence damages international policy recommendations. The UNDESA 2013 report on inequality, for example, fails to mention the evidence on equality from services in recent reports on OECD and Latin American countries (UNDESA 2013, OECD 2012, </w:t>
      </w:r>
      <w:proofErr w:type="spellStart"/>
      <w:proofErr w:type="gramStart"/>
      <w:r>
        <w:rPr>
          <w:lang w:eastAsia="en-US"/>
        </w:rPr>
        <w:t>Lustig</w:t>
      </w:r>
      <w:proofErr w:type="spellEnd"/>
      <w:proofErr w:type="gramEnd"/>
      <w:r>
        <w:rPr>
          <w:lang w:eastAsia="en-US"/>
        </w:rPr>
        <w:t xml:space="preserve"> 2012). The ILO concept of a ‘social protection floor’ barely mentions public services, implying that all the protection needed can come from welfare benefit, and that austerity policies do not harm equality (ILO 2011). </w:t>
      </w:r>
    </w:p>
    <w:p w:rsidR="00777100" w:rsidRDefault="00777100" w:rsidP="0079509D">
      <w:pPr>
        <w:rPr>
          <w:lang w:eastAsia="en-US"/>
        </w:rPr>
      </w:pPr>
    </w:p>
    <w:p w:rsidR="00940985" w:rsidRDefault="00777100" w:rsidP="0079509D">
      <w:pPr>
        <w:rPr>
          <w:lang w:eastAsia="en-US"/>
        </w:rPr>
      </w:pPr>
      <w:r>
        <w:rPr>
          <w:lang w:eastAsia="en-US"/>
        </w:rPr>
        <w:t xml:space="preserve">The paper </w:t>
      </w:r>
      <w:r w:rsidR="0079509D">
        <w:rPr>
          <w:lang w:eastAsia="en-US"/>
        </w:rPr>
        <w:t xml:space="preserve">concludes that research, and international and national policies, need to </w:t>
      </w:r>
      <w:proofErr w:type="gramStart"/>
      <w:r w:rsidR="0079509D">
        <w:rPr>
          <w:lang w:eastAsia="en-US"/>
        </w:rPr>
        <w:t>recognise  that</w:t>
      </w:r>
      <w:proofErr w:type="gramEnd"/>
      <w:r w:rsidR="0079509D">
        <w:rPr>
          <w:lang w:eastAsia="en-US"/>
        </w:rPr>
        <w:t xml:space="preserve"> development of public services is as central to the creation of more equal societies as the distribution of market income or the use of benefits.</w:t>
      </w:r>
    </w:p>
    <w:p w:rsidR="00F8021C" w:rsidRPr="0079509D" w:rsidRDefault="00F8021C" w:rsidP="0079509D">
      <w:pPr>
        <w:rPr>
          <w:lang w:eastAsia="en-US"/>
        </w:rPr>
      </w:pPr>
    </w:p>
    <w:p w:rsidR="001C0356" w:rsidRDefault="00FB2C50" w:rsidP="0044692C">
      <w:pPr>
        <w:pStyle w:val="Heading1"/>
      </w:pPr>
      <w:bookmarkStart w:id="5" w:name="_Toc388199684"/>
      <w:r>
        <w:t>Context: g</w:t>
      </w:r>
      <w:r w:rsidR="001C0356">
        <w:t>row</w:t>
      </w:r>
      <w:r>
        <w:t>ing inequality and economic and social consequences</w:t>
      </w:r>
      <w:bookmarkEnd w:id="5"/>
    </w:p>
    <w:p w:rsidR="001C0356" w:rsidRDefault="00616710" w:rsidP="001C0356">
      <w:r>
        <w:t>Economic and political developments</w:t>
      </w:r>
      <w:r w:rsidR="001C0356">
        <w:t xml:space="preserve"> in recent decades </w:t>
      </w:r>
      <w:r>
        <w:t xml:space="preserve">have </w:t>
      </w:r>
      <w:r w:rsidR="001C0356">
        <w:t>created much greater inequalities, in two ways.</w:t>
      </w:r>
    </w:p>
    <w:p w:rsidR="0044692C" w:rsidRDefault="0044692C" w:rsidP="001C0356"/>
    <w:p w:rsidR="007F3196" w:rsidRDefault="001C0356" w:rsidP="001C0356">
      <w:pPr>
        <w:rPr>
          <w:szCs w:val="22"/>
        </w:rPr>
      </w:pPr>
      <w:r>
        <w:t xml:space="preserve">Firstly, there has </w:t>
      </w:r>
      <w:proofErr w:type="gramStart"/>
      <w:r>
        <w:t xml:space="preserve">been  </w:t>
      </w:r>
      <w:r>
        <w:rPr>
          <w:szCs w:val="22"/>
        </w:rPr>
        <w:t>a</w:t>
      </w:r>
      <w:proofErr w:type="gramEnd"/>
      <w:r>
        <w:rPr>
          <w:szCs w:val="22"/>
        </w:rPr>
        <w:t xml:space="preserve"> long-term decline in the share of wages in both high income countries and developing countries. </w:t>
      </w:r>
      <w:r w:rsidR="00DF4185">
        <w:rPr>
          <w:szCs w:val="22"/>
        </w:rPr>
        <w:t>(ILO 2012)</w:t>
      </w:r>
      <w:r>
        <w:rPr>
          <w:szCs w:val="22"/>
        </w:rPr>
        <w:t xml:space="preserve">  </w:t>
      </w:r>
      <w:r w:rsidRPr="003B12F9">
        <w:rPr>
          <w:szCs w:val="22"/>
        </w:rPr>
        <w:t>This decline means that workers have gained little</w:t>
      </w:r>
      <w:r>
        <w:rPr>
          <w:szCs w:val="22"/>
        </w:rPr>
        <w:t xml:space="preserve"> during these decades</w:t>
      </w:r>
      <w:r w:rsidRPr="003B12F9">
        <w:rPr>
          <w:szCs w:val="22"/>
        </w:rPr>
        <w:t xml:space="preserve"> </w:t>
      </w:r>
      <w:r>
        <w:rPr>
          <w:szCs w:val="22"/>
        </w:rPr>
        <w:t xml:space="preserve">- </w:t>
      </w:r>
      <w:r w:rsidRPr="003B12F9">
        <w:rPr>
          <w:szCs w:val="22"/>
        </w:rPr>
        <w:t>even though productivity has risen massively</w:t>
      </w:r>
      <w:r>
        <w:rPr>
          <w:szCs w:val="22"/>
        </w:rPr>
        <w:t xml:space="preserve"> – while company profits, and people whose incomes derive from those </w:t>
      </w:r>
      <w:proofErr w:type="gramStart"/>
      <w:r>
        <w:rPr>
          <w:szCs w:val="22"/>
        </w:rPr>
        <w:t>profits,</w:t>
      </w:r>
      <w:proofErr w:type="gramEnd"/>
      <w:r>
        <w:rPr>
          <w:szCs w:val="22"/>
        </w:rPr>
        <w:t xml:space="preserve"> have increased their share of the economy.  </w:t>
      </w:r>
    </w:p>
    <w:p w:rsidR="001C0356" w:rsidRDefault="001C0356" w:rsidP="001C0356">
      <w:pPr>
        <w:pStyle w:val="Heading8"/>
        <w:rPr>
          <w:rFonts w:eastAsia="SimSun"/>
        </w:rPr>
      </w:pPr>
      <w:bookmarkStart w:id="6" w:name="_Toc388199685"/>
      <w:r>
        <w:t>Falling share of wages</w:t>
      </w:r>
      <w:r w:rsidR="00616710">
        <w:t xml:space="preserve"> 1970-2010</w:t>
      </w:r>
      <w:r>
        <w:t xml:space="preserve">: </w:t>
      </w:r>
      <w:r w:rsidR="00616710">
        <w:t xml:space="preserve">advanced and </w:t>
      </w:r>
      <w:r>
        <w:t>developing countries</w:t>
      </w:r>
      <w:bookmarkEnd w:id="6"/>
    </w:p>
    <w:p w:rsidR="001C0356" w:rsidRDefault="00616710" w:rsidP="001C0356">
      <w:pPr>
        <w:rPr>
          <w:rFonts w:eastAsia="SimSun"/>
          <w:color w:val="000000"/>
          <w:szCs w:val="22"/>
          <w:lang w:eastAsia="zh-CN"/>
        </w:rPr>
      </w:pPr>
      <w:r>
        <w:rPr>
          <w:noProof/>
        </w:rPr>
        <w:drawing>
          <wp:inline distT="0" distB="0" distL="0" distR="0" wp14:anchorId="02AABCF0" wp14:editId="6B1F0426">
            <wp:extent cx="2954608" cy="21370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55027" cy="2137328"/>
                    </a:xfrm>
                    <a:prstGeom prst="rect">
                      <a:avLst/>
                    </a:prstGeom>
                  </pic:spPr>
                </pic:pic>
              </a:graphicData>
            </a:graphic>
          </wp:inline>
        </w:drawing>
      </w:r>
      <w:r>
        <w:rPr>
          <w:noProof/>
        </w:rPr>
        <w:drawing>
          <wp:inline distT="0" distB="0" distL="0" distR="0" wp14:anchorId="1FEF1228" wp14:editId="31984599">
            <wp:extent cx="2885254" cy="21370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92023" cy="2142038"/>
                    </a:xfrm>
                    <a:prstGeom prst="rect">
                      <a:avLst/>
                    </a:prstGeom>
                  </pic:spPr>
                </pic:pic>
              </a:graphicData>
            </a:graphic>
          </wp:inline>
        </w:drawing>
      </w:r>
    </w:p>
    <w:p w:rsidR="00616710" w:rsidRDefault="00616710" w:rsidP="001C0356">
      <w:pPr>
        <w:rPr>
          <w:rFonts w:eastAsia="SimSun"/>
          <w:color w:val="000000"/>
          <w:sz w:val="20"/>
          <w:szCs w:val="20"/>
          <w:lang w:val="fr-FR" w:eastAsia="zh-CN"/>
        </w:rPr>
      </w:pPr>
    </w:p>
    <w:p w:rsidR="001C0356" w:rsidRPr="0045028D" w:rsidRDefault="001C0356" w:rsidP="001C0356">
      <w:pPr>
        <w:rPr>
          <w:rFonts w:asciiTheme="minorHAnsi" w:eastAsia="SimSun" w:hAnsiTheme="minorHAnsi"/>
          <w:color w:val="000000"/>
          <w:sz w:val="20"/>
          <w:szCs w:val="20"/>
          <w:lang w:val="fr-FR" w:eastAsia="zh-CN"/>
        </w:rPr>
      </w:pPr>
      <w:r w:rsidRPr="0045028D">
        <w:rPr>
          <w:rFonts w:asciiTheme="minorHAnsi" w:eastAsia="SimSun" w:hAnsiTheme="minorHAnsi"/>
          <w:color w:val="000000"/>
          <w:sz w:val="20"/>
          <w:szCs w:val="20"/>
          <w:lang w:val="fr-FR" w:eastAsia="zh-CN"/>
        </w:rPr>
        <w:t>Source: ILO</w:t>
      </w:r>
      <w:r w:rsidR="00616710">
        <w:rPr>
          <w:rFonts w:asciiTheme="minorHAnsi" w:eastAsia="SimSun" w:hAnsiTheme="minorHAnsi"/>
          <w:color w:val="000000"/>
          <w:sz w:val="20"/>
          <w:szCs w:val="20"/>
          <w:lang w:val="fr-FR" w:eastAsia="zh-CN"/>
        </w:rPr>
        <w:t xml:space="preserve"> 2012</w:t>
      </w:r>
      <w:r w:rsidRPr="0045028D">
        <w:rPr>
          <w:rFonts w:asciiTheme="minorHAnsi" w:eastAsia="SimSun" w:hAnsiTheme="minorHAnsi"/>
          <w:color w:val="000000"/>
          <w:sz w:val="20"/>
          <w:szCs w:val="20"/>
          <w:lang w:val="fr-FR" w:eastAsia="zh-CN"/>
        </w:rPr>
        <w:t xml:space="preserve"> </w:t>
      </w:r>
      <w:hyperlink r:id="rId12" w:history="1">
        <w:r w:rsidRPr="0045028D">
          <w:rPr>
            <w:rStyle w:val="Hyperlink"/>
            <w:rFonts w:asciiTheme="minorHAnsi" w:eastAsia="SimSun" w:hAnsiTheme="minorHAnsi"/>
            <w:sz w:val="20"/>
            <w:szCs w:val="20"/>
            <w:lang w:val="fr-FR" w:eastAsia="zh-CN"/>
          </w:rPr>
          <w:t>http://www.ilo.org/global/research/global-reports/global-wage-report/2012/charts/WCMS_193311/lang--en/index.htm</w:t>
        </w:r>
      </w:hyperlink>
      <w:r w:rsidRPr="0045028D">
        <w:rPr>
          <w:rFonts w:asciiTheme="minorHAnsi" w:eastAsia="SimSun" w:hAnsiTheme="minorHAnsi"/>
          <w:color w:val="000000"/>
          <w:sz w:val="20"/>
          <w:szCs w:val="20"/>
          <w:lang w:val="fr-FR" w:eastAsia="zh-CN"/>
        </w:rPr>
        <w:t xml:space="preserve"> </w:t>
      </w:r>
    </w:p>
    <w:p w:rsidR="001C0356" w:rsidRPr="0094026C" w:rsidRDefault="001C0356" w:rsidP="001C0356">
      <w:pPr>
        <w:rPr>
          <w:szCs w:val="22"/>
          <w:lang w:val="fr-FR"/>
        </w:rPr>
      </w:pPr>
    </w:p>
    <w:p w:rsidR="007F3196" w:rsidRDefault="001C0356" w:rsidP="001C0356">
      <w:pPr>
        <w:rPr>
          <w:szCs w:val="22"/>
        </w:rPr>
      </w:pPr>
      <w:r>
        <w:rPr>
          <w:szCs w:val="22"/>
        </w:rPr>
        <w:t xml:space="preserve">Secondly, higher income groups have increased their incomes much faster than lower income groups, especially in the USA, the UK, and central and </w:t>
      </w:r>
      <w:proofErr w:type="gramStart"/>
      <w:r>
        <w:rPr>
          <w:szCs w:val="22"/>
        </w:rPr>
        <w:t>eastern</w:t>
      </w:r>
      <w:proofErr w:type="gramEnd"/>
      <w:r>
        <w:rPr>
          <w:szCs w:val="22"/>
        </w:rPr>
        <w:t xml:space="preserve"> Europe. This gap has continued to widen since the </w:t>
      </w:r>
      <w:r>
        <w:rPr>
          <w:szCs w:val="22"/>
        </w:rPr>
        <w:lastRenderedPageBreak/>
        <w:t xml:space="preserve">recession:  in the USA the </w:t>
      </w:r>
      <w:r w:rsidRPr="000E381A">
        <w:rPr>
          <w:szCs w:val="22"/>
        </w:rPr>
        <w:t>top 1</w:t>
      </w:r>
      <w:r w:rsidR="007F3196">
        <w:rPr>
          <w:szCs w:val="22"/>
        </w:rPr>
        <w:t xml:space="preserve"> </w:t>
      </w:r>
      <w:r w:rsidRPr="000E381A">
        <w:rPr>
          <w:szCs w:val="22"/>
        </w:rPr>
        <w:t xml:space="preserve">per cent increased their </w:t>
      </w:r>
      <w:r>
        <w:rPr>
          <w:szCs w:val="22"/>
        </w:rPr>
        <w:t>real income by 31% from 2009 to 2012, while the income of the other 99% grew by only 0.4</w:t>
      </w:r>
      <w:proofErr w:type="gramStart"/>
      <w:r>
        <w:rPr>
          <w:szCs w:val="22"/>
        </w:rPr>
        <w:t xml:space="preserve">% </w:t>
      </w:r>
      <w:r w:rsidR="00DF4185">
        <w:rPr>
          <w:szCs w:val="22"/>
        </w:rPr>
        <w:t xml:space="preserve"> (</w:t>
      </w:r>
      <w:proofErr w:type="spellStart"/>
      <w:proofErr w:type="gramEnd"/>
      <w:r w:rsidR="00DF4185">
        <w:rPr>
          <w:szCs w:val="22"/>
        </w:rPr>
        <w:t>Stockhammer</w:t>
      </w:r>
      <w:proofErr w:type="spellEnd"/>
      <w:r w:rsidR="00DF4185">
        <w:rPr>
          <w:szCs w:val="22"/>
        </w:rPr>
        <w:t xml:space="preserve"> 2013; </w:t>
      </w:r>
      <w:proofErr w:type="spellStart"/>
      <w:r w:rsidR="00DF4185">
        <w:rPr>
          <w:szCs w:val="22"/>
        </w:rPr>
        <w:t>Saez</w:t>
      </w:r>
      <w:proofErr w:type="spellEnd"/>
      <w:r w:rsidR="00DF4185">
        <w:rPr>
          <w:szCs w:val="22"/>
        </w:rPr>
        <w:t xml:space="preserve"> 2013)</w:t>
      </w:r>
      <w:r>
        <w:rPr>
          <w:szCs w:val="22"/>
        </w:rPr>
        <w:t xml:space="preserve"> </w:t>
      </w:r>
    </w:p>
    <w:p w:rsidR="007F3196" w:rsidRDefault="007F3196" w:rsidP="001C0356">
      <w:pPr>
        <w:rPr>
          <w:szCs w:val="22"/>
        </w:rPr>
      </w:pPr>
    </w:p>
    <w:p w:rsidR="001C0356" w:rsidRDefault="001C0356" w:rsidP="001C0356">
      <w:pPr>
        <w:rPr>
          <w:szCs w:val="22"/>
        </w:rPr>
      </w:pPr>
      <w:r>
        <w:rPr>
          <w:szCs w:val="22"/>
        </w:rPr>
        <w:t xml:space="preserve">The real extent of the gains of the top 1% is even greater, because their tax avoidance strategies mean that much of their income and wealth is not counted. There is between $21trillion </w:t>
      </w:r>
      <w:proofErr w:type="gramStart"/>
      <w:r>
        <w:rPr>
          <w:szCs w:val="22"/>
        </w:rPr>
        <w:t>and  $</w:t>
      </w:r>
      <w:proofErr w:type="gramEnd"/>
      <w:r>
        <w:rPr>
          <w:szCs w:val="22"/>
        </w:rPr>
        <w:t>32 trillion of unrecorded wealth in tax havens, almost all of which is certainly owned by the top 1% of the world’s population.</w:t>
      </w:r>
      <w:r w:rsidR="00DF4185">
        <w:rPr>
          <w:szCs w:val="22"/>
        </w:rPr>
        <w:t xml:space="preserve"> (</w:t>
      </w:r>
      <w:proofErr w:type="spellStart"/>
      <w:r w:rsidR="00DF4185">
        <w:rPr>
          <w:szCs w:val="22"/>
        </w:rPr>
        <w:t>Dhaxton</w:t>
      </w:r>
      <w:proofErr w:type="spellEnd"/>
      <w:r w:rsidR="00DF4185">
        <w:rPr>
          <w:szCs w:val="22"/>
        </w:rPr>
        <w:t xml:space="preserve"> et al 2012) </w:t>
      </w:r>
    </w:p>
    <w:p w:rsidR="001C0356" w:rsidRDefault="001C0356" w:rsidP="001C0356">
      <w:pPr>
        <w:rPr>
          <w:rFonts w:eastAsia="SimSun"/>
          <w:color w:val="000000"/>
          <w:szCs w:val="22"/>
          <w:lang w:eastAsia="zh-CN"/>
        </w:rPr>
      </w:pPr>
    </w:p>
    <w:p w:rsidR="002A2CCF" w:rsidRDefault="002A2CCF" w:rsidP="002A2CCF">
      <w:pPr>
        <w:rPr>
          <w:lang w:eastAsia="en-US"/>
        </w:rPr>
      </w:pPr>
      <w:r>
        <w:rPr>
          <w:lang w:eastAsia="en-US"/>
        </w:rPr>
        <w:t>In addition to the unequal distribution of income between groups within countries, there is also great inequality on a global scale between rich and poor countries. Although differences between countries have been narrowing recently, there remains a great global divide between the large number of poor in all countries and the few people with extremely high incomes in a few rich countries.  These differences are exacerbated as corporations, banks and countries try to shift the burden of risk</w:t>
      </w:r>
      <w:r w:rsidR="00003155">
        <w:rPr>
          <w:lang w:eastAsia="en-US"/>
        </w:rPr>
        <w:t xml:space="preserve"> arising from the current recession</w:t>
      </w:r>
      <w:r>
        <w:rPr>
          <w:lang w:eastAsia="en-US"/>
        </w:rPr>
        <w:t>, so increasing inequalities on a global on a regional and global scale (Beck 2013)</w:t>
      </w:r>
    </w:p>
    <w:p w:rsidR="00003155" w:rsidRDefault="001C0356" w:rsidP="001C0356">
      <w:pPr>
        <w:rPr>
          <w:rFonts w:eastAsia="SimSun"/>
          <w:color w:val="000000"/>
          <w:szCs w:val="22"/>
          <w:lang w:eastAsia="zh-CN"/>
        </w:rPr>
      </w:pPr>
      <w:r>
        <w:rPr>
          <w:lang w:eastAsia="en-US"/>
        </w:rPr>
        <w:t>Source: UNICEF 2011</w:t>
      </w:r>
      <w:r>
        <w:rPr>
          <w:rStyle w:val="EndnoteReference"/>
          <w:lang w:eastAsia="en-US"/>
        </w:rPr>
        <w:endnoteReference w:id="1"/>
      </w:r>
    </w:p>
    <w:p w:rsidR="00003155" w:rsidRDefault="00003155" w:rsidP="00003155">
      <w:pPr>
        <w:pStyle w:val="Heading1"/>
        <w:rPr>
          <w:rFonts w:eastAsia="SimSun"/>
        </w:rPr>
      </w:pPr>
      <w:bookmarkStart w:id="7" w:name="_Toc388199686"/>
      <w:r>
        <w:rPr>
          <w:rFonts w:eastAsia="SimSun"/>
        </w:rPr>
        <w:t xml:space="preserve">The social </w:t>
      </w:r>
      <w:r w:rsidR="0044692C">
        <w:rPr>
          <w:rFonts w:eastAsia="SimSun"/>
        </w:rPr>
        <w:t xml:space="preserve">and </w:t>
      </w:r>
      <w:r>
        <w:rPr>
          <w:rFonts w:eastAsia="SimSun"/>
        </w:rPr>
        <w:t>economic value of equality</w:t>
      </w:r>
      <w:bookmarkEnd w:id="7"/>
    </w:p>
    <w:bookmarkEnd w:id="0"/>
    <w:bookmarkEnd w:id="1"/>
    <w:bookmarkEnd w:id="2"/>
    <w:p w:rsidR="0056747C" w:rsidRDefault="00003155" w:rsidP="00D055AD">
      <w:pPr>
        <w:rPr>
          <w:lang w:eastAsia="en-US"/>
        </w:rPr>
      </w:pPr>
      <w:r>
        <w:rPr>
          <w:lang w:eastAsia="en-US"/>
        </w:rPr>
        <w:t>R</w:t>
      </w:r>
      <w:r w:rsidR="0079509D">
        <w:rPr>
          <w:lang w:eastAsia="en-US"/>
        </w:rPr>
        <w:t>ecent research has demonstrated that g</w:t>
      </w:r>
      <w:r w:rsidR="00D055AD" w:rsidRPr="000250E8">
        <w:rPr>
          <w:lang w:eastAsia="en-US"/>
        </w:rPr>
        <w:t>reater equality is better for everyone</w:t>
      </w:r>
      <w:r w:rsidR="0056747C">
        <w:rPr>
          <w:lang w:eastAsia="en-US"/>
        </w:rPr>
        <w:t>, both socially and economically.</w:t>
      </w:r>
      <w:r w:rsidR="0079509D">
        <w:rPr>
          <w:lang w:eastAsia="en-US"/>
        </w:rPr>
        <w:t xml:space="preserve">  </w:t>
      </w:r>
      <w:r w:rsidR="00C50DC4">
        <w:rPr>
          <w:lang w:eastAsia="en-US"/>
        </w:rPr>
        <w:t>This research looks at equality mainly in terms of distribution of income between households, and also at the distribution of income between corporate profits and workers’ wages and salaries. But very little of it considers the role of public services in providing directly to all households alike, and to economies as a whole, services which are basic to the quality of life and to the functioning of modern economies.</w:t>
      </w:r>
    </w:p>
    <w:p w:rsidR="00ED14DB" w:rsidRDefault="00ED14DB" w:rsidP="00ED14DB">
      <w:pPr>
        <w:pStyle w:val="Heading2"/>
      </w:pPr>
      <w:bookmarkStart w:id="8" w:name="_Toc388199687"/>
      <w:r>
        <w:t>The economic value of equality</w:t>
      </w:r>
      <w:bookmarkEnd w:id="8"/>
    </w:p>
    <w:p w:rsidR="00ED14DB" w:rsidRDefault="00ED14DB" w:rsidP="00ED14DB">
      <w:pPr>
        <w:rPr>
          <w:lang w:eastAsia="en-US"/>
        </w:rPr>
      </w:pPr>
      <w:r>
        <w:rPr>
          <w:lang w:eastAsia="en-US"/>
        </w:rPr>
        <w:t>Over the last 200 years, a higher share of profits has been linked with slower economic growth. During the first half of the 20</w:t>
      </w:r>
      <w:r w:rsidRPr="004D1DAB">
        <w:rPr>
          <w:vertAlign w:val="superscript"/>
          <w:lang w:eastAsia="en-US"/>
        </w:rPr>
        <w:t>th</w:t>
      </w:r>
      <w:r>
        <w:rPr>
          <w:lang w:eastAsia="en-US"/>
        </w:rPr>
        <w:t xml:space="preserve"> century, wages gained a greater share of national income, the share of profits fell, and economies grew rapidly. This was reversed in the 1980s, however, so the share of profits has risen, there is greater inequality of incomes – and also slower economic growth (</w:t>
      </w:r>
      <w:proofErr w:type="spellStart"/>
      <w:r>
        <w:rPr>
          <w:lang w:eastAsia="en-US"/>
        </w:rPr>
        <w:t>Piketty</w:t>
      </w:r>
      <w:proofErr w:type="spellEnd"/>
      <w:r>
        <w:rPr>
          <w:lang w:eastAsia="en-US"/>
        </w:rPr>
        <w:t xml:space="preserve"> 2014).</w:t>
      </w:r>
      <w:r w:rsidRPr="00EA7068">
        <w:rPr>
          <w:lang w:eastAsia="en-US"/>
        </w:rPr>
        <w:t xml:space="preserve"> </w:t>
      </w:r>
      <w:r>
        <w:rPr>
          <w:lang w:eastAsia="en-US"/>
        </w:rPr>
        <w:t xml:space="preserve"> Growth prospects would be improved generally by re-balancing income shares through a faster growth in wages. (</w:t>
      </w:r>
      <w:proofErr w:type="spellStart"/>
      <w:r w:rsidRPr="0069314A">
        <w:rPr>
          <w:lang w:eastAsia="en-US"/>
        </w:rPr>
        <w:t>Onaran</w:t>
      </w:r>
      <w:proofErr w:type="spellEnd"/>
      <w:r w:rsidRPr="0069314A">
        <w:rPr>
          <w:lang w:eastAsia="en-US"/>
        </w:rPr>
        <w:t xml:space="preserve"> and Galanis2013</w:t>
      </w:r>
      <w:proofErr w:type="gramStart"/>
      <w:r>
        <w:rPr>
          <w:lang w:eastAsia="en-US"/>
        </w:rPr>
        <w:t xml:space="preserve">;  </w:t>
      </w:r>
      <w:proofErr w:type="spellStart"/>
      <w:r w:rsidRPr="0069314A">
        <w:rPr>
          <w:lang w:eastAsia="en-US"/>
        </w:rPr>
        <w:t>Stockhammer</w:t>
      </w:r>
      <w:proofErr w:type="spellEnd"/>
      <w:proofErr w:type="gramEnd"/>
      <w:r w:rsidRPr="0069314A">
        <w:rPr>
          <w:lang w:eastAsia="en-US"/>
        </w:rPr>
        <w:t xml:space="preserve"> and </w:t>
      </w:r>
      <w:proofErr w:type="spellStart"/>
      <w:r w:rsidRPr="0069314A">
        <w:rPr>
          <w:lang w:eastAsia="en-US"/>
        </w:rPr>
        <w:t>Onaran</w:t>
      </w:r>
      <w:proofErr w:type="spellEnd"/>
      <w:r w:rsidRPr="0069314A">
        <w:rPr>
          <w:lang w:eastAsia="en-US"/>
        </w:rPr>
        <w:t xml:space="preserve"> 2012</w:t>
      </w:r>
      <w:r>
        <w:rPr>
          <w:lang w:eastAsia="en-US"/>
        </w:rPr>
        <w:t>).</w:t>
      </w:r>
      <w:r>
        <w:rPr>
          <w:rStyle w:val="EndnoteReference"/>
          <w:lang w:eastAsia="en-US"/>
        </w:rPr>
        <w:endnoteReference w:id="2"/>
      </w:r>
    </w:p>
    <w:p w:rsidR="00ED14DB" w:rsidRDefault="00ED14DB" w:rsidP="00ED14DB">
      <w:pPr>
        <w:rPr>
          <w:lang w:eastAsia="en-US"/>
        </w:rPr>
      </w:pPr>
    </w:p>
    <w:p w:rsidR="00D674EF" w:rsidRDefault="00ED14DB" w:rsidP="00ED14DB">
      <w:pPr>
        <w:rPr>
          <w:lang w:eastAsia="en-US"/>
        </w:rPr>
      </w:pPr>
      <w:r>
        <w:rPr>
          <w:lang w:eastAsia="en-US"/>
        </w:rPr>
        <w:t>More equal distribution of income across households is also linked to better economic performance, partly because  money is more likely to be spent by people on average or poorer incomes instead of being saved or hidden in tax havens by the rich (</w:t>
      </w:r>
      <w:proofErr w:type="spellStart"/>
      <w:r>
        <w:rPr>
          <w:lang w:eastAsia="en-US"/>
        </w:rPr>
        <w:t>Stiglitz</w:t>
      </w:r>
      <w:proofErr w:type="spellEnd"/>
      <w:r>
        <w:rPr>
          <w:lang w:eastAsia="en-US"/>
        </w:rPr>
        <w:t xml:space="preserve"> 2013).  An analysis of 131 countries found that improving equality of income distribution is linked to higher growth in GDP per capita</w:t>
      </w:r>
      <w:r w:rsidR="00617F41">
        <w:rPr>
          <w:lang w:eastAsia="en-US"/>
        </w:rPr>
        <w:t>, s</w:t>
      </w:r>
      <w:r>
        <w:rPr>
          <w:lang w:eastAsia="en-US"/>
        </w:rPr>
        <w:t xml:space="preserve">o the growth of inequality </w:t>
      </w:r>
      <w:r w:rsidR="00617F41">
        <w:rPr>
          <w:lang w:eastAsia="en-US"/>
        </w:rPr>
        <w:t xml:space="preserve">has led to </w:t>
      </w:r>
      <w:r w:rsidRPr="004D1DAB">
        <w:rPr>
          <w:lang w:eastAsia="en-US"/>
        </w:rPr>
        <w:t>slow economic growth</w:t>
      </w:r>
      <w:r>
        <w:rPr>
          <w:lang w:eastAsia="en-US"/>
        </w:rPr>
        <w:t xml:space="preserve"> (</w:t>
      </w:r>
      <w:proofErr w:type="gramStart"/>
      <w:r w:rsidRPr="0069314A">
        <w:rPr>
          <w:lang w:eastAsia="en-US"/>
        </w:rPr>
        <w:t xml:space="preserve">Ortiz </w:t>
      </w:r>
      <w:r>
        <w:rPr>
          <w:lang w:eastAsia="en-US"/>
        </w:rPr>
        <w:t xml:space="preserve"> </w:t>
      </w:r>
      <w:r w:rsidRPr="0069314A">
        <w:rPr>
          <w:lang w:eastAsia="en-US"/>
        </w:rPr>
        <w:t>and</w:t>
      </w:r>
      <w:proofErr w:type="gramEnd"/>
      <w:r w:rsidRPr="0069314A">
        <w:rPr>
          <w:lang w:eastAsia="en-US"/>
        </w:rPr>
        <w:t xml:space="preserve"> Cummins 2011</w:t>
      </w:r>
      <w:r>
        <w:rPr>
          <w:lang w:eastAsia="en-US"/>
        </w:rPr>
        <w:t xml:space="preserve">).   </w:t>
      </w:r>
      <w:r w:rsidR="00617F41">
        <w:rPr>
          <w:lang w:eastAsia="en-US"/>
        </w:rPr>
        <w:t xml:space="preserve"> D</w:t>
      </w:r>
      <w:r>
        <w:rPr>
          <w:lang w:eastAsia="en-US"/>
        </w:rPr>
        <w:t>eliberate austerity policies to cut back on public spending and borrowing</w:t>
      </w:r>
      <w:r w:rsidR="00617F41">
        <w:rPr>
          <w:lang w:eastAsia="en-US"/>
        </w:rPr>
        <w:t xml:space="preserve"> have</w:t>
      </w:r>
      <w:r>
        <w:rPr>
          <w:lang w:eastAsia="en-US"/>
        </w:rPr>
        <w:t xml:space="preserve"> further worsened</w:t>
      </w:r>
      <w:r w:rsidR="00617F41">
        <w:rPr>
          <w:lang w:eastAsia="en-US"/>
        </w:rPr>
        <w:t xml:space="preserve"> income</w:t>
      </w:r>
      <w:r>
        <w:rPr>
          <w:lang w:eastAsia="en-US"/>
        </w:rPr>
        <w:t xml:space="preserve"> inequalities</w:t>
      </w:r>
      <w:r w:rsidR="00617F41">
        <w:rPr>
          <w:lang w:eastAsia="en-US"/>
        </w:rPr>
        <w:t>,</w:t>
      </w:r>
      <w:r>
        <w:rPr>
          <w:lang w:eastAsia="en-US"/>
        </w:rPr>
        <w:t xml:space="preserve"> and reduced the chances of economic recovery (Krugman 2013</w:t>
      </w:r>
      <w:r w:rsidR="00C624B9">
        <w:rPr>
          <w:lang w:eastAsia="en-US"/>
        </w:rPr>
        <w:t xml:space="preserve">, </w:t>
      </w:r>
      <w:proofErr w:type="spellStart"/>
      <w:r w:rsidR="00C624B9" w:rsidRPr="00C624B9">
        <w:rPr>
          <w:iCs/>
        </w:rPr>
        <w:t>Cynamon</w:t>
      </w:r>
      <w:proofErr w:type="spellEnd"/>
      <w:r w:rsidR="00C624B9" w:rsidRPr="00C624B9">
        <w:rPr>
          <w:iCs/>
        </w:rPr>
        <w:t xml:space="preserve"> and </w:t>
      </w:r>
      <w:proofErr w:type="spellStart"/>
      <w:r w:rsidR="00C624B9" w:rsidRPr="00C624B9">
        <w:rPr>
          <w:iCs/>
        </w:rPr>
        <w:t>Fazzari</w:t>
      </w:r>
      <w:proofErr w:type="spellEnd"/>
      <w:r w:rsidR="00C624B9" w:rsidRPr="00C624B9">
        <w:rPr>
          <w:iCs/>
        </w:rPr>
        <w:t xml:space="preserve"> </w:t>
      </w:r>
      <w:r w:rsidR="00C624B9">
        <w:rPr>
          <w:iCs/>
        </w:rPr>
        <w:t>2014</w:t>
      </w:r>
      <w:r>
        <w:rPr>
          <w:lang w:eastAsia="en-US"/>
        </w:rPr>
        <w:t>)</w:t>
      </w:r>
      <w:r w:rsidR="00617F41">
        <w:rPr>
          <w:lang w:eastAsia="en-US"/>
        </w:rPr>
        <w:t xml:space="preserve">. </w:t>
      </w:r>
      <w:r>
        <w:rPr>
          <w:lang w:eastAsia="en-US"/>
        </w:rPr>
        <w:t xml:space="preserve">Even IMF </w:t>
      </w:r>
      <w:r w:rsidR="00DA3087">
        <w:rPr>
          <w:lang w:eastAsia="en-US"/>
        </w:rPr>
        <w:t>research papers</w:t>
      </w:r>
      <w:r>
        <w:rPr>
          <w:lang w:eastAsia="en-US"/>
        </w:rPr>
        <w:t xml:space="preserve"> recognise the damage done by persistent and growing inequality, warning that “This is not a recipe for stability and sustainability”.</w:t>
      </w:r>
      <w:r>
        <w:rPr>
          <w:rStyle w:val="EndnoteReference"/>
          <w:lang w:eastAsia="en-US"/>
        </w:rPr>
        <w:endnoteReference w:id="3"/>
      </w:r>
      <w:r>
        <w:rPr>
          <w:lang w:eastAsia="en-US"/>
        </w:rPr>
        <w:t xml:space="preserve"> </w:t>
      </w:r>
    </w:p>
    <w:p w:rsidR="00ED14DB" w:rsidRDefault="00ED14DB" w:rsidP="00ED14DB">
      <w:pPr>
        <w:pStyle w:val="Heading8"/>
      </w:pPr>
      <w:bookmarkStart w:id="9" w:name="_Toc388199688"/>
      <w:r>
        <w:t>Improving equality and improving economic growth</w:t>
      </w:r>
      <w:bookmarkEnd w:id="9"/>
    </w:p>
    <w:p w:rsidR="00ED14DB" w:rsidRDefault="00ED14DB" w:rsidP="00510ED4">
      <w:pPr>
        <w:rPr>
          <w:lang w:eastAsia="en-US"/>
        </w:rPr>
      </w:pPr>
      <w:bookmarkStart w:id="10" w:name="_GoBack"/>
      <w:r>
        <w:rPr>
          <w:noProof/>
        </w:rPr>
        <w:drawing>
          <wp:inline distT="0" distB="0" distL="0" distR="0" wp14:anchorId="7947F18E" wp14:editId="580ADD2E">
            <wp:extent cx="3794760" cy="23667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19262" cy="2381992"/>
                    </a:xfrm>
                    <a:prstGeom prst="rect">
                      <a:avLst/>
                    </a:prstGeom>
                    <a:noFill/>
                    <a:ln>
                      <a:noFill/>
                    </a:ln>
                  </pic:spPr>
                </pic:pic>
              </a:graphicData>
            </a:graphic>
          </wp:inline>
        </w:drawing>
      </w:r>
      <w:bookmarkEnd w:id="10"/>
    </w:p>
    <w:p w:rsidR="00ED14DB" w:rsidRDefault="00ED14DB" w:rsidP="00ED14DB">
      <w:pPr>
        <w:rPr>
          <w:sz w:val="20"/>
          <w:szCs w:val="20"/>
          <w:lang w:eastAsia="en-US"/>
        </w:rPr>
      </w:pPr>
      <w:r w:rsidRPr="001C0356">
        <w:rPr>
          <w:sz w:val="20"/>
          <w:szCs w:val="20"/>
          <w:lang w:eastAsia="en-US"/>
        </w:rPr>
        <w:t>Source: UNICEF 2011</w:t>
      </w:r>
      <w:r w:rsidRPr="001C0356">
        <w:rPr>
          <w:rStyle w:val="EndnoteReference"/>
          <w:sz w:val="20"/>
          <w:szCs w:val="20"/>
          <w:lang w:eastAsia="en-US"/>
        </w:rPr>
        <w:endnoteReference w:id="4"/>
      </w:r>
    </w:p>
    <w:p w:rsidR="002A2CCF" w:rsidRDefault="002A2CCF" w:rsidP="002A2CCF">
      <w:pPr>
        <w:pStyle w:val="Heading2"/>
      </w:pPr>
      <w:bookmarkStart w:id="11" w:name="_Toc388199689"/>
      <w:r>
        <w:lastRenderedPageBreak/>
        <w:t>The social value of equality</w:t>
      </w:r>
      <w:bookmarkEnd w:id="11"/>
    </w:p>
    <w:p w:rsidR="00D055AD" w:rsidRDefault="00C50DC4" w:rsidP="00D055AD">
      <w:pPr>
        <w:rPr>
          <w:lang w:eastAsia="en-US"/>
        </w:rPr>
      </w:pPr>
      <w:r>
        <w:rPr>
          <w:lang w:eastAsia="en-US"/>
        </w:rPr>
        <w:t xml:space="preserve">The outstanding work on the social benefits of equality is ‘The Spirit </w:t>
      </w:r>
      <w:proofErr w:type="gramStart"/>
      <w:r>
        <w:rPr>
          <w:lang w:eastAsia="en-US"/>
        </w:rPr>
        <w:t>Level’(</w:t>
      </w:r>
      <w:proofErr w:type="gramEnd"/>
      <w:r>
        <w:rPr>
          <w:lang w:eastAsia="en-US"/>
        </w:rPr>
        <w:t>Wilkinson and Pickett 2009), using international data to demonstrate that m</w:t>
      </w:r>
      <w:r w:rsidR="00D055AD" w:rsidRPr="000250E8">
        <w:rPr>
          <w:lang w:eastAsia="en-US"/>
        </w:rPr>
        <w:t>ore equal distributions of income lead to a better life for everyone. The chart below</w:t>
      </w:r>
      <w:r>
        <w:rPr>
          <w:lang w:eastAsia="en-US"/>
        </w:rPr>
        <w:t xml:space="preserve">, which summarises their work, </w:t>
      </w:r>
      <w:r w:rsidR="00D055AD" w:rsidRPr="000250E8">
        <w:rPr>
          <w:lang w:eastAsia="en-US"/>
        </w:rPr>
        <w:t xml:space="preserve">shows that the countries with the most equal distribution of income also have better social outcomes for everybody - life expectancy is higher, infant mortality is lower, </w:t>
      </w:r>
      <w:r w:rsidR="006C33ED">
        <w:rPr>
          <w:lang w:eastAsia="en-US"/>
        </w:rPr>
        <w:t xml:space="preserve">literacy is higher, </w:t>
      </w:r>
      <w:r w:rsidR="00D055AD" w:rsidRPr="000250E8">
        <w:rPr>
          <w:lang w:eastAsia="en-US"/>
        </w:rPr>
        <w:t>there are fewer murders, less mental illness, less obesity, and less people in prison.</w:t>
      </w:r>
      <w:r w:rsidR="00962790">
        <w:rPr>
          <w:lang w:eastAsia="en-US"/>
        </w:rPr>
        <w:t xml:space="preserve"> So more equal distribution of incomes does not only benefit the poor, at the expense of the rich – it leads to social outcomes which are of benefit to everyone. </w:t>
      </w:r>
      <w:r w:rsidR="005D1789">
        <w:rPr>
          <w:lang w:eastAsia="en-US"/>
        </w:rPr>
        <w:t xml:space="preserve">By contrast, </w:t>
      </w:r>
      <w:r w:rsidR="002A2CCF">
        <w:rPr>
          <w:lang w:eastAsia="en-US"/>
        </w:rPr>
        <w:t xml:space="preserve">inequality makes lives worse for the most vulnerable, most brutally by shortening their life expectancy </w:t>
      </w:r>
      <w:r w:rsidR="00D1544D">
        <w:rPr>
          <w:lang w:eastAsia="en-US"/>
        </w:rPr>
        <w:t xml:space="preserve">in multiple ways, including </w:t>
      </w:r>
      <w:r w:rsidR="003E3F33">
        <w:rPr>
          <w:lang w:eastAsia="en-US"/>
        </w:rPr>
        <w:t xml:space="preserve">through </w:t>
      </w:r>
      <w:r w:rsidR="00D1544D">
        <w:rPr>
          <w:lang w:eastAsia="en-US"/>
        </w:rPr>
        <w:t>insecurity of employment (</w:t>
      </w:r>
      <w:r w:rsidR="002B21BF">
        <w:rPr>
          <w:lang w:eastAsia="en-US"/>
        </w:rPr>
        <w:t xml:space="preserve">Wilkinson and Pickett 2009, </w:t>
      </w:r>
      <w:proofErr w:type="spellStart"/>
      <w:r w:rsidR="00D1544D">
        <w:rPr>
          <w:lang w:eastAsia="en-US"/>
        </w:rPr>
        <w:t>Therborn</w:t>
      </w:r>
      <w:proofErr w:type="spellEnd"/>
      <w:r w:rsidR="00D1544D">
        <w:rPr>
          <w:lang w:eastAsia="en-US"/>
        </w:rPr>
        <w:t xml:space="preserve"> 2013)</w:t>
      </w:r>
      <w:r w:rsidR="003E3F33">
        <w:rPr>
          <w:lang w:eastAsia="en-US"/>
        </w:rPr>
        <w:t>.</w:t>
      </w:r>
      <w:r w:rsidR="002A2CCF">
        <w:rPr>
          <w:lang w:eastAsia="en-US"/>
        </w:rPr>
        <w:t xml:space="preserve"> </w:t>
      </w:r>
    </w:p>
    <w:p w:rsidR="009B0A67" w:rsidRDefault="009B0A67" w:rsidP="009B0A67">
      <w:pPr>
        <w:pStyle w:val="Heading8"/>
      </w:pPr>
      <w:bookmarkStart w:id="12" w:name="_Toc388199690"/>
      <w:r>
        <w:t>Health and social problems are worse in more unequal countries</w:t>
      </w:r>
      <w:bookmarkEnd w:id="12"/>
    </w:p>
    <w:p w:rsidR="009B0A67" w:rsidRPr="00854B6B" w:rsidRDefault="009B0A67" w:rsidP="009B0A67">
      <w:pPr>
        <w:rPr>
          <w:lang w:eastAsia="en-US"/>
        </w:rPr>
      </w:pPr>
      <w:r>
        <w:rPr>
          <w:noProof/>
        </w:rPr>
        <w:drawing>
          <wp:inline distT="0" distB="0" distL="0" distR="0" wp14:anchorId="33D40CA5" wp14:editId="68F5F519">
            <wp:extent cx="4233333" cy="3175001"/>
            <wp:effectExtent l="0" t="0" r="0" b="635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4250537" cy="3187904"/>
                    </a:xfrm>
                    <a:prstGeom prst="rect">
                      <a:avLst/>
                    </a:prstGeom>
                    <a:noFill/>
                    <a:ln w="9525">
                      <a:noFill/>
                      <a:miter lim="800000"/>
                      <a:headEnd/>
                      <a:tailEnd/>
                    </a:ln>
                  </pic:spPr>
                </pic:pic>
              </a:graphicData>
            </a:graphic>
          </wp:inline>
        </w:drawing>
      </w:r>
    </w:p>
    <w:p w:rsidR="006C33ED" w:rsidRDefault="00914919" w:rsidP="00D055AD">
      <w:pPr>
        <w:rPr>
          <w:lang w:eastAsia="en-US"/>
        </w:rPr>
      </w:pPr>
      <w:r w:rsidRPr="001C0356">
        <w:rPr>
          <w:sz w:val="20"/>
          <w:szCs w:val="20"/>
        </w:rPr>
        <w:t>Source: Wilkinson and Pickett 2009</w:t>
      </w:r>
    </w:p>
    <w:p w:rsidR="00D674EF" w:rsidRDefault="00D674EF" w:rsidP="00D674EF">
      <w:pPr>
        <w:pStyle w:val="Heading2"/>
      </w:pPr>
      <w:bookmarkStart w:id="13" w:name="_Toc388199691"/>
      <w:r>
        <w:t>Mechanisms of equality</w:t>
      </w:r>
      <w:r w:rsidR="004B000A">
        <w:t>: trade unions, taxation, benefits, and public services</w:t>
      </w:r>
      <w:bookmarkEnd w:id="13"/>
    </w:p>
    <w:p w:rsidR="00D674EF" w:rsidRDefault="00D674EF" w:rsidP="00D674EF">
      <w:pPr>
        <w:rPr>
          <w:lang w:eastAsia="en-US"/>
        </w:rPr>
      </w:pPr>
      <w:r>
        <w:rPr>
          <w:lang w:eastAsia="en-US"/>
        </w:rPr>
        <w:t xml:space="preserve">In order to get the benefits of greater equality, there have to be mechanisms other than the market to force a fairer distribution of resources. </w:t>
      </w:r>
      <w:r w:rsidR="00C56D47">
        <w:rPr>
          <w:lang w:eastAsia="en-US"/>
        </w:rPr>
        <w:t xml:space="preserve"> </w:t>
      </w:r>
    </w:p>
    <w:p w:rsidR="00A067B6" w:rsidRDefault="00A067B6" w:rsidP="00D674EF">
      <w:pPr>
        <w:rPr>
          <w:lang w:eastAsia="en-US"/>
        </w:rPr>
      </w:pPr>
    </w:p>
    <w:p w:rsidR="00D674EF" w:rsidRDefault="00D674EF" w:rsidP="00D674EF">
      <w:pPr>
        <w:rPr>
          <w:lang w:eastAsia="en-US"/>
        </w:rPr>
      </w:pPr>
      <w:r>
        <w:rPr>
          <w:lang w:eastAsia="en-US"/>
        </w:rPr>
        <w:t xml:space="preserve">One of these is trade unionism, which gives greater power to workers vis-à-vis employers, and so can increase the share of wages at the expense of the share of profits. This automatically has an equalising effect, as wages are far more equally distributed than profits.  This can be reinforced by state regulation, for example imposing and enforcing high levels of minimum wages, </w:t>
      </w:r>
      <w:r w:rsidR="006C40BA">
        <w:rPr>
          <w:lang w:eastAsia="en-US"/>
        </w:rPr>
        <w:t>or creating statutory rights to maternity leave.</w:t>
      </w:r>
      <w:r>
        <w:rPr>
          <w:lang w:eastAsia="en-US"/>
        </w:rPr>
        <w:t xml:space="preserve"> </w:t>
      </w:r>
    </w:p>
    <w:p w:rsidR="00D674EF" w:rsidRDefault="00D674EF" w:rsidP="00D674EF">
      <w:pPr>
        <w:rPr>
          <w:lang w:eastAsia="en-US"/>
        </w:rPr>
      </w:pPr>
    </w:p>
    <w:p w:rsidR="004B000A" w:rsidRDefault="00D674EF" w:rsidP="00D674EF">
      <w:pPr>
        <w:rPr>
          <w:lang w:eastAsia="en-US"/>
        </w:rPr>
      </w:pPr>
      <w:r>
        <w:rPr>
          <w:lang w:eastAsia="en-US"/>
        </w:rPr>
        <w:t>The other great mechanism for achieving greater equality</w:t>
      </w:r>
      <w:r w:rsidRPr="00E44787">
        <w:rPr>
          <w:lang w:eastAsia="en-US"/>
        </w:rPr>
        <w:t xml:space="preserve"> </w:t>
      </w:r>
      <w:r>
        <w:rPr>
          <w:lang w:eastAsia="en-US"/>
        </w:rPr>
        <w:t>is public spending, financed by taxation.</w:t>
      </w:r>
      <w:r w:rsidR="004B000A">
        <w:rPr>
          <w:lang w:eastAsia="en-US"/>
        </w:rPr>
        <w:t xml:space="preserve"> Equality is improved by taxation if it is progressive, so that those on higher incomes pay a higher proportion of their incomes. Equality is further improved by public spending on social security benefits, which distributes money to households on low incomes, such as the elderly and unemployed. </w:t>
      </w:r>
      <w:r>
        <w:rPr>
          <w:lang w:eastAsia="en-US"/>
        </w:rPr>
        <w:t xml:space="preserve"> </w:t>
      </w:r>
    </w:p>
    <w:p w:rsidR="00A067B6" w:rsidRPr="00A067B6" w:rsidRDefault="00A067B6" w:rsidP="00A067B6">
      <w:pPr>
        <w:rPr>
          <w:szCs w:val="22"/>
        </w:rPr>
      </w:pPr>
    </w:p>
    <w:p w:rsidR="00D674EF" w:rsidRDefault="004B000A" w:rsidP="00D674EF">
      <w:pPr>
        <w:rPr>
          <w:lang w:eastAsia="en-US"/>
        </w:rPr>
      </w:pPr>
      <w:r>
        <w:rPr>
          <w:lang w:eastAsia="en-US"/>
        </w:rPr>
        <w:t>But spending on public services such as healthcare, education, and social services has an effect on equality which is at least as great, but is generally ignored in discussions. The following sections set out</w:t>
      </w:r>
      <w:r w:rsidR="00510ED4">
        <w:rPr>
          <w:lang w:eastAsia="en-US"/>
        </w:rPr>
        <w:t xml:space="preserve"> the evidence.</w:t>
      </w:r>
      <w:r>
        <w:rPr>
          <w:lang w:eastAsia="en-US"/>
        </w:rPr>
        <w:t xml:space="preserve"> </w:t>
      </w:r>
    </w:p>
    <w:p w:rsidR="00D674EF" w:rsidRDefault="00D674EF" w:rsidP="00D674EF">
      <w:pPr>
        <w:rPr>
          <w:lang w:eastAsia="en-US"/>
        </w:rPr>
      </w:pPr>
    </w:p>
    <w:p w:rsidR="005A3464" w:rsidRDefault="005A3464" w:rsidP="005A3464">
      <w:pPr>
        <w:pStyle w:val="Heading1"/>
      </w:pPr>
      <w:bookmarkStart w:id="14" w:name="_Toc388199692"/>
      <w:r>
        <w:t xml:space="preserve">The </w:t>
      </w:r>
      <w:r w:rsidR="00DF17B9">
        <w:t>equality economy</w:t>
      </w:r>
      <w:r>
        <w:t xml:space="preserve"> of public services</w:t>
      </w:r>
      <w:bookmarkEnd w:id="14"/>
    </w:p>
    <w:p w:rsidR="005A3464" w:rsidRPr="0044692C" w:rsidRDefault="005A3464" w:rsidP="005A3464">
      <w:pPr>
        <w:rPr>
          <w:szCs w:val="22"/>
        </w:rPr>
      </w:pPr>
      <w:r w:rsidRPr="0044692C">
        <w:rPr>
          <w:szCs w:val="22"/>
        </w:rPr>
        <w:t xml:space="preserve">Public services such as public health services, public education, child care, care for older people, and public housing also have a powerful redistributive effect, because they are available in principle to everyone. </w:t>
      </w:r>
      <w:r>
        <w:t>F</w:t>
      </w:r>
      <w:r w:rsidRPr="000F67FE">
        <w:t xml:space="preserve">or </w:t>
      </w:r>
      <w:r w:rsidRPr="000F67FE">
        <w:lastRenderedPageBreak/>
        <w:t xml:space="preserve">those on lower incomes, public services are </w:t>
      </w:r>
      <w:r>
        <w:t>at least as</w:t>
      </w:r>
      <w:r w:rsidRPr="000F67FE">
        <w:t xml:space="preserve"> valuable as either benefits or income. As a result, cuts in spending on services have a disproportionate impact </w:t>
      </w:r>
      <w:r>
        <w:t>on households on lower incomes.</w:t>
      </w:r>
      <w:r w:rsidRPr="0044692C">
        <w:rPr>
          <w:szCs w:val="22"/>
        </w:rPr>
        <w:t xml:space="preserve"> </w:t>
      </w:r>
    </w:p>
    <w:p w:rsidR="00A067B6" w:rsidRDefault="00A067B6" w:rsidP="00A067B6">
      <w:pPr>
        <w:rPr>
          <w:szCs w:val="22"/>
        </w:rPr>
      </w:pPr>
    </w:p>
    <w:p w:rsidR="005A3464" w:rsidRDefault="005A3464" w:rsidP="005A3464">
      <w:r w:rsidRPr="00A067B6">
        <w:rPr>
          <w:szCs w:val="22"/>
        </w:rPr>
        <w:t>In addition, services such as child care, care for older people and education have a big impact on gender equality, because they allow more women to get paid employment. This is true not only in high-income countries, where public services are largest, but also in developing countries, where public services are making a growing impact.</w:t>
      </w:r>
      <w:r w:rsidR="00A067B6">
        <w:rPr>
          <w:szCs w:val="22"/>
        </w:rPr>
        <w:t xml:space="preserve">  </w:t>
      </w:r>
      <w:r>
        <w:rPr>
          <w:szCs w:val="22"/>
        </w:rPr>
        <w:t>Infrastructure like water, sanitation, electricity, roads and telecoms also improve equality because they make it possible for everyone to improve their livelihoods by using these services</w:t>
      </w:r>
      <w:r w:rsidR="00A067B6">
        <w:rPr>
          <w:szCs w:val="22"/>
        </w:rPr>
        <w:t xml:space="preserve">. </w:t>
      </w:r>
    </w:p>
    <w:p w:rsidR="005A3464" w:rsidRDefault="005A3464" w:rsidP="005A3464">
      <w:pPr>
        <w:pStyle w:val="Heading2"/>
      </w:pPr>
      <w:bookmarkStart w:id="15" w:name="_Toc388199693"/>
      <w:r w:rsidRPr="00102D58">
        <w:t>Public services and equality</w:t>
      </w:r>
      <w:r>
        <w:t>: OECD countries</w:t>
      </w:r>
      <w:bookmarkEnd w:id="15"/>
    </w:p>
    <w:p w:rsidR="005A3464" w:rsidRPr="009453FF" w:rsidRDefault="005A3464" w:rsidP="005A3464">
      <w:r w:rsidRPr="009453FF">
        <w:t xml:space="preserve">In OECD countries, the overall value </w:t>
      </w:r>
      <w:proofErr w:type="gramStart"/>
      <w:r w:rsidRPr="009453FF">
        <w:t>of  these</w:t>
      </w:r>
      <w:proofErr w:type="gramEnd"/>
      <w:r w:rsidRPr="009453FF">
        <w:t xml:space="preserve"> services was on average 13% of GDP - more than the total value of benefits. Education and healthcare each account for about 5.5% of GDP, with the other 2% consisting of social care for children and the elderly, and social housing.  (</w:t>
      </w:r>
      <w:proofErr w:type="spellStart"/>
      <w:r w:rsidRPr="009453FF">
        <w:t>Verbist</w:t>
      </w:r>
      <w:proofErr w:type="spellEnd"/>
      <w:r w:rsidRPr="009453FF">
        <w:t xml:space="preserve"> et al 2012).</w:t>
      </w:r>
      <w:r w:rsidRPr="009453FF">
        <w:rPr>
          <w:rStyle w:val="EndnoteReference"/>
        </w:rPr>
        <w:endnoteReference w:id="5"/>
      </w:r>
    </w:p>
    <w:p w:rsidR="005A3464" w:rsidRPr="009453FF" w:rsidRDefault="005A3464" w:rsidP="005A3464"/>
    <w:p w:rsidR="005A3464" w:rsidRPr="009453FF" w:rsidRDefault="005A3464" w:rsidP="005A3464">
      <w:r w:rsidRPr="009453FF">
        <w:t xml:space="preserve">The benefits of public services are very evenly distributed between the households divided into five income bands, or quintiles. That is, each quintile receives roughly equal benefit from the services, in absolute terms. The figures are based on data on actual use of education and healthcare by households in each country. </w:t>
      </w:r>
    </w:p>
    <w:p w:rsidR="005A3464" w:rsidRDefault="005A3464" w:rsidP="005A3464"/>
    <w:p w:rsidR="005A3464" w:rsidRDefault="005A3464" w:rsidP="005A3464">
      <w:r>
        <w:t xml:space="preserve">This equalising effect of the provision of public services is remarkably consistent across all OECD countries. Everywhere, with only slight deviations, the benefits of these services are equally distributed. It is a picture of material equality at the heart of countries where the market continues to generate great inequality.  </w:t>
      </w:r>
    </w:p>
    <w:p w:rsidR="005A3464" w:rsidRPr="006200D3" w:rsidRDefault="005A3464" w:rsidP="005A3464">
      <w:pPr>
        <w:pStyle w:val="Heading8"/>
      </w:pPr>
      <w:bookmarkStart w:id="16" w:name="_Toc388199694"/>
      <w:r>
        <w:t>D</w:t>
      </w:r>
      <w:r w:rsidRPr="006200D3">
        <w:t xml:space="preserve">istribution of </w:t>
      </w:r>
      <w:r>
        <w:t>value</w:t>
      </w:r>
      <w:r w:rsidRPr="006200D3">
        <w:t xml:space="preserve"> of public services</w:t>
      </w:r>
      <w:r>
        <w:t xml:space="preserve"> across household quintiles</w:t>
      </w:r>
      <w:r w:rsidRPr="006200D3">
        <w:t>, 27 OECD countries</w:t>
      </w:r>
      <w:bookmarkEnd w:id="16"/>
    </w:p>
    <w:p w:rsidR="005A3464" w:rsidRPr="003E3F33" w:rsidRDefault="005A3464" w:rsidP="005A3464">
      <w:r>
        <w:rPr>
          <w:noProof/>
        </w:rPr>
        <w:drawing>
          <wp:inline distT="0" distB="0" distL="0" distR="0" wp14:anchorId="3EC8B425" wp14:editId="34B3D725">
            <wp:extent cx="3623310" cy="2148840"/>
            <wp:effectExtent l="0" t="0" r="15240" b="228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A3464" w:rsidRPr="00D1544D" w:rsidRDefault="005A3464" w:rsidP="005A3464">
      <w:pPr>
        <w:rPr>
          <w:rStyle w:val="Hyperlink"/>
          <w:sz w:val="20"/>
          <w:szCs w:val="20"/>
          <w:lang w:val="fr-FR"/>
        </w:rPr>
      </w:pPr>
      <w:r w:rsidRPr="00D1544D">
        <w:rPr>
          <w:sz w:val="20"/>
          <w:szCs w:val="20"/>
          <w:lang w:val="fr-FR"/>
        </w:rPr>
        <w:t xml:space="preserve">Source: </w:t>
      </w:r>
      <w:proofErr w:type="spellStart"/>
      <w:r w:rsidR="00510ED4">
        <w:rPr>
          <w:sz w:val="20"/>
          <w:szCs w:val="20"/>
          <w:lang w:val="fr-FR"/>
        </w:rPr>
        <w:t>calculated</w:t>
      </w:r>
      <w:proofErr w:type="spellEnd"/>
      <w:r w:rsidR="00510ED4">
        <w:rPr>
          <w:sz w:val="20"/>
          <w:szCs w:val="20"/>
          <w:lang w:val="fr-FR"/>
        </w:rPr>
        <w:t xml:space="preserve"> </w:t>
      </w:r>
      <w:proofErr w:type="spellStart"/>
      <w:r w:rsidR="00510ED4">
        <w:rPr>
          <w:sz w:val="20"/>
          <w:szCs w:val="20"/>
          <w:lang w:val="fr-FR"/>
        </w:rPr>
        <w:t>from</w:t>
      </w:r>
      <w:proofErr w:type="spellEnd"/>
      <w:r w:rsidR="00510ED4">
        <w:rPr>
          <w:sz w:val="20"/>
          <w:szCs w:val="20"/>
          <w:lang w:val="fr-FR"/>
        </w:rPr>
        <w:t xml:space="preserve"> </w:t>
      </w:r>
      <w:proofErr w:type="spellStart"/>
      <w:r w:rsidRPr="00D1544D">
        <w:rPr>
          <w:sz w:val="20"/>
          <w:szCs w:val="20"/>
          <w:lang w:val="fr-FR"/>
        </w:rPr>
        <w:t>Verbist</w:t>
      </w:r>
      <w:proofErr w:type="spellEnd"/>
      <w:r w:rsidRPr="00D1544D">
        <w:rPr>
          <w:sz w:val="20"/>
          <w:szCs w:val="20"/>
          <w:lang w:val="fr-FR"/>
        </w:rPr>
        <w:t xml:space="preserve"> et al p.35  </w:t>
      </w:r>
      <w:hyperlink r:id="rId16" w:history="1">
        <w:r w:rsidRPr="00D1544D">
          <w:rPr>
            <w:rStyle w:val="Hyperlink"/>
            <w:sz w:val="20"/>
            <w:szCs w:val="20"/>
            <w:lang w:val="fr-FR"/>
          </w:rPr>
          <w:t>http://dx.doi.org/10.1787/5k9h363c5szq-en</w:t>
        </w:r>
      </w:hyperlink>
    </w:p>
    <w:p w:rsidR="005A3464" w:rsidRPr="000F67FE" w:rsidRDefault="005A3464" w:rsidP="005A3464">
      <w:pPr>
        <w:pStyle w:val="Heading8"/>
      </w:pPr>
      <w:bookmarkStart w:id="17" w:name="_Toc388199695"/>
      <w:proofErr w:type="gramStart"/>
      <w:r w:rsidRPr="000F67FE">
        <w:t>Distribution of value of total public services over quintiles, 2007</w:t>
      </w:r>
      <w:r>
        <w:t>, OECD</w:t>
      </w:r>
      <w:r w:rsidRPr="000F67FE">
        <w:t>.</w:t>
      </w:r>
      <w:bookmarkEnd w:id="17"/>
      <w:proofErr w:type="gramEnd"/>
    </w:p>
    <w:p w:rsidR="005A3464" w:rsidRPr="006200D3" w:rsidRDefault="005A3464" w:rsidP="005A3464">
      <w:pPr>
        <w:rPr>
          <w:i/>
        </w:rPr>
      </w:pPr>
      <w:r w:rsidRPr="006200D3">
        <w:rPr>
          <w:i/>
          <w:noProof/>
        </w:rPr>
        <w:drawing>
          <wp:inline distT="0" distB="0" distL="0" distR="0" wp14:anchorId="725168E6" wp14:editId="3832442E">
            <wp:extent cx="3714750" cy="254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lum contrast="27000"/>
                      <a:extLst>
                        <a:ext uri="{28A0092B-C50C-407E-A947-70E740481C1C}">
                          <a14:useLocalDpi xmlns:a14="http://schemas.microsoft.com/office/drawing/2010/main" val="0"/>
                        </a:ext>
                      </a:extLst>
                    </a:blip>
                    <a:srcRect/>
                    <a:stretch>
                      <a:fillRect/>
                    </a:stretch>
                  </pic:blipFill>
                  <pic:spPr bwMode="auto">
                    <a:xfrm>
                      <a:off x="0" y="0"/>
                      <a:ext cx="3739907" cy="2557202"/>
                    </a:xfrm>
                    <a:prstGeom prst="rect">
                      <a:avLst/>
                    </a:prstGeom>
                    <a:noFill/>
                    <a:ln>
                      <a:noFill/>
                    </a:ln>
                  </pic:spPr>
                </pic:pic>
              </a:graphicData>
            </a:graphic>
          </wp:inline>
        </w:drawing>
      </w:r>
    </w:p>
    <w:p w:rsidR="005A3464" w:rsidRDefault="005A3464" w:rsidP="005A3464">
      <w:pPr>
        <w:rPr>
          <w:rStyle w:val="Hyperlink"/>
          <w:lang w:val="fr-FR"/>
        </w:rPr>
      </w:pPr>
      <w:r w:rsidRPr="00501BE1">
        <w:rPr>
          <w:lang w:val="fr-FR"/>
        </w:rPr>
        <w:t xml:space="preserve">Source: </w:t>
      </w:r>
      <w:proofErr w:type="spellStart"/>
      <w:r w:rsidRPr="00501BE1">
        <w:rPr>
          <w:lang w:val="fr-FR"/>
        </w:rPr>
        <w:t>Verbist</w:t>
      </w:r>
      <w:proofErr w:type="spellEnd"/>
      <w:r w:rsidRPr="00501BE1">
        <w:rPr>
          <w:lang w:val="fr-FR"/>
        </w:rPr>
        <w:t xml:space="preserve"> et al p.35  </w:t>
      </w:r>
      <w:hyperlink r:id="rId18" w:history="1">
        <w:r w:rsidRPr="00501BE1">
          <w:rPr>
            <w:rStyle w:val="Hyperlink"/>
            <w:lang w:val="fr-FR"/>
          </w:rPr>
          <w:t>http://dx.doi.org/10.1787/5k9h363c5szq-en</w:t>
        </w:r>
      </w:hyperlink>
    </w:p>
    <w:p w:rsidR="005A3464" w:rsidRDefault="005A3464" w:rsidP="005A3464">
      <w:pPr>
        <w:rPr>
          <w:rStyle w:val="Hyperlink"/>
          <w:lang w:val="fr-FR"/>
        </w:rPr>
      </w:pPr>
    </w:p>
    <w:p w:rsidR="005A3464" w:rsidRDefault="005A3464" w:rsidP="005A3464">
      <w:r>
        <w:t>T</w:t>
      </w:r>
      <w:r w:rsidRPr="00686B1F">
        <w:t>his equal distribution of benefits</w:t>
      </w:r>
      <w:r>
        <w:t xml:space="preserve"> contrasts strongly with the unequal distribution of money incomes. As a result, public services are far more important to poorer households, and are equivalent to a substantial proportion of their disposable income - worth</w:t>
      </w:r>
      <w:r w:rsidRPr="00686B1F">
        <w:t xml:space="preserve"> 76% of disposable income for the poorest 20%</w:t>
      </w:r>
      <w:r>
        <w:t>.  Even for households around average income, they are worth an extra one-third on top of disposable income. For the top 20%, public services are still worth an additional 14% to their disposable income.</w:t>
      </w:r>
    </w:p>
    <w:p w:rsidR="005A3464" w:rsidRPr="00686B1F" w:rsidRDefault="005A3464" w:rsidP="005A3464">
      <w:pPr>
        <w:pStyle w:val="Heading8"/>
      </w:pPr>
      <w:bookmarkStart w:id="18" w:name="_Toc388199696"/>
      <w:r w:rsidRPr="00686B1F">
        <w:t xml:space="preserve">Value of public </w:t>
      </w:r>
      <w:proofErr w:type="gramStart"/>
      <w:r w:rsidRPr="00686B1F">
        <w:t xml:space="preserve">services </w:t>
      </w:r>
      <w:r>
        <w:t xml:space="preserve"> </w:t>
      </w:r>
      <w:r w:rsidRPr="00686B1F">
        <w:t>relative</w:t>
      </w:r>
      <w:proofErr w:type="gramEnd"/>
      <w:r w:rsidRPr="00686B1F">
        <w:t xml:space="preserve"> to </w:t>
      </w:r>
      <w:r>
        <w:t xml:space="preserve">disposable </w:t>
      </w:r>
      <w:r w:rsidRPr="00686B1F">
        <w:t>income, 27 OECD countries</w:t>
      </w:r>
      <w:bookmarkEnd w:id="18"/>
    </w:p>
    <w:p w:rsidR="005A3464" w:rsidRPr="006200D3" w:rsidRDefault="005A3464" w:rsidP="005A3464">
      <w:pPr>
        <w:rPr>
          <w:i/>
        </w:rPr>
      </w:pPr>
      <w:r w:rsidRPr="008347FF">
        <w:rPr>
          <w:i/>
          <w:noProof/>
          <w:sz w:val="20"/>
          <w:szCs w:val="20"/>
        </w:rPr>
        <w:drawing>
          <wp:inline distT="0" distB="0" distL="0" distR="0" wp14:anchorId="7B6E5F84" wp14:editId="54533DBE">
            <wp:extent cx="3445933" cy="3191933"/>
            <wp:effectExtent l="0" t="0" r="21590" b="2794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A3464" w:rsidRDefault="005A3464" w:rsidP="005A3464">
      <w:r w:rsidRPr="00686B1F">
        <w:t xml:space="preserve">Source: </w:t>
      </w:r>
      <w:r>
        <w:t>calculated</w:t>
      </w:r>
      <w:r w:rsidRPr="00686B1F">
        <w:t xml:space="preserve"> from </w:t>
      </w:r>
      <w:proofErr w:type="spellStart"/>
      <w:r w:rsidRPr="00327AD1">
        <w:t>Verbist</w:t>
      </w:r>
      <w:proofErr w:type="spellEnd"/>
      <w:r w:rsidRPr="00327AD1">
        <w:t xml:space="preserve"> et al </w:t>
      </w:r>
      <w:proofErr w:type="gramStart"/>
      <w:r w:rsidRPr="00327AD1">
        <w:t xml:space="preserve">p.35  </w:t>
      </w:r>
      <w:proofErr w:type="gramEnd"/>
      <w:r w:rsidRPr="00686B1F">
        <w:fldChar w:fldCharType="begin"/>
      </w:r>
      <w:r w:rsidRPr="00686B1F">
        <w:instrText xml:space="preserve"> HYPERLINK "http://dx.doi.org/10.1787/5k9h363c5szq-en" </w:instrText>
      </w:r>
      <w:r w:rsidRPr="00686B1F">
        <w:fldChar w:fldCharType="separate"/>
      </w:r>
      <w:r w:rsidRPr="00327AD1">
        <w:rPr>
          <w:rStyle w:val="Hyperlink"/>
        </w:rPr>
        <w:t>http://dx.doi.org/10.1787/5k9h363c5szq-en</w:t>
      </w:r>
      <w:r w:rsidRPr="00686B1F">
        <w:fldChar w:fldCharType="end"/>
      </w:r>
    </w:p>
    <w:p w:rsidR="005A3464" w:rsidRPr="002F144A" w:rsidRDefault="005A3464" w:rsidP="005A3464">
      <w:pPr>
        <w:pStyle w:val="Heading7"/>
      </w:pPr>
      <w:bookmarkStart w:id="19" w:name="_Toc388199697"/>
      <w:r>
        <w:t xml:space="preserve">In-kind benefits as share of disposable </w:t>
      </w:r>
      <w:proofErr w:type="gramStart"/>
      <w:r>
        <w:t>income  (</w:t>
      </w:r>
      <w:proofErr w:type="gramEnd"/>
      <w:r>
        <w:t>average for 27 OECD countries)</w:t>
      </w:r>
      <w:bookmarkEnd w:id="19"/>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6"/>
        <w:gridCol w:w="1275"/>
        <w:gridCol w:w="1276"/>
        <w:gridCol w:w="1276"/>
        <w:gridCol w:w="1276"/>
        <w:gridCol w:w="1276"/>
        <w:gridCol w:w="1134"/>
      </w:tblGrid>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 </w:t>
            </w:r>
          </w:p>
        </w:tc>
        <w:tc>
          <w:tcPr>
            <w:tcW w:w="1275"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Q1</w:t>
            </w:r>
            <w:r>
              <w:rPr>
                <w:rFonts w:ascii="Calibri" w:hAnsi="Calibri"/>
                <w:color w:val="000000"/>
                <w:sz w:val="20"/>
                <w:szCs w:val="20"/>
              </w:rPr>
              <w:t xml:space="preserve"> </w:t>
            </w:r>
            <w:r w:rsidRPr="00751F56">
              <w:rPr>
                <w:rFonts w:ascii="Calibri" w:hAnsi="Calibri"/>
                <w:color w:val="000000"/>
                <w:sz w:val="20"/>
                <w:szCs w:val="20"/>
              </w:rPr>
              <w:t>(poorest)</w:t>
            </w:r>
          </w:p>
        </w:tc>
        <w:tc>
          <w:tcPr>
            <w:tcW w:w="1276"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Q2</w:t>
            </w:r>
          </w:p>
        </w:tc>
        <w:tc>
          <w:tcPr>
            <w:tcW w:w="1276"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Q3</w:t>
            </w:r>
          </w:p>
        </w:tc>
        <w:tc>
          <w:tcPr>
            <w:tcW w:w="1276"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Q4</w:t>
            </w:r>
          </w:p>
        </w:tc>
        <w:tc>
          <w:tcPr>
            <w:tcW w:w="1276"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Q5 (richest</w:t>
            </w:r>
          </w:p>
        </w:tc>
        <w:tc>
          <w:tcPr>
            <w:tcW w:w="1134" w:type="dxa"/>
            <w:shd w:val="clear" w:color="auto" w:fill="auto"/>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 All</w:t>
            </w:r>
            <w:r w:rsidRPr="0036545B">
              <w:rPr>
                <w:rFonts w:ascii="Calibri" w:hAnsi="Calibri"/>
                <w:color w:val="000000"/>
                <w:sz w:val="20"/>
                <w:szCs w:val="20"/>
              </w:rPr>
              <w:t xml:space="preserve"> bands</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Education</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30.6</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18.5</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14.2</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10.4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5.6</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11.8</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Health care</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34.9</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22.2</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15.8</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11.8</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7.2</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13.9</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Social housing</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1.8</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0.7</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0.2</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0.1</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0.4</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ECEC (child care)</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4.5</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3</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2.4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1.5</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0.8</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1.8</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Elderly care</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1.9</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0.7</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0.2</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0.9</w:t>
            </w:r>
          </w:p>
        </w:tc>
      </w:tr>
      <w:tr w:rsidR="005A3464" w:rsidRPr="00751F56" w:rsidTr="00FB2C50">
        <w:trPr>
          <w:trHeight w:val="20"/>
        </w:trPr>
        <w:tc>
          <w:tcPr>
            <w:tcW w:w="1716" w:type="dxa"/>
            <w:shd w:val="clear" w:color="000000" w:fill="66FFFF"/>
            <w:vAlign w:val="center"/>
            <w:hideMark/>
          </w:tcPr>
          <w:p w:rsidR="005A3464" w:rsidRPr="00751F56" w:rsidRDefault="005A3464" w:rsidP="00FB2C50">
            <w:pPr>
              <w:rPr>
                <w:rFonts w:ascii="Calibri" w:hAnsi="Calibri"/>
                <w:color w:val="000000"/>
                <w:sz w:val="20"/>
                <w:szCs w:val="20"/>
              </w:rPr>
            </w:pPr>
            <w:r w:rsidRPr="00751F56">
              <w:rPr>
                <w:rFonts w:ascii="Calibri" w:hAnsi="Calibri"/>
                <w:color w:val="000000"/>
                <w:sz w:val="20"/>
                <w:szCs w:val="20"/>
              </w:rPr>
              <w:t>Total</w:t>
            </w:r>
          </w:p>
        </w:tc>
        <w:tc>
          <w:tcPr>
            <w:tcW w:w="1275"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75.8</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46.4</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33.5</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24.3</w:t>
            </w:r>
          </w:p>
        </w:tc>
        <w:tc>
          <w:tcPr>
            <w:tcW w:w="1276"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13.7</w:t>
            </w:r>
          </w:p>
        </w:tc>
        <w:tc>
          <w:tcPr>
            <w:tcW w:w="1134" w:type="dxa"/>
            <w:shd w:val="clear" w:color="auto" w:fill="auto"/>
            <w:vAlign w:val="center"/>
            <w:hideMark/>
          </w:tcPr>
          <w:p w:rsidR="005A3464" w:rsidRPr="00751F56" w:rsidRDefault="005A3464" w:rsidP="00FB2C50">
            <w:pPr>
              <w:jc w:val="right"/>
              <w:rPr>
                <w:rFonts w:ascii="Calibri" w:hAnsi="Calibri"/>
                <w:color w:val="000000"/>
                <w:sz w:val="20"/>
                <w:szCs w:val="20"/>
              </w:rPr>
            </w:pPr>
            <w:r w:rsidRPr="00751F56">
              <w:rPr>
                <w:rFonts w:ascii="Calibri" w:hAnsi="Calibri"/>
                <w:color w:val="000000"/>
                <w:sz w:val="20"/>
                <w:szCs w:val="20"/>
              </w:rPr>
              <w:t>28.8</w:t>
            </w:r>
          </w:p>
        </w:tc>
      </w:tr>
    </w:tbl>
    <w:p w:rsidR="005A3464" w:rsidRDefault="005A3464" w:rsidP="005A3464">
      <w:pPr>
        <w:rPr>
          <w:rStyle w:val="Hyperlink"/>
          <w:lang w:val="fr-FR"/>
        </w:rPr>
      </w:pPr>
      <w:r w:rsidRPr="001E5546">
        <w:rPr>
          <w:lang w:val="fr-FR"/>
        </w:rPr>
        <w:t xml:space="preserve">Source: </w:t>
      </w:r>
      <w:proofErr w:type="spellStart"/>
      <w:r w:rsidRPr="001E5546">
        <w:rPr>
          <w:lang w:val="fr-FR"/>
        </w:rPr>
        <w:t>Verbist</w:t>
      </w:r>
      <w:proofErr w:type="spellEnd"/>
      <w:r w:rsidRPr="001E5546">
        <w:rPr>
          <w:lang w:val="fr-FR"/>
        </w:rPr>
        <w:t xml:space="preserve"> et al p.35  </w:t>
      </w:r>
      <w:hyperlink r:id="rId20" w:history="1">
        <w:r w:rsidRPr="001E5546">
          <w:rPr>
            <w:rStyle w:val="Hyperlink"/>
            <w:lang w:val="fr-FR"/>
          </w:rPr>
          <w:t>http://dx.doi.org/10.1787/5k9h363c5szq-en</w:t>
        </w:r>
      </w:hyperlink>
    </w:p>
    <w:p w:rsidR="005A3464" w:rsidRDefault="005A3464" w:rsidP="005A3464">
      <w:pPr>
        <w:rPr>
          <w:rStyle w:val="Hyperlink"/>
          <w:lang w:val="fr-FR"/>
        </w:rPr>
      </w:pPr>
    </w:p>
    <w:p w:rsidR="005A3464" w:rsidRDefault="005A3464" w:rsidP="005A3464">
      <w:r>
        <w:t>Public services are therefore not just an additional bonus, of minor importance, compared with consumer spending. In the UK, for example, these public services</w:t>
      </w:r>
      <w:r w:rsidRPr="002E2F98">
        <w:t xml:space="preserve"> are worth as much as the entire post-tax income</w:t>
      </w:r>
      <w:r>
        <w:t>, including benefits, of</w:t>
      </w:r>
      <w:r w:rsidRPr="00C60AC5">
        <w:t xml:space="preserve"> </w:t>
      </w:r>
      <w:r w:rsidRPr="002E2F98">
        <w:t>the poorest 20% - that is, ab</w:t>
      </w:r>
      <w:r>
        <w:t>out 12million people; for over 60% of the population – over 36 million people in the UK - public services are worth more than one-third of their post-</w:t>
      </w:r>
      <w:proofErr w:type="gramStart"/>
      <w:r>
        <w:t>tax  income</w:t>
      </w:r>
      <w:proofErr w:type="gramEnd"/>
      <w:r>
        <w:t xml:space="preserve">; on average, the value of services are equivalent to 28% of post-tax incomes.  </w:t>
      </w:r>
    </w:p>
    <w:p w:rsidR="005A3464" w:rsidRDefault="005A3464" w:rsidP="005A3464"/>
    <w:p w:rsidR="005A3464" w:rsidRPr="006200D3" w:rsidRDefault="005A3464" w:rsidP="005A3464">
      <w:pPr>
        <w:rPr>
          <w:i/>
        </w:rPr>
      </w:pPr>
      <w:r>
        <w:t xml:space="preserve">It is often assumed that taxation has a progressive impact, but in practice public services, and benefits, are the crucial equalising mechanisms. Income tax and profits tax are progressive, because those on high incomes pay more; but this is </w:t>
      </w:r>
      <w:proofErr w:type="gramStart"/>
      <w:r>
        <w:t>offset  by</w:t>
      </w:r>
      <w:proofErr w:type="gramEnd"/>
      <w:r>
        <w:t xml:space="preserve"> the effects of indirect taxes, like VAT</w:t>
      </w:r>
      <w:r w:rsidR="004D4CA4">
        <w:t xml:space="preserve"> or sales taxes</w:t>
      </w:r>
      <w:r>
        <w:t>, and social security contributions paid by workers, because these taxes are regressive – they represent a higher percentage of the income of the lower paid. As a result, the overall effect of the tax system in the UK, for example</w:t>
      </w:r>
      <w:proofErr w:type="gramStart"/>
      <w:r>
        <w:t>,  is</w:t>
      </w:r>
      <w:proofErr w:type="gramEnd"/>
      <w:r>
        <w:t xml:space="preserve"> almost neutral. It is the provision of services, and benefits, which creates the greater equality.   The same is true in developing </w:t>
      </w:r>
      <w:proofErr w:type="spellStart"/>
      <w:r>
        <w:t>countiries</w:t>
      </w:r>
      <w:proofErr w:type="spellEnd"/>
      <w:r>
        <w:t xml:space="preserve">. In Brazil, for example, the taxation system is actually regressive – that is the poor pay more than those on high incomes – but once again, it is the effect of public services and benefits that has the great equalising effect. </w:t>
      </w:r>
      <w:r>
        <w:rPr>
          <w:rStyle w:val="EndnoteReference"/>
        </w:rPr>
        <w:endnoteReference w:id="6"/>
      </w:r>
    </w:p>
    <w:p w:rsidR="005A3464" w:rsidRPr="008273D7" w:rsidRDefault="005A3464" w:rsidP="005A3464">
      <w:pPr>
        <w:rPr>
          <w:rStyle w:val="Hyperlink"/>
        </w:rPr>
      </w:pPr>
    </w:p>
    <w:p w:rsidR="005A3464" w:rsidRDefault="005A3464" w:rsidP="005A3464">
      <w:pPr>
        <w:pStyle w:val="Heading8"/>
      </w:pPr>
      <w:bookmarkStart w:id="20" w:name="_Toc388199698"/>
      <w:r>
        <w:lastRenderedPageBreak/>
        <w:t>More valuable to the poorest than benefits or market income (UK)</w:t>
      </w:r>
      <w:bookmarkEnd w:id="20"/>
    </w:p>
    <w:p w:rsidR="005A3464" w:rsidRDefault="005A3464" w:rsidP="00510ED4"/>
    <w:p w:rsidR="00510ED4" w:rsidRPr="008273D7" w:rsidRDefault="00510ED4" w:rsidP="00510ED4">
      <w:pPr>
        <w:rPr>
          <w:sz w:val="20"/>
          <w:szCs w:val="20"/>
        </w:rPr>
      </w:pPr>
      <w:r>
        <w:rPr>
          <w:noProof/>
        </w:rPr>
        <w:drawing>
          <wp:inline distT="0" distB="0" distL="0" distR="0" wp14:anchorId="1874865B" wp14:editId="49530CDA">
            <wp:extent cx="4880610" cy="3497580"/>
            <wp:effectExtent l="0" t="0" r="15240" b="2667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510ED4" w:rsidRDefault="00510ED4" w:rsidP="00510ED4">
      <w:pPr>
        <w:rPr>
          <w:sz w:val="20"/>
          <w:szCs w:val="20"/>
        </w:rPr>
      </w:pPr>
      <w:r w:rsidRPr="008273D7">
        <w:rPr>
          <w:sz w:val="20"/>
          <w:szCs w:val="20"/>
        </w:rPr>
        <w:t xml:space="preserve">Source: calculated from ONS </w:t>
      </w:r>
      <w:proofErr w:type="gramStart"/>
      <w:r w:rsidRPr="008273D7">
        <w:rPr>
          <w:sz w:val="20"/>
          <w:szCs w:val="20"/>
        </w:rPr>
        <w:t>2012,</w:t>
      </w:r>
      <w:proofErr w:type="gramEnd"/>
      <w:r w:rsidRPr="008273D7">
        <w:rPr>
          <w:sz w:val="20"/>
          <w:szCs w:val="20"/>
        </w:rPr>
        <w:t xml:space="preserve"> see table</w:t>
      </w:r>
    </w:p>
    <w:p w:rsidR="005A3464" w:rsidRDefault="005A3464" w:rsidP="005A3464"/>
    <w:p w:rsidR="005A3464" w:rsidRDefault="005A3464" w:rsidP="005A3464">
      <w:pPr>
        <w:pStyle w:val="Heading8"/>
      </w:pPr>
      <w:bookmarkStart w:id="21" w:name="_Toc388199699"/>
      <w:r w:rsidRPr="00627529">
        <w:rPr>
          <w:bCs/>
          <w:lang w:val="en-US"/>
        </w:rPr>
        <w:t>Value of public services as % of post-tax money income (UK)</w:t>
      </w:r>
      <w:bookmarkEnd w:id="21"/>
    </w:p>
    <w:p w:rsidR="005A3464" w:rsidRDefault="005A3464" w:rsidP="005A3464">
      <w:r>
        <w:rPr>
          <w:noProof/>
        </w:rPr>
        <w:drawing>
          <wp:inline distT="0" distB="0" distL="0" distR="0" wp14:anchorId="1220DF17" wp14:editId="121B2B4F">
            <wp:extent cx="4152900" cy="283845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5A3464" w:rsidRDefault="005A3464" w:rsidP="005A3464">
      <w:r w:rsidRPr="002E2F98">
        <w:t xml:space="preserve">Source: </w:t>
      </w:r>
      <w:r>
        <w:t xml:space="preserve">calculated from </w:t>
      </w:r>
      <w:r w:rsidRPr="002E2F98">
        <w:t xml:space="preserve">ONS </w:t>
      </w:r>
      <w:proofErr w:type="gramStart"/>
      <w:r>
        <w:t>2012,</w:t>
      </w:r>
      <w:proofErr w:type="gramEnd"/>
      <w:r>
        <w:t xml:space="preserve"> see table</w:t>
      </w:r>
    </w:p>
    <w:p w:rsidR="00510ED4" w:rsidRDefault="00510ED4" w:rsidP="005A3464"/>
    <w:p w:rsidR="00510ED4" w:rsidRDefault="00510ED4" w:rsidP="005A3464"/>
    <w:p w:rsidR="00510ED4" w:rsidRDefault="00510ED4" w:rsidP="005A3464"/>
    <w:p w:rsidR="00510ED4" w:rsidRDefault="00510ED4" w:rsidP="005A3464"/>
    <w:p w:rsidR="00510ED4" w:rsidRDefault="00510ED4" w:rsidP="005A3464"/>
    <w:p w:rsidR="00510ED4" w:rsidRDefault="00510ED4" w:rsidP="005A3464"/>
    <w:p w:rsidR="00510ED4" w:rsidRDefault="00510ED4" w:rsidP="005A3464"/>
    <w:p w:rsidR="00510ED4" w:rsidRDefault="00510ED4" w:rsidP="005A3464"/>
    <w:p w:rsidR="00510ED4" w:rsidRDefault="00510ED4" w:rsidP="005A3464"/>
    <w:p w:rsidR="005A3464" w:rsidRPr="00501BE1" w:rsidRDefault="005A3464" w:rsidP="005A3464">
      <w:pPr>
        <w:pStyle w:val="Heading7"/>
      </w:pPr>
      <w:bookmarkStart w:id="22" w:name="_Toc388199700"/>
      <w:r w:rsidRPr="00501BE1">
        <w:lastRenderedPageBreak/>
        <w:t>UK:  Effects of taxes and benefits by quintile groups of households 2010/11(£ per year)</w:t>
      </w:r>
      <w:bookmarkEnd w:id="22"/>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Layout w:type="fixed"/>
        <w:tblLook w:val="04A0" w:firstRow="1" w:lastRow="0" w:firstColumn="1" w:lastColumn="0" w:noHBand="0" w:noVBand="1"/>
      </w:tblPr>
      <w:tblGrid>
        <w:gridCol w:w="3134"/>
        <w:gridCol w:w="911"/>
        <w:gridCol w:w="911"/>
        <w:gridCol w:w="911"/>
        <w:gridCol w:w="912"/>
        <w:gridCol w:w="911"/>
        <w:gridCol w:w="911"/>
        <w:gridCol w:w="1337"/>
      </w:tblGrid>
      <w:tr w:rsidR="005A3464" w:rsidRPr="00501BE1" w:rsidTr="00510ED4">
        <w:trPr>
          <w:trHeight w:val="255"/>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Quintile groups of ALL households</w:t>
            </w:r>
            <w:r w:rsidRPr="00510ED4">
              <w:rPr>
                <w:rFonts w:asciiTheme="minorHAnsi" w:hAnsiTheme="minorHAnsi"/>
                <w:sz w:val="18"/>
                <w:szCs w:val="18"/>
                <w:vertAlign w:val="superscript"/>
              </w:rPr>
              <w:t>1</w:t>
            </w:r>
            <w:r w:rsidRPr="00510ED4">
              <w:rPr>
                <w:rFonts w:asciiTheme="minorHAnsi" w:hAnsiTheme="minorHAnsi"/>
                <w:sz w:val="18"/>
                <w:szCs w:val="18"/>
              </w:rPr>
              <w:t xml:space="preserve">  </w:t>
            </w:r>
          </w:p>
        </w:tc>
        <w:tc>
          <w:tcPr>
            <w:tcW w:w="911"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Bottom</w:t>
            </w:r>
          </w:p>
        </w:tc>
        <w:tc>
          <w:tcPr>
            <w:tcW w:w="911"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2nd</w:t>
            </w:r>
          </w:p>
        </w:tc>
        <w:tc>
          <w:tcPr>
            <w:tcW w:w="911"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3rd</w:t>
            </w:r>
          </w:p>
        </w:tc>
        <w:tc>
          <w:tcPr>
            <w:tcW w:w="912"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4th</w:t>
            </w:r>
          </w:p>
        </w:tc>
        <w:tc>
          <w:tcPr>
            <w:tcW w:w="911"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Top</w:t>
            </w:r>
          </w:p>
        </w:tc>
        <w:tc>
          <w:tcPr>
            <w:tcW w:w="911" w:type="dxa"/>
            <w:tcBorders>
              <w:bottom w:val="single" w:sz="4" w:space="0" w:color="auto"/>
            </w:tcBorders>
            <w:shd w:val="clear" w:color="auto" w:fill="00B0F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All house-holds</w:t>
            </w:r>
          </w:p>
        </w:tc>
        <w:tc>
          <w:tcPr>
            <w:tcW w:w="1337" w:type="dxa"/>
            <w:tcBorders>
              <w:bottom w:val="single" w:sz="4" w:space="0" w:color="auto"/>
            </w:tcBorders>
            <w:shd w:val="clear" w:color="auto" w:fill="00B0F0"/>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Ratio Top/Bottom quintile </w:t>
            </w: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Original income</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5 089</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11 764</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22 482</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39 642</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81 501</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32 096</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16:1</w:t>
            </w: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w:t>
            </w:r>
            <w:r w:rsidRPr="00510ED4">
              <w:rPr>
                <w:rFonts w:asciiTheme="minorHAnsi" w:hAnsiTheme="minorHAnsi"/>
                <w:iCs/>
                <w:sz w:val="18"/>
                <w:szCs w:val="18"/>
              </w:rPr>
              <w:t xml:space="preserve"> plus</w:t>
            </w:r>
            <w:r w:rsidRPr="00510ED4">
              <w:rPr>
                <w:rFonts w:asciiTheme="minorHAnsi" w:hAnsiTheme="minorHAnsi"/>
                <w:sz w:val="18"/>
                <w:szCs w:val="18"/>
              </w:rPr>
              <w:t xml:space="preserve"> cash benefits</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7 040</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8 322</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6 655</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4 098</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2 115</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5 646</w:t>
            </w:r>
          </w:p>
        </w:tc>
        <w:tc>
          <w:tcPr>
            <w:tcW w:w="1337" w:type="dxa"/>
            <w:shd w:val="clear" w:color="auto" w:fill="auto"/>
            <w:noWrap/>
            <w:vAlign w:val="center"/>
          </w:tcPr>
          <w:p w:rsidR="005A3464" w:rsidRPr="00510ED4" w:rsidRDefault="005A3464" w:rsidP="00FB2C50">
            <w:pPr>
              <w:rPr>
                <w:rFonts w:asciiTheme="minorHAnsi" w:hAnsiTheme="minorHAnsi"/>
                <w:sz w:val="18"/>
                <w:szCs w:val="18"/>
              </w:rPr>
            </w:pP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Gross income</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12 129</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20 086</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29 137</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43 740</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83 616</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37 741</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7:1</w:t>
            </w: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w:t>
            </w:r>
            <w:r w:rsidRPr="00510ED4">
              <w:rPr>
                <w:rFonts w:asciiTheme="minorHAnsi" w:hAnsiTheme="minorHAnsi"/>
                <w:iCs/>
                <w:sz w:val="18"/>
                <w:szCs w:val="18"/>
              </w:rPr>
              <w:t>less</w:t>
            </w:r>
            <w:r w:rsidRPr="00510ED4">
              <w:rPr>
                <w:rFonts w:asciiTheme="minorHAnsi" w:hAnsiTheme="minorHAnsi"/>
                <w:sz w:val="18"/>
                <w:szCs w:val="18"/>
              </w:rPr>
              <w:t xml:space="preserve"> direct taxes and employees' NIC</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-1 271</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-2 510</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-4 755</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-9 002</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-19 727</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-7 453</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Disposable income</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10 858</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17 576</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24 382</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34 737</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63 890</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30 288</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w:t>
            </w: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w:t>
            </w:r>
            <w:r w:rsidRPr="00510ED4">
              <w:rPr>
                <w:rFonts w:asciiTheme="minorHAnsi" w:hAnsiTheme="minorHAnsi"/>
                <w:iCs/>
                <w:sz w:val="18"/>
                <w:szCs w:val="18"/>
              </w:rPr>
              <w:t xml:space="preserve"> less</w:t>
            </w:r>
            <w:r w:rsidRPr="00510ED4">
              <w:rPr>
                <w:rFonts w:asciiTheme="minorHAnsi" w:hAnsiTheme="minorHAnsi"/>
                <w:sz w:val="18"/>
                <w:szCs w:val="18"/>
              </w:rPr>
              <w:t xml:space="preserve"> indirect taxes</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-3 365</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-3 741</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-4 770</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-6 033</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-8 339</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-5 250</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p>
        </w:tc>
      </w:tr>
      <w:tr w:rsidR="005A3464" w:rsidRPr="008273D7"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b/>
                <w:sz w:val="18"/>
                <w:szCs w:val="18"/>
              </w:rPr>
            </w:pPr>
            <w:r w:rsidRPr="00510ED4">
              <w:rPr>
                <w:rFonts w:asciiTheme="minorHAnsi" w:hAnsiTheme="minorHAnsi"/>
                <w:b/>
                <w:sz w:val="18"/>
                <w:szCs w:val="18"/>
              </w:rPr>
              <w:t xml:space="preserve">  Post-tax income</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7 493</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13 835</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19 612</w:t>
            </w:r>
          </w:p>
        </w:tc>
        <w:tc>
          <w:tcPr>
            <w:tcW w:w="912"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28 704</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55 550</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25 039</w:t>
            </w:r>
          </w:p>
        </w:tc>
        <w:tc>
          <w:tcPr>
            <w:tcW w:w="1337" w:type="dxa"/>
            <w:shd w:val="clear" w:color="auto" w:fill="auto"/>
            <w:noWrap/>
            <w:vAlign w:val="center"/>
            <w:hideMark/>
          </w:tcPr>
          <w:p w:rsidR="005A3464" w:rsidRPr="00510ED4" w:rsidRDefault="005A3464" w:rsidP="00FB2C50">
            <w:pPr>
              <w:rPr>
                <w:rFonts w:asciiTheme="minorHAnsi" w:hAnsiTheme="minorHAnsi"/>
                <w:b/>
                <w:sz w:val="18"/>
                <w:szCs w:val="18"/>
              </w:rPr>
            </w:pPr>
            <w:r w:rsidRPr="00510ED4">
              <w:rPr>
                <w:rFonts w:asciiTheme="minorHAnsi" w:hAnsiTheme="minorHAnsi"/>
                <w:b/>
                <w:sz w:val="18"/>
                <w:szCs w:val="18"/>
              </w:rPr>
              <w:t xml:space="preserve"> 7:1</w:t>
            </w:r>
          </w:p>
        </w:tc>
      </w:tr>
      <w:tr w:rsidR="005A3464" w:rsidRPr="00501BE1" w:rsidTr="00510ED4">
        <w:trPr>
          <w:trHeight w:val="270"/>
        </w:trPr>
        <w:tc>
          <w:tcPr>
            <w:tcW w:w="3134" w:type="dxa"/>
            <w:shd w:val="clear" w:color="auto" w:fill="FFFF00"/>
            <w:noWrap/>
            <w:vAlign w:val="center"/>
            <w:hideMark/>
          </w:tcPr>
          <w:p w:rsidR="005A3464" w:rsidRPr="00510ED4" w:rsidRDefault="005A3464" w:rsidP="00510ED4">
            <w:pPr>
              <w:rPr>
                <w:rFonts w:asciiTheme="minorHAnsi" w:hAnsiTheme="minorHAnsi"/>
                <w:sz w:val="18"/>
                <w:szCs w:val="18"/>
              </w:rPr>
            </w:pPr>
            <w:r w:rsidRPr="00510ED4">
              <w:rPr>
                <w:rFonts w:asciiTheme="minorHAnsi" w:hAnsiTheme="minorHAnsi"/>
                <w:sz w:val="18"/>
                <w:szCs w:val="18"/>
              </w:rPr>
              <w:t xml:space="preserve">Memo: total tax as % of </w:t>
            </w:r>
            <w:proofErr w:type="spellStart"/>
            <w:r w:rsidR="00510ED4" w:rsidRPr="00510ED4">
              <w:rPr>
                <w:rFonts w:asciiTheme="minorHAnsi" w:hAnsiTheme="minorHAnsi"/>
                <w:sz w:val="18"/>
                <w:szCs w:val="18"/>
              </w:rPr>
              <w:t>orig</w:t>
            </w:r>
            <w:proofErr w:type="spellEnd"/>
            <w:r w:rsidRPr="00510ED4">
              <w:rPr>
                <w:rFonts w:asciiTheme="minorHAnsi" w:hAnsiTheme="minorHAnsi"/>
                <w:sz w:val="18"/>
                <w:szCs w:val="18"/>
              </w:rPr>
              <w:t xml:space="preserve"> income </w:t>
            </w:r>
          </w:p>
        </w:tc>
        <w:tc>
          <w:tcPr>
            <w:tcW w:w="911"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38.2%</w:t>
            </w:r>
          </w:p>
        </w:tc>
        <w:tc>
          <w:tcPr>
            <w:tcW w:w="911"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31.1%</w:t>
            </w:r>
          </w:p>
        </w:tc>
        <w:tc>
          <w:tcPr>
            <w:tcW w:w="911"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32.7%</w:t>
            </w:r>
          </w:p>
        </w:tc>
        <w:tc>
          <w:tcPr>
            <w:tcW w:w="912"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34.4%</w:t>
            </w:r>
          </w:p>
        </w:tc>
        <w:tc>
          <w:tcPr>
            <w:tcW w:w="911"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33.6%</w:t>
            </w:r>
          </w:p>
        </w:tc>
        <w:tc>
          <w:tcPr>
            <w:tcW w:w="911" w:type="dxa"/>
            <w:shd w:val="clear" w:color="auto" w:fill="auto"/>
            <w:noWrap/>
            <w:vAlign w:val="center"/>
            <w:hideMark/>
          </w:tcPr>
          <w:p w:rsidR="005A3464" w:rsidRPr="00510ED4" w:rsidRDefault="005A3464" w:rsidP="00FB2C50">
            <w:pPr>
              <w:jc w:val="right"/>
              <w:rPr>
                <w:rFonts w:asciiTheme="minorHAnsi" w:hAnsiTheme="minorHAnsi"/>
                <w:iCs/>
                <w:sz w:val="18"/>
                <w:szCs w:val="18"/>
              </w:rPr>
            </w:pPr>
            <w:r w:rsidRPr="00510ED4">
              <w:rPr>
                <w:rFonts w:asciiTheme="minorHAnsi" w:hAnsiTheme="minorHAnsi"/>
                <w:iCs/>
                <w:sz w:val="18"/>
                <w:szCs w:val="18"/>
              </w:rPr>
              <w:t>33.7%</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w:t>
            </w:r>
          </w:p>
        </w:tc>
      </w:tr>
      <w:tr w:rsidR="005A3464" w:rsidRPr="00501BE1" w:rsidTr="00510ED4">
        <w:trPr>
          <w:trHeight w:val="222"/>
        </w:trPr>
        <w:tc>
          <w:tcPr>
            <w:tcW w:w="3134" w:type="dxa"/>
            <w:shd w:val="clear" w:color="auto" w:fill="FFFF00"/>
            <w:noWrap/>
            <w:vAlign w:val="center"/>
          </w:tcPr>
          <w:p w:rsidR="005A3464" w:rsidRPr="00510ED4" w:rsidRDefault="005A3464" w:rsidP="00FB2C50">
            <w:pPr>
              <w:rPr>
                <w:rFonts w:asciiTheme="minorHAnsi" w:hAnsiTheme="minorHAnsi"/>
                <w:sz w:val="18"/>
                <w:szCs w:val="18"/>
              </w:rPr>
            </w:pPr>
          </w:p>
        </w:tc>
        <w:tc>
          <w:tcPr>
            <w:tcW w:w="911"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911"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911"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912"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911"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911" w:type="dxa"/>
            <w:shd w:val="clear" w:color="auto" w:fill="auto"/>
            <w:noWrap/>
            <w:vAlign w:val="center"/>
          </w:tcPr>
          <w:p w:rsidR="005A3464" w:rsidRPr="00510ED4" w:rsidRDefault="005A3464" w:rsidP="00FB2C50">
            <w:pPr>
              <w:jc w:val="right"/>
              <w:rPr>
                <w:rFonts w:asciiTheme="minorHAnsi" w:hAnsiTheme="minorHAnsi"/>
                <w:sz w:val="18"/>
                <w:szCs w:val="18"/>
              </w:rPr>
            </w:pPr>
          </w:p>
        </w:tc>
        <w:tc>
          <w:tcPr>
            <w:tcW w:w="1337" w:type="dxa"/>
            <w:shd w:val="clear" w:color="auto" w:fill="auto"/>
            <w:noWrap/>
            <w:vAlign w:val="center"/>
          </w:tcPr>
          <w:p w:rsidR="005A3464" w:rsidRPr="00510ED4" w:rsidRDefault="005A3464" w:rsidP="00FB2C50">
            <w:pPr>
              <w:rPr>
                <w:rFonts w:asciiTheme="minorHAnsi" w:hAnsiTheme="minorHAnsi"/>
                <w:sz w:val="18"/>
                <w:szCs w:val="18"/>
              </w:rPr>
            </w:pPr>
          </w:p>
        </w:tc>
      </w:tr>
      <w:tr w:rsidR="005A3464" w:rsidRPr="008273D7"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b/>
                <w:sz w:val="18"/>
                <w:szCs w:val="18"/>
              </w:rPr>
            </w:pPr>
            <w:r w:rsidRPr="00510ED4">
              <w:rPr>
                <w:rFonts w:asciiTheme="minorHAnsi" w:hAnsiTheme="minorHAnsi"/>
                <w:b/>
                <w:sz w:val="18"/>
                <w:szCs w:val="18"/>
              </w:rPr>
              <w:t xml:space="preserve">   </w:t>
            </w:r>
            <w:r w:rsidRPr="00510ED4">
              <w:rPr>
                <w:rFonts w:asciiTheme="minorHAnsi" w:hAnsiTheme="minorHAnsi"/>
                <w:b/>
                <w:iCs/>
                <w:sz w:val="18"/>
                <w:szCs w:val="18"/>
              </w:rPr>
              <w:t xml:space="preserve"> plus</w:t>
            </w:r>
            <w:r w:rsidRPr="00510ED4">
              <w:rPr>
                <w:rFonts w:asciiTheme="minorHAnsi" w:hAnsiTheme="minorHAnsi"/>
                <w:b/>
                <w:sz w:val="18"/>
                <w:szCs w:val="18"/>
              </w:rPr>
              <w:t xml:space="preserve"> benefits in kind</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7 749</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7 584</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7 459</w:t>
            </w:r>
          </w:p>
        </w:tc>
        <w:tc>
          <w:tcPr>
            <w:tcW w:w="912"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6 825</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5 826</w:t>
            </w:r>
          </w:p>
        </w:tc>
        <w:tc>
          <w:tcPr>
            <w:tcW w:w="911" w:type="dxa"/>
            <w:shd w:val="clear" w:color="auto" w:fill="auto"/>
            <w:noWrap/>
            <w:vAlign w:val="center"/>
            <w:hideMark/>
          </w:tcPr>
          <w:p w:rsidR="005A3464" w:rsidRPr="00510ED4" w:rsidRDefault="005A3464" w:rsidP="00FB2C50">
            <w:pPr>
              <w:jc w:val="right"/>
              <w:rPr>
                <w:rFonts w:asciiTheme="minorHAnsi" w:hAnsiTheme="minorHAnsi"/>
                <w:b/>
                <w:sz w:val="18"/>
                <w:szCs w:val="18"/>
              </w:rPr>
            </w:pPr>
            <w:r w:rsidRPr="00510ED4">
              <w:rPr>
                <w:rFonts w:asciiTheme="minorHAnsi" w:hAnsiTheme="minorHAnsi"/>
                <w:b/>
                <w:sz w:val="18"/>
                <w:szCs w:val="18"/>
              </w:rPr>
              <w:t>7 089</w:t>
            </w:r>
          </w:p>
        </w:tc>
        <w:tc>
          <w:tcPr>
            <w:tcW w:w="1337" w:type="dxa"/>
            <w:shd w:val="clear" w:color="auto" w:fill="auto"/>
            <w:noWrap/>
            <w:vAlign w:val="center"/>
          </w:tcPr>
          <w:p w:rsidR="005A3464" w:rsidRPr="00510ED4" w:rsidRDefault="005A3464" w:rsidP="00FB2C50">
            <w:pPr>
              <w:rPr>
                <w:rFonts w:asciiTheme="minorHAnsi" w:hAnsiTheme="minorHAnsi"/>
                <w:b/>
                <w:sz w:val="18"/>
                <w:szCs w:val="18"/>
              </w:rPr>
            </w:pPr>
          </w:p>
        </w:tc>
      </w:tr>
      <w:tr w:rsidR="005A3464" w:rsidRPr="00501BE1" w:rsidTr="00510ED4">
        <w:trPr>
          <w:trHeight w:val="222"/>
        </w:trPr>
        <w:tc>
          <w:tcPr>
            <w:tcW w:w="3134" w:type="dxa"/>
            <w:shd w:val="clear" w:color="auto" w:fill="FFFF00"/>
            <w:noWrap/>
            <w:vAlign w:val="center"/>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Of which education</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3 296</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2 944</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2 860</w:t>
            </w:r>
          </w:p>
        </w:tc>
        <w:tc>
          <w:tcPr>
            <w:tcW w:w="912"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2 660</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2 048</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2 762</w:t>
            </w:r>
          </w:p>
        </w:tc>
        <w:tc>
          <w:tcPr>
            <w:tcW w:w="1337" w:type="dxa"/>
            <w:shd w:val="clear" w:color="auto" w:fill="auto"/>
            <w:noWrap/>
            <w:vAlign w:val="center"/>
          </w:tcPr>
          <w:p w:rsidR="005A3464" w:rsidRPr="00510ED4" w:rsidRDefault="005A3464" w:rsidP="00FB2C50">
            <w:pPr>
              <w:rPr>
                <w:rFonts w:asciiTheme="minorHAnsi" w:hAnsiTheme="minorHAnsi"/>
                <w:sz w:val="18"/>
                <w:szCs w:val="18"/>
              </w:rPr>
            </w:pPr>
          </w:p>
        </w:tc>
      </w:tr>
      <w:tr w:rsidR="005A3464" w:rsidRPr="00501BE1" w:rsidTr="00510ED4">
        <w:trPr>
          <w:trHeight w:val="222"/>
        </w:trPr>
        <w:tc>
          <w:tcPr>
            <w:tcW w:w="3134" w:type="dxa"/>
            <w:shd w:val="clear" w:color="auto" w:fill="FFFF00"/>
            <w:noWrap/>
            <w:vAlign w:val="center"/>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Of which health </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4 100</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4 391</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4 397</w:t>
            </w:r>
          </w:p>
        </w:tc>
        <w:tc>
          <w:tcPr>
            <w:tcW w:w="912"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3 978</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3 461</w:t>
            </w:r>
          </w:p>
        </w:tc>
        <w:tc>
          <w:tcPr>
            <w:tcW w:w="911" w:type="dxa"/>
            <w:shd w:val="clear" w:color="auto" w:fill="auto"/>
            <w:noWrap/>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4 065</w:t>
            </w:r>
          </w:p>
        </w:tc>
        <w:tc>
          <w:tcPr>
            <w:tcW w:w="1337" w:type="dxa"/>
            <w:shd w:val="clear" w:color="auto" w:fill="auto"/>
            <w:noWrap/>
            <w:vAlign w:val="center"/>
          </w:tcPr>
          <w:p w:rsidR="005A3464" w:rsidRPr="00510ED4" w:rsidRDefault="005A3464" w:rsidP="00FB2C50">
            <w:pPr>
              <w:rPr>
                <w:rFonts w:asciiTheme="minorHAnsi" w:hAnsiTheme="minorHAnsi"/>
                <w:sz w:val="18"/>
                <w:szCs w:val="18"/>
              </w:rPr>
            </w:pPr>
          </w:p>
        </w:tc>
      </w:tr>
      <w:tr w:rsidR="005A3464" w:rsidRPr="00501BE1" w:rsidTr="00510ED4">
        <w:trPr>
          <w:trHeight w:val="222"/>
        </w:trPr>
        <w:tc>
          <w:tcPr>
            <w:tcW w:w="3134" w:type="dxa"/>
            <w:shd w:val="clear" w:color="auto" w:fill="FFFF00"/>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Final income</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15 242</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21 419</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27 071</w:t>
            </w:r>
          </w:p>
        </w:tc>
        <w:tc>
          <w:tcPr>
            <w:tcW w:w="912"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35 529</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61 376</w:t>
            </w:r>
          </w:p>
        </w:tc>
        <w:tc>
          <w:tcPr>
            <w:tcW w:w="911" w:type="dxa"/>
            <w:shd w:val="clear" w:color="auto" w:fill="auto"/>
            <w:noWrap/>
            <w:vAlign w:val="center"/>
            <w:hideMark/>
          </w:tcPr>
          <w:p w:rsidR="005A3464" w:rsidRPr="00510ED4" w:rsidRDefault="005A3464" w:rsidP="00FB2C50">
            <w:pPr>
              <w:jc w:val="right"/>
              <w:rPr>
                <w:rFonts w:asciiTheme="minorHAnsi" w:hAnsiTheme="minorHAnsi"/>
                <w:sz w:val="18"/>
                <w:szCs w:val="18"/>
              </w:rPr>
            </w:pPr>
            <w:r w:rsidRPr="00510ED4">
              <w:rPr>
                <w:rFonts w:asciiTheme="minorHAnsi" w:hAnsiTheme="minorHAnsi"/>
                <w:sz w:val="18"/>
                <w:szCs w:val="18"/>
              </w:rPr>
              <w:t>32 127</w:t>
            </w:r>
          </w:p>
        </w:tc>
        <w:tc>
          <w:tcPr>
            <w:tcW w:w="1337" w:type="dxa"/>
            <w:shd w:val="clear" w:color="auto" w:fill="auto"/>
            <w:noWrap/>
            <w:vAlign w:val="center"/>
            <w:hideMark/>
          </w:tcPr>
          <w:p w:rsidR="005A3464" w:rsidRPr="00510ED4" w:rsidRDefault="005A3464" w:rsidP="00FB2C50">
            <w:pPr>
              <w:rPr>
                <w:rFonts w:asciiTheme="minorHAnsi" w:hAnsiTheme="minorHAnsi"/>
                <w:sz w:val="18"/>
                <w:szCs w:val="18"/>
              </w:rPr>
            </w:pPr>
            <w:r w:rsidRPr="00510ED4">
              <w:rPr>
                <w:rFonts w:asciiTheme="minorHAnsi" w:hAnsiTheme="minorHAnsi"/>
                <w:sz w:val="18"/>
                <w:szCs w:val="18"/>
              </w:rPr>
              <w:t xml:space="preserve"> 4:1</w:t>
            </w:r>
          </w:p>
        </w:tc>
      </w:tr>
    </w:tbl>
    <w:p w:rsidR="005A3464" w:rsidRPr="00686B1F" w:rsidRDefault="005A3464" w:rsidP="005A3464">
      <w:pPr>
        <w:rPr>
          <w:lang w:val="fr-FR"/>
        </w:rPr>
      </w:pPr>
      <w:r w:rsidRPr="00686B1F">
        <w:rPr>
          <w:lang w:val="fr-FR"/>
        </w:rPr>
        <w:t xml:space="preserve">Source: ONS 2012  </w:t>
      </w:r>
      <w:hyperlink r:id="rId23" w:history="1">
        <w:r w:rsidRPr="00686B1F">
          <w:rPr>
            <w:rStyle w:val="Hyperlink"/>
            <w:lang w:val="fr-FR"/>
          </w:rPr>
          <w:t>http://www.ons.gov.uk/ons/rel/household-income/the-effects-of-taxes-and-benefits-on-household-income/2010-11/index.html</w:t>
        </w:r>
      </w:hyperlink>
      <w:r w:rsidRPr="00686B1F">
        <w:rPr>
          <w:lang w:val="fr-FR"/>
        </w:rPr>
        <w:t xml:space="preserve"> </w:t>
      </w:r>
    </w:p>
    <w:p w:rsidR="005A3464" w:rsidRPr="00B02C15" w:rsidRDefault="005A3464" w:rsidP="005A3464">
      <w:pPr>
        <w:rPr>
          <w:lang w:val="fr-FR"/>
        </w:rPr>
      </w:pPr>
    </w:p>
    <w:p w:rsidR="005A3464" w:rsidRDefault="005A3464" w:rsidP="005A3464">
      <w:pPr>
        <w:pStyle w:val="Heading2"/>
      </w:pPr>
      <w:bookmarkStart w:id="23" w:name="_Toc388199701"/>
      <w:r>
        <w:t>Public services and equality: developing countries</w:t>
      </w:r>
      <w:bookmarkEnd w:id="23"/>
      <w:r>
        <w:t xml:space="preserve"> </w:t>
      </w:r>
    </w:p>
    <w:p w:rsidR="005A3464" w:rsidRDefault="005A3464" w:rsidP="005A3464">
      <w:pPr>
        <w:pStyle w:val="Heading3"/>
      </w:pPr>
      <w:bookmarkStart w:id="24" w:name="_Toc388199702"/>
      <w:r>
        <w:t>Latin America</w:t>
      </w:r>
      <w:bookmarkEnd w:id="24"/>
    </w:p>
    <w:p w:rsidR="005A3464" w:rsidRDefault="005A3464" w:rsidP="005A3464">
      <w:pPr>
        <w:rPr>
          <w:szCs w:val="22"/>
        </w:rPr>
      </w:pPr>
      <w:r>
        <w:rPr>
          <w:szCs w:val="22"/>
        </w:rPr>
        <w:t xml:space="preserve">There is now clear evidence that public services have similar impacts in developing countries. In Latin America, public services make a greater impact on inequality than taxes and benefits combined. </w:t>
      </w:r>
    </w:p>
    <w:p w:rsidR="005A3464" w:rsidRDefault="005A3464" w:rsidP="005A3464">
      <w:pPr>
        <w:rPr>
          <w:szCs w:val="22"/>
        </w:rPr>
      </w:pPr>
    </w:p>
    <w:p w:rsidR="005A3464" w:rsidRPr="007D66EA" w:rsidRDefault="005A3464" w:rsidP="005A3464">
      <w:pPr>
        <w:rPr>
          <w:szCs w:val="22"/>
        </w:rPr>
      </w:pPr>
      <w:r>
        <w:rPr>
          <w:szCs w:val="22"/>
        </w:rPr>
        <w:t>A</w:t>
      </w:r>
      <w:r w:rsidRPr="00803A01">
        <w:rPr>
          <w:szCs w:val="22"/>
        </w:rPr>
        <w:t xml:space="preserve"> 2011 study </w:t>
      </w:r>
      <w:r>
        <w:rPr>
          <w:szCs w:val="22"/>
        </w:rPr>
        <w:t xml:space="preserve">examined the </w:t>
      </w:r>
      <w:r w:rsidRPr="00803A01">
        <w:rPr>
          <w:szCs w:val="22"/>
        </w:rPr>
        <w:t>impact of taxes, benefits and public services</w:t>
      </w:r>
      <w:r>
        <w:rPr>
          <w:szCs w:val="22"/>
        </w:rPr>
        <w:t xml:space="preserve"> (healthcare and education) </w:t>
      </w:r>
      <w:r w:rsidRPr="00803A01">
        <w:rPr>
          <w:szCs w:val="22"/>
        </w:rPr>
        <w:t xml:space="preserve">in 6 </w:t>
      </w:r>
      <w:r>
        <w:rPr>
          <w:szCs w:val="22"/>
        </w:rPr>
        <w:t xml:space="preserve">Latin American </w:t>
      </w:r>
      <w:r w:rsidRPr="00803A01">
        <w:rPr>
          <w:szCs w:val="22"/>
        </w:rPr>
        <w:t xml:space="preserve">countries with a combined population of 390 million - Argentina, Bolivia, Brazil, Mexico, Peru, Uruguay. </w:t>
      </w:r>
      <w:r w:rsidRPr="00203E0B">
        <w:rPr>
          <w:szCs w:val="22"/>
        </w:rPr>
        <w:t>(</w:t>
      </w:r>
      <w:proofErr w:type="spellStart"/>
      <w:r w:rsidRPr="00203E0B">
        <w:rPr>
          <w:szCs w:val="22"/>
        </w:rPr>
        <w:t>Lustig</w:t>
      </w:r>
      <w:proofErr w:type="spellEnd"/>
      <w:r w:rsidRPr="00203E0B">
        <w:rPr>
          <w:szCs w:val="22"/>
        </w:rPr>
        <w:t xml:space="preserve"> et al 2012). </w:t>
      </w:r>
      <w:r w:rsidRPr="00803A01">
        <w:rPr>
          <w:rStyle w:val="EndnoteReference"/>
          <w:szCs w:val="22"/>
        </w:rPr>
        <w:endnoteReference w:id="7"/>
      </w:r>
      <w:r w:rsidRPr="00203E0B">
        <w:rPr>
          <w:szCs w:val="22"/>
        </w:rPr>
        <w:t xml:space="preserve"> </w:t>
      </w:r>
      <w:r w:rsidRPr="00782629">
        <w:rPr>
          <w:szCs w:val="22"/>
        </w:rPr>
        <w:t>Like the OECD reports, the research used data on actual use of serv</w:t>
      </w:r>
      <w:r>
        <w:rPr>
          <w:szCs w:val="22"/>
        </w:rPr>
        <w:t xml:space="preserve">ices and converted that into ‘virtual income’ to see how the benefits of public services changed the distribution of income. </w:t>
      </w:r>
    </w:p>
    <w:p w:rsidR="005A3464" w:rsidRPr="007D66EA" w:rsidRDefault="005A3464" w:rsidP="005A3464">
      <w:pPr>
        <w:rPr>
          <w:szCs w:val="22"/>
        </w:rPr>
      </w:pPr>
    </w:p>
    <w:p w:rsidR="005A3464" w:rsidRDefault="005A3464" w:rsidP="005A3464">
      <w:pPr>
        <w:rPr>
          <w:szCs w:val="22"/>
        </w:rPr>
      </w:pPr>
      <w:r>
        <w:rPr>
          <w:szCs w:val="22"/>
        </w:rPr>
        <w:t>In</w:t>
      </w:r>
      <w:r w:rsidRPr="007D66EA">
        <w:rPr>
          <w:szCs w:val="22"/>
        </w:rPr>
        <w:t xml:space="preserve"> all countries</w:t>
      </w:r>
      <w:r>
        <w:rPr>
          <w:szCs w:val="22"/>
        </w:rPr>
        <w:t xml:space="preserve">, these public services significantly </w:t>
      </w:r>
      <w:r w:rsidRPr="007D66EA">
        <w:rPr>
          <w:szCs w:val="22"/>
        </w:rPr>
        <w:t>reduce inequality, as measur</w:t>
      </w:r>
      <w:r>
        <w:rPr>
          <w:szCs w:val="22"/>
        </w:rPr>
        <w:t xml:space="preserve">ed by the </w:t>
      </w:r>
      <w:proofErr w:type="spellStart"/>
      <w:r>
        <w:rPr>
          <w:szCs w:val="22"/>
        </w:rPr>
        <w:t>Gini</w:t>
      </w:r>
      <w:proofErr w:type="spellEnd"/>
      <w:r>
        <w:rPr>
          <w:szCs w:val="22"/>
        </w:rPr>
        <w:t xml:space="preserve"> coefficient (a ratio which shows the extent of inequality: a smaller </w:t>
      </w:r>
      <w:proofErr w:type="spellStart"/>
      <w:r>
        <w:rPr>
          <w:szCs w:val="22"/>
        </w:rPr>
        <w:t>Gini</w:t>
      </w:r>
      <w:proofErr w:type="spellEnd"/>
      <w:r>
        <w:rPr>
          <w:szCs w:val="22"/>
        </w:rPr>
        <w:t xml:space="preserve"> indicates greater equality). The reduction varies between 10% and 20% - lower than the OECD range of effects, but still very significant.  That means that in all countries, public services are relatively progressive – the poor get a much higher proportion of the benefit of public services than they do of market income -</w:t>
      </w:r>
      <w:r>
        <w:t xml:space="preserve"> as in OECD countries</w:t>
      </w:r>
      <w:r>
        <w:rPr>
          <w:szCs w:val="22"/>
        </w:rPr>
        <w:t xml:space="preserve">. </w:t>
      </w:r>
    </w:p>
    <w:p w:rsidR="005A3464" w:rsidRDefault="005A3464" w:rsidP="005A3464">
      <w:pPr>
        <w:rPr>
          <w:szCs w:val="22"/>
        </w:rPr>
      </w:pPr>
    </w:p>
    <w:p w:rsidR="005A3464" w:rsidRDefault="005A3464" w:rsidP="005A3464">
      <w:pPr>
        <w:rPr>
          <w:szCs w:val="22"/>
        </w:rPr>
      </w:pPr>
      <w:r>
        <w:rPr>
          <w:szCs w:val="22"/>
        </w:rPr>
        <w:t>This refutes</w:t>
      </w:r>
      <w:r w:rsidRPr="00803A01">
        <w:rPr>
          <w:szCs w:val="22"/>
        </w:rPr>
        <w:t xml:space="preserve"> the conventional cynicism that the rich benefit most from social spending in Latin America: </w:t>
      </w:r>
    </w:p>
    <w:p w:rsidR="005A3464" w:rsidRDefault="005A3464" w:rsidP="005A3464">
      <w:pPr>
        <w:rPr>
          <w:szCs w:val="22"/>
        </w:rPr>
      </w:pPr>
    </w:p>
    <w:p w:rsidR="005A3464" w:rsidRPr="00803A01" w:rsidRDefault="005A3464" w:rsidP="005A3464">
      <w:pPr>
        <w:ind w:left="720"/>
        <w:rPr>
          <w:szCs w:val="22"/>
        </w:rPr>
      </w:pPr>
      <w:r w:rsidRPr="00803A01">
        <w:rPr>
          <w:szCs w:val="22"/>
        </w:rPr>
        <w:t>“</w:t>
      </w:r>
      <w:proofErr w:type="gramStart"/>
      <w:r w:rsidRPr="00803A01">
        <w:rPr>
          <w:szCs w:val="22"/>
        </w:rPr>
        <w:t>social</w:t>
      </w:r>
      <w:proofErr w:type="gramEnd"/>
      <w:r w:rsidRPr="00803A01">
        <w:rPr>
          <w:szCs w:val="22"/>
        </w:rPr>
        <w:t xml:space="preserve"> spending does not accrue to the richest quintile. On the contrary,</w:t>
      </w:r>
      <w:r>
        <w:rPr>
          <w:szCs w:val="22"/>
        </w:rPr>
        <w:t xml:space="preserve"> [it is] progressive in absolute terms</w:t>
      </w:r>
      <w:r w:rsidRPr="00803A01">
        <w:rPr>
          <w:szCs w:val="22"/>
        </w:rPr>
        <w:t xml:space="preserve"> for Argentina and slightly so for Bolivia and Mexico. In Brazil and Peru social spending is progressive in relative terms</w:t>
      </w:r>
      <w:proofErr w:type="gramStart"/>
      <w:r>
        <w:rPr>
          <w:szCs w:val="22"/>
        </w:rPr>
        <w:t xml:space="preserve">” </w:t>
      </w:r>
      <w:proofErr w:type="gramEnd"/>
      <w:r w:rsidRPr="00803A01">
        <w:rPr>
          <w:rStyle w:val="EndnoteReference"/>
          <w:szCs w:val="22"/>
        </w:rPr>
        <w:endnoteReference w:id="8"/>
      </w:r>
      <w:r>
        <w:rPr>
          <w:szCs w:val="22"/>
        </w:rPr>
        <w:t>; ….“</w:t>
      </w:r>
      <w:proofErr w:type="gramStart"/>
      <w:r w:rsidRPr="002B53C4">
        <w:t>inequality</w:t>
      </w:r>
      <w:proofErr w:type="gramEnd"/>
      <w:r w:rsidRPr="002B53C4">
        <w:t xml:space="preserve"> of access to basic services</w:t>
      </w:r>
      <w:r>
        <w:t xml:space="preserve"> </w:t>
      </w:r>
      <w:r w:rsidRPr="002B53C4">
        <w:t>in education and health has ceased to be a major problem in</w:t>
      </w:r>
      <w:r>
        <w:t xml:space="preserve"> </w:t>
      </w:r>
      <w:r w:rsidRPr="002B53C4">
        <w:t>many countries</w:t>
      </w:r>
      <w:r>
        <w:t>”.</w:t>
      </w:r>
      <w:r w:rsidRPr="00CF642D">
        <w:rPr>
          <w:rStyle w:val="EndnoteReference"/>
          <w:szCs w:val="22"/>
        </w:rPr>
        <w:t xml:space="preserve"> </w:t>
      </w:r>
      <w:r w:rsidRPr="00803A01">
        <w:rPr>
          <w:rStyle w:val="EndnoteReference"/>
          <w:szCs w:val="22"/>
        </w:rPr>
        <w:endnoteReference w:id="9"/>
      </w:r>
    </w:p>
    <w:p w:rsidR="005A3464" w:rsidRDefault="005A3464" w:rsidP="005A3464"/>
    <w:p w:rsidR="005A3464" w:rsidRDefault="005A3464" w:rsidP="005A3464">
      <w:pPr>
        <w:rPr>
          <w:szCs w:val="22"/>
        </w:rPr>
      </w:pPr>
      <w:r>
        <w:rPr>
          <w:szCs w:val="22"/>
        </w:rPr>
        <w:t xml:space="preserve">Another </w:t>
      </w:r>
      <w:r w:rsidRPr="00803A01">
        <w:rPr>
          <w:szCs w:val="22"/>
        </w:rPr>
        <w:t>striking result</w:t>
      </w:r>
      <w:r>
        <w:rPr>
          <w:szCs w:val="22"/>
        </w:rPr>
        <w:t xml:space="preserve"> </w:t>
      </w:r>
      <w:r w:rsidRPr="00803A01">
        <w:rPr>
          <w:szCs w:val="22"/>
        </w:rPr>
        <w:t xml:space="preserve">is that </w:t>
      </w:r>
      <w:r>
        <w:rPr>
          <w:szCs w:val="22"/>
        </w:rPr>
        <w:t xml:space="preserve">public services have a more important effect in reducing inequality in these countries than social security benefits and taxes combined: </w:t>
      </w:r>
    </w:p>
    <w:p w:rsidR="005A3464" w:rsidRDefault="005A3464" w:rsidP="005A3464">
      <w:pPr>
        <w:rPr>
          <w:szCs w:val="22"/>
        </w:rPr>
      </w:pPr>
    </w:p>
    <w:p w:rsidR="005A3464" w:rsidRDefault="005A3464" w:rsidP="005A3464">
      <w:pPr>
        <w:ind w:left="720"/>
        <w:rPr>
          <w:szCs w:val="22"/>
        </w:rPr>
      </w:pPr>
      <w:r w:rsidRPr="00803A01">
        <w:rPr>
          <w:szCs w:val="22"/>
        </w:rPr>
        <w:t>“</w:t>
      </w:r>
      <w:proofErr w:type="gramStart"/>
      <w:r w:rsidRPr="00803A01">
        <w:rPr>
          <w:szCs w:val="22"/>
        </w:rPr>
        <w:t>the</w:t>
      </w:r>
      <w:proofErr w:type="gramEnd"/>
      <w:r w:rsidRPr="00803A01">
        <w:rPr>
          <w:szCs w:val="22"/>
        </w:rPr>
        <w:t xml:space="preserve"> largest decline in inequality is due to in-kind transfers in education and health…. governments in Latin America redistribute mostly through public spending on education and health”. </w:t>
      </w:r>
      <w:r w:rsidRPr="00803A01">
        <w:rPr>
          <w:rStyle w:val="EndnoteReference"/>
          <w:szCs w:val="22"/>
        </w:rPr>
        <w:endnoteReference w:id="10"/>
      </w:r>
      <w:r>
        <w:rPr>
          <w:szCs w:val="22"/>
        </w:rPr>
        <w:t xml:space="preserve">  </w:t>
      </w:r>
    </w:p>
    <w:p w:rsidR="005A3464" w:rsidRDefault="005A3464" w:rsidP="005A3464">
      <w:pPr>
        <w:rPr>
          <w:szCs w:val="22"/>
        </w:rPr>
      </w:pPr>
    </w:p>
    <w:p w:rsidR="005A3464" w:rsidRDefault="005A3464" w:rsidP="005A3464">
      <w:pPr>
        <w:rPr>
          <w:szCs w:val="22"/>
        </w:rPr>
      </w:pPr>
      <w:r>
        <w:rPr>
          <w:szCs w:val="22"/>
        </w:rPr>
        <w:t xml:space="preserve">Even in Brazil, for example, whose benefits programme includes the </w:t>
      </w:r>
      <w:proofErr w:type="spellStart"/>
      <w:r>
        <w:rPr>
          <w:szCs w:val="22"/>
        </w:rPr>
        <w:t>Bolsa</w:t>
      </w:r>
      <w:proofErr w:type="spellEnd"/>
      <w:r>
        <w:rPr>
          <w:szCs w:val="22"/>
        </w:rPr>
        <w:t xml:space="preserve"> </w:t>
      </w:r>
      <w:proofErr w:type="spellStart"/>
      <w:r>
        <w:rPr>
          <w:szCs w:val="22"/>
        </w:rPr>
        <w:t>familia</w:t>
      </w:r>
      <w:proofErr w:type="spellEnd"/>
      <w:proofErr w:type="gramStart"/>
      <w:r>
        <w:rPr>
          <w:szCs w:val="22"/>
        </w:rPr>
        <w:t>,  the</w:t>
      </w:r>
      <w:proofErr w:type="gramEnd"/>
      <w:r>
        <w:rPr>
          <w:szCs w:val="22"/>
        </w:rPr>
        <w:t xml:space="preserve"> combined effects of education and healthcare make a contribution to equality twice as great as the effects of tax and benefit. </w:t>
      </w:r>
    </w:p>
    <w:p w:rsidR="005A3464" w:rsidRPr="00803A01" w:rsidRDefault="005A3464" w:rsidP="005A3464">
      <w:pPr>
        <w:rPr>
          <w:szCs w:val="22"/>
        </w:rPr>
      </w:pPr>
    </w:p>
    <w:p w:rsidR="005A3464" w:rsidRDefault="005A3464" w:rsidP="005A3464">
      <w:pPr>
        <w:rPr>
          <w:szCs w:val="22"/>
        </w:rPr>
      </w:pPr>
      <w:r w:rsidRPr="00803A01">
        <w:rPr>
          <w:szCs w:val="22"/>
        </w:rPr>
        <w:t xml:space="preserve">This can be seen in the graphic below which shows the change in the </w:t>
      </w:r>
      <w:proofErr w:type="spellStart"/>
      <w:r w:rsidRPr="00803A01">
        <w:rPr>
          <w:szCs w:val="22"/>
        </w:rPr>
        <w:t>Gini</w:t>
      </w:r>
      <w:proofErr w:type="spellEnd"/>
      <w:r w:rsidRPr="00803A01">
        <w:rPr>
          <w:szCs w:val="22"/>
        </w:rPr>
        <w:t xml:space="preserve"> coefficient in each country after the successive impact of taxes and benefits, and finally public healthcare and education services. In every country, this final stage – from ‘post-fiscal income’, i.e. after all taxes and benefits, to final income, which includes the value of the public services - have a bigger impact than taxes and/or benefits combined</w:t>
      </w:r>
      <w:r>
        <w:rPr>
          <w:szCs w:val="22"/>
        </w:rPr>
        <w:t xml:space="preserve"> (the </w:t>
      </w:r>
      <w:r>
        <w:rPr>
          <w:szCs w:val="22"/>
        </w:rPr>
        <w:lastRenderedPageBreak/>
        <w:t xml:space="preserve">graphs show this for 5 countries: the same would be true for Peru, but </w:t>
      </w:r>
      <w:r w:rsidRPr="00AE4879">
        <w:rPr>
          <w:szCs w:val="22"/>
        </w:rPr>
        <w:t xml:space="preserve">due to data limitations health spending </w:t>
      </w:r>
      <w:r>
        <w:rPr>
          <w:szCs w:val="22"/>
        </w:rPr>
        <w:t xml:space="preserve">recorded for Peru </w:t>
      </w:r>
      <w:r w:rsidRPr="00AE4879">
        <w:rPr>
          <w:szCs w:val="22"/>
        </w:rPr>
        <w:t xml:space="preserve">includes only a fraction of </w:t>
      </w:r>
      <w:r>
        <w:rPr>
          <w:szCs w:val="22"/>
        </w:rPr>
        <w:t xml:space="preserve">actual </w:t>
      </w:r>
      <w:r w:rsidRPr="00AE4879">
        <w:rPr>
          <w:szCs w:val="22"/>
        </w:rPr>
        <w:t>public spending on health</w:t>
      </w:r>
      <w:r>
        <w:rPr>
          <w:szCs w:val="22"/>
        </w:rPr>
        <w:t>)</w:t>
      </w:r>
      <w:r w:rsidRPr="00AE4879">
        <w:rPr>
          <w:szCs w:val="22"/>
        </w:rPr>
        <w:t>.</w:t>
      </w:r>
      <w:r w:rsidRPr="00803A01">
        <w:rPr>
          <w:szCs w:val="22"/>
        </w:rPr>
        <w:t xml:space="preserve">.  </w:t>
      </w:r>
    </w:p>
    <w:p w:rsidR="005A3464" w:rsidRPr="00765689" w:rsidRDefault="005A3464" w:rsidP="005A3464">
      <w:pPr>
        <w:pStyle w:val="Heading8"/>
      </w:pPr>
      <w:bookmarkStart w:id="25" w:name="_Toc388199703"/>
      <w:r>
        <w:t>Impact on inequality of taxes, benefits, and public services (</w:t>
      </w:r>
      <w:proofErr w:type="spellStart"/>
      <w:r w:rsidRPr="00803A01">
        <w:t>Gini</w:t>
      </w:r>
      <w:proofErr w:type="spellEnd"/>
      <w:r w:rsidRPr="00803A01">
        <w:t xml:space="preserve"> </w:t>
      </w:r>
      <w:r>
        <w:t>c</w:t>
      </w:r>
      <w:r w:rsidRPr="00803A01">
        <w:t>oefficient</w:t>
      </w:r>
      <w:r>
        <w:t xml:space="preserve">, </w:t>
      </w:r>
      <w:r w:rsidRPr="00765689">
        <w:t>6 Latin American countries</w:t>
      </w:r>
      <w:r>
        <w:t>)</w:t>
      </w:r>
      <w:bookmarkEnd w:id="25"/>
      <w:r w:rsidRPr="00765689">
        <w:t xml:space="preserve"> </w:t>
      </w:r>
    </w:p>
    <w:p w:rsidR="005A3464" w:rsidRPr="00EB69F0" w:rsidRDefault="005A3464" w:rsidP="005A3464">
      <w:pPr>
        <w:rPr>
          <w:lang w:eastAsia="en-US"/>
        </w:rPr>
      </w:pPr>
      <w:r>
        <w:rPr>
          <w:noProof/>
        </w:rPr>
        <w:drawing>
          <wp:inline distT="0" distB="0" distL="0" distR="0" wp14:anchorId="6C0BA6A5" wp14:editId="1604FC02">
            <wp:extent cx="4638675" cy="2847975"/>
            <wp:effectExtent l="0" t="0" r="9525"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5A3464" w:rsidRPr="00A74CE8" w:rsidRDefault="005A3464" w:rsidP="005A3464">
      <w:pPr>
        <w:rPr>
          <w:szCs w:val="22"/>
          <w:lang w:val="fr-FR"/>
        </w:rPr>
      </w:pPr>
      <w:r w:rsidRPr="00A74CE8">
        <w:rPr>
          <w:szCs w:val="22"/>
          <w:lang w:val="fr-FR"/>
        </w:rPr>
        <w:t xml:space="preserve">Source: </w:t>
      </w:r>
      <w:proofErr w:type="spellStart"/>
      <w:r w:rsidRPr="00A74CE8">
        <w:rPr>
          <w:szCs w:val="22"/>
          <w:lang w:val="fr-FR"/>
        </w:rPr>
        <w:t>Lustig</w:t>
      </w:r>
      <w:proofErr w:type="spellEnd"/>
      <w:r w:rsidRPr="00A74CE8">
        <w:rPr>
          <w:szCs w:val="22"/>
          <w:lang w:val="fr-FR"/>
        </w:rPr>
        <w:t>, Nora et al 201</w:t>
      </w:r>
      <w:r>
        <w:rPr>
          <w:szCs w:val="22"/>
          <w:lang w:val="fr-FR"/>
        </w:rPr>
        <w:t>2</w:t>
      </w:r>
      <w:r w:rsidRPr="00A74CE8">
        <w:rPr>
          <w:szCs w:val="22"/>
          <w:lang w:val="fr-FR"/>
        </w:rPr>
        <w:t xml:space="preserve"> </w:t>
      </w:r>
      <w:hyperlink r:id="rId25" w:history="1">
        <w:r w:rsidRPr="00EC49C5">
          <w:rPr>
            <w:rStyle w:val="Hyperlink"/>
            <w:szCs w:val="22"/>
            <w:lang w:val="fr-FR"/>
          </w:rPr>
          <w:t>http://www.caf.com/attach/19/default/taxes-social-spending-inequality-poverty-argentina-bolivia-brazil-mexico-peru-synthesis-results.pdf</w:t>
        </w:r>
      </w:hyperlink>
      <w:r>
        <w:rPr>
          <w:szCs w:val="22"/>
          <w:lang w:val="fr-FR"/>
        </w:rPr>
        <w:t xml:space="preserve"> </w:t>
      </w:r>
    </w:p>
    <w:p w:rsidR="005A3464" w:rsidRPr="00203E0B" w:rsidRDefault="005A3464" w:rsidP="005A3464">
      <w:pPr>
        <w:rPr>
          <w:szCs w:val="22"/>
          <w:lang w:val="fr-FR"/>
        </w:rPr>
      </w:pPr>
    </w:p>
    <w:p w:rsidR="005A3464" w:rsidRDefault="005A3464" w:rsidP="005A3464">
      <w:pPr>
        <w:pStyle w:val="Heading7"/>
      </w:pPr>
      <w:bookmarkStart w:id="26" w:name="_Toc388199704"/>
      <w:proofErr w:type="gramStart"/>
      <w:r>
        <w:t>Absolute and relative progressiveness of education and healthcare.</w:t>
      </w:r>
      <w:bookmarkEnd w:id="26"/>
      <w:proofErr w:type="gramEnd"/>
    </w:p>
    <w:tbl>
      <w:tblPr>
        <w:tblStyle w:val="TableGrid"/>
        <w:tblW w:w="0" w:type="auto"/>
        <w:tblLook w:val="04A0" w:firstRow="1" w:lastRow="0" w:firstColumn="1" w:lastColumn="0" w:noHBand="0" w:noVBand="1"/>
      </w:tblPr>
      <w:tblGrid>
        <w:gridCol w:w="1097"/>
        <w:gridCol w:w="1988"/>
        <w:gridCol w:w="1734"/>
        <w:gridCol w:w="1526"/>
        <w:gridCol w:w="284"/>
        <w:gridCol w:w="1592"/>
        <w:gridCol w:w="1418"/>
      </w:tblGrid>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p>
        </w:tc>
        <w:tc>
          <w:tcPr>
            <w:tcW w:w="1734"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Education</w:t>
            </w:r>
          </w:p>
        </w:tc>
        <w:tc>
          <w:tcPr>
            <w:tcW w:w="1526" w:type="dxa"/>
          </w:tcPr>
          <w:p w:rsidR="005A3464" w:rsidRPr="009051B3" w:rsidRDefault="005A3464" w:rsidP="00FB2C50">
            <w:pPr>
              <w:rPr>
                <w:rFonts w:asciiTheme="minorHAnsi" w:hAnsiTheme="minorHAnsi"/>
                <w:sz w:val="20"/>
                <w:szCs w:val="20"/>
              </w:rPr>
            </w:pPr>
          </w:p>
        </w:tc>
        <w:tc>
          <w:tcPr>
            <w:tcW w:w="284" w:type="dxa"/>
          </w:tcPr>
          <w:p w:rsidR="005A3464" w:rsidRPr="009051B3" w:rsidRDefault="005A3464" w:rsidP="00FB2C50">
            <w:pPr>
              <w:rPr>
                <w:rFonts w:asciiTheme="minorHAnsi" w:hAnsiTheme="minorHAnsi"/>
                <w:sz w:val="20"/>
                <w:szCs w:val="20"/>
              </w:rPr>
            </w:pPr>
          </w:p>
        </w:tc>
        <w:tc>
          <w:tcPr>
            <w:tcW w:w="1592"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Healthcare</w:t>
            </w:r>
          </w:p>
        </w:tc>
        <w:tc>
          <w:tcPr>
            <w:tcW w:w="1418" w:type="dxa"/>
          </w:tcPr>
          <w:p w:rsidR="005A3464" w:rsidRPr="009051B3" w:rsidRDefault="005A3464" w:rsidP="00FB2C50">
            <w:pPr>
              <w:rPr>
                <w:rFonts w:asciiTheme="minorHAnsi" w:hAnsiTheme="minorHAnsi"/>
                <w:sz w:val="20"/>
                <w:szCs w:val="20"/>
              </w:rPr>
            </w:pP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p>
        </w:tc>
        <w:tc>
          <w:tcPr>
            <w:tcW w:w="1734"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 xml:space="preserve">Absolute distribution: </w:t>
            </w:r>
            <w:r>
              <w:rPr>
                <w:rFonts w:asciiTheme="minorHAnsi" w:hAnsiTheme="minorHAnsi"/>
                <w:sz w:val="20"/>
                <w:szCs w:val="20"/>
              </w:rPr>
              <w:t xml:space="preserve">% </w:t>
            </w:r>
            <w:r w:rsidRPr="009051B3">
              <w:rPr>
                <w:rFonts w:asciiTheme="minorHAnsi" w:hAnsiTheme="minorHAnsi"/>
                <w:sz w:val="20"/>
                <w:szCs w:val="20"/>
              </w:rPr>
              <w:t xml:space="preserve">of benefit going to each </w:t>
            </w:r>
            <w:proofErr w:type="spellStart"/>
            <w:r w:rsidRPr="009051B3">
              <w:rPr>
                <w:rFonts w:asciiTheme="minorHAnsi" w:hAnsiTheme="minorHAnsi"/>
                <w:sz w:val="20"/>
                <w:szCs w:val="20"/>
              </w:rPr>
              <w:t>decile</w:t>
            </w:r>
            <w:proofErr w:type="spellEnd"/>
            <w:r w:rsidRPr="009051B3">
              <w:rPr>
                <w:rFonts w:asciiTheme="minorHAnsi" w:hAnsiTheme="minorHAnsi"/>
                <w:sz w:val="20"/>
                <w:szCs w:val="20"/>
              </w:rPr>
              <w:t xml:space="preserve"> (‘concentration shares’)</w:t>
            </w:r>
          </w:p>
        </w:tc>
        <w:tc>
          <w:tcPr>
            <w:tcW w:w="1526"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Relative distribution: benefit as % of market income</w:t>
            </w:r>
          </w:p>
        </w:tc>
        <w:tc>
          <w:tcPr>
            <w:tcW w:w="284" w:type="dxa"/>
          </w:tcPr>
          <w:p w:rsidR="005A3464" w:rsidRPr="009051B3" w:rsidRDefault="005A3464" w:rsidP="00FB2C50">
            <w:pPr>
              <w:rPr>
                <w:rFonts w:asciiTheme="minorHAnsi" w:hAnsiTheme="minorHAnsi"/>
                <w:sz w:val="20"/>
                <w:szCs w:val="20"/>
              </w:rPr>
            </w:pPr>
          </w:p>
        </w:tc>
        <w:tc>
          <w:tcPr>
            <w:tcW w:w="1592"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 xml:space="preserve">Absolute distribution: </w:t>
            </w:r>
            <w:r>
              <w:rPr>
                <w:rFonts w:asciiTheme="minorHAnsi" w:hAnsiTheme="minorHAnsi"/>
                <w:sz w:val="20"/>
                <w:szCs w:val="20"/>
              </w:rPr>
              <w:t>%</w:t>
            </w:r>
            <w:r w:rsidRPr="009051B3">
              <w:rPr>
                <w:rFonts w:asciiTheme="minorHAnsi" w:hAnsiTheme="minorHAnsi"/>
                <w:sz w:val="20"/>
                <w:szCs w:val="20"/>
              </w:rPr>
              <w:t xml:space="preserve"> of benefit going to each </w:t>
            </w:r>
            <w:proofErr w:type="spellStart"/>
            <w:r w:rsidRPr="009051B3">
              <w:rPr>
                <w:rFonts w:asciiTheme="minorHAnsi" w:hAnsiTheme="minorHAnsi"/>
                <w:sz w:val="20"/>
                <w:szCs w:val="20"/>
              </w:rPr>
              <w:t>decile</w:t>
            </w:r>
            <w:proofErr w:type="spellEnd"/>
          </w:p>
          <w:p w:rsidR="005A3464" w:rsidRPr="009051B3" w:rsidRDefault="005A3464" w:rsidP="00FB2C50">
            <w:pPr>
              <w:rPr>
                <w:rFonts w:asciiTheme="minorHAnsi" w:hAnsiTheme="minorHAnsi"/>
                <w:sz w:val="20"/>
                <w:szCs w:val="20"/>
              </w:rPr>
            </w:pPr>
            <w:r w:rsidRPr="009051B3">
              <w:rPr>
                <w:rFonts w:asciiTheme="minorHAnsi" w:hAnsiTheme="minorHAnsi"/>
                <w:sz w:val="20"/>
                <w:szCs w:val="20"/>
              </w:rPr>
              <w:t>(‘concentration shares’)</w:t>
            </w:r>
          </w:p>
        </w:tc>
        <w:tc>
          <w:tcPr>
            <w:tcW w:w="141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Relative distribution: benefit as % of market income</w:t>
            </w:r>
          </w:p>
        </w:tc>
      </w:tr>
      <w:tr w:rsidR="005A3464" w:rsidRPr="009051B3" w:rsidTr="00FB2C50">
        <w:tc>
          <w:tcPr>
            <w:tcW w:w="1097"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Argentina</w:t>
            </w: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w:t>
            </w:r>
            <w:r w:rsidRPr="009051B3">
              <w:rPr>
                <w:rFonts w:asciiTheme="minorHAnsi" w:hAnsiTheme="minorHAnsi"/>
                <w:sz w:val="20"/>
                <w:szCs w:val="20"/>
                <w:vertAlign w:val="superscript"/>
              </w:rPr>
              <w:t>st</w:t>
            </w:r>
            <w:r w:rsidRPr="009051B3">
              <w:rPr>
                <w:rFonts w:asciiTheme="minorHAnsi" w:hAnsiTheme="minorHAnsi"/>
                <w:sz w:val="20"/>
                <w:szCs w:val="20"/>
              </w:rPr>
              <w:t xml:space="preserve"> (lowest)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11.7%</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93.1%</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18.6%</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61.4%</w:t>
            </w: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10</w:t>
            </w:r>
            <w:r w:rsidRPr="009051B3">
              <w:rPr>
                <w:rFonts w:asciiTheme="minorHAnsi" w:hAnsiTheme="minorHAnsi"/>
                <w:sz w:val="20"/>
                <w:szCs w:val="20"/>
                <w:vertAlign w:val="superscript"/>
              </w:rPr>
              <w:t>th</w:t>
            </w:r>
            <w:r w:rsidRPr="009051B3">
              <w:rPr>
                <w:rFonts w:asciiTheme="minorHAnsi" w:hAnsiTheme="minorHAnsi"/>
                <w:sz w:val="20"/>
                <w:szCs w:val="20"/>
              </w:rPr>
              <w:t xml:space="preserve"> (highest)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5.2%</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2.2%</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1.7%</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0.4%</w:t>
            </w:r>
          </w:p>
        </w:tc>
      </w:tr>
      <w:tr w:rsidR="005A3464" w:rsidRPr="009051B3" w:rsidTr="00FB2C50">
        <w:tc>
          <w:tcPr>
            <w:tcW w:w="1097"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Bolivia</w:t>
            </w: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w:t>
            </w:r>
            <w:r w:rsidRPr="009051B3">
              <w:rPr>
                <w:rFonts w:asciiTheme="minorHAnsi" w:hAnsiTheme="minorHAnsi"/>
                <w:sz w:val="20"/>
                <w:szCs w:val="20"/>
                <w:vertAlign w:val="superscript"/>
              </w:rPr>
              <w:t>st</w:t>
            </w:r>
            <w:r w:rsidRPr="009051B3">
              <w:rPr>
                <w:rFonts w:asciiTheme="minorHAnsi" w:hAnsiTheme="minorHAnsi"/>
                <w:sz w:val="20"/>
                <w:szCs w:val="20"/>
              </w:rPr>
              <w:t xml:space="preserve"> (lowest)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6.5%</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93.2%</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10.8%</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6.3%</w:t>
            </w: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10</w:t>
            </w:r>
            <w:r w:rsidRPr="009051B3">
              <w:rPr>
                <w:rFonts w:asciiTheme="minorHAnsi" w:hAnsiTheme="minorHAnsi"/>
                <w:sz w:val="20"/>
                <w:szCs w:val="20"/>
                <w:vertAlign w:val="superscript"/>
              </w:rPr>
              <w:t>th</w:t>
            </w:r>
            <w:r w:rsidRPr="009051B3">
              <w:rPr>
                <w:rFonts w:asciiTheme="minorHAnsi" w:hAnsiTheme="minorHAnsi"/>
                <w:sz w:val="20"/>
                <w:szCs w:val="20"/>
              </w:rPr>
              <w:t xml:space="preserve"> (highest)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9.5%</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1.6%</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7.3%</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0.0%</w:t>
            </w:r>
          </w:p>
        </w:tc>
      </w:tr>
      <w:tr w:rsidR="005A3464" w:rsidRPr="009051B3" w:rsidTr="00FB2C50">
        <w:tc>
          <w:tcPr>
            <w:tcW w:w="1097"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Brazil</w:t>
            </w: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w:t>
            </w:r>
            <w:r w:rsidRPr="009051B3">
              <w:rPr>
                <w:rFonts w:asciiTheme="minorHAnsi" w:hAnsiTheme="minorHAnsi"/>
                <w:sz w:val="20"/>
                <w:szCs w:val="20"/>
                <w:vertAlign w:val="superscript"/>
              </w:rPr>
              <w:t>st</w:t>
            </w:r>
            <w:r w:rsidRPr="009051B3">
              <w:rPr>
                <w:rFonts w:asciiTheme="minorHAnsi" w:hAnsiTheme="minorHAnsi"/>
                <w:sz w:val="20"/>
                <w:szCs w:val="20"/>
              </w:rPr>
              <w:t xml:space="preserve"> (lowest)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15.5%</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167.3%</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6.1%</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77.9%</w:t>
            </w: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10</w:t>
            </w:r>
            <w:r w:rsidRPr="009051B3">
              <w:rPr>
                <w:rFonts w:asciiTheme="minorHAnsi" w:hAnsiTheme="minorHAnsi"/>
                <w:sz w:val="20"/>
                <w:szCs w:val="20"/>
                <w:vertAlign w:val="superscript"/>
              </w:rPr>
              <w:t>th</w:t>
            </w:r>
            <w:r w:rsidRPr="009051B3">
              <w:rPr>
                <w:rFonts w:asciiTheme="minorHAnsi" w:hAnsiTheme="minorHAnsi"/>
                <w:sz w:val="20"/>
                <w:szCs w:val="20"/>
              </w:rPr>
              <w:t xml:space="preserve"> (highest)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7.2%</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1.3%</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33.6%</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7.4%</w:t>
            </w:r>
          </w:p>
        </w:tc>
      </w:tr>
      <w:tr w:rsidR="005A3464" w:rsidRPr="009051B3" w:rsidTr="00FB2C50">
        <w:tc>
          <w:tcPr>
            <w:tcW w:w="1097"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Mexico</w:t>
            </w: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w:t>
            </w:r>
            <w:r w:rsidRPr="009051B3">
              <w:rPr>
                <w:rFonts w:asciiTheme="minorHAnsi" w:hAnsiTheme="minorHAnsi"/>
                <w:sz w:val="20"/>
                <w:szCs w:val="20"/>
                <w:vertAlign w:val="superscript"/>
              </w:rPr>
              <w:t>st</w:t>
            </w:r>
            <w:r w:rsidRPr="009051B3">
              <w:rPr>
                <w:rFonts w:asciiTheme="minorHAnsi" w:hAnsiTheme="minorHAnsi"/>
                <w:sz w:val="20"/>
                <w:szCs w:val="20"/>
              </w:rPr>
              <w:t xml:space="preserve"> (lowest)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11.1%</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76.9%</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10.0</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27.7%</w:t>
            </w: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10</w:t>
            </w:r>
            <w:r w:rsidRPr="009051B3">
              <w:rPr>
                <w:rFonts w:asciiTheme="minorHAnsi" w:hAnsiTheme="minorHAnsi"/>
                <w:sz w:val="20"/>
                <w:szCs w:val="20"/>
                <w:vertAlign w:val="superscript"/>
              </w:rPr>
              <w:t>th</w:t>
            </w:r>
            <w:r w:rsidRPr="009051B3">
              <w:rPr>
                <w:rFonts w:asciiTheme="minorHAnsi" w:hAnsiTheme="minorHAnsi"/>
                <w:sz w:val="20"/>
                <w:szCs w:val="20"/>
              </w:rPr>
              <w:t xml:space="preserve"> (highest)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6.8%</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1.1%</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8.8%</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1.1%</w:t>
            </w:r>
          </w:p>
        </w:tc>
      </w:tr>
      <w:tr w:rsidR="005A3464" w:rsidRPr="009051B3" w:rsidTr="00FB2C50">
        <w:tc>
          <w:tcPr>
            <w:tcW w:w="1097"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Peru</w:t>
            </w: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w:t>
            </w:r>
            <w:r w:rsidRPr="009051B3">
              <w:rPr>
                <w:rFonts w:asciiTheme="minorHAnsi" w:hAnsiTheme="minorHAnsi"/>
                <w:sz w:val="20"/>
                <w:szCs w:val="20"/>
                <w:vertAlign w:val="superscript"/>
              </w:rPr>
              <w:t>st</w:t>
            </w:r>
            <w:r w:rsidRPr="009051B3">
              <w:rPr>
                <w:rFonts w:asciiTheme="minorHAnsi" w:hAnsiTheme="minorHAnsi"/>
                <w:sz w:val="20"/>
                <w:szCs w:val="20"/>
              </w:rPr>
              <w:t xml:space="preserve"> (lowest)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14.0%</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30.9%</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3.8%</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5.8%</w:t>
            </w:r>
          </w:p>
        </w:tc>
      </w:tr>
      <w:tr w:rsidR="005A3464" w:rsidRPr="009051B3" w:rsidTr="00FB2C50">
        <w:tc>
          <w:tcPr>
            <w:tcW w:w="1097" w:type="dxa"/>
          </w:tcPr>
          <w:p w:rsidR="005A3464" w:rsidRPr="009051B3" w:rsidRDefault="005A3464" w:rsidP="00FB2C50">
            <w:pPr>
              <w:rPr>
                <w:rFonts w:asciiTheme="minorHAnsi" w:hAnsiTheme="minorHAnsi"/>
                <w:sz w:val="20"/>
                <w:szCs w:val="20"/>
              </w:rPr>
            </w:pPr>
          </w:p>
        </w:tc>
        <w:tc>
          <w:tcPr>
            <w:tcW w:w="1988" w:type="dxa"/>
          </w:tcPr>
          <w:p w:rsidR="005A3464" w:rsidRPr="009051B3" w:rsidRDefault="005A3464" w:rsidP="00FB2C50">
            <w:pPr>
              <w:rPr>
                <w:rFonts w:asciiTheme="minorHAnsi" w:hAnsiTheme="minorHAnsi"/>
                <w:sz w:val="20"/>
                <w:szCs w:val="20"/>
              </w:rPr>
            </w:pPr>
            <w:r w:rsidRPr="009051B3">
              <w:rPr>
                <w:rFonts w:asciiTheme="minorHAnsi" w:hAnsiTheme="minorHAnsi"/>
                <w:sz w:val="20"/>
                <w:szCs w:val="20"/>
              </w:rPr>
              <w:t>10</w:t>
            </w:r>
            <w:r w:rsidRPr="009051B3">
              <w:rPr>
                <w:rFonts w:asciiTheme="minorHAnsi" w:hAnsiTheme="minorHAnsi"/>
                <w:sz w:val="20"/>
                <w:szCs w:val="20"/>
                <w:vertAlign w:val="superscript"/>
              </w:rPr>
              <w:t>th</w:t>
            </w:r>
            <w:r w:rsidRPr="009051B3">
              <w:rPr>
                <w:rFonts w:asciiTheme="minorHAnsi" w:hAnsiTheme="minorHAnsi"/>
                <w:sz w:val="20"/>
                <w:szCs w:val="20"/>
              </w:rPr>
              <w:t xml:space="preserve"> (highest) </w:t>
            </w:r>
            <w:proofErr w:type="spellStart"/>
            <w:r w:rsidRPr="009051B3">
              <w:rPr>
                <w:rFonts w:asciiTheme="minorHAnsi" w:hAnsiTheme="minorHAnsi"/>
                <w:sz w:val="20"/>
                <w:szCs w:val="20"/>
              </w:rPr>
              <w:t>decile</w:t>
            </w:r>
            <w:proofErr w:type="spellEnd"/>
          </w:p>
        </w:tc>
        <w:tc>
          <w:tcPr>
            <w:tcW w:w="1734"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4.0%</w:t>
            </w:r>
          </w:p>
        </w:tc>
        <w:tc>
          <w:tcPr>
            <w:tcW w:w="1526"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0.3%</w:t>
            </w:r>
          </w:p>
        </w:tc>
        <w:tc>
          <w:tcPr>
            <w:tcW w:w="284" w:type="dxa"/>
          </w:tcPr>
          <w:p w:rsidR="005A3464" w:rsidRPr="009051B3" w:rsidRDefault="005A3464" w:rsidP="00FB2C50">
            <w:pPr>
              <w:jc w:val="right"/>
              <w:rPr>
                <w:rFonts w:asciiTheme="minorHAnsi" w:hAnsiTheme="minorHAnsi"/>
                <w:sz w:val="20"/>
                <w:szCs w:val="20"/>
              </w:rPr>
            </w:pPr>
          </w:p>
        </w:tc>
        <w:tc>
          <w:tcPr>
            <w:tcW w:w="1592"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26.8%</w:t>
            </w:r>
          </w:p>
        </w:tc>
        <w:tc>
          <w:tcPr>
            <w:tcW w:w="1418" w:type="dxa"/>
          </w:tcPr>
          <w:p w:rsidR="005A3464" w:rsidRPr="009051B3" w:rsidRDefault="005A3464" w:rsidP="00FB2C50">
            <w:pPr>
              <w:jc w:val="right"/>
              <w:rPr>
                <w:rFonts w:asciiTheme="minorHAnsi" w:hAnsiTheme="minorHAnsi"/>
                <w:sz w:val="20"/>
                <w:szCs w:val="20"/>
              </w:rPr>
            </w:pPr>
            <w:r w:rsidRPr="009051B3">
              <w:rPr>
                <w:rFonts w:asciiTheme="minorHAnsi" w:hAnsiTheme="minorHAnsi"/>
                <w:sz w:val="20"/>
                <w:szCs w:val="20"/>
              </w:rPr>
              <w:t>1.3%</w:t>
            </w:r>
          </w:p>
        </w:tc>
      </w:tr>
    </w:tbl>
    <w:p w:rsidR="005A3464" w:rsidRPr="009051B3" w:rsidRDefault="005A3464" w:rsidP="005A3464">
      <w:pPr>
        <w:rPr>
          <w:rStyle w:val="Hyperlink"/>
          <w:sz w:val="20"/>
          <w:szCs w:val="20"/>
          <w:lang w:val="fr-FR" w:eastAsia="en-US"/>
        </w:rPr>
      </w:pPr>
      <w:r w:rsidRPr="009051B3">
        <w:rPr>
          <w:lang w:val="fr-FR"/>
        </w:rPr>
        <w:t xml:space="preserve">Source: </w:t>
      </w:r>
      <w:proofErr w:type="spellStart"/>
      <w:r w:rsidRPr="009051B3">
        <w:rPr>
          <w:lang w:val="fr-FR"/>
        </w:rPr>
        <w:t>Lustig</w:t>
      </w:r>
      <w:proofErr w:type="spellEnd"/>
      <w:r w:rsidRPr="009051B3">
        <w:rPr>
          <w:lang w:val="fr-FR"/>
        </w:rPr>
        <w:t xml:space="preserve">, Nora et al 2012 </w:t>
      </w:r>
      <w:hyperlink r:id="rId26" w:history="1">
        <w:r w:rsidRPr="009051B3">
          <w:rPr>
            <w:rStyle w:val="Hyperlink"/>
            <w:lang w:val="fr-FR"/>
          </w:rPr>
          <w:t>http://www.caf.com/attach/19/default/taxes-social-spending-inequality-poverty-argentina-bolivia-brazil-mexico-peru-synthesis-results.pdf</w:t>
        </w:r>
      </w:hyperlink>
    </w:p>
    <w:p w:rsidR="005A3464" w:rsidRPr="009051B3" w:rsidRDefault="005A3464" w:rsidP="005A3464">
      <w:pPr>
        <w:rPr>
          <w:lang w:val="fr-FR" w:eastAsia="en-US"/>
        </w:rPr>
      </w:pPr>
    </w:p>
    <w:p w:rsidR="005A3464" w:rsidRDefault="005A3464" w:rsidP="005A3464">
      <w:pPr>
        <w:pStyle w:val="Heading3"/>
        <w:autoSpaceDE w:val="0"/>
        <w:autoSpaceDN w:val="0"/>
        <w:adjustRightInd w:val="0"/>
      </w:pPr>
      <w:bookmarkStart w:id="27" w:name="_Toc388199705"/>
      <w:r>
        <w:t>Asia: healthcare</w:t>
      </w:r>
      <w:bookmarkEnd w:id="27"/>
    </w:p>
    <w:p w:rsidR="005A3464" w:rsidRPr="00463765" w:rsidRDefault="005A3464" w:rsidP="005A3464">
      <w:pPr>
        <w:rPr>
          <w:color w:val="292526"/>
        </w:rPr>
      </w:pPr>
      <w:r w:rsidRPr="00463765">
        <w:t xml:space="preserve">The pattern in Asian countries, for healthcare systems, is similar to that in Latin America – nearly all systems are progressive in either absolute terms, or at least relative terms.  A 2007 study </w:t>
      </w:r>
      <w:proofErr w:type="gramStart"/>
      <w:r w:rsidRPr="00463765">
        <w:t xml:space="preserve">of </w:t>
      </w:r>
      <w:r w:rsidRPr="00463765">
        <w:rPr>
          <w:color w:val="292526"/>
        </w:rPr>
        <w:t xml:space="preserve"> Asian</w:t>
      </w:r>
      <w:proofErr w:type="gramEnd"/>
      <w:r w:rsidRPr="00463765">
        <w:rPr>
          <w:color w:val="292526"/>
        </w:rPr>
        <w:t xml:space="preserve"> healthcare systems in 8 countries and three Chinese provinces or regions, found that 10 out of 11 systems reduced inequality. </w:t>
      </w:r>
      <w:proofErr w:type="gramStart"/>
      <w:r w:rsidRPr="00463765">
        <w:rPr>
          <w:color w:val="292526"/>
        </w:rPr>
        <w:t>In  4</w:t>
      </w:r>
      <w:proofErr w:type="gramEnd"/>
      <w:r w:rsidRPr="00463765">
        <w:rPr>
          <w:color w:val="292526"/>
        </w:rPr>
        <w:t xml:space="preserve"> cases -  Hong Kong SAR, Malaysia, Sri Lanka and Thailand – the distribution of benefits was equal, was equally distributed or positively favoured the poor:  and the poorest 20% received 20% or more of the benefits. Vietnam was not far behind. Public healthcare systems were still relatively progressive in 5 other cases (Bangladesh, India, Indonesia, Gansu, and Heilongjiang). Only in Nepal was the system not progressive in its </w:t>
      </w:r>
      <w:proofErr w:type="gramStart"/>
      <w:r w:rsidRPr="00463765">
        <w:rPr>
          <w:color w:val="292526"/>
        </w:rPr>
        <w:t>effects  (</w:t>
      </w:r>
      <w:proofErr w:type="gramEnd"/>
      <w:r w:rsidRPr="00463765">
        <w:rPr>
          <w:color w:val="292526"/>
        </w:rPr>
        <w:t>before the regime change)</w:t>
      </w:r>
      <w:r w:rsidRPr="009051B3">
        <w:rPr>
          <w:color w:val="292526"/>
          <w:szCs w:val="22"/>
        </w:rPr>
        <w:t xml:space="preserve"> </w:t>
      </w:r>
      <w:r>
        <w:rPr>
          <w:color w:val="292526"/>
          <w:szCs w:val="22"/>
        </w:rPr>
        <w:t>(</w:t>
      </w:r>
      <w:r w:rsidRPr="008B3470">
        <w:rPr>
          <w:szCs w:val="22"/>
          <w:lang w:eastAsia="en-US"/>
        </w:rPr>
        <w:t>O’Donnell et al 2007)</w:t>
      </w:r>
      <w:r w:rsidRPr="00463765">
        <w:rPr>
          <w:color w:val="292526"/>
        </w:rPr>
        <w:t xml:space="preserve">.     </w:t>
      </w:r>
    </w:p>
    <w:p w:rsidR="005A3464" w:rsidRDefault="005A3464" w:rsidP="005A3464">
      <w:pPr>
        <w:autoSpaceDE w:val="0"/>
        <w:autoSpaceDN w:val="0"/>
        <w:adjustRightInd w:val="0"/>
        <w:rPr>
          <w:color w:val="292526"/>
          <w:szCs w:val="22"/>
        </w:rPr>
      </w:pPr>
    </w:p>
    <w:p w:rsidR="005A3464" w:rsidRDefault="005A3464" w:rsidP="005A3464">
      <w:pPr>
        <w:autoSpaceDE w:val="0"/>
        <w:autoSpaceDN w:val="0"/>
        <w:adjustRightInd w:val="0"/>
        <w:rPr>
          <w:rFonts w:ascii="AdvPS5958" w:hAnsi="AdvPS5958" w:cs="AdvPS5958"/>
          <w:color w:val="292526"/>
          <w:sz w:val="21"/>
          <w:szCs w:val="21"/>
        </w:rPr>
      </w:pPr>
      <w:r>
        <w:rPr>
          <w:color w:val="292526"/>
          <w:szCs w:val="22"/>
        </w:rPr>
        <w:t xml:space="preserve">Factors that influence the progressiveness include the level of public spending, the absence of fees, and geographical distribution of resources. Overall, the higher the proportion of GDP spent on healthcare, the more progressive was the distribution. </w:t>
      </w:r>
      <w:r>
        <w:rPr>
          <w:rFonts w:ascii="AdvPS5958" w:hAnsi="AdvPS5958" w:cs="AdvPS5958"/>
          <w:color w:val="292526"/>
          <w:sz w:val="21"/>
          <w:szCs w:val="21"/>
        </w:rPr>
        <w:t>There are virtually no fees in the most progressive systems - Hong Kong SAR, Sri Lanka, and Malaysia.</w:t>
      </w:r>
      <w:r>
        <w:rPr>
          <w:color w:val="292526"/>
          <w:szCs w:val="22"/>
        </w:rPr>
        <w:t xml:space="preserve"> </w:t>
      </w:r>
      <w:r>
        <w:rPr>
          <w:rFonts w:ascii="AdvPS5958" w:hAnsi="AdvPS5958" w:cs="AdvPS5958"/>
          <w:color w:val="292526"/>
          <w:sz w:val="21"/>
          <w:szCs w:val="21"/>
        </w:rPr>
        <w:t xml:space="preserve">Public health spending is of greater benefit to the poor in Hong Kong SAR, Malaysia, Thailand, Sri Lanka, and Vietnam because the distribution of hospital care is more </w:t>
      </w:r>
      <w:proofErr w:type="spellStart"/>
      <w:r>
        <w:rPr>
          <w:rFonts w:ascii="AdvPS5958" w:hAnsi="AdvPS5958" w:cs="AdvPS5958"/>
          <w:color w:val="292526"/>
          <w:sz w:val="21"/>
          <w:szCs w:val="21"/>
        </w:rPr>
        <w:t>favorable</w:t>
      </w:r>
      <w:proofErr w:type="spellEnd"/>
      <w:r>
        <w:rPr>
          <w:rFonts w:ascii="AdvPS5958" w:hAnsi="AdvPS5958" w:cs="AdvPS5958"/>
          <w:color w:val="292526"/>
          <w:sz w:val="21"/>
          <w:szCs w:val="21"/>
        </w:rPr>
        <w:t xml:space="preserve"> to the poor</w:t>
      </w:r>
      <w:r>
        <w:rPr>
          <w:color w:val="292526"/>
          <w:szCs w:val="22"/>
        </w:rPr>
        <w:t xml:space="preserve"> (</w:t>
      </w:r>
      <w:r w:rsidRPr="008B3470">
        <w:rPr>
          <w:szCs w:val="22"/>
          <w:lang w:eastAsia="en-US"/>
        </w:rPr>
        <w:t>O’Donnell et al 2007)</w:t>
      </w:r>
    </w:p>
    <w:p w:rsidR="005A3464" w:rsidRDefault="005A3464" w:rsidP="005A3464">
      <w:pPr>
        <w:pStyle w:val="Heading7"/>
      </w:pPr>
      <w:bookmarkStart w:id="28" w:name="_Toc388199706"/>
      <w:r>
        <w:t>Share of poorest 20% in public healthcare benefits, Asia, 2005</w:t>
      </w:r>
      <w:bookmarkEnd w:id="28"/>
    </w:p>
    <w:tbl>
      <w:tblPr>
        <w:tblStyle w:val="TableGrid"/>
        <w:tblW w:w="0" w:type="auto"/>
        <w:tblLayout w:type="fixed"/>
        <w:tblLook w:val="04A0" w:firstRow="1" w:lastRow="0" w:firstColumn="1" w:lastColumn="0" w:noHBand="0" w:noVBand="1"/>
      </w:tblPr>
      <w:tblGrid>
        <w:gridCol w:w="1951"/>
        <w:gridCol w:w="1531"/>
        <w:gridCol w:w="1531"/>
        <w:gridCol w:w="1531"/>
        <w:gridCol w:w="1531"/>
        <w:gridCol w:w="1531"/>
      </w:tblGrid>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p>
        </w:tc>
        <w:tc>
          <w:tcPr>
            <w:tcW w:w="153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 of public healthcare spending benefitting poorest 20%</w:t>
            </w:r>
          </w:p>
        </w:tc>
        <w:tc>
          <w:tcPr>
            <w:tcW w:w="1531" w:type="dxa"/>
          </w:tcPr>
          <w:p w:rsidR="005A3464" w:rsidRPr="00446581" w:rsidRDefault="005A3464" w:rsidP="00FB2C50">
            <w:pPr>
              <w:autoSpaceDE w:val="0"/>
              <w:autoSpaceDN w:val="0"/>
              <w:adjustRightInd w:val="0"/>
              <w:rPr>
                <w:rFonts w:asciiTheme="minorHAnsi" w:hAnsiTheme="minorHAnsi" w:cs="AdvPS5958"/>
                <w:i/>
                <w:color w:val="292526"/>
                <w:sz w:val="20"/>
                <w:szCs w:val="20"/>
              </w:rPr>
            </w:pPr>
            <w:r w:rsidRPr="00446581">
              <w:rPr>
                <w:rFonts w:asciiTheme="minorHAnsi" w:hAnsiTheme="minorHAnsi" w:cs="AdvPS5958"/>
                <w:i/>
                <w:color w:val="292526"/>
                <w:sz w:val="20"/>
                <w:szCs w:val="20"/>
              </w:rPr>
              <w:t>% of disposable income (private consumption) of lowest 20%</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Absolutely equal/progressive</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Relatively progressive</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Public spending on healthcare as % of GDP</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Bangladesh</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16.8</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7.3</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1.0</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Gansu (China)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8.2</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5.2</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2.4</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Heilongjiang (China)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10.5</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6.0</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1.5</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Hong Kong SAR</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38.7</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6.8</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r w:rsidRPr="00446581">
              <w:rPr>
                <w:rFonts w:asciiTheme="minorHAnsi" w:hAnsiTheme="minorHAnsi" w:cs="AdvPS5958"/>
                <w:i/>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3.3</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India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12.5</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10.5</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0.8</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Indonesia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13.5</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9.8</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0.6</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Malaysia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23.0</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7.2</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r w:rsidRPr="00446581">
              <w:rPr>
                <w:rFonts w:asciiTheme="minorHAnsi" w:hAnsiTheme="minorHAnsi" w:cs="AdvPS5958"/>
                <w:i/>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1.3</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Nepal</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6.6</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8.1</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1.2</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Sri Lanka</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20.9</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8.3</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r w:rsidRPr="00446581">
              <w:rPr>
                <w:rFonts w:asciiTheme="minorHAnsi" w:hAnsiTheme="minorHAnsi" w:cs="AdvPS5958"/>
                <w:i/>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1.6</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Thailand</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20.1</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6.9</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r w:rsidRPr="00446581">
              <w:rPr>
                <w:rFonts w:asciiTheme="minorHAnsi" w:hAnsiTheme="minorHAnsi" w:cs="AdvPS5958"/>
                <w:i/>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2.0</w:t>
            </w:r>
          </w:p>
        </w:tc>
      </w:tr>
      <w:tr w:rsidR="005A3464" w:rsidRPr="00446581" w:rsidTr="00FB2C50">
        <w:tc>
          <w:tcPr>
            <w:tcW w:w="1951" w:type="dxa"/>
          </w:tcPr>
          <w:p w:rsidR="005A3464" w:rsidRPr="00446581" w:rsidRDefault="005A3464" w:rsidP="00FB2C50">
            <w:pPr>
              <w:autoSpaceDE w:val="0"/>
              <w:autoSpaceDN w:val="0"/>
              <w:adjustRightInd w:val="0"/>
              <w:rPr>
                <w:rFonts w:asciiTheme="minorHAnsi" w:hAnsiTheme="minorHAnsi" w:cs="AdvPS5958"/>
                <w:color w:val="292526"/>
                <w:sz w:val="20"/>
                <w:szCs w:val="20"/>
              </w:rPr>
            </w:pPr>
            <w:r w:rsidRPr="00446581">
              <w:rPr>
                <w:rFonts w:asciiTheme="minorHAnsi" w:hAnsiTheme="minorHAnsi" w:cs="AdvPS5958"/>
                <w:color w:val="292526"/>
                <w:sz w:val="20"/>
                <w:szCs w:val="20"/>
              </w:rPr>
              <w:t>Vietnam</w:t>
            </w:r>
          </w:p>
        </w:tc>
        <w:tc>
          <w:tcPr>
            <w:tcW w:w="1531" w:type="dxa"/>
          </w:tcPr>
          <w:p w:rsidR="005A3464" w:rsidRPr="00446581" w:rsidRDefault="005A3464" w:rsidP="00FB2C50">
            <w:pPr>
              <w:autoSpaceDE w:val="0"/>
              <w:autoSpaceDN w:val="0"/>
              <w:adjustRightInd w:val="0"/>
              <w:jc w:val="right"/>
              <w:rPr>
                <w:rFonts w:asciiTheme="minorHAnsi" w:hAnsiTheme="minorHAnsi" w:cs="AdvPS5958"/>
                <w:color w:val="292526"/>
                <w:sz w:val="20"/>
                <w:szCs w:val="20"/>
              </w:rPr>
            </w:pPr>
            <w:r w:rsidRPr="00446581">
              <w:rPr>
                <w:rFonts w:asciiTheme="minorHAnsi" w:hAnsiTheme="minorHAnsi" w:cs="AdvPS5958"/>
                <w:color w:val="292526"/>
                <w:sz w:val="20"/>
                <w:szCs w:val="20"/>
              </w:rPr>
              <w:t>14.8</w:t>
            </w:r>
          </w:p>
        </w:tc>
        <w:tc>
          <w:tcPr>
            <w:tcW w:w="1531" w:type="dxa"/>
          </w:tcPr>
          <w:p w:rsidR="005A3464" w:rsidRPr="00446581" w:rsidRDefault="005A3464" w:rsidP="00FB2C50">
            <w:pPr>
              <w:autoSpaceDE w:val="0"/>
              <w:autoSpaceDN w:val="0"/>
              <w:adjustRightInd w:val="0"/>
              <w:jc w:val="right"/>
              <w:rPr>
                <w:rFonts w:asciiTheme="minorHAnsi" w:hAnsiTheme="minorHAnsi" w:cs="AdvPS5958"/>
                <w:i/>
                <w:color w:val="292526"/>
                <w:sz w:val="20"/>
                <w:szCs w:val="20"/>
              </w:rPr>
            </w:pPr>
            <w:r w:rsidRPr="00446581">
              <w:rPr>
                <w:rFonts w:asciiTheme="minorHAnsi" w:hAnsiTheme="minorHAnsi" w:cs="AdvPS5958"/>
                <w:i/>
                <w:color w:val="292526"/>
                <w:sz w:val="20"/>
                <w:szCs w:val="20"/>
              </w:rPr>
              <w:t>8.8</w:t>
            </w:r>
          </w:p>
        </w:tc>
        <w:tc>
          <w:tcPr>
            <w:tcW w:w="1531" w:type="dxa"/>
          </w:tcPr>
          <w:p w:rsidR="005A3464" w:rsidRPr="00446581" w:rsidRDefault="005A3464" w:rsidP="00FB2C50">
            <w:pPr>
              <w:autoSpaceDE w:val="0"/>
              <w:autoSpaceDN w:val="0"/>
              <w:adjustRightInd w:val="0"/>
              <w:jc w:val="center"/>
              <w:rPr>
                <w:rFonts w:asciiTheme="minorHAnsi" w:hAnsiTheme="minorHAnsi" w:cs="AdvPS5958"/>
                <w:i/>
                <w:color w:val="292526"/>
                <w:sz w:val="20"/>
                <w:szCs w:val="20"/>
              </w:rPr>
            </w:pP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v</w:t>
            </w:r>
          </w:p>
        </w:tc>
        <w:tc>
          <w:tcPr>
            <w:tcW w:w="1531" w:type="dxa"/>
          </w:tcPr>
          <w:p w:rsidR="005A3464" w:rsidRPr="00446581" w:rsidRDefault="005A3464" w:rsidP="00FB2C50">
            <w:pPr>
              <w:autoSpaceDE w:val="0"/>
              <w:autoSpaceDN w:val="0"/>
              <w:adjustRightInd w:val="0"/>
              <w:jc w:val="center"/>
              <w:rPr>
                <w:rFonts w:asciiTheme="minorHAnsi" w:hAnsiTheme="minorHAnsi" w:cs="AdvPS5958"/>
                <w:color w:val="292526"/>
                <w:sz w:val="20"/>
                <w:szCs w:val="20"/>
              </w:rPr>
            </w:pPr>
            <w:r w:rsidRPr="00446581">
              <w:rPr>
                <w:rFonts w:asciiTheme="minorHAnsi" w:hAnsiTheme="minorHAnsi" w:cs="AdvPS5958"/>
                <w:color w:val="292526"/>
                <w:sz w:val="20"/>
                <w:szCs w:val="20"/>
              </w:rPr>
              <w:t>1.4</w:t>
            </w:r>
          </w:p>
        </w:tc>
      </w:tr>
    </w:tbl>
    <w:p w:rsidR="005A3464" w:rsidRDefault="005A3464" w:rsidP="005A3464">
      <w:pPr>
        <w:autoSpaceDE w:val="0"/>
        <w:autoSpaceDN w:val="0"/>
        <w:adjustRightInd w:val="0"/>
        <w:rPr>
          <w:lang w:eastAsia="en-US"/>
        </w:rPr>
      </w:pPr>
      <w:r>
        <w:rPr>
          <w:rFonts w:ascii="AdvPS5958" w:hAnsi="AdvPS5958" w:cs="AdvPS5958"/>
          <w:color w:val="292526"/>
          <w:sz w:val="21"/>
          <w:szCs w:val="21"/>
        </w:rPr>
        <w:t xml:space="preserve">Source:  </w:t>
      </w:r>
      <w:r>
        <w:rPr>
          <w:lang w:eastAsia="en-US"/>
        </w:rPr>
        <w:t>O’Donnell et al 2007</w:t>
      </w:r>
    </w:p>
    <w:p w:rsidR="005A3464" w:rsidRDefault="005A3464" w:rsidP="005A3464">
      <w:pPr>
        <w:rPr>
          <w:lang w:eastAsia="en-US"/>
        </w:rPr>
      </w:pPr>
    </w:p>
    <w:p w:rsidR="005A3464" w:rsidRPr="00C71ED9" w:rsidRDefault="005A3464" w:rsidP="005A3464">
      <w:pPr>
        <w:rPr>
          <w:rFonts w:eastAsiaTheme="minorEastAsia"/>
          <w:color w:val="231F20"/>
          <w:szCs w:val="22"/>
        </w:rPr>
      </w:pPr>
      <w:r w:rsidRPr="00C71ED9">
        <w:rPr>
          <w:szCs w:val="22"/>
          <w:lang w:eastAsia="en-US"/>
        </w:rPr>
        <w:t xml:space="preserve">Other studies on developing countries have confirmed that public spending on healthcare is progressive, that is that the poor get greater benefits, either in absolute or relative terms. One of these studies, covering </w:t>
      </w:r>
      <w:r w:rsidRPr="00C71ED9">
        <w:rPr>
          <w:rFonts w:eastAsiaTheme="minorEastAsia"/>
          <w:color w:val="231F20"/>
          <w:szCs w:val="22"/>
        </w:rPr>
        <w:t>over 70 developing and transition countries, found that the poor gained twice as much benefit as the rest:</w:t>
      </w:r>
    </w:p>
    <w:p w:rsidR="005A3464" w:rsidRPr="00C71ED9" w:rsidRDefault="005A3464" w:rsidP="005A3464">
      <w:pPr>
        <w:rPr>
          <w:rFonts w:eastAsiaTheme="minorEastAsia"/>
          <w:color w:val="231F20"/>
          <w:szCs w:val="22"/>
        </w:rPr>
      </w:pPr>
    </w:p>
    <w:p w:rsidR="005A3464" w:rsidRPr="00C71ED9" w:rsidRDefault="005A3464" w:rsidP="005A3464">
      <w:pPr>
        <w:ind w:left="720"/>
        <w:rPr>
          <w:szCs w:val="22"/>
          <w:lang w:eastAsia="en-US"/>
        </w:rPr>
      </w:pPr>
      <w:r w:rsidRPr="00C71ED9">
        <w:rPr>
          <w:rFonts w:eastAsiaTheme="minorEastAsia"/>
          <w:color w:val="231F20"/>
          <w:szCs w:val="22"/>
        </w:rPr>
        <w:t>“The absolute impact of public health spending on the health status of the poor is more than twice that of the non</w:t>
      </w:r>
      <w:r>
        <w:rPr>
          <w:rFonts w:eastAsiaTheme="minorEastAsia"/>
          <w:color w:val="231F20"/>
          <w:szCs w:val="22"/>
        </w:rPr>
        <w:t>-</w:t>
      </w:r>
      <w:r w:rsidRPr="00C71ED9">
        <w:rPr>
          <w:rFonts w:eastAsiaTheme="minorEastAsia"/>
          <w:color w:val="231F20"/>
          <w:szCs w:val="22"/>
        </w:rPr>
        <w:t xml:space="preserve">poor …. For child mortality rates, a 1% increase in public spending on health reduces child mortality by twice as many deaths among the poor. Infant mortality rates follow a similar pattern. </w:t>
      </w:r>
      <w:r w:rsidRPr="00C71ED9">
        <w:rPr>
          <w:szCs w:val="22"/>
          <w:lang w:eastAsia="en-US"/>
        </w:rPr>
        <w:t>(Gupta et al 2003)</w:t>
      </w:r>
    </w:p>
    <w:p w:rsidR="005A3464" w:rsidRPr="002B5D5E" w:rsidRDefault="005A3464" w:rsidP="005A3464"/>
    <w:p w:rsidR="005A3464" w:rsidRDefault="005A3464" w:rsidP="005A3464">
      <w:pPr>
        <w:pStyle w:val="Heading3"/>
      </w:pPr>
      <w:bookmarkStart w:id="29" w:name="_Toc388199707"/>
      <w:r w:rsidRPr="00463765">
        <w:t>Education</w:t>
      </w:r>
      <w:bookmarkEnd w:id="29"/>
    </w:p>
    <w:p w:rsidR="005A3464" w:rsidRPr="006C0A7B" w:rsidRDefault="005A3464" w:rsidP="005A3464"/>
    <w:p w:rsidR="005A3464" w:rsidRPr="00316770" w:rsidRDefault="005A3464" w:rsidP="005A3464">
      <w:r w:rsidRPr="00316770">
        <w:t xml:space="preserve">Public education services </w:t>
      </w:r>
      <w:r>
        <w:t xml:space="preserve">have multiple impacts on equality, </w:t>
      </w:r>
      <w:r w:rsidRPr="00316770">
        <w:t>by:</w:t>
      </w:r>
    </w:p>
    <w:p w:rsidR="005A3464" w:rsidRPr="00266153" w:rsidRDefault="005A3464" w:rsidP="005A3464">
      <w:pPr>
        <w:pStyle w:val="ListParagraph"/>
        <w:numPr>
          <w:ilvl w:val="0"/>
          <w:numId w:val="37"/>
        </w:numPr>
        <w:contextualSpacing/>
        <w:rPr>
          <w:rFonts w:ascii="Times New Roman" w:hAnsi="Times New Roman"/>
        </w:rPr>
      </w:pPr>
      <w:r w:rsidRPr="00266153">
        <w:rPr>
          <w:rFonts w:ascii="Times New Roman" w:hAnsi="Times New Roman"/>
        </w:rPr>
        <w:t>making education equally available to all, including both men and women, without barriers of affordability</w:t>
      </w:r>
    </w:p>
    <w:p w:rsidR="005A3464" w:rsidRPr="00266153" w:rsidRDefault="005A3464" w:rsidP="005A3464">
      <w:pPr>
        <w:pStyle w:val="ListParagraph"/>
        <w:numPr>
          <w:ilvl w:val="0"/>
          <w:numId w:val="37"/>
        </w:numPr>
        <w:contextualSpacing/>
        <w:rPr>
          <w:rFonts w:ascii="Times New Roman" w:hAnsi="Times New Roman"/>
        </w:rPr>
      </w:pPr>
      <w:r w:rsidRPr="00266153">
        <w:rPr>
          <w:rFonts w:ascii="Times New Roman" w:hAnsi="Times New Roman"/>
        </w:rPr>
        <w:t xml:space="preserve"> improving the employment prospects and human development of children from poorer households, women, and other disadvantaged groups</w:t>
      </w:r>
    </w:p>
    <w:p w:rsidR="005A3464" w:rsidRPr="00266153" w:rsidRDefault="005A3464" w:rsidP="005A3464">
      <w:pPr>
        <w:pStyle w:val="ListParagraph"/>
        <w:numPr>
          <w:ilvl w:val="0"/>
          <w:numId w:val="37"/>
        </w:numPr>
        <w:contextualSpacing/>
        <w:rPr>
          <w:rFonts w:ascii="Times New Roman" w:hAnsi="Times New Roman"/>
        </w:rPr>
      </w:pPr>
      <w:r w:rsidRPr="00266153">
        <w:rPr>
          <w:rFonts w:ascii="Times New Roman" w:hAnsi="Times New Roman"/>
        </w:rPr>
        <w:t>increasing disposable income by reducing or eliminating the need to spend money on education, which is proportionately of greater benefit to poorer households</w:t>
      </w:r>
    </w:p>
    <w:p w:rsidR="005A3464" w:rsidRPr="00266153" w:rsidRDefault="005A3464" w:rsidP="005A3464">
      <w:pPr>
        <w:pStyle w:val="ListParagraph"/>
        <w:rPr>
          <w:rFonts w:ascii="Times New Roman" w:hAnsi="Times New Roman"/>
        </w:rPr>
      </w:pPr>
    </w:p>
    <w:p w:rsidR="005A3464" w:rsidRPr="00266153" w:rsidRDefault="005A3464" w:rsidP="005A3464">
      <w:r w:rsidRPr="00266153">
        <w:t xml:space="preserve">These effects are greatest where education is universally available, with no direct or indirect fees. Different types of education spending may favour different groups. The benefit of public spending on primary schools is fairly equal, or greater for poorer households, so is progressive. But for secondary education this is reversed, so that more of the benefit goes to the higher income groups; for tertiary – university – education, it favours better-off groups even more. </w:t>
      </w:r>
    </w:p>
    <w:p w:rsidR="005A3464" w:rsidRPr="00266153" w:rsidRDefault="005A3464" w:rsidP="005A3464">
      <w:pPr>
        <w:pStyle w:val="ListParagraph"/>
        <w:ind w:left="0"/>
        <w:rPr>
          <w:rFonts w:ascii="Times New Roman" w:hAnsi="Times New Roman"/>
        </w:rPr>
      </w:pPr>
    </w:p>
    <w:p w:rsidR="005A3464" w:rsidRPr="00266153" w:rsidRDefault="005A3464" w:rsidP="005A3464">
      <w:pPr>
        <w:pStyle w:val="ListParagraph"/>
        <w:ind w:left="0"/>
        <w:rPr>
          <w:rFonts w:ascii="Times New Roman" w:hAnsi="Times New Roman"/>
        </w:rPr>
      </w:pPr>
      <w:r w:rsidRPr="00266153">
        <w:rPr>
          <w:rFonts w:ascii="Times New Roman" w:hAnsi="Times New Roman"/>
        </w:rPr>
        <w:t xml:space="preserve">These patterns are not usually due to targeting or discrimination in the education system itself. They reflect the fact that in many countries nearly all children attend primary school, whereas the children of lower income families are expected to contribute to family income, and so are less likely to attend secondary school – and even less likely to attend university.  It would not however improve equality to reduce spending </w:t>
      </w:r>
      <w:r w:rsidRPr="00266153">
        <w:rPr>
          <w:rFonts w:ascii="Times New Roman" w:hAnsi="Times New Roman"/>
        </w:rPr>
        <w:lastRenderedPageBreak/>
        <w:t>on secondary schools: this would make it even more difficult for poorer families to afford to send their children to secondary school, and so reduce equality of opportunity. The same is true of university education.</w:t>
      </w:r>
    </w:p>
    <w:p w:rsidR="005A3464" w:rsidRPr="00266153" w:rsidRDefault="005A3464" w:rsidP="005A3464"/>
    <w:p w:rsidR="005A3464" w:rsidRPr="00266153" w:rsidRDefault="005A3464" w:rsidP="005A3464">
      <w:pPr>
        <w:rPr>
          <w:lang w:eastAsia="en-US"/>
        </w:rPr>
      </w:pPr>
      <w:r w:rsidRPr="00266153">
        <w:rPr>
          <w:lang w:eastAsia="en-US"/>
        </w:rPr>
        <w:t xml:space="preserve">An analysis of the benefits of education spending in developing countries shows these different patterns: </w:t>
      </w:r>
    </w:p>
    <w:p w:rsidR="005A3464" w:rsidRPr="00266153" w:rsidRDefault="005A3464" w:rsidP="005A3464">
      <w:pPr>
        <w:rPr>
          <w:lang w:eastAsia="en-US"/>
        </w:rPr>
      </w:pPr>
    </w:p>
    <w:p w:rsidR="005A3464" w:rsidRPr="00266153" w:rsidRDefault="005A3464" w:rsidP="005A3464">
      <w:pPr>
        <w:pStyle w:val="ListParagraph"/>
        <w:numPr>
          <w:ilvl w:val="0"/>
          <w:numId w:val="36"/>
        </w:numPr>
        <w:contextualSpacing/>
        <w:rPr>
          <w:rFonts w:ascii="Times New Roman" w:hAnsi="Times New Roman"/>
          <w:lang w:eastAsia="en-US"/>
        </w:rPr>
      </w:pPr>
      <w:r w:rsidRPr="00266153">
        <w:rPr>
          <w:rFonts w:ascii="Times New Roman" w:hAnsi="Times New Roman"/>
          <w:lang w:eastAsia="en-US"/>
        </w:rPr>
        <w:t>In primary education, in nearly all regions, the poorest 20% get about as much, or more, of the benefit than the richest 20%, in all groups of countries: so it is equal or progressive in absolute terms.</w:t>
      </w:r>
    </w:p>
    <w:p w:rsidR="005A3464" w:rsidRPr="00266153" w:rsidRDefault="005A3464" w:rsidP="005A3464">
      <w:pPr>
        <w:pStyle w:val="ListParagraph"/>
        <w:numPr>
          <w:ilvl w:val="0"/>
          <w:numId w:val="36"/>
        </w:numPr>
        <w:contextualSpacing/>
        <w:rPr>
          <w:rFonts w:ascii="Times New Roman" w:hAnsi="Times New Roman"/>
          <w:lang w:eastAsia="en-US"/>
        </w:rPr>
      </w:pPr>
      <w:r w:rsidRPr="00266153">
        <w:rPr>
          <w:rFonts w:ascii="Times New Roman" w:hAnsi="Times New Roman"/>
          <w:lang w:eastAsia="en-US"/>
        </w:rPr>
        <w:t xml:space="preserve">For secondary education, the absolute benefits are greater for the higher income groups – but the poor still get a higher proportion of the benefit than they do of money incomes, so the impact is still relatively progressive, in all regions. </w:t>
      </w:r>
    </w:p>
    <w:p w:rsidR="005A3464" w:rsidRPr="00266153" w:rsidRDefault="005A3464" w:rsidP="005A3464">
      <w:pPr>
        <w:pStyle w:val="ListParagraph"/>
        <w:numPr>
          <w:ilvl w:val="0"/>
          <w:numId w:val="36"/>
        </w:numPr>
        <w:contextualSpacing/>
        <w:rPr>
          <w:rFonts w:ascii="Times New Roman" w:hAnsi="Times New Roman"/>
          <w:lang w:eastAsia="en-US"/>
        </w:rPr>
      </w:pPr>
      <w:r w:rsidRPr="00266153">
        <w:rPr>
          <w:rFonts w:ascii="Times New Roman" w:hAnsi="Times New Roman"/>
          <w:lang w:eastAsia="en-US"/>
        </w:rPr>
        <w:t xml:space="preserve">This is true for education spending as a whole, even when university education is included, and even in Africa and Asia: the richest 20% get 3 times as much benefit as the poorest, whereas their money incomes are many times greater than the poorest.    </w:t>
      </w:r>
    </w:p>
    <w:p w:rsidR="005A3464" w:rsidRDefault="005A3464" w:rsidP="005A3464">
      <w:pPr>
        <w:pStyle w:val="Heading7"/>
      </w:pPr>
      <w:bookmarkStart w:id="30" w:name="_Toc388199708"/>
      <w:r>
        <w:t>Shares of poorest and richest quintiles in public education spending (1990s)</w:t>
      </w:r>
      <w:bookmarkEnd w:id="30"/>
    </w:p>
    <w:tbl>
      <w:tblPr>
        <w:tblStyle w:val="TableGrid"/>
        <w:tblW w:w="0" w:type="auto"/>
        <w:tblLayout w:type="fixed"/>
        <w:tblLook w:val="04A0" w:firstRow="1" w:lastRow="0" w:firstColumn="1" w:lastColumn="0" w:noHBand="0" w:noVBand="1"/>
      </w:tblPr>
      <w:tblGrid>
        <w:gridCol w:w="2235"/>
        <w:gridCol w:w="708"/>
        <w:gridCol w:w="857"/>
        <w:gridCol w:w="857"/>
        <w:gridCol w:w="857"/>
        <w:gridCol w:w="857"/>
        <w:gridCol w:w="857"/>
        <w:gridCol w:w="857"/>
        <w:gridCol w:w="857"/>
        <w:gridCol w:w="858"/>
      </w:tblGrid>
      <w:tr w:rsidR="005A3464" w:rsidRPr="009051B3" w:rsidTr="00FB2C50">
        <w:tc>
          <w:tcPr>
            <w:tcW w:w="2235" w:type="dxa"/>
          </w:tcPr>
          <w:p w:rsidR="005A3464" w:rsidRPr="009051B3" w:rsidRDefault="005A3464" w:rsidP="00FB2C50">
            <w:pPr>
              <w:rPr>
                <w:rFonts w:asciiTheme="minorHAnsi" w:hAnsiTheme="minorHAnsi"/>
                <w:sz w:val="20"/>
                <w:szCs w:val="20"/>
                <w:lang w:eastAsia="en-US"/>
              </w:rPr>
            </w:pPr>
          </w:p>
        </w:tc>
        <w:tc>
          <w:tcPr>
            <w:tcW w:w="708" w:type="dxa"/>
          </w:tcPr>
          <w:p w:rsidR="005A3464" w:rsidRPr="009051B3" w:rsidRDefault="005A3464" w:rsidP="00FB2C50">
            <w:pPr>
              <w:rPr>
                <w:rFonts w:asciiTheme="minorHAnsi" w:hAnsiTheme="minorHAnsi"/>
                <w:i/>
                <w:sz w:val="20"/>
                <w:szCs w:val="20"/>
                <w:lang w:eastAsia="en-US"/>
              </w:rPr>
            </w:pPr>
          </w:p>
        </w:tc>
        <w:tc>
          <w:tcPr>
            <w:tcW w:w="1714" w:type="dxa"/>
            <w:gridSpan w:val="2"/>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PRIMARY Education spending</w:t>
            </w:r>
          </w:p>
        </w:tc>
        <w:tc>
          <w:tcPr>
            <w:tcW w:w="1714" w:type="dxa"/>
            <w:gridSpan w:val="2"/>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SECONDARY Education spending</w:t>
            </w:r>
          </w:p>
        </w:tc>
        <w:tc>
          <w:tcPr>
            <w:tcW w:w="1714" w:type="dxa"/>
            <w:gridSpan w:val="2"/>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TERTIARY Education spending</w:t>
            </w:r>
          </w:p>
        </w:tc>
        <w:tc>
          <w:tcPr>
            <w:tcW w:w="1715" w:type="dxa"/>
            <w:gridSpan w:val="2"/>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ALL Education spending</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No. of countries</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Poorest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Richest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Poorest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Richest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Poorest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Richest 20% get</w:t>
            </w:r>
          </w:p>
        </w:tc>
        <w:tc>
          <w:tcPr>
            <w:tcW w:w="857"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Poorest 20% get</w:t>
            </w:r>
          </w:p>
        </w:tc>
        <w:tc>
          <w:tcPr>
            <w:tcW w:w="858"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Richest 20% get</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Sub-Saharan Africa</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10</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17.8</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18.4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7.4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38.7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5.2</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54.4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12.8</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32.7</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Asia and Pacific</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20.3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16.9</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8.3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37.3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2.5</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69.0</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12.4</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34.8</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Middle East and North Africa</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2</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24.7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12.4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11.0</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24.4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4.0</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46.9</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15.3</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24.1</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Transition</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19.3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20.0</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12.5</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24.6</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8.7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32.6</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15.3</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24.0</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Western Hemisphere</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14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29.5</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9.4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15.1</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17.8</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4.7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41.6</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19.2</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20.7</w:t>
            </w:r>
          </w:p>
        </w:tc>
      </w:tr>
      <w:tr w:rsidR="005A3464" w:rsidRPr="009051B3" w:rsidTr="00FB2C50">
        <w:tc>
          <w:tcPr>
            <w:tcW w:w="2235" w:type="dxa"/>
          </w:tcPr>
          <w:p w:rsidR="005A3464" w:rsidRPr="009051B3" w:rsidRDefault="005A3464" w:rsidP="00FB2C50">
            <w:pPr>
              <w:rPr>
                <w:rFonts w:asciiTheme="minorHAnsi" w:hAnsiTheme="minorHAnsi"/>
                <w:sz w:val="20"/>
                <w:szCs w:val="20"/>
                <w:lang w:eastAsia="en-US"/>
              </w:rPr>
            </w:pPr>
            <w:r w:rsidRPr="009051B3">
              <w:rPr>
                <w:rFonts w:asciiTheme="minorHAnsi" w:hAnsiTheme="minorHAnsi"/>
                <w:sz w:val="20"/>
                <w:szCs w:val="20"/>
                <w:lang w:eastAsia="en-US"/>
              </w:rPr>
              <w:t>Total</w:t>
            </w:r>
          </w:p>
        </w:tc>
        <w:tc>
          <w:tcPr>
            <w:tcW w:w="708" w:type="dxa"/>
          </w:tcPr>
          <w:p w:rsidR="005A3464" w:rsidRPr="009051B3" w:rsidRDefault="005A3464" w:rsidP="00FB2C50">
            <w:pPr>
              <w:rPr>
                <w:rFonts w:asciiTheme="minorHAnsi" w:hAnsiTheme="minorHAnsi"/>
                <w:i/>
                <w:sz w:val="20"/>
                <w:szCs w:val="20"/>
                <w:lang w:eastAsia="en-US"/>
              </w:rPr>
            </w:pPr>
            <w:r w:rsidRPr="009051B3">
              <w:rPr>
                <w:rFonts w:asciiTheme="minorHAnsi" w:hAnsiTheme="minorHAnsi"/>
                <w:i/>
                <w:sz w:val="20"/>
                <w:szCs w:val="20"/>
                <w:lang w:eastAsia="en-US"/>
              </w:rPr>
              <w:t>37</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22.8</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15.1</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11.3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27.9</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5.4</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46.3</w:t>
            </w:r>
          </w:p>
        </w:tc>
        <w:tc>
          <w:tcPr>
            <w:tcW w:w="857"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15.8</w:t>
            </w:r>
          </w:p>
        </w:tc>
        <w:tc>
          <w:tcPr>
            <w:tcW w:w="858" w:type="dxa"/>
          </w:tcPr>
          <w:p w:rsidR="005A3464" w:rsidRPr="009051B3" w:rsidRDefault="005A3464" w:rsidP="00FB2C50">
            <w:pPr>
              <w:jc w:val="right"/>
              <w:rPr>
                <w:rFonts w:asciiTheme="minorHAnsi" w:hAnsiTheme="minorHAnsi"/>
                <w:sz w:val="20"/>
                <w:szCs w:val="20"/>
                <w:lang w:eastAsia="en-US"/>
              </w:rPr>
            </w:pPr>
            <w:r w:rsidRPr="009051B3">
              <w:rPr>
                <w:rFonts w:asciiTheme="minorHAnsi" w:hAnsiTheme="minorHAnsi"/>
                <w:sz w:val="20"/>
                <w:szCs w:val="20"/>
                <w:lang w:eastAsia="en-US"/>
              </w:rPr>
              <w:t>26.3</w:t>
            </w:r>
          </w:p>
        </w:tc>
      </w:tr>
    </w:tbl>
    <w:p w:rsidR="005A3464" w:rsidRDefault="005A3464" w:rsidP="005A3464">
      <w:pPr>
        <w:rPr>
          <w:lang w:eastAsia="en-US"/>
        </w:rPr>
      </w:pPr>
      <w:r>
        <w:rPr>
          <w:sz w:val="20"/>
          <w:szCs w:val="20"/>
          <w:lang w:eastAsia="en-US"/>
        </w:rPr>
        <w:t xml:space="preserve">Source: </w:t>
      </w:r>
      <w:proofErr w:type="spellStart"/>
      <w:r>
        <w:rPr>
          <w:sz w:val="20"/>
          <w:szCs w:val="20"/>
          <w:lang w:eastAsia="en-US"/>
        </w:rPr>
        <w:t>Davoodi</w:t>
      </w:r>
      <w:proofErr w:type="spellEnd"/>
      <w:r>
        <w:rPr>
          <w:sz w:val="20"/>
          <w:szCs w:val="20"/>
          <w:lang w:eastAsia="en-US"/>
        </w:rPr>
        <w:t xml:space="preserve"> et al 2010 </w:t>
      </w:r>
      <w:r>
        <w:rPr>
          <w:rStyle w:val="EndnoteReference"/>
          <w:sz w:val="20"/>
          <w:szCs w:val="20"/>
          <w:lang w:eastAsia="en-US"/>
        </w:rPr>
        <w:endnoteReference w:id="11"/>
      </w:r>
    </w:p>
    <w:p w:rsidR="005A3464" w:rsidRPr="00316770" w:rsidRDefault="005A3464" w:rsidP="005A3464"/>
    <w:p w:rsidR="005A3464" w:rsidRPr="00316770" w:rsidRDefault="005A3464" w:rsidP="005A3464">
      <w:pPr>
        <w:pStyle w:val="Heading3"/>
      </w:pPr>
      <w:bookmarkStart w:id="31" w:name="_Toc388199709"/>
      <w:r>
        <w:t xml:space="preserve">Education in </w:t>
      </w:r>
      <w:r w:rsidRPr="00316770">
        <w:t>Indonesia</w:t>
      </w:r>
      <w:bookmarkEnd w:id="31"/>
      <w:r>
        <w:t xml:space="preserve"> </w:t>
      </w:r>
    </w:p>
    <w:p w:rsidR="005A3464" w:rsidRDefault="005A3464" w:rsidP="005A3464">
      <w:pPr>
        <w:pStyle w:val="ListParagraph"/>
        <w:ind w:left="0"/>
      </w:pPr>
      <w:r>
        <w:t xml:space="preserve">A 2010 report on </w:t>
      </w:r>
      <w:proofErr w:type="gramStart"/>
      <w:r>
        <w:t>Indonesia,</w:t>
      </w:r>
      <w:proofErr w:type="gramEnd"/>
      <w:r>
        <w:t xml:space="preserve"> shows the absolute and relative impacts of different forms of public spending on education. Poorer households got more benefit from public spending on primary education than the richer groups, so the </w:t>
      </w:r>
      <w:r w:rsidRPr="00316770">
        <w:t xml:space="preserve">benefit of primary education </w:t>
      </w:r>
      <w:r>
        <w:t>is absolutely progressive. F</w:t>
      </w:r>
      <w:r w:rsidRPr="00316770">
        <w:t xml:space="preserve">or secondary education, </w:t>
      </w:r>
      <w:r>
        <w:t xml:space="preserve">the children of richer families received more benefits, because of higher enrolment rates.   But if primary and secondary </w:t>
      </w:r>
      <w:proofErr w:type="gramStart"/>
      <w:r>
        <w:t>education are</w:t>
      </w:r>
      <w:proofErr w:type="gramEnd"/>
      <w:r>
        <w:t xml:space="preserve"> added together, the spending per capita is almost completely equal across the income bands, except that the top group gets less benefit – which presumably reflects their use of private schools. So in absolute terms, the school system can be considered remarkably equal. </w:t>
      </w:r>
    </w:p>
    <w:p w:rsidR="005A3464" w:rsidRDefault="005A3464" w:rsidP="005A3464">
      <w:pPr>
        <w:pStyle w:val="ListParagraph"/>
        <w:ind w:left="0"/>
      </w:pPr>
    </w:p>
    <w:p w:rsidR="005A3464" w:rsidRDefault="005A3464" w:rsidP="005A3464">
      <w:r>
        <w:t xml:space="preserve">For university education, the spread is even more skewed in favour of the richer groups, so that in absolute and relative terms the system favours the rich. However, reducing public spending on university education is unlikely to help the children of the poor, who need public finance most.  </w:t>
      </w:r>
    </w:p>
    <w:p w:rsidR="005A3464" w:rsidRDefault="005A3464" w:rsidP="005A3464"/>
    <w:p w:rsidR="005A3464" w:rsidRDefault="005A3464" w:rsidP="005A3464">
      <w:r>
        <w:t xml:space="preserve">If school and university spending are added together, the whole system is still progressive in relative terms. The </w:t>
      </w:r>
      <w:proofErr w:type="gramStart"/>
      <w:r>
        <w:t>top  20</w:t>
      </w:r>
      <w:proofErr w:type="gramEnd"/>
      <w:r>
        <w:t>% get twice as much benefit from the education system as the bottom 20% but their incomes are  more than 5 times greater than the poorest. So when the value of the education system is added to household incomes, they end up more equal than the market distribution of income.</w:t>
      </w:r>
      <w:r w:rsidRPr="00FE7486">
        <w:t xml:space="preserve"> </w:t>
      </w:r>
    </w:p>
    <w:p w:rsidR="005A3464" w:rsidRPr="00316770" w:rsidRDefault="005A3464" w:rsidP="005A3464">
      <w:pPr>
        <w:pStyle w:val="Heading7"/>
      </w:pPr>
      <w:bookmarkStart w:id="32" w:name="_Toc388199710"/>
      <w:r>
        <w:t>Benefits of public spending on education by quintile group, Indonesia, 2005</w:t>
      </w:r>
      <w:bookmarkEnd w:id="32"/>
    </w:p>
    <w:tbl>
      <w:tblPr>
        <w:tblStyle w:val="TableGrid"/>
        <w:tblW w:w="0" w:type="auto"/>
        <w:tblLook w:val="04A0" w:firstRow="1" w:lastRow="0" w:firstColumn="1" w:lastColumn="0" w:noHBand="0" w:noVBand="1"/>
      </w:tblPr>
      <w:tblGrid>
        <w:gridCol w:w="1242"/>
        <w:gridCol w:w="1215"/>
        <w:gridCol w:w="1215"/>
        <w:gridCol w:w="1215"/>
        <w:gridCol w:w="1215"/>
        <w:gridCol w:w="1215"/>
        <w:gridCol w:w="1215"/>
        <w:gridCol w:w="1215"/>
      </w:tblGrid>
      <w:tr w:rsidR="005A3464" w:rsidRPr="00FE7486" w:rsidTr="00FB2C50">
        <w:tc>
          <w:tcPr>
            <w:tcW w:w="1242" w:type="dxa"/>
          </w:tcPr>
          <w:p w:rsidR="005A3464" w:rsidRPr="00FE7486" w:rsidRDefault="005A3464" w:rsidP="00FB2C50">
            <w:pPr>
              <w:rPr>
                <w:rFonts w:asciiTheme="minorHAnsi" w:hAnsiTheme="minorHAnsi"/>
                <w:color w:val="000000"/>
                <w:sz w:val="20"/>
                <w:szCs w:val="20"/>
              </w:rPr>
            </w:pP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Share of income (post-tax)</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Share of 1ary education spending</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Share of 2ary education spending</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Share of university education spending</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Share of all education spending</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1ary plus 2ary spending per capita</w:t>
            </w:r>
          </w:p>
        </w:tc>
        <w:tc>
          <w:tcPr>
            <w:tcW w:w="1215" w:type="dxa"/>
          </w:tcPr>
          <w:p w:rsidR="005A3464" w:rsidRPr="00FE7486" w:rsidRDefault="005A3464" w:rsidP="00FB2C50">
            <w:pPr>
              <w:rPr>
                <w:rFonts w:asciiTheme="minorHAnsi" w:hAnsiTheme="minorHAnsi"/>
                <w:color w:val="000000"/>
                <w:sz w:val="20"/>
                <w:szCs w:val="20"/>
              </w:rPr>
            </w:pPr>
            <w:proofErr w:type="spellStart"/>
            <w:r w:rsidRPr="00FE7486">
              <w:rPr>
                <w:rFonts w:asciiTheme="minorHAnsi" w:hAnsiTheme="minorHAnsi"/>
                <w:color w:val="000000"/>
                <w:sz w:val="20"/>
                <w:szCs w:val="20"/>
              </w:rPr>
              <w:t>Univ</w:t>
            </w:r>
            <w:proofErr w:type="spellEnd"/>
            <w:r w:rsidRPr="00FE7486">
              <w:rPr>
                <w:rFonts w:asciiTheme="minorHAnsi" w:hAnsiTheme="minorHAnsi"/>
                <w:color w:val="000000"/>
                <w:sz w:val="20"/>
                <w:szCs w:val="20"/>
              </w:rPr>
              <w:t xml:space="preserve"> spending per capita</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Q1</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8.3</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23.8</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10.5</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4.0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15.5</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76,436.0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6,448.0</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Q2</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12.0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22.3</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14.6</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5.7</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16.0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75,930.0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9,188.0</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lastRenderedPageBreak/>
              <w:t>Q3</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15.8</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20.6</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19.1</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10.8</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17.4</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75,223.0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17,409.0</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Q4</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21.0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18.3</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24.9</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19.5</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19.8</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74,006.0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31,433.0</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Q5</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42.8</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15.0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30.9</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60.0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31.3</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70,158.0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96,715.0</w:t>
            </w:r>
          </w:p>
        </w:tc>
      </w:tr>
      <w:tr w:rsidR="005A3464" w:rsidRPr="00FE7486" w:rsidTr="00FB2C50">
        <w:tc>
          <w:tcPr>
            <w:tcW w:w="1242" w:type="dxa"/>
          </w:tcPr>
          <w:p w:rsidR="005A3464" w:rsidRPr="00FE7486" w:rsidRDefault="005A3464" w:rsidP="00FB2C50">
            <w:pPr>
              <w:rPr>
                <w:rFonts w:asciiTheme="minorHAnsi" w:hAnsiTheme="minorHAnsi"/>
                <w:color w:val="000000"/>
                <w:sz w:val="20"/>
                <w:szCs w:val="20"/>
              </w:rPr>
            </w:pPr>
            <w:proofErr w:type="spellStart"/>
            <w:r w:rsidRPr="00FE7486">
              <w:rPr>
                <w:rFonts w:asciiTheme="minorHAnsi" w:hAnsiTheme="minorHAnsi"/>
                <w:color w:val="000000"/>
                <w:sz w:val="20"/>
                <w:szCs w:val="20"/>
              </w:rPr>
              <w:t>Top:bottom</w:t>
            </w:r>
            <w:proofErr w:type="spellEnd"/>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5.2</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0.6</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2.9</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15.0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2.0</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0.9</w:t>
            </w:r>
          </w:p>
        </w:tc>
        <w:tc>
          <w:tcPr>
            <w:tcW w:w="1215" w:type="dxa"/>
          </w:tcPr>
          <w:p w:rsidR="005A3464" w:rsidRPr="00FE7486" w:rsidRDefault="005A3464" w:rsidP="00FB2C50">
            <w:pPr>
              <w:rPr>
                <w:rFonts w:asciiTheme="minorHAnsi" w:hAnsiTheme="minorHAnsi"/>
                <w:color w:val="000000"/>
                <w:sz w:val="20"/>
                <w:szCs w:val="20"/>
              </w:rPr>
            </w:pPr>
            <w:r w:rsidRPr="00FE7486">
              <w:rPr>
                <w:rFonts w:asciiTheme="minorHAnsi" w:hAnsiTheme="minorHAnsi"/>
                <w:color w:val="000000"/>
                <w:sz w:val="20"/>
                <w:szCs w:val="20"/>
              </w:rPr>
              <w:t>15.0</w:t>
            </w:r>
          </w:p>
        </w:tc>
      </w:tr>
    </w:tbl>
    <w:p w:rsidR="005A3464" w:rsidRPr="00AF2FFC" w:rsidRDefault="005A3464" w:rsidP="005A3464">
      <w:r w:rsidRPr="00AF2FFC">
        <w:t xml:space="preserve">Source: </w:t>
      </w:r>
      <w:proofErr w:type="spellStart"/>
      <w:r w:rsidRPr="00AF2FFC">
        <w:t>Juswanto</w:t>
      </w:r>
      <w:proofErr w:type="spellEnd"/>
      <w:r w:rsidRPr="00AF2FFC">
        <w:t xml:space="preserve"> 2010, </w:t>
      </w:r>
      <w:r>
        <w:t xml:space="preserve">World Bank database, </w:t>
      </w:r>
      <w:r w:rsidRPr="00AF2FFC">
        <w:t>PSIRU calculations</w:t>
      </w:r>
    </w:p>
    <w:p w:rsidR="005A3464" w:rsidRPr="0052138D" w:rsidRDefault="005A3464" w:rsidP="005A3464">
      <w:pPr>
        <w:rPr>
          <w:lang w:eastAsia="en-US"/>
        </w:rPr>
      </w:pPr>
    </w:p>
    <w:p w:rsidR="005A3464" w:rsidRPr="00C57611" w:rsidRDefault="005A3464" w:rsidP="005A3464">
      <w:pPr>
        <w:pStyle w:val="Heading1"/>
      </w:pPr>
      <w:bookmarkStart w:id="33" w:name="_Toc388199711"/>
      <w:r w:rsidRPr="00C57611">
        <w:t xml:space="preserve">Infrastructure and </w:t>
      </w:r>
      <w:r>
        <w:t>in</w:t>
      </w:r>
      <w:r w:rsidRPr="00C57611">
        <w:t>equality</w:t>
      </w:r>
      <w:bookmarkEnd w:id="33"/>
    </w:p>
    <w:p w:rsidR="005A3464" w:rsidRDefault="005A3464" w:rsidP="005A3464">
      <w:pPr>
        <w:autoSpaceDE w:val="0"/>
        <w:autoSpaceDN w:val="0"/>
        <w:adjustRightInd w:val="0"/>
        <w:rPr>
          <w:szCs w:val="22"/>
          <w:lang w:eastAsia="en-US"/>
        </w:rPr>
      </w:pPr>
      <w:r w:rsidRPr="00666AD0">
        <w:rPr>
          <w:szCs w:val="22"/>
          <w:lang w:eastAsia="en-US"/>
        </w:rPr>
        <w:t xml:space="preserve">Other public services </w:t>
      </w:r>
      <w:r>
        <w:rPr>
          <w:szCs w:val="22"/>
          <w:lang w:eastAsia="en-US"/>
        </w:rPr>
        <w:t xml:space="preserve">involve infrastructure which connects people to networks. They include </w:t>
      </w:r>
      <w:r w:rsidRPr="00666AD0">
        <w:rPr>
          <w:szCs w:val="22"/>
          <w:lang w:eastAsia="en-US"/>
        </w:rPr>
        <w:t xml:space="preserve">roads, electricity, water, sewerage, and telecoms. </w:t>
      </w:r>
      <w:r>
        <w:rPr>
          <w:szCs w:val="22"/>
          <w:lang w:eastAsia="en-US"/>
        </w:rPr>
        <w:t xml:space="preserve">As well as being very important for supporting economic growth and business activities, they provide important economic and social benefits to families and communities. </w:t>
      </w:r>
    </w:p>
    <w:p w:rsidR="005A3464" w:rsidRDefault="005A3464" w:rsidP="005A3464">
      <w:pPr>
        <w:autoSpaceDE w:val="0"/>
        <w:autoSpaceDN w:val="0"/>
        <w:adjustRightInd w:val="0"/>
        <w:rPr>
          <w:szCs w:val="22"/>
          <w:lang w:eastAsia="en-US"/>
        </w:rPr>
      </w:pPr>
    </w:p>
    <w:p w:rsidR="005A3464" w:rsidRPr="00666AD0" w:rsidRDefault="005A3464" w:rsidP="005A3464">
      <w:pPr>
        <w:rPr>
          <w:szCs w:val="22"/>
          <w:lang w:eastAsia="en-US"/>
        </w:rPr>
      </w:pPr>
      <w:r w:rsidRPr="00666AD0">
        <w:rPr>
          <w:szCs w:val="22"/>
          <w:lang w:eastAsia="en-US"/>
        </w:rPr>
        <w:t xml:space="preserve">These </w:t>
      </w:r>
      <w:r>
        <w:rPr>
          <w:szCs w:val="22"/>
          <w:lang w:eastAsia="en-US"/>
        </w:rPr>
        <w:t>‘infrastructure’ or ‘network’ services</w:t>
      </w:r>
      <w:r w:rsidRPr="00666AD0">
        <w:rPr>
          <w:szCs w:val="22"/>
          <w:lang w:eastAsia="en-US"/>
        </w:rPr>
        <w:t xml:space="preserve"> have a double impact on inequality. </w:t>
      </w:r>
    </w:p>
    <w:p w:rsidR="005A3464" w:rsidRDefault="005A3464" w:rsidP="005A3464">
      <w:pPr>
        <w:rPr>
          <w:szCs w:val="22"/>
          <w:lang w:eastAsia="en-US"/>
        </w:rPr>
      </w:pPr>
    </w:p>
    <w:p w:rsidR="005A3464" w:rsidRPr="00CE3AEF" w:rsidRDefault="005A3464" w:rsidP="005A3464">
      <w:pPr>
        <w:rPr>
          <w:szCs w:val="22"/>
        </w:rPr>
      </w:pPr>
      <w:r w:rsidRPr="00666AD0">
        <w:rPr>
          <w:szCs w:val="22"/>
          <w:lang w:eastAsia="en-US"/>
        </w:rPr>
        <w:t xml:space="preserve">Firstly, </w:t>
      </w:r>
      <w:r w:rsidRPr="00CE3AEF">
        <w:rPr>
          <w:szCs w:val="22"/>
        </w:rPr>
        <w:t xml:space="preserve">the quality of life directly improves as a result of the services themselves: as communities gain access to piped water and sanitation their health improves, access to electricity facilitates reading and education as well as the use of electrical equipment including </w:t>
      </w:r>
      <w:r w:rsidR="004D4CA4">
        <w:rPr>
          <w:szCs w:val="22"/>
        </w:rPr>
        <w:t xml:space="preserve">refrigeration and food conservation, </w:t>
      </w:r>
      <w:r w:rsidRPr="00CE3AEF">
        <w:rPr>
          <w:szCs w:val="22"/>
        </w:rPr>
        <w:t xml:space="preserve">radio and television, and roads, rail and telecoms provide greater mobility and ability to communicate. </w:t>
      </w:r>
      <w:r>
        <w:rPr>
          <w:szCs w:val="22"/>
        </w:rPr>
        <w:t xml:space="preserve">  The impact of this can be seen, literally, from space. </w:t>
      </w:r>
      <w:r w:rsidRPr="00CE3AEF">
        <w:rPr>
          <w:szCs w:val="22"/>
        </w:rPr>
        <w:t>Satellite o</w:t>
      </w:r>
      <w:r w:rsidRPr="00CE3AEF">
        <w:rPr>
          <w:szCs w:val="22"/>
          <w:lang w:eastAsia="en-US"/>
        </w:rPr>
        <w:t xml:space="preserve">bservation of lights on earth at night has been matched with population data to create maps, and an index, of the equality of distribution of these lights. This index is closely correlated with the Human </w:t>
      </w:r>
      <w:r w:rsidR="004D4CA4">
        <w:rPr>
          <w:szCs w:val="22"/>
          <w:lang w:eastAsia="en-US"/>
        </w:rPr>
        <w:t>D</w:t>
      </w:r>
      <w:r w:rsidRPr="00CE3AEF">
        <w:rPr>
          <w:szCs w:val="22"/>
          <w:lang w:eastAsia="en-US"/>
        </w:rPr>
        <w:t xml:space="preserve">evelopment </w:t>
      </w:r>
      <w:r w:rsidR="004D4CA4">
        <w:rPr>
          <w:szCs w:val="22"/>
          <w:lang w:eastAsia="en-US"/>
        </w:rPr>
        <w:t>I</w:t>
      </w:r>
      <w:r w:rsidRPr="00CE3AEF">
        <w:rPr>
          <w:szCs w:val="22"/>
          <w:lang w:eastAsia="en-US"/>
        </w:rPr>
        <w:t xml:space="preserve">ndex. </w:t>
      </w:r>
      <w:r>
        <w:rPr>
          <w:rStyle w:val="EndnoteReference"/>
          <w:szCs w:val="22"/>
          <w:lang w:eastAsia="en-US"/>
        </w:rPr>
        <w:endnoteReference w:id="12"/>
      </w:r>
    </w:p>
    <w:p w:rsidR="005A3464" w:rsidRDefault="005A3464" w:rsidP="005A3464">
      <w:pPr>
        <w:rPr>
          <w:szCs w:val="22"/>
          <w:lang w:eastAsia="en-US"/>
        </w:rPr>
      </w:pPr>
    </w:p>
    <w:p w:rsidR="005A3464" w:rsidRDefault="005A3464" w:rsidP="005A3464">
      <w:pPr>
        <w:rPr>
          <w:szCs w:val="22"/>
        </w:rPr>
      </w:pPr>
      <w:r w:rsidRPr="00CE3AEF">
        <w:rPr>
          <w:szCs w:val="22"/>
        </w:rPr>
        <w:t>Secondly,</w:t>
      </w:r>
      <w:r>
        <w:rPr>
          <w:szCs w:val="22"/>
        </w:rPr>
        <w:t xml:space="preserve"> </w:t>
      </w:r>
      <w:r>
        <w:rPr>
          <w:szCs w:val="22"/>
          <w:lang w:eastAsia="en-US"/>
        </w:rPr>
        <w:t>they</w:t>
      </w:r>
      <w:r w:rsidRPr="00666AD0">
        <w:rPr>
          <w:szCs w:val="22"/>
          <w:lang w:eastAsia="en-US"/>
        </w:rPr>
        <w:t xml:space="preserve"> improve equality </w:t>
      </w:r>
      <w:proofErr w:type="gramStart"/>
      <w:r w:rsidRPr="00666AD0">
        <w:rPr>
          <w:szCs w:val="22"/>
          <w:lang w:eastAsia="en-US"/>
        </w:rPr>
        <w:t>of  income</w:t>
      </w:r>
      <w:proofErr w:type="gramEnd"/>
      <w:r w:rsidRPr="00666AD0">
        <w:rPr>
          <w:szCs w:val="22"/>
          <w:lang w:eastAsia="en-US"/>
        </w:rPr>
        <w:t>, because</w:t>
      </w:r>
      <w:r w:rsidRPr="00666AD0">
        <w:rPr>
          <w:szCs w:val="22"/>
        </w:rPr>
        <w:t xml:space="preserve"> people have better opportunities for earning more when they get access to roads and electricity and telecoms.</w:t>
      </w:r>
      <w:r>
        <w:rPr>
          <w:szCs w:val="22"/>
        </w:rPr>
        <w:t xml:space="preserve"> Across all continents, there is a strong correlation between access to roads, electricity, water and sanitation</w:t>
      </w:r>
      <w:r w:rsidRPr="00EC0173">
        <w:rPr>
          <w:szCs w:val="22"/>
        </w:rPr>
        <w:t xml:space="preserve"> </w:t>
      </w:r>
      <w:r>
        <w:rPr>
          <w:szCs w:val="22"/>
        </w:rPr>
        <w:t xml:space="preserve">and greater equality. This equality impact of infrastructure is greater than the impact of tax and benefits in Latin American countries, for example (though not as great as the value </w:t>
      </w:r>
      <w:proofErr w:type="gramStart"/>
      <w:r>
        <w:rPr>
          <w:szCs w:val="22"/>
        </w:rPr>
        <w:t>of  health</w:t>
      </w:r>
      <w:proofErr w:type="gramEnd"/>
      <w:r>
        <w:rPr>
          <w:szCs w:val="22"/>
        </w:rPr>
        <w:t xml:space="preserve"> and education services: see above).</w:t>
      </w:r>
      <w:r w:rsidRPr="00733B93">
        <w:rPr>
          <w:szCs w:val="22"/>
        </w:rPr>
        <w:t xml:space="preserve"> </w:t>
      </w:r>
      <w:r>
        <w:rPr>
          <w:szCs w:val="22"/>
        </w:rPr>
        <w:t xml:space="preserve"> The following chart shows the scale of this effect, across all continents, measured by a reduction in the </w:t>
      </w:r>
      <w:proofErr w:type="spellStart"/>
      <w:r>
        <w:rPr>
          <w:szCs w:val="22"/>
        </w:rPr>
        <w:t>Gini</w:t>
      </w:r>
      <w:proofErr w:type="spellEnd"/>
      <w:r>
        <w:rPr>
          <w:szCs w:val="22"/>
        </w:rPr>
        <w:t xml:space="preserve"> coefficient.</w:t>
      </w:r>
    </w:p>
    <w:p w:rsidR="005A3464" w:rsidRDefault="005A3464" w:rsidP="005A3464">
      <w:pPr>
        <w:pStyle w:val="Heading8"/>
        <w:numPr>
          <w:ilvl w:val="0"/>
          <w:numId w:val="0"/>
        </w:numPr>
        <w:ind w:left="360" w:hanging="360"/>
      </w:pPr>
      <w:bookmarkStart w:id="34" w:name="_Toc388199712"/>
      <w:r>
        <w:t>Chart J. Improvements in income equality due to infrastructure development, 1990s–2000s, by region</w:t>
      </w:r>
      <w:bookmarkEnd w:id="34"/>
    </w:p>
    <w:p w:rsidR="005A3464" w:rsidRDefault="005A3464" w:rsidP="005A3464">
      <w:pPr>
        <w:autoSpaceDE w:val="0"/>
        <w:autoSpaceDN w:val="0"/>
        <w:adjustRightInd w:val="0"/>
        <w:rPr>
          <w:rFonts w:ascii="TrebuchetMS-Bold" w:hAnsi="TrebuchetMS-Bold" w:cs="TrebuchetMS-Bold"/>
          <w:b/>
          <w:bCs/>
          <w:sz w:val="20"/>
          <w:szCs w:val="20"/>
        </w:rPr>
      </w:pPr>
      <w:r>
        <w:rPr>
          <w:rFonts w:ascii="TrebuchetMS-Bold" w:hAnsi="TrebuchetMS-Bold" w:cs="TrebuchetMS-Bold"/>
          <w:b/>
          <w:bCs/>
          <w:noProof/>
          <w:sz w:val="20"/>
          <w:szCs w:val="20"/>
        </w:rPr>
        <w:drawing>
          <wp:inline distT="0" distB="0" distL="0" distR="0" wp14:anchorId="7900C673" wp14:editId="2DCA1AD8">
            <wp:extent cx="5883524" cy="3838073"/>
            <wp:effectExtent l="0" t="0" r="317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lum bright="-6000" contrast="30000"/>
                      <a:extLst>
                        <a:ext uri="{28A0092B-C50C-407E-A947-70E740481C1C}">
                          <a14:useLocalDpi xmlns:a14="http://schemas.microsoft.com/office/drawing/2010/main" val="0"/>
                        </a:ext>
                      </a:extLst>
                    </a:blip>
                    <a:srcRect/>
                    <a:stretch>
                      <a:fillRect/>
                    </a:stretch>
                  </pic:blipFill>
                  <pic:spPr bwMode="auto">
                    <a:xfrm>
                      <a:off x="0" y="0"/>
                      <a:ext cx="5893588" cy="3844638"/>
                    </a:xfrm>
                    <a:prstGeom prst="rect">
                      <a:avLst/>
                    </a:prstGeom>
                    <a:noFill/>
                    <a:ln>
                      <a:noFill/>
                    </a:ln>
                  </pic:spPr>
                </pic:pic>
              </a:graphicData>
            </a:graphic>
          </wp:inline>
        </w:drawing>
      </w:r>
      <w:r>
        <w:rPr>
          <w:rFonts w:ascii="TrebuchetMS-Bold" w:hAnsi="TrebuchetMS-Bold" w:cs="TrebuchetMS-Bold"/>
          <w:b/>
          <w:bCs/>
          <w:sz w:val="20"/>
          <w:szCs w:val="20"/>
        </w:rPr>
        <w:t xml:space="preserve"> </w:t>
      </w:r>
    </w:p>
    <w:p w:rsidR="005A3464" w:rsidRDefault="005A3464" w:rsidP="005A3464">
      <w:pPr>
        <w:autoSpaceDE w:val="0"/>
        <w:autoSpaceDN w:val="0"/>
        <w:adjustRightInd w:val="0"/>
        <w:rPr>
          <w:szCs w:val="22"/>
        </w:rPr>
      </w:pPr>
      <w:r w:rsidRPr="00666AD0">
        <w:rPr>
          <w:rFonts w:cs="TimesNewRomanPSMT"/>
          <w:sz w:val="20"/>
          <w:szCs w:val="20"/>
        </w:rPr>
        <w:t>Source:</w:t>
      </w:r>
      <w:r w:rsidRPr="00666AD0">
        <w:rPr>
          <w:rFonts w:cs="TimesNewRomanPSMT"/>
          <w:color w:val="000000"/>
          <w:sz w:val="20"/>
          <w:szCs w:val="20"/>
        </w:rPr>
        <w:t xml:space="preserve"> César </w:t>
      </w:r>
      <w:proofErr w:type="spellStart"/>
      <w:r w:rsidRPr="00666AD0">
        <w:rPr>
          <w:rFonts w:cs="TimesNewRomanPSMT"/>
          <w:color w:val="000000"/>
          <w:sz w:val="20"/>
          <w:szCs w:val="20"/>
        </w:rPr>
        <w:t>Calderón</w:t>
      </w:r>
      <w:proofErr w:type="spellEnd"/>
      <w:r w:rsidRPr="00666AD0">
        <w:rPr>
          <w:rFonts w:cs="TimesNewRomanPSMT"/>
          <w:color w:val="000000"/>
          <w:sz w:val="20"/>
          <w:szCs w:val="20"/>
        </w:rPr>
        <w:t xml:space="preserve"> and Luis </w:t>
      </w:r>
      <w:proofErr w:type="spellStart"/>
      <w:r w:rsidRPr="00666AD0">
        <w:rPr>
          <w:rFonts w:cs="TimesNewRomanPSMT"/>
          <w:color w:val="000000"/>
          <w:sz w:val="20"/>
          <w:szCs w:val="20"/>
        </w:rPr>
        <w:t>Servén</w:t>
      </w:r>
      <w:proofErr w:type="spellEnd"/>
      <w:r w:rsidRPr="00666AD0">
        <w:rPr>
          <w:rFonts w:cs="TimesNewRomanPSMT"/>
          <w:color w:val="000000"/>
          <w:sz w:val="20"/>
          <w:szCs w:val="20"/>
        </w:rPr>
        <w:t xml:space="preserve"> 2008</w:t>
      </w:r>
      <w:r>
        <w:rPr>
          <w:rFonts w:cs="TimesNewRomanPSMT"/>
          <w:color w:val="000000"/>
          <w:sz w:val="20"/>
          <w:szCs w:val="20"/>
        </w:rPr>
        <w:t xml:space="preserve"> </w:t>
      </w:r>
      <w:r>
        <w:rPr>
          <w:rStyle w:val="EndnoteReference"/>
          <w:rFonts w:cs="TimesNewRomanPSMT"/>
          <w:color w:val="000000"/>
          <w:sz w:val="20"/>
          <w:szCs w:val="20"/>
        </w:rPr>
        <w:endnoteReference w:id="13"/>
      </w:r>
      <w:r w:rsidRPr="00666AD0">
        <w:rPr>
          <w:rFonts w:cs="TimesNewRomanPSMT"/>
          <w:color w:val="000000"/>
          <w:sz w:val="20"/>
          <w:szCs w:val="20"/>
        </w:rPr>
        <w:t xml:space="preserve"> </w:t>
      </w:r>
    </w:p>
    <w:p w:rsidR="005A3464" w:rsidRDefault="005A3464" w:rsidP="005A3464">
      <w:pPr>
        <w:autoSpaceDE w:val="0"/>
        <w:autoSpaceDN w:val="0"/>
        <w:adjustRightInd w:val="0"/>
        <w:rPr>
          <w:szCs w:val="22"/>
          <w:lang w:eastAsia="en-US"/>
        </w:rPr>
      </w:pPr>
    </w:p>
    <w:p w:rsidR="005A3464" w:rsidRPr="004F3682" w:rsidRDefault="005A3464" w:rsidP="005A3464">
      <w:pPr>
        <w:rPr>
          <w:lang w:eastAsia="en-US"/>
        </w:rPr>
      </w:pPr>
      <w:r>
        <w:rPr>
          <w:lang w:eastAsia="en-US"/>
        </w:rPr>
        <w:lastRenderedPageBreak/>
        <w:t>The more people are connected to electricity grids, piped water services, sewerage or fixed telecom line, the greater the developmental benefit and the greater the increase in equality. But it is not profitable for private companies to construct networks for all, so these networks are</w:t>
      </w:r>
      <w:r w:rsidRPr="007367A9">
        <w:rPr>
          <w:lang w:eastAsia="en-US"/>
        </w:rPr>
        <w:t xml:space="preserve"> invariably </w:t>
      </w:r>
      <w:r>
        <w:rPr>
          <w:lang w:eastAsia="en-US"/>
        </w:rPr>
        <w:t>creat</w:t>
      </w:r>
      <w:r w:rsidRPr="007367A9">
        <w:rPr>
          <w:lang w:eastAsia="en-US"/>
        </w:rPr>
        <w:t>ed through public investment</w:t>
      </w:r>
      <w:r>
        <w:rPr>
          <w:lang w:eastAsia="en-US"/>
        </w:rPr>
        <w:t xml:space="preserve"> – and this </w:t>
      </w:r>
      <w:r w:rsidRPr="00666AD0">
        <w:rPr>
          <w:szCs w:val="22"/>
          <w:lang w:eastAsia="en-US"/>
        </w:rPr>
        <w:t xml:space="preserve">public financing of </w:t>
      </w:r>
      <w:r>
        <w:rPr>
          <w:szCs w:val="22"/>
          <w:lang w:eastAsia="en-US"/>
        </w:rPr>
        <w:t xml:space="preserve">networks </w:t>
      </w:r>
      <w:r w:rsidRPr="00666AD0">
        <w:rPr>
          <w:szCs w:val="22"/>
          <w:lang w:eastAsia="en-US"/>
        </w:rPr>
        <w:t xml:space="preserve">is </w:t>
      </w:r>
      <w:r>
        <w:rPr>
          <w:szCs w:val="22"/>
          <w:lang w:eastAsia="en-US"/>
        </w:rPr>
        <w:t xml:space="preserve">itself </w:t>
      </w:r>
      <w:r w:rsidRPr="00666AD0">
        <w:rPr>
          <w:szCs w:val="22"/>
          <w:lang w:eastAsia="en-US"/>
        </w:rPr>
        <w:t>a physical form of redistribution of wealth</w:t>
      </w:r>
      <w:r>
        <w:rPr>
          <w:szCs w:val="22"/>
          <w:lang w:eastAsia="en-US"/>
        </w:rPr>
        <w:t>.</w:t>
      </w:r>
      <w:r w:rsidRPr="007367A9">
        <w:rPr>
          <w:lang w:eastAsia="en-US"/>
        </w:rPr>
        <w:t xml:space="preserve"> In Africa, a World Bank survey found that </w:t>
      </w:r>
      <w:r w:rsidRPr="007367A9">
        <w:t>the public sector remains the dominant source of finance for water, energy, and transport, while the contribution of the private sector had been close to zero</w:t>
      </w:r>
      <w:r w:rsidRPr="007367A9">
        <w:rPr>
          <w:szCs w:val="22"/>
        </w:rPr>
        <w:t>: there has only been some private investment in telecoms.</w:t>
      </w:r>
      <w:r w:rsidRPr="007367A9">
        <w:t xml:space="preserve"> </w:t>
      </w:r>
      <w:r w:rsidRPr="007367A9">
        <w:rPr>
          <w:lang w:eastAsia="en-US"/>
        </w:rPr>
        <w:t>Even in countries where these networks are now private, universal connection was established under public ownership before privatisation took place in the 1980s and 1990s.</w:t>
      </w:r>
      <w:r>
        <w:rPr>
          <w:lang w:eastAsia="en-US"/>
        </w:rPr>
        <w:t xml:space="preserve"> And the European Commission is investing €50 billion of public money to develop electricity, road, rail and internet networks across Europe, to: “</w:t>
      </w:r>
      <w:r w:rsidRPr="00600D3B">
        <w:rPr>
          <w:lang w:eastAsia="en-US"/>
        </w:rPr>
        <w:t xml:space="preserve">plug the gaps that would not be filled if the </w:t>
      </w:r>
      <w:proofErr w:type="gramStart"/>
      <w:r w:rsidRPr="00600D3B">
        <w:rPr>
          <w:lang w:eastAsia="en-US"/>
        </w:rPr>
        <w:t>market,</w:t>
      </w:r>
      <w:proofErr w:type="gramEnd"/>
      <w:r w:rsidRPr="00600D3B">
        <w:rPr>
          <w:lang w:eastAsia="en-US"/>
        </w:rPr>
        <w:t xml:space="preserve"> or existing public-sector ins</w:t>
      </w:r>
      <w:r>
        <w:rPr>
          <w:lang w:eastAsia="en-US"/>
        </w:rPr>
        <w:t xml:space="preserve">truments were the only options.” </w:t>
      </w:r>
      <w:r>
        <w:rPr>
          <w:rStyle w:val="EndnoteReference"/>
          <w:lang w:eastAsia="en-US"/>
        </w:rPr>
        <w:endnoteReference w:id="14"/>
      </w:r>
    </w:p>
    <w:p w:rsidR="005A3464" w:rsidRPr="004F3682" w:rsidRDefault="005A3464" w:rsidP="005A3464">
      <w:pPr>
        <w:rPr>
          <w:szCs w:val="22"/>
          <w:lang w:eastAsia="en-US"/>
        </w:rPr>
      </w:pPr>
    </w:p>
    <w:p w:rsidR="005A3464" w:rsidRDefault="005A3464" w:rsidP="005A3464">
      <w:pPr>
        <w:rPr>
          <w:szCs w:val="22"/>
          <w:lang w:eastAsia="en-US"/>
        </w:rPr>
      </w:pPr>
      <w:r w:rsidRPr="000B108A">
        <w:rPr>
          <w:szCs w:val="22"/>
        </w:rPr>
        <w:t xml:space="preserve">These </w:t>
      </w:r>
      <w:r>
        <w:rPr>
          <w:szCs w:val="22"/>
        </w:rPr>
        <w:t xml:space="preserve">services </w:t>
      </w:r>
      <w:r w:rsidRPr="000B108A">
        <w:rPr>
          <w:szCs w:val="22"/>
        </w:rPr>
        <w:t>are highly valued in developing countries. For example, infrastructure services have been an important factor in the democratic processes of India, where the slogan of ‘</w:t>
      </w:r>
      <w:proofErr w:type="spellStart"/>
      <w:r w:rsidRPr="000B108A">
        <w:rPr>
          <w:szCs w:val="22"/>
        </w:rPr>
        <w:t>bijli</w:t>
      </w:r>
      <w:proofErr w:type="spellEnd"/>
      <w:r w:rsidRPr="000B108A">
        <w:rPr>
          <w:szCs w:val="22"/>
        </w:rPr>
        <w:t xml:space="preserve">, </w:t>
      </w:r>
      <w:proofErr w:type="spellStart"/>
      <w:r w:rsidRPr="000B108A">
        <w:rPr>
          <w:szCs w:val="22"/>
        </w:rPr>
        <w:t>sadak</w:t>
      </w:r>
      <w:proofErr w:type="spellEnd"/>
      <w:r w:rsidRPr="000B108A">
        <w:rPr>
          <w:szCs w:val="22"/>
        </w:rPr>
        <w:t xml:space="preserve">, </w:t>
      </w:r>
      <w:proofErr w:type="spellStart"/>
      <w:r w:rsidRPr="000B108A">
        <w:rPr>
          <w:szCs w:val="22"/>
        </w:rPr>
        <w:t>pani</w:t>
      </w:r>
      <w:proofErr w:type="spellEnd"/>
      <w:r w:rsidRPr="000B108A">
        <w:rPr>
          <w:szCs w:val="22"/>
        </w:rPr>
        <w:t xml:space="preserve">’ – electricity, roads, and water – is widely used in election campaigns, because voters recognise the importance of these factors: household surveys in a number of different states provide systematic evidence that these infrastructures rank at the top of voter demands, alongside education. </w:t>
      </w:r>
      <w:r>
        <w:rPr>
          <w:rStyle w:val="EndnoteReference"/>
          <w:szCs w:val="22"/>
        </w:rPr>
        <w:endnoteReference w:id="15"/>
      </w:r>
      <w:r>
        <w:rPr>
          <w:szCs w:val="22"/>
        </w:rPr>
        <w:t xml:space="preserve"> </w:t>
      </w:r>
    </w:p>
    <w:p w:rsidR="005A3464" w:rsidRDefault="005A3464" w:rsidP="005A3464"/>
    <w:p w:rsidR="005A3464" w:rsidRDefault="005A3464" w:rsidP="005A3464">
      <w:pPr>
        <w:pStyle w:val="Heading2"/>
      </w:pPr>
      <w:bookmarkStart w:id="35" w:name="_Toc388199713"/>
      <w:r>
        <w:t>Public water and equality</w:t>
      </w:r>
      <w:bookmarkEnd w:id="35"/>
    </w:p>
    <w:p w:rsidR="005A3464" w:rsidRDefault="005A3464" w:rsidP="005A3464">
      <w:pPr>
        <w:rPr>
          <w:lang w:eastAsia="en-US"/>
        </w:rPr>
      </w:pPr>
      <w:r>
        <w:t>The importance of public sector provision can be seen from a comparison of investment in water and sanitation services in the department of Maldonado in Uruguay. Water services were privatised in 1993 and sanitation in 2000; both were then taken back into public ownership in 2004, following a referendum. A study compared progress with connecting households to sewerage under both regimes, and found that, whereas privatisation had little impact on access to the sanitation network,  the return to public ownership led to a 15 percent increase in access to sanitation networks</w:t>
      </w:r>
      <w:r w:rsidRPr="00776CD4">
        <w:t xml:space="preserve"> </w:t>
      </w:r>
      <w:r>
        <w:t>“. The main beneficiaries were the poorest: "…    the bottom 25 percent has greater access to the network during the nationalization period than during the privatization period."</w:t>
      </w:r>
      <w:r w:rsidRPr="00776CD4">
        <w:t xml:space="preserve"> </w:t>
      </w:r>
      <w:r>
        <w:t xml:space="preserve">Under public ownership, there was also a large and significant improvement in water quality. </w:t>
      </w:r>
      <w:r>
        <w:rPr>
          <w:rStyle w:val="EndnoteReference"/>
        </w:rPr>
        <w:endnoteReference w:id="16"/>
      </w:r>
    </w:p>
    <w:p w:rsidR="005A3464" w:rsidRDefault="005A3464" w:rsidP="005A3464"/>
    <w:p w:rsidR="005A3464" w:rsidRDefault="005A3464" w:rsidP="005A3464">
      <w:pPr>
        <w:pStyle w:val="Heading2"/>
      </w:pPr>
      <w:bookmarkStart w:id="36" w:name="_Toc388199714"/>
      <w:r>
        <w:t>Rural electrification, gender equality and development</w:t>
      </w:r>
      <w:bookmarkEnd w:id="36"/>
    </w:p>
    <w:p w:rsidR="005A3464" w:rsidRDefault="005A3464" w:rsidP="005A3464">
      <w:pPr>
        <w:rPr>
          <w:szCs w:val="22"/>
        </w:rPr>
      </w:pPr>
      <w:r w:rsidRPr="00737F91">
        <w:rPr>
          <w:szCs w:val="22"/>
        </w:rPr>
        <w:t>South Africa has massively increased the number of households connected to its electricity system, financed first by cross-subsidies and then from tax revenues</w:t>
      </w:r>
      <w:r>
        <w:rPr>
          <w:szCs w:val="22"/>
        </w:rPr>
        <w:t>:</w:t>
      </w:r>
      <w:r w:rsidRPr="00737F91">
        <w:rPr>
          <w:szCs w:val="22"/>
        </w:rPr>
        <w:t xml:space="preserve"> the continuing programme is financed from a national government fund. The percentage of the population with access to electricity rose from 40 percent in 1994 to 66 percent in 2002:  by the end of 2006 over 3.3 million households had been connected. South Africa also provides subsidies to enable poor households to receive 50 KWh per month free, with reduced tariffs after that point. By the end of 2006, 1 million households were benefiting from this. </w:t>
      </w:r>
      <w:r>
        <w:rPr>
          <w:rStyle w:val="EndnoteReference"/>
          <w:szCs w:val="22"/>
        </w:rPr>
        <w:endnoteReference w:id="17"/>
      </w:r>
    </w:p>
    <w:p w:rsidR="005A3464" w:rsidRDefault="005A3464" w:rsidP="005A3464">
      <w:pPr>
        <w:rPr>
          <w:szCs w:val="22"/>
        </w:rPr>
      </w:pPr>
    </w:p>
    <w:p w:rsidR="005A3464" w:rsidRDefault="005A3464" w:rsidP="005A3464">
      <w:pPr>
        <w:rPr>
          <w:szCs w:val="22"/>
        </w:rPr>
      </w:pPr>
      <w:r w:rsidRPr="00737F91">
        <w:rPr>
          <w:szCs w:val="22"/>
        </w:rPr>
        <w:t xml:space="preserve">One effect of rural electrification </w:t>
      </w:r>
      <w:r>
        <w:rPr>
          <w:szCs w:val="22"/>
        </w:rPr>
        <w:t xml:space="preserve">is to release women from household duties of fuel collection and enable them to find paid jobs. </w:t>
      </w:r>
      <w:proofErr w:type="gramStart"/>
      <w:r>
        <w:rPr>
          <w:szCs w:val="22"/>
        </w:rPr>
        <w:t>In  South</w:t>
      </w:r>
      <w:proofErr w:type="gramEnd"/>
      <w:r>
        <w:rPr>
          <w:szCs w:val="22"/>
        </w:rPr>
        <w:t xml:space="preserve"> Africa, within 5 years of electrification, there was a sharp fall in the use of wood as a cooking fuel, and a 13.5%  </w:t>
      </w:r>
      <w:r w:rsidRPr="00737F91">
        <w:rPr>
          <w:szCs w:val="22"/>
        </w:rPr>
        <w:t xml:space="preserve">increase in </w:t>
      </w:r>
      <w:r>
        <w:rPr>
          <w:szCs w:val="22"/>
        </w:rPr>
        <w:t xml:space="preserve">female employment, though little effect on male employment. The employment effects were greatest for women in their 30s and 40s, in middle-poor communities. </w:t>
      </w:r>
      <w:r w:rsidRPr="00737F91">
        <w:rPr>
          <w:rStyle w:val="EndnoteReference"/>
          <w:szCs w:val="22"/>
        </w:rPr>
        <w:t xml:space="preserve"> </w:t>
      </w:r>
      <w:r w:rsidRPr="00737F91">
        <w:rPr>
          <w:rStyle w:val="EndnoteReference"/>
          <w:szCs w:val="22"/>
        </w:rPr>
        <w:endnoteReference w:id="18"/>
      </w:r>
      <w:r w:rsidRPr="00737F91">
        <w:rPr>
          <w:szCs w:val="22"/>
        </w:rPr>
        <w:t xml:space="preserve"> </w:t>
      </w:r>
      <w:r w:rsidRPr="00737F91">
        <w:rPr>
          <w:rStyle w:val="EndnoteReference"/>
          <w:szCs w:val="22"/>
        </w:rPr>
        <w:endnoteReference w:id="19"/>
      </w:r>
      <w:r w:rsidRPr="00737F91">
        <w:rPr>
          <w:szCs w:val="22"/>
        </w:rPr>
        <w:t xml:space="preserve">  </w:t>
      </w:r>
    </w:p>
    <w:p w:rsidR="005A3464" w:rsidRDefault="005A3464" w:rsidP="005A3464">
      <w:pPr>
        <w:rPr>
          <w:szCs w:val="22"/>
        </w:rPr>
      </w:pPr>
    </w:p>
    <w:p w:rsidR="005A3464" w:rsidRDefault="005A3464" w:rsidP="005A3464">
      <w:pPr>
        <w:rPr>
          <w:szCs w:val="22"/>
          <w:lang w:val="en-US"/>
        </w:rPr>
      </w:pPr>
      <w:proofErr w:type="gramStart"/>
      <w:r w:rsidRPr="00737F91">
        <w:rPr>
          <w:szCs w:val="22"/>
        </w:rPr>
        <w:t>This contrasts</w:t>
      </w:r>
      <w:proofErr w:type="gramEnd"/>
      <w:r w:rsidRPr="00737F91">
        <w:rPr>
          <w:szCs w:val="22"/>
        </w:rPr>
        <w:t xml:space="preserve"> with the rest of Africa, where</w:t>
      </w:r>
      <w:r>
        <w:rPr>
          <w:szCs w:val="22"/>
        </w:rPr>
        <w:t xml:space="preserve">: </w:t>
      </w:r>
      <w:r w:rsidRPr="00737F91">
        <w:rPr>
          <w:szCs w:val="22"/>
        </w:rPr>
        <w:t xml:space="preserve"> </w:t>
      </w:r>
      <w:r w:rsidRPr="00737F91">
        <w:rPr>
          <w:rFonts w:eastAsia="SimSun"/>
          <w:szCs w:val="22"/>
          <w:lang w:eastAsia="zh-CN"/>
        </w:rPr>
        <w:t>“</w:t>
      </w:r>
      <w:r w:rsidRPr="00932517">
        <w:rPr>
          <w:rFonts w:eastAsia="SimSun"/>
          <w:szCs w:val="22"/>
          <w:lang w:eastAsia="zh-CN"/>
        </w:rPr>
        <w:t>In most countries, rural</w:t>
      </w:r>
      <w:r>
        <w:rPr>
          <w:rFonts w:eastAsia="SimSun"/>
          <w:szCs w:val="22"/>
          <w:lang w:eastAsia="zh-CN"/>
        </w:rPr>
        <w:t xml:space="preserve"> </w:t>
      </w:r>
      <w:r w:rsidRPr="00932517">
        <w:rPr>
          <w:rFonts w:eastAsia="SimSun"/>
          <w:szCs w:val="22"/>
          <w:lang w:eastAsia="zh-CN"/>
        </w:rPr>
        <w:t>electrification is at single digit levels and urban</w:t>
      </w:r>
      <w:r>
        <w:rPr>
          <w:rFonts w:eastAsia="SimSun"/>
          <w:szCs w:val="22"/>
          <w:lang w:eastAsia="zh-CN"/>
        </w:rPr>
        <w:t xml:space="preserve"> </w:t>
      </w:r>
      <w:r w:rsidRPr="00932517">
        <w:rPr>
          <w:rFonts w:eastAsia="SimSun"/>
          <w:szCs w:val="22"/>
          <w:lang w:eastAsia="zh-CN"/>
        </w:rPr>
        <w:t>electrification still well below 50 per cent. For</w:t>
      </w:r>
      <w:r>
        <w:rPr>
          <w:rFonts w:eastAsia="SimSun"/>
          <w:szCs w:val="22"/>
          <w:lang w:eastAsia="zh-CN"/>
        </w:rPr>
        <w:t xml:space="preserve"> </w:t>
      </w:r>
      <w:r w:rsidRPr="00932517">
        <w:rPr>
          <w:rFonts w:eastAsia="SimSun"/>
          <w:szCs w:val="22"/>
          <w:lang w:eastAsia="zh-CN"/>
        </w:rPr>
        <w:t>lower income groups, access to electricity is still</w:t>
      </w:r>
      <w:r>
        <w:rPr>
          <w:rFonts w:eastAsia="SimSun"/>
          <w:szCs w:val="22"/>
          <w:lang w:eastAsia="zh-CN"/>
        </w:rPr>
        <w:t xml:space="preserve"> </w:t>
      </w:r>
      <w:r w:rsidRPr="00932517">
        <w:rPr>
          <w:rFonts w:eastAsia="SimSun"/>
          <w:szCs w:val="22"/>
          <w:lang w:eastAsia="zh-CN"/>
        </w:rPr>
        <w:t xml:space="preserve">a dream. </w:t>
      </w:r>
      <w:proofErr w:type="gramStart"/>
      <w:r w:rsidRPr="00737F91">
        <w:rPr>
          <w:rFonts w:eastAsia="SimSun"/>
          <w:szCs w:val="22"/>
          <w:lang w:eastAsia="zh-CN"/>
        </w:rPr>
        <w:t>the</w:t>
      </w:r>
      <w:proofErr w:type="gramEnd"/>
      <w:r w:rsidRPr="00737F91">
        <w:rPr>
          <w:rFonts w:eastAsia="SimSun"/>
          <w:szCs w:val="22"/>
          <w:lang w:eastAsia="zh-CN"/>
        </w:rPr>
        <w:t xml:space="preserve"> emphasis on profitability appears to have relegated expanded electrification of the poor to the bottom of the priority list”</w:t>
      </w:r>
      <w:r w:rsidRPr="00737F91">
        <w:rPr>
          <w:szCs w:val="22"/>
        </w:rPr>
        <w:t xml:space="preserve">, and neither private sector participation nor regulation has made any significant contribution to the extension of access to network services. </w:t>
      </w:r>
      <w:r>
        <w:rPr>
          <w:rStyle w:val="EndnoteReference"/>
          <w:szCs w:val="22"/>
        </w:rPr>
        <w:endnoteReference w:id="20"/>
      </w:r>
    </w:p>
    <w:p w:rsidR="005A3464" w:rsidRDefault="005A3464" w:rsidP="005A3464">
      <w:pPr>
        <w:rPr>
          <w:szCs w:val="22"/>
        </w:rPr>
      </w:pPr>
    </w:p>
    <w:p w:rsidR="005A3464" w:rsidRDefault="005A3464" w:rsidP="005A3464">
      <w:pPr>
        <w:rPr>
          <w:szCs w:val="22"/>
          <w:lang w:eastAsia="en-US"/>
        </w:rPr>
      </w:pPr>
      <w:r w:rsidRPr="00DA0637">
        <w:rPr>
          <w:szCs w:val="22"/>
          <w:lang w:eastAsia="en-US"/>
        </w:rPr>
        <w:t xml:space="preserve">Electrification in Brazil </w:t>
      </w:r>
      <w:r>
        <w:rPr>
          <w:szCs w:val="22"/>
          <w:lang w:eastAsia="en-US"/>
        </w:rPr>
        <w:t xml:space="preserve">also </w:t>
      </w:r>
      <w:r w:rsidRPr="00DA0637">
        <w:rPr>
          <w:szCs w:val="22"/>
          <w:lang w:eastAsia="en-US"/>
        </w:rPr>
        <w:t xml:space="preserve">produces significant gains in human development. These come in the form of higher levels of education, and higher household incomes: “The development gains are large - a 10% increase in electrification reduces poverty by about 5%” </w:t>
      </w:r>
      <w:r>
        <w:rPr>
          <w:rStyle w:val="EndnoteReference"/>
          <w:szCs w:val="22"/>
          <w:lang w:eastAsia="en-US"/>
        </w:rPr>
        <w:endnoteReference w:id="21"/>
      </w:r>
    </w:p>
    <w:p w:rsidR="005A3464" w:rsidRPr="00DA0637" w:rsidRDefault="005A3464" w:rsidP="005A3464">
      <w:pPr>
        <w:rPr>
          <w:rFonts w:eastAsiaTheme="minorEastAsia"/>
          <w:szCs w:val="22"/>
        </w:rPr>
      </w:pPr>
    </w:p>
    <w:p w:rsidR="005A3464" w:rsidRDefault="005A3464" w:rsidP="005A3464">
      <w:pPr>
        <w:pStyle w:val="Heading2"/>
      </w:pPr>
      <w:bookmarkStart w:id="37" w:name="_Toc388199715"/>
      <w:r>
        <w:lastRenderedPageBreak/>
        <w:t>Cross-subsidy and equality</w:t>
      </w:r>
      <w:bookmarkEnd w:id="37"/>
    </w:p>
    <w:p w:rsidR="005A3464" w:rsidRDefault="005A3464" w:rsidP="005A3464">
      <w:pPr>
        <w:rPr>
          <w:szCs w:val="22"/>
        </w:rPr>
      </w:pPr>
      <w:r w:rsidRPr="00241816">
        <w:rPr>
          <w:szCs w:val="22"/>
          <w:lang w:eastAsia="en-US"/>
        </w:rPr>
        <w:t xml:space="preserve">When utilities are run as public services, cross-subsidies can be used as a powerful way of making the services accessible and affordable for all. Wealthier users of a service, including corporate users, can be charged more than ordinary households, and the extra money can be used to finance investment in the system for the benefit of all, or to </w:t>
      </w:r>
      <w:proofErr w:type="gramStart"/>
      <w:r w:rsidRPr="00241816">
        <w:rPr>
          <w:szCs w:val="22"/>
          <w:lang w:eastAsia="en-US"/>
        </w:rPr>
        <w:t>reduce  the</w:t>
      </w:r>
      <w:proofErr w:type="gramEnd"/>
      <w:r w:rsidRPr="00241816">
        <w:rPr>
          <w:szCs w:val="22"/>
          <w:lang w:eastAsia="en-US"/>
        </w:rPr>
        <w:t xml:space="preserve"> price for poorer consumers, or to pay for other public services. So it reduces inequality by transferring resources from the rich, or companies, to the poor</w:t>
      </w:r>
      <w:r>
        <w:rPr>
          <w:szCs w:val="22"/>
          <w:lang w:eastAsia="en-US"/>
        </w:rPr>
        <w:t xml:space="preserve">, </w:t>
      </w:r>
      <w:r w:rsidRPr="00241816">
        <w:rPr>
          <w:szCs w:val="22"/>
        </w:rPr>
        <w:t>as acknowledged by World Bank researchers: “implementing welfare programs through a transparent cross-subsidy in the utility rates, especially if undertaken such that only fixed charges are affected, may well be more efficient than a general poverty alleviation program undertaken with general tax funds.”</w:t>
      </w:r>
      <w:r>
        <w:rPr>
          <w:rStyle w:val="EndnoteReference"/>
          <w:szCs w:val="22"/>
        </w:rPr>
        <w:endnoteReference w:id="22"/>
      </w:r>
      <w:r w:rsidRPr="00241816">
        <w:rPr>
          <w:szCs w:val="22"/>
        </w:rPr>
        <w:t xml:space="preserve">  </w:t>
      </w:r>
    </w:p>
    <w:p w:rsidR="005A3464" w:rsidRDefault="005A3464" w:rsidP="005A3464">
      <w:pPr>
        <w:rPr>
          <w:szCs w:val="22"/>
        </w:rPr>
      </w:pPr>
    </w:p>
    <w:p w:rsidR="005A3464" w:rsidRDefault="005A3464" w:rsidP="005A3464">
      <w:pPr>
        <w:rPr>
          <w:szCs w:val="22"/>
        </w:rPr>
      </w:pPr>
      <w:r>
        <w:rPr>
          <w:szCs w:val="22"/>
        </w:rPr>
        <w:t>Under privatisation and liberalisation cross-subsidies are far more difficult and may become impossible. This is because private companies rely on attracting the best customers, and so they offer them the best – lowest – prices. For electricity or telecoms, for example, these best customers are big companies. The least desirable customers are the poor who consume little but require similar administrative overheads: they are therefore charged higher rates. As a result, the experience of telecoms liberalisation in Europe, for example, was that costs fell sharply for companies, but very little for households.</w:t>
      </w:r>
    </w:p>
    <w:p w:rsidR="005A3464" w:rsidRDefault="005A3464" w:rsidP="005A3464">
      <w:pPr>
        <w:rPr>
          <w:lang w:eastAsia="en-US"/>
        </w:rPr>
      </w:pPr>
    </w:p>
    <w:p w:rsidR="005A3464" w:rsidRPr="00666AD0" w:rsidRDefault="005A3464" w:rsidP="00DF17B9">
      <w:pPr>
        <w:pStyle w:val="Heading2"/>
      </w:pPr>
      <w:bookmarkStart w:id="38" w:name="_Toc388199716"/>
      <w:r>
        <w:t>Equality, poverty and living standards</w:t>
      </w:r>
      <w:bookmarkEnd w:id="38"/>
    </w:p>
    <w:p w:rsidR="005A3464" w:rsidRDefault="005A3464" w:rsidP="005A3464">
      <w:pPr>
        <w:autoSpaceDE w:val="0"/>
        <w:autoSpaceDN w:val="0"/>
        <w:adjustRightInd w:val="0"/>
      </w:pPr>
      <w:r>
        <w:t xml:space="preserve">The importance of public services and public infrastructure is reflected in a new multi-dimensional measure of poverty and development now used by UNDP, which has three dimensions – health, education, and living standards.  The measures of education and health are clearly related to public services in these areas, but the measurement of ‘living standards’ is also heavily focussed on public infrastructure - access to water, sanitation and electricity account for half of the measures used of living standards.   </w:t>
      </w:r>
    </w:p>
    <w:p w:rsidR="005A3464" w:rsidRDefault="005A3464" w:rsidP="005A3464">
      <w:pPr>
        <w:autoSpaceDE w:val="0"/>
        <w:autoSpaceDN w:val="0"/>
        <w:adjustRightInd w:val="0"/>
      </w:pPr>
    </w:p>
    <w:p w:rsidR="005A3464" w:rsidRDefault="005A3464" w:rsidP="005A3464">
      <w:r>
        <w:rPr>
          <w:szCs w:val="22"/>
        </w:rPr>
        <w:t xml:space="preserve">The UN global consultation exercise in 2013 reinforced the relevance of this multi-dimensional framework. Education, healthcare, honest government, and water and sanitation were seen as the most important factors for development, along with decent employment. The </w:t>
      </w:r>
      <w:r>
        <w:t>consultation report includes the conclusion that: “</w:t>
      </w:r>
      <w:r w:rsidRPr="00D04584">
        <w:t>the new</w:t>
      </w:r>
      <w:r>
        <w:t xml:space="preserve"> </w:t>
      </w:r>
      <w:r w:rsidRPr="00D04584">
        <w:t>agenda should provide for a greater role of</w:t>
      </w:r>
      <w:r>
        <w:t xml:space="preserve"> </w:t>
      </w:r>
      <w:r w:rsidRPr="00D04584">
        <w:t xml:space="preserve">the state in the provision of public </w:t>
      </w:r>
      <w:r w:rsidRPr="00D04584">
        <w:rPr>
          <w:rFonts w:hint="eastAsia"/>
        </w:rPr>
        <w:t>‘</w:t>
      </w:r>
      <w:r w:rsidRPr="00D04584">
        <w:t>goods</w:t>
      </w:r>
      <w:r w:rsidRPr="00D04584">
        <w:rPr>
          <w:rFonts w:hint="eastAsia"/>
        </w:rPr>
        <w:t>’</w:t>
      </w:r>
      <w:r>
        <w:t>”</w:t>
      </w:r>
      <w:r>
        <w:rPr>
          <w:rStyle w:val="EndnoteReference"/>
        </w:rPr>
        <w:endnoteReference w:id="23"/>
      </w:r>
    </w:p>
    <w:p w:rsidR="005A3464" w:rsidRDefault="005A3464" w:rsidP="005A3464">
      <w:pPr>
        <w:autoSpaceDE w:val="0"/>
        <w:autoSpaceDN w:val="0"/>
        <w:adjustRightInd w:val="0"/>
      </w:pPr>
    </w:p>
    <w:p w:rsidR="005A3464" w:rsidRDefault="005A3464" w:rsidP="005A3464">
      <w:pPr>
        <w:pStyle w:val="Heading8"/>
      </w:pPr>
      <w:bookmarkStart w:id="39" w:name="_Toc388199717"/>
      <w:r>
        <w:t>Public services and infrastructure in multi-</w:t>
      </w:r>
      <w:proofErr w:type="gramStart"/>
      <w:r>
        <w:t>dimensional  indicators</w:t>
      </w:r>
      <w:proofErr w:type="gramEnd"/>
      <w:r>
        <w:t xml:space="preserve"> of poverty (MPI)</w:t>
      </w:r>
      <w:bookmarkEnd w:id="39"/>
    </w:p>
    <w:p w:rsidR="005A3464" w:rsidRDefault="005A3464" w:rsidP="005A3464">
      <w:pPr>
        <w:rPr>
          <w:lang w:eastAsia="en-US"/>
        </w:rPr>
      </w:pPr>
      <w:r>
        <w:rPr>
          <w:noProof/>
        </w:rPr>
        <w:drawing>
          <wp:inline distT="0" distB="0" distL="0" distR="0" wp14:anchorId="3D74AE0E" wp14:editId="404623E8">
            <wp:extent cx="3747752" cy="2524187"/>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44117" cy="2521739"/>
                    </a:xfrm>
                    <a:prstGeom prst="rect">
                      <a:avLst/>
                    </a:prstGeom>
                    <a:noFill/>
                    <a:ln>
                      <a:noFill/>
                    </a:ln>
                  </pic:spPr>
                </pic:pic>
              </a:graphicData>
            </a:graphic>
          </wp:inline>
        </w:drawing>
      </w:r>
    </w:p>
    <w:p w:rsidR="005A3464" w:rsidRPr="001107A3" w:rsidRDefault="005A3464" w:rsidP="005A3464">
      <w:pPr>
        <w:rPr>
          <w:sz w:val="20"/>
          <w:szCs w:val="20"/>
          <w:lang w:eastAsia="en-US"/>
        </w:rPr>
      </w:pPr>
      <w:r w:rsidRPr="001107A3">
        <w:rPr>
          <w:sz w:val="20"/>
          <w:szCs w:val="20"/>
          <w:lang w:eastAsia="en-US"/>
        </w:rPr>
        <w:t xml:space="preserve">Source: </w:t>
      </w:r>
      <w:r>
        <w:rPr>
          <w:sz w:val="20"/>
          <w:szCs w:val="20"/>
          <w:lang w:eastAsia="en-US"/>
        </w:rPr>
        <w:t xml:space="preserve">OPHI </w:t>
      </w:r>
      <w:r>
        <w:rPr>
          <w:rStyle w:val="EndnoteReference"/>
          <w:sz w:val="20"/>
          <w:szCs w:val="20"/>
          <w:lang w:eastAsia="en-US"/>
        </w:rPr>
        <w:endnoteReference w:id="24"/>
      </w:r>
    </w:p>
    <w:p w:rsidR="005A3464" w:rsidRDefault="004D4CA4" w:rsidP="005A3464">
      <w:pPr>
        <w:autoSpaceDE w:val="0"/>
        <w:autoSpaceDN w:val="0"/>
        <w:adjustRightInd w:val="0"/>
      </w:pPr>
      <w:r>
        <w:t>Note: ‘floor’ means living space</w:t>
      </w:r>
    </w:p>
    <w:p w:rsidR="005A3464" w:rsidRDefault="005A3464" w:rsidP="005A3464">
      <w:pPr>
        <w:autoSpaceDE w:val="0"/>
        <w:autoSpaceDN w:val="0"/>
        <w:adjustRightInd w:val="0"/>
      </w:pPr>
    </w:p>
    <w:p w:rsidR="005A3464" w:rsidRDefault="005A3464" w:rsidP="005A3464">
      <w:pPr>
        <w:autoSpaceDE w:val="0"/>
        <w:autoSpaceDN w:val="0"/>
        <w:adjustRightInd w:val="0"/>
      </w:pPr>
    </w:p>
    <w:p w:rsidR="005A3464" w:rsidRDefault="005A3464" w:rsidP="005A3464">
      <w:pPr>
        <w:autoSpaceDE w:val="0"/>
        <w:autoSpaceDN w:val="0"/>
        <w:adjustRightInd w:val="0"/>
      </w:pPr>
      <w:r>
        <w:t xml:space="preserve">Equality under the various dimensions of the MPI cannot be treated as an automatic consequence of greater equality of income. Public services and public infrastructure </w:t>
      </w:r>
      <w:proofErr w:type="gramStart"/>
      <w:r>
        <w:t>are</w:t>
      </w:r>
      <w:proofErr w:type="gramEnd"/>
      <w:r>
        <w:t xml:space="preserve"> a separate and additional dimension of equality.  Households which are ‘income poor’ only partly overlap with the households that are poor in relation to the index of services and infrastructure: “f</w:t>
      </w:r>
      <w:r w:rsidRPr="001B689B">
        <w:t xml:space="preserve">or example, in South Africa, 11% of the population are income poor and 11% are MPI poor, but only 3% are poor by both measures. </w:t>
      </w:r>
      <w:proofErr w:type="spellStart"/>
      <w:r>
        <w:t>M</w:t>
      </w:r>
      <w:r w:rsidRPr="001B689B">
        <w:t>is</w:t>
      </w:r>
      <w:proofErr w:type="spellEnd"/>
      <w:r w:rsidRPr="001B689B">
        <w:t xml:space="preserve">-matches of 40% </w:t>
      </w:r>
      <w:r>
        <w:t xml:space="preserve">to 80% </w:t>
      </w:r>
      <w:r>
        <w:lastRenderedPageBreak/>
        <w:t>are regularly observed”.</w:t>
      </w:r>
      <w:r>
        <w:rPr>
          <w:rStyle w:val="EndnoteReference"/>
          <w:sz w:val="20"/>
          <w:szCs w:val="20"/>
          <w:lang w:eastAsia="en-US"/>
        </w:rPr>
        <w:endnoteReference w:id="25"/>
      </w:r>
      <w:r>
        <w:t xml:space="preserve"> The same is true for changes: improvements in income equality are not automatically connected with improvements in equality of living standards.  Most countries which recorded improvements: “</w:t>
      </w:r>
      <w:r w:rsidRPr="00E90B32">
        <w:t>reduced multidimensional poverty as fast or faster than they reduced income poverty</w:t>
      </w:r>
      <w:r>
        <w:t>”: in India, for example, poverty as measured by the MPI reduced 50% faster between 1999 and 2006 than income poverty, and the biggest reductions came from access to electricity, housing conditions, access to safe drinking water and improved sanitation.</w:t>
      </w:r>
      <w:r w:rsidRPr="008F6949">
        <w:rPr>
          <w:rStyle w:val="EndnoteReference"/>
        </w:rPr>
        <w:t xml:space="preserve"> </w:t>
      </w:r>
      <w:r>
        <w:rPr>
          <w:rStyle w:val="EndnoteReference"/>
        </w:rPr>
        <w:endnoteReference w:id="26"/>
      </w:r>
    </w:p>
    <w:p w:rsidR="005A3464" w:rsidRDefault="005A3464" w:rsidP="005A3464">
      <w:pPr>
        <w:autoSpaceDE w:val="0"/>
        <w:autoSpaceDN w:val="0"/>
        <w:adjustRightInd w:val="0"/>
      </w:pPr>
    </w:p>
    <w:p w:rsidR="00DF26C1" w:rsidRDefault="00373CB0" w:rsidP="00373CB0">
      <w:pPr>
        <w:pStyle w:val="Heading1"/>
      </w:pPr>
      <w:bookmarkStart w:id="40" w:name="_Toc388199718"/>
      <w:r>
        <w:t xml:space="preserve">Public </w:t>
      </w:r>
      <w:proofErr w:type="gramStart"/>
      <w:r>
        <w:t>services ,</w:t>
      </w:r>
      <w:proofErr w:type="gramEnd"/>
      <w:r>
        <w:t xml:space="preserve"> equality, and quality of life</w:t>
      </w:r>
      <w:bookmarkEnd w:id="40"/>
    </w:p>
    <w:p w:rsidR="00DF26C1" w:rsidRDefault="00DF26C1" w:rsidP="005D1789">
      <w:pPr>
        <w:rPr>
          <w:lang w:eastAsia="en-US"/>
        </w:rPr>
      </w:pPr>
    </w:p>
    <w:p w:rsidR="00255835" w:rsidRDefault="00255835" w:rsidP="00DF17B9">
      <w:pPr>
        <w:pStyle w:val="Heading2"/>
      </w:pPr>
      <w:bookmarkStart w:id="41" w:name="_Toc388199719"/>
      <w:r>
        <w:t>Public services linked to more equal distribution of income</w:t>
      </w:r>
      <w:bookmarkEnd w:id="41"/>
    </w:p>
    <w:p w:rsidR="00255835" w:rsidRDefault="00255835" w:rsidP="00255835">
      <w:pPr>
        <w:rPr>
          <w:lang w:eastAsia="en-US"/>
        </w:rPr>
      </w:pPr>
    </w:p>
    <w:p w:rsidR="00255835" w:rsidRDefault="00255835" w:rsidP="00255835">
      <w:pPr>
        <w:rPr>
          <w:lang w:eastAsia="en-US"/>
        </w:rPr>
      </w:pPr>
      <w:r>
        <w:rPr>
          <w:lang w:eastAsia="en-US"/>
        </w:rPr>
        <w:t xml:space="preserve">Greater provision of public services and greater equality of income seem to be mutually reinforcing. An assessment of the effects of tax and public spending changes in 150 countries from 1970 to </w:t>
      </w:r>
      <w:proofErr w:type="gramStart"/>
      <w:r>
        <w:rPr>
          <w:lang w:eastAsia="en-US"/>
        </w:rPr>
        <w:t>2009  found</w:t>
      </w:r>
      <w:proofErr w:type="gramEnd"/>
      <w:r>
        <w:rPr>
          <w:lang w:eastAsia="en-US"/>
        </w:rPr>
        <w:t xml:space="preserve"> that </w:t>
      </w:r>
    </w:p>
    <w:p w:rsidR="00255835" w:rsidRDefault="00255835" w:rsidP="00255835">
      <w:pPr>
        <w:rPr>
          <w:lang w:eastAsia="en-US"/>
        </w:rPr>
      </w:pPr>
      <w:proofErr w:type="gramStart"/>
      <w:r>
        <w:rPr>
          <w:lang w:eastAsia="en-US"/>
        </w:rPr>
        <w:t>spending</w:t>
      </w:r>
      <w:proofErr w:type="gramEnd"/>
      <w:r>
        <w:rPr>
          <w:lang w:eastAsia="en-US"/>
        </w:rPr>
        <w:t xml:space="preserve"> on public health and housing has an even greater impact on improving equality than the same spending through social security benefits: “</w:t>
      </w:r>
      <w:r w:rsidRPr="00EC43C5">
        <w:rPr>
          <w:lang w:eastAsia="en-US"/>
        </w:rPr>
        <w:t>higher shares of GDP on social welfare, education, health, and hous</w:t>
      </w:r>
      <w:r w:rsidRPr="00EC43C5">
        <w:rPr>
          <w:lang w:eastAsia="en-US"/>
        </w:rPr>
        <w:softHyphen/>
        <w:t xml:space="preserve">ing public expenditures have a positive impact on income distribution, individually and </w:t>
      </w:r>
      <w:r>
        <w:rPr>
          <w:lang w:eastAsia="en-US"/>
        </w:rPr>
        <w:t>collectively.” (M</w:t>
      </w:r>
      <w:r w:rsidRPr="00ED14DB">
        <w:rPr>
          <w:lang w:eastAsia="en-US"/>
        </w:rPr>
        <w:t>artinez-Vazquez,</w:t>
      </w:r>
      <w:r>
        <w:rPr>
          <w:lang w:eastAsia="en-US"/>
        </w:rPr>
        <w:t xml:space="preserve"> et al 2012)</w:t>
      </w:r>
      <w:r w:rsidR="00F85A7E" w:rsidRPr="00F85A7E">
        <w:rPr>
          <w:lang w:eastAsia="en-US"/>
        </w:rPr>
        <w:t xml:space="preserve"> </w:t>
      </w:r>
      <w:r w:rsidR="00F85A7E">
        <w:rPr>
          <w:lang w:eastAsia="en-US"/>
        </w:rPr>
        <w:t>An analysis of the impact of austerity policies found that cuts in spending worsened inequality most.</w:t>
      </w:r>
      <w:r w:rsidR="00F85A7E" w:rsidRPr="00B31F8C">
        <w:rPr>
          <w:lang w:eastAsia="en-US"/>
        </w:rPr>
        <w:t xml:space="preserve"> </w:t>
      </w:r>
      <w:r w:rsidR="00F85A7E">
        <w:rPr>
          <w:lang w:eastAsia="en-US"/>
        </w:rPr>
        <w:t>(Woo et al 2013)</w:t>
      </w:r>
    </w:p>
    <w:p w:rsidR="004E22E7" w:rsidRDefault="004E22E7" w:rsidP="005D1789">
      <w:pPr>
        <w:rPr>
          <w:lang w:eastAsia="en-US"/>
        </w:rPr>
      </w:pPr>
    </w:p>
    <w:p w:rsidR="00172227" w:rsidRDefault="00172227" w:rsidP="00172227">
      <w:pPr>
        <w:pStyle w:val="Heading7"/>
      </w:pPr>
      <w:bookmarkStart w:id="42" w:name="_Toc388199720"/>
      <w:r>
        <w:t>Unequal austerity: effects on inequality of changes in taxes and public spending</w:t>
      </w:r>
      <w:bookmarkEnd w:id="42"/>
      <w:r>
        <w:t xml:space="preserve"> </w:t>
      </w:r>
    </w:p>
    <w:p w:rsidR="00172227" w:rsidRDefault="00E53CB5" w:rsidP="00474C4D">
      <w:pPr>
        <w:rPr>
          <w:lang w:eastAsia="en-US"/>
        </w:rPr>
      </w:pPr>
      <w:r>
        <w:rPr>
          <w:lang w:eastAsia="en-US"/>
        </w:rPr>
        <w:t xml:space="preserve"> </w:t>
      </w:r>
      <w:r w:rsidR="00172227">
        <w:rPr>
          <w:noProof/>
        </w:rPr>
        <w:drawing>
          <wp:inline distT="0" distB="0" distL="0" distR="0" wp14:anchorId="5DDC466F" wp14:editId="6686F148">
            <wp:extent cx="5437632" cy="3279648"/>
            <wp:effectExtent l="0" t="0" r="10795" b="1651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172227" w:rsidRDefault="0036392C" w:rsidP="00474C4D">
      <w:pPr>
        <w:rPr>
          <w:lang w:eastAsia="en-US"/>
        </w:rPr>
      </w:pPr>
      <w:r>
        <w:rPr>
          <w:lang w:eastAsia="en-US"/>
        </w:rPr>
        <w:t>Source: calculated from M</w:t>
      </w:r>
      <w:r w:rsidRPr="00ED14DB">
        <w:rPr>
          <w:lang w:eastAsia="en-US"/>
        </w:rPr>
        <w:t>artinez-Vazquez,</w:t>
      </w:r>
      <w:r>
        <w:rPr>
          <w:lang w:eastAsia="en-US"/>
        </w:rPr>
        <w:t xml:space="preserve"> et al 2012</w:t>
      </w:r>
      <w:r w:rsidR="00E53CB5">
        <w:rPr>
          <w:lang w:eastAsia="en-US"/>
        </w:rPr>
        <w:t>, table 4</w:t>
      </w:r>
    </w:p>
    <w:p w:rsidR="00F85A7E" w:rsidRDefault="00F85A7E" w:rsidP="00474C4D">
      <w:pPr>
        <w:rPr>
          <w:lang w:eastAsia="en-US"/>
        </w:rPr>
      </w:pPr>
    </w:p>
    <w:p w:rsidR="00D674EF" w:rsidRDefault="00C5136D" w:rsidP="00DF17B9">
      <w:pPr>
        <w:pStyle w:val="Heading2"/>
      </w:pPr>
      <w:bookmarkStart w:id="43" w:name="_Toc388199721"/>
      <w:r>
        <w:t>E</w:t>
      </w:r>
      <w:r w:rsidR="00431702">
        <w:t xml:space="preserve">qualisation through </w:t>
      </w:r>
      <w:r>
        <w:t xml:space="preserve">public sector </w:t>
      </w:r>
      <w:r w:rsidR="00172227">
        <w:t>employment</w:t>
      </w:r>
      <w:bookmarkEnd w:id="43"/>
    </w:p>
    <w:p w:rsidR="00295B37" w:rsidRDefault="00C5136D" w:rsidP="00C5136D">
      <w:pPr>
        <w:rPr>
          <w:lang w:eastAsia="en-US"/>
        </w:rPr>
      </w:pPr>
      <w:r>
        <w:rPr>
          <w:lang w:eastAsia="en-US"/>
        </w:rPr>
        <w:t xml:space="preserve">Public services, as opposed to social security benefits, lead to more equality of household incomes mainly as a result of the employment provided. More people are employed, the distribution of earnings is more equal, and ‘fair </w:t>
      </w:r>
      <w:proofErr w:type="spellStart"/>
      <w:r>
        <w:rPr>
          <w:lang w:eastAsia="en-US"/>
        </w:rPr>
        <w:t>wages’clauses</w:t>
      </w:r>
      <w:proofErr w:type="spellEnd"/>
      <w:r>
        <w:rPr>
          <w:lang w:eastAsia="en-US"/>
        </w:rPr>
        <w:t xml:space="preserve"> magnify this effect. </w:t>
      </w:r>
      <w:r w:rsidR="00160E27">
        <w:rPr>
          <w:lang w:eastAsia="en-US"/>
        </w:rPr>
        <w:t xml:space="preserve"> </w:t>
      </w:r>
    </w:p>
    <w:p w:rsidR="00295B37" w:rsidRDefault="00295B37" w:rsidP="00474C4D">
      <w:pPr>
        <w:rPr>
          <w:lang w:eastAsia="en-US"/>
        </w:rPr>
      </w:pPr>
    </w:p>
    <w:p w:rsidR="002D1211" w:rsidRDefault="00431702" w:rsidP="00474C4D">
      <w:pPr>
        <w:rPr>
          <w:lang w:eastAsia="en-US"/>
        </w:rPr>
      </w:pPr>
      <w:r>
        <w:rPr>
          <w:lang w:eastAsia="en-US"/>
        </w:rPr>
        <w:t xml:space="preserve">This happens </w:t>
      </w:r>
      <w:r w:rsidR="00295B37">
        <w:rPr>
          <w:lang w:eastAsia="en-US"/>
        </w:rPr>
        <w:t xml:space="preserve">partly through the impact on the economy in general of public spending. Austerity measures which reduce public spending always increase unemployment, and higher unemployment makes </w:t>
      </w:r>
      <w:r w:rsidR="00487B75">
        <w:rPr>
          <w:lang w:eastAsia="en-US"/>
        </w:rPr>
        <w:t xml:space="preserve">inequality worse; an IMF paper estimates that as much as 20% of the impact on inequality comes from this effect on unemployment. Additionally, </w:t>
      </w:r>
      <w:r w:rsidR="00295B37">
        <w:rPr>
          <w:lang w:eastAsia="en-US"/>
        </w:rPr>
        <w:t xml:space="preserve">higher levels of education spending are also linked with greater equality in income distribution, because education raises the proportion of workers with education and therefore raises </w:t>
      </w:r>
      <w:r w:rsidR="00295B37">
        <w:rPr>
          <w:lang w:eastAsia="en-US"/>
        </w:rPr>
        <w:lastRenderedPageBreak/>
        <w:t>their wages</w:t>
      </w:r>
      <w:r w:rsidR="000E78B6">
        <w:rPr>
          <w:lang w:eastAsia="en-US"/>
        </w:rPr>
        <w:t>.</w:t>
      </w:r>
      <w:r w:rsidR="00295B37">
        <w:rPr>
          <w:lang w:eastAsia="en-US"/>
        </w:rPr>
        <w:t xml:space="preserve"> (Woo </w:t>
      </w:r>
      <w:r w:rsidR="000E78B6">
        <w:rPr>
          <w:lang w:eastAsia="en-US"/>
        </w:rPr>
        <w:t xml:space="preserve">et al </w:t>
      </w:r>
      <w:r w:rsidR="00295B37">
        <w:rPr>
          <w:lang w:eastAsia="en-US"/>
        </w:rPr>
        <w:t>2013)</w:t>
      </w:r>
      <w:r w:rsidR="00C5136D">
        <w:rPr>
          <w:lang w:eastAsia="en-US"/>
        </w:rPr>
        <w:t xml:space="preserve"> </w:t>
      </w:r>
      <w:r>
        <w:rPr>
          <w:lang w:eastAsia="en-US"/>
        </w:rPr>
        <w:t>Spending on di</w:t>
      </w:r>
      <w:r w:rsidR="00160E27">
        <w:rPr>
          <w:lang w:eastAsia="en-US"/>
        </w:rPr>
        <w:t xml:space="preserve">rect employment in public services </w:t>
      </w:r>
      <w:r w:rsidR="00C5136D">
        <w:rPr>
          <w:lang w:eastAsia="en-US"/>
        </w:rPr>
        <w:t xml:space="preserve">also </w:t>
      </w:r>
      <w:r w:rsidR="00160E27">
        <w:rPr>
          <w:lang w:eastAsia="en-US"/>
        </w:rPr>
        <w:t xml:space="preserve">reduces the proportion taken as profits, </w:t>
      </w:r>
      <w:r>
        <w:rPr>
          <w:lang w:eastAsia="en-US"/>
        </w:rPr>
        <w:t xml:space="preserve">which </w:t>
      </w:r>
      <w:r w:rsidR="00160E27">
        <w:rPr>
          <w:lang w:eastAsia="en-US"/>
        </w:rPr>
        <w:t>improves the overall distribution of income in favour of wages</w:t>
      </w:r>
      <w:r w:rsidR="00C5136D">
        <w:rPr>
          <w:lang w:eastAsia="en-US"/>
        </w:rPr>
        <w:t>. In Latin America, for example: “</w:t>
      </w:r>
      <w:r w:rsidR="00C5136D" w:rsidRPr="004F25F8">
        <w:rPr>
          <w:lang w:eastAsia="en-US"/>
        </w:rPr>
        <w:t>The countries that have experienced recent increases in the wage share</w:t>
      </w:r>
      <w:r w:rsidR="00C5136D">
        <w:rPr>
          <w:lang w:eastAsia="en-US"/>
        </w:rPr>
        <w:t xml:space="preserve"> </w:t>
      </w:r>
      <w:r w:rsidR="00C5136D" w:rsidRPr="004F25F8">
        <w:rPr>
          <w:lang w:eastAsia="en-US"/>
        </w:rPr>
        <w:t>of national income have also increased their levels of formal employment</w:t>
      </w:r>
      <w:r w:rsidR="00C5136D">
        <w:rPr>
          <w:lang w:eastAsia="en-US"/>
        </w:rPr>
        <w:t xml:space="preserve"> </w:t>
      </w:r>
      <w:r w:rsidR="00C5136D" w:rsidRPr="004F25F8">
        <w:rPr>
          <w:lang w:eastAsia="en-US"/>
        </w:rPr>
        <w:t>in general. This has not necessarily occurred through additional, private</w:t>
      </w:r>
      <w:r w:rsidR="00C5136D">
        <w:rPr>
          <w:lang w:eastAsia="en-US"/>
        </w:rPr>
        <w:t xml:space="preserve"> </w:t>
      </w:r>
      <w:r w:rsidR="00C5136D" w:rsidRPr="004F25F8">
        <w:rPr>
          <w:lang w:eastAsia="en-US"/>
        </w:rPr>
        <w:t>employment-generation only. In much of Latin America in the 2000s, there have</w:t>
      </w:r>
      <w:r w:rsidR="00C5136D">
        <w:rPr>
          <w:lang w:eastAsia="en-US"/>
        </w:rPr>
        <w:t xml:space="preserve"> been signifi</w:t>
      </w:r>
      <w:r w:rsidR="00C5136D" w:rsidRPr="004F25F8">
        <w:rPr>
          <w:lang w:eastAsia="en-US"/>
        </w:rPr>
        <w:t>cant increases in public employment, through the expansion and</w:t>
      </w:r>
      <w:r w:rsidR="00C5136D">
        <w:rPr>
          <w:lang w:eastAsia="en-US"/>
        </w:rPr>
        <w:t xml:space="preserve"> </w:t>
      </w:r>
      <w:r w:rsidR="00C5136D" w:rsidRPr="004F25F8">
        <w:rPr>
          <w:lang w:eastAsia="en-US"/>
        </w:rPr>
        <w:t>qualitative improvement in public services in areas such as health and education,</w:t>
      </w:r>
      <w:r w:rsidR="00C5136D">
        <w:rPr>
          <w:lang w:eastAsia="en-US"/>
        </w:rPr>
        <w:t xml:space="preserve"> </w:t>
      </w:r>
      <w:r w:rsidR="00C5136D" w:rsidRPr="004F25F8">
        <w:rPr>
          <w:lang w:eastAsia="en-US"/>
        </w:rPr>
        <w:t xml:space="preserve">as well as through </w:t>
      </w:r>
      <w:r w:rsidR="00C5136D" w:rsidRPr="004F25F8">
        <w:rPr>
          <w:b/>
          <w:bCs/>
          <w:lang w:eastAsia="en-US"/>
        </w:rPr>
        <w:t xml:space="preserve">insourcing </w:t>
      </w:r>
      <w:r w:rsidR="00C5136D" w:rsidRPr="004F25F8">
        <w:rPr>
          <w:lang w:eastAsia="en-US"/>
        </w:rPr>
        <w:t>activities that had been outsourced previously by</w:t>
      </w:r>
      <w:r w:rsidR="00C5136D">
        <w:rPr>
          <w:lang w:eastAsia="en-US"/>
        </w:rPr>
        <w:t xml:space="preserve"> </w:t>
      </w:r>
      <w:r w:rsidR="00C5136D" w:rsidRPr="004F25F8">
        <w:rPr>
          <w:lang w:eastAsia="en-US"/>
        </w:rPr>
        <w:t>Governments to private companies (</w:t>
      </w:r>
      <w:proofErr w:type="spellStart"/>
      <w:r w:rsidR="00C5136D" w:rsidRPr="004F25F8">
        <w:rPr>
          <w:lang w:eastAsia="en-US"/>
        </w:rPr>
        <w:t>Keifman</w:t>
      </w:r>
      <w:proofErr w:type="spellEnd"/>
      <w:r w:rsidR="00C5136D" w:rsidRPr="004F25F8">
        <w:rPr>
          <w:lang w:eastAsia="en-US"/>
        </w:rPr>
        <w:t xml:space="preserve"> and Maurizio, forthcoming).</w:t>
      </w:r>
      <w:r w:rsidR="00C5136D">
        <w:rPr>
          <w:lang w:eastAsia="en-US"/>
        </w:rPr>
        <w:t>”</w:t>
      </w:r>
    </w:p>
    <w:p w:rsidR="004E5195" w:rsidRDefault="004E5195" w:rsidP="00474C4D">
      <w:pPr>
        <w:rPr>
          <w:lang w:eastAsia="en-US"/>
        </w:rPr>
      </w:pPr>
    </w:p>
    <w:p w:rsidR="0019690A" w:rsidRDefault="00F56958" w:rsidP="00436DC8">
      <w:pPr>
        <w:rPr>
          <w:lang w:eastAsia="en-US"/>
        </w:rPr>
      </w:pPr>
      <w:r>
        <w:rPr>
          <w:lang w:eastAsia="en-US"/>
        </w:rPr>
        <w:t xml:space="preserve">Pay levels are also more equally distributed in the public sector. While the top jobs get paid somewhat less than their private sector counterparts, workers in </w:t>
      </w:r>
      <w:r w:rsidR="00436DC8">
        <w:rPr>
          <w:lang w:eastAsia="en-US"/>
        </w:rPr>
        <w:t xml:space="preserve">low-paid occupations, such as cleaning and security, </w:t>
      </w:r>
      <w:r>
        <w:rPr>
          <w:lang w:eastAsia="en-US"/>
        </w:rPr>
        <w:t>get higher wages</w:t>
      </w:r>
      <w:r w:rsidR="00436DC8">
        <w:rPr>
          <w:lang w:eastAsia="en-US"/>
        </w:rPr>
        <w:t xml:space="preserve"> in the public sector</w:t>
      </w:r>
      <w:r w:rsidRPr="00F56958">
        <w:rPr>
          <w:lang w:eastAsia="en-US"/>
        </w:rPr>
        <w:t xml:space="preserve"> </w:t>
      </w:r>
      <w:r>
        <w:rPr>
          <w:lang w:eastAsia="en-US"/>
        </w:rPr>
        <w:t xml:space="preserve">– and women workers are also consistently better paid in the public sector than the private sector. So </w:t>
      </w:r>
      <w:r w:rsidR="00436DC8">
        <w:rPr>
          <w:lang w:eastAsia="en-US"/>
        </w:rPr>
        <w:t xml:space="preserve">increasing the proportion of workers employed in the public sector makes the general distribution of incomes more equal. </w:t>
      </w:r>
      <w:r w:rsidR="00F46FAD">
        <w:rPr>
          <w:lang w:eastAsia="en-US"/>
        </w:rPr>
        <w:t>This pattern has been observed in Europe, Latin America, Pakistan</w:t>
      </w:r>
      <w:proofErr w:type="gramStart"/>
      <w:r w:rsidR="00F46FAD">
        <w:rPr>
          <w:lang w:eastAsia="en-US"/>
        </w:rPr>
        <w:t xml:space="preserve">, </w:t>
      </w:r>
      <w:r w:rsidR="00605881">
        <w:rPr>
          <w:lang w:eastAsia="en-US"/>
        </w:rPr>
        <w:t xml:space="preserve"> and</w:t>
      </w:r>
      <w:proofErr w:type="gramEnd"/>
      <w:r w:rsidR="00605881">
        <w:rPr>
          <w:lang w:eastAsia="en-US"/>
        </w:rPr>
        <w:t xml:space="preserve">  </w:t>
      </w:r>
      <w:r w:rsidR="00F57CBB">
        <w:rPr>
          <w:lang w:eastAsia="en-US"/>
        </w:rPr>
        <w:t xml:space="preserve">Zambia </w:t>
      </w:r>
      <w:r w:rsidR="00436DC8">
        <w:rPr>
          <w:lang w:eastAsia="en-US"/>
        </w:rPr>
        <w:t xml:space="preserve"> </w:t>
      </w:r>
      <w:r w:rsidR="0019690A">
        <w:rPr>
          <w:lang w:eastAsia="en-US"/>
        </w:rPr>
        <w:t>(</w:t>
      </w:r>
      <w:r w:rsidR="00F57CBB">
        <w:t xml:space="preserve">Nielsen and </w:t>
      </w:r>
      <w:proofErr w:type="spellStart"/>
      <w:r w:rsidR="00F57CBB">
        <w:t>Rosholm</w:t>
      </w:r>
      <w:proofErr w:type="spellEnd"/>
      <w:r w:rsidR="00F57CBB">
        <w:t xml:space="preserve"> 2002; </w:t>
      </w:r>
      <w:proofErr w:type="spellStart"/>
      <w:r w:rsidR="00F57CBB">
        <w:rPr>
          <w:rStyle w:val="Strong"/>
          <w:b w:val="0"/>
        </w:rPr>
        <w:t>Hyder</w:t>
      </w:r>
      <w:proofErr w:type="spellEnd"/>
      <w:r w:rsidR="00F57CBB">
        <w:rPr>
          <w:rStyle w:val="Strong"/>
          <w:b w:val="0"/>
        </w:rPr>
        <w:t xml:space="preserve"> and Reilly 2005; </w:t>
      </w:r>
      <w:proofErr w:type="spellStart"/>
      <w:r w:rsidR="0019690A">
        <w:rPr>
          <w:lang w:eastAsia="en-US"/>
        </w:rPr>
        <w:t>Lucifora</w:t>
      </w:r>
      <w:proofErr w:type="spellEnd"/>
      <w:r w:rsidR="0019690A">
        <w:rPr>
          <w:lang w:eastAsia="en-US"/>
        </w:rPr>
        <w:t xml:space="preserve"> and </w:t>
      </w:r>
      <w:proofErr w:type="spellStart"/>
      <w:r w:rsidR="0019690A">
        <w:rPr>
          <w:lang w:eastAsia="en-US"/>
        </w:rPr>
        <w:t>Meurs</w:t>
      </w:r>
      <w:proofErr w:type="spellEnd"/>
      <w:r w:rsidR="0019690A">
        <w:rPr>
          <w:lang w:eastAsia="en-US"/>
        </w:rPr>
        <w:t xml:space="preserve"> 2006</w:t>
      </w:r>
      <w:r>
        <w:rPr>
          <w:lang w:eastAsia="en-US"/>
        </w:rPr>
        <w:t xml:space="preserve">; </w:t>
      </w:r>
      <w:proofErr w:type="spellStart"/>
      <w:r>
        <w:rPr>
          <w:lang w:eastAsia="en-US"/>
        </w:rPr>
        <w:t>Mizala</w:t>
      </w:r>
      <w:proofErr w:type="spellEnd"/>
      <w:r>
        <w:rPr>
          <w:lang w:eastAsia="en-US"/>
        </w:rPr>
        <w:t xml:space="preserve"> et al 2011, </w:t>
      </w:r>
      <w:proofErr w:type="spellStart"/>
      <w:r w:rsidRPr="00F56958">
        <w:rPr>
          <w:rStyle w:val="Strong"/>
          <w:b w:val="0"/>
        </w:rPr>
        <w:t>Christofides</w:t>
      </w:r>
      <w:proofErr w:type="spellEnd"/>
      <w:r w:rsidRPr="00F56958">
        <w:rPr>
          <w:rStyle w:val="Strong"/>
          <w:b w:val="0"/>
        </w:rPr>
        <w:t xml:space="preserve"> L.</w:t>
      </w:r>
      <w:r w:rsidRPr="00F56958">
        <w:t xml:space="preserve"> and </w:t>
      </w:r>
      <w:r w:rsidRPr="00F56958">
        <w:rPr>
          <w:rStyle w:val="Strong"/>
          <w:b w:val="0"/>
        </w:rPr>
        <w:t>Michael</w:t>
      </w:r>
      <w:r w:rsidRPr="00F56958">
        <w:t xml:space="preserve"> </w:t>
      </w:r>
      <w:r w:rsidRPr="00F56958">
        <w:rPr>
          <w:rStyle w:val="Strong"/>
          <w:b w:val="0"/>
        </w:rPr>
        <w:t>M. 2013</w:t>
      </w:r>
      <w:r w:rsidR="00F46FAD">
        <w:rPr>
          <w:rStyle w:val="Strong"/>
          <w:b w:val="0"/>
        </w:rPr>
        <w:t>)</w:t>
      </w:r>
      <w:r>
        <w:rPr>
          <w:lang w:eastAsia="en-US"/>
        </w:rPr>
        <w:t>.</w:t>
      </w:r>
      <w:r w:rsidR="00F57CBB">
        <w:rPr>
          <w:lang w:eastAsia="en-US"/>
        </w:rPr>
        <w:t xml:space="preserve">  </w:t>
      </w:r>
    </w:p>
    <w:p w:rsidR="0019690A" w:rsidRDefault="0019690A" w:rsidP="00436DC8">
      <w:pPr>
        <w:rPr>
          <w:lang w:eastAsia="en-US"/>
        </w:rPr>
      </w:pPr>
    </w:p>
    <w:p w:rsidR="00436DC8" w:rsidRDefault="00436DC8" w:rsidP="00436DC8">
      <w:pPr>
        <w:rPr>
          <w:lang w:eastAsia="en-US"/>
        </w:rPr>
      </w:pPr>
      <w:r>
        <w:rPr>
          <w:lang w:eastAsia="en-US"/>
        </w:rPr>
        <w:t>For the same reason, public ownership of utilities and other companies improves income equality, whereas privatisation worsens equality of incomes, because senior executives in privatised operations pay themselves far higher salaries than in the public sector</w:t>
      </w:r>
      <w:r w:rsidR="004236F3">
        <w:rPr>
          <w:lang w:eastAsia="en-US"/>
        </w:rPr>
        <w:t xml:space="preserve"> - Wilson and Pickett (</w:t>
      </w:r>
      <w:proofErr w:type="gramStart"/>
      <w:r w:rsidR="004236F3">
        <w:rPr>
          <w:lang w:eastAsia="en-US"/>
        </w:rPr>
        <w:t>2009  pp</w:t>
      </w:r>
      <w:proofErr w:type="gramEnd"/>
      <w:r w:rsidR="004236F3">
        <w:rPr>
          <w:lang w:eastAsia="en-US"/>
        </w:rPr>
        <w:t>. 243-4)</w:t>
      </w:r>
      <w:r w:rsidR="00F57CBB">
        <w:rPr>
          <w:lang w:eastAsia="en-US"/>
        </w:rPr>
        <w:t xml:space="preserve"> </w:t>
      </w:r>
      <w:r w:rsidR="004236F3">
        <w:rPr>
          <w:lang w:eastAsia="en-US"/>
        </w:rPr>
        <w:t>suggest that this</w:t>
      </w:r>
      <w:r>
        <w:rPr>
          <w:lang w:eastAsia="en-US"/>
        </w:rPr>
        <w:t xml:space="preserve"> may have been a major factor in the growth of inequality </w:t>
      </w:r>
      <w:r w:rsidR="004236F3">
        <w:rPr>
          <w:lang w:eastAsia="en-US"/>
        </w:rPr>
        <w:t xml:space="preserve">in the UK </w:t>
      </w:r>
      <w:r>
        <w:rPr>
          <w:lang w:eastAsia="en-US"/>
        </w:rPr>
        <w:t>in the 1980s</w:t>
      </w:r>
      <w:r w:rsidR="004236F3">
        <w:rPr>
          <w:lang w:eastAsia="en-US"/>
        </w:rPr>
        <w:t>.</w:t>
      </w:r>
    </w:p>
    <w:p w:rsidR="00436DC8" w:rsidRDefault="00436DC8" w:rsidP="00474C4D">
      <w:pPr>
        <w:rPr>
          <w:lang w:eastAsia="en-US"/>
        </w:rPr>
      </w:pPr>
    </w:p>
    <w:p w:rsidR="004E5195" w:rsidRDefault="00436DC8" w:rsidP="004E5195">
      <w:pPr>
        <w:rPr>
          <w:lang w:eastAsia="en-US"/>
        </w:rPr>
      </w:pPr>
      <w:r>
        <w:rPr>
          <w:lang w:eastAsia="en-US"/>
        </w:rPr>
        <w:t xml:space="preserve">This effect on wage equality could be </w:t>
      </w:r>
      <w:r w:rsidR="00F57CBB">
        <w:rPr>
          <w:lang w:eastAsia="en-US"/>
        </w:rPr>
        <w:t>weakened</w:t>
      </w:r>
      <w:r>
        <w:rPr>
          <w:lang w:eastAsia="en-US"/>
        </w:rPr>
        <w:t xml:space="preserve"> </w:t>
      </w:r>
      <w:r w:rsidR="00F57CBB">
        <w:rPr>
          <w:lang w:eastAsia="en-US"/>
        </w:rPr>
        <w:t xml:space="preserve">to </w:t>
      </w:r>
      <w:r>
        <w:rPr>
          <w:lang w:eastAsia="en-US"/>
        </w:rPr>
        <w:t>the extent that the public sector outsources work rather than using direct employees</w:t>
      </w:r>
      <w:r w:rsidR="00F57CBB">
        <w:rPr>
          <w:lang w:eastAsia="en-US"/>
        </w:rPr>
        <w:t>, if contractors are free to pay ‘private sector’ rates</w:t>
      </w:r>
      <w:r>
        <w:rPr>
          <w:lang w:eastAsia="en-US"/>
        </w:rPr>
        <w:t xml:space="preserve">. But this </w:t>
      </w:r>
      <w:r w:rsidR="00914919">
        <w:rPr>
          <w:lang w:eastAsia="en-US"/>
        </w:rPr>
        <w:t>is</w:t>
      </w:r>
      <w:r>
        <w:rPr>
          <w:lang w:eastAsia="en-US"/>
        </w:rPr>
        <w:t xml:space="preserve"> prevented</w:t>
      </w:r>
      <w:r w:rsidR="00914919">
        <w:rPr>
          <w:lang w:eastAsia="en-US"/>
        </w:rPr>
        <w:t xml:space="preserve"> where governments use </w:t>
      </w:r>
      <w:r w:rsidR="004E5195">
        <w:rPr>
          <w:lang w:eastAsia="en-US"/>
        </w:rPr>
        <w:t>‘fair wages’ policies requiring contractors</w:t>
      </w:r>
      <w:r w:rsidR="00F57CBB">
        <w:rPr>
          <w:lang w:eastAsia="en-US"/>
        </w:rPr>
        <w:t xml:space="preserve"> to provide pay and conditions comparable to the public sector. These same </w:t>
      </w:r>
      <w:r w:rsidR="00914919">
        <w:rPr>
          <w:lang w:eastAsia="en-US"/>
        </w:rPr>
        <w:t xml:space="preserve">provisions also extend the equalising effect </w:t>
      </w:r>
      <w:r w:rsidR="00F57CBB">
        <w:rPr>
          <w:lang w:eastAsia="en-US"/>
        </w:rPr>
        <w:t xml:space="preserve">of public sector pay </w:t>
      </w:r>
      <w:r w:rsidR="00914919">
        <w:rPr>
          <w:lang w:eastAsia="en-US"/>
        </w:rPr>
        <w:t xml:space="preserve">into the private sector. </w:t>
      </w:r>
      <w:r w:rsidR="004E5195">
        <w:rPr>
          <w:lang w:eastAsia="en-US"/>
        </w:rPr>
        <w:t xml:space="preserve"> </w:t>
      </w:r>
      <w:r w:rsidR="00F57CBB">
        <w:rPr>
          <w:lang w:eastAsia="en-US"/>
        </w:rPr>
        <w:t>Other</w:t>
      </w:r>
      <w:r>
        <w:rPr>
          <w:lang w:eastAsia="en-US"/>
        </w:rPr>
        <w:t xml:space="preserve"> procurement conditions have also been used to create greater equality of opportunity, especially for women and ethnic minorities</w:t>
      </w:r>
      <w:r w:rsidR="00D913EC">
        <w:rPr>
          <w:lang w:eastAsia="en-US"/>
        </w:rPr>
        <w:t xml:space="preserve">, which </w:t>
      </w:r>
      <w:proofErr w:type="gramStart"/>
      <w:r w:rsidR="00D913EC">
        <w:rPr>
          <w:lang w:eastAsia="en-US"/>
        </w:rPr>
        <w:t>h</w:t>
      </w:r>
      <w:r>
        <w:rPr>
          <w:lang w:eastAsia="en-US"/>
        </w:rPr>
        <w:t>as</w:t>
      </w:r>
      <w:proofErr w:type="gramEnd"/>
      <w:r>
        <w:rPr>
          <w:lang w:eastAsia="en-US"/>
        </w:rPr>
        <w:t xml:space="preserve"> </w:t>
      </w:r>
      <w:r w:rsidR="00D913EC">
        <w:rPr>
          <w:lang w:eastAsia="en-US"/>
        </w:rPr>
        <w:t xml:space="preserve">a </w:t>
      </w:r>
      <w:r>
        <w:rPr>
          <w:lang w:eastAsia="en-US"/>
        </w:rPr>
        <w:t xml:space="preserve">further effect in equalising household incomes, by raising the </w:t>
      </w:r>
      <w:r w:rsidR="00F57CBB">
        <w:rPr>
          <w:lang w:eastAsia="en-US"/>
        </w:rPr>
        <w:t xml:space="preserve">employment and </w:t>
      </w:r>
      <w:r>
        <w:rPr>
          <w:lang w:eastAsia="en-US"/>
        </w:rPr>
        <w:t xml:space="preserve">wages of those who previously </w:t>
      </w:r>
      <w:r w:rsidR="00F57CBB">
        <w:rPr>
          <w:lang w:eastAsia="en-US"/>
        </w:rPr>
        <w:t>suffered from</w:t>
      </w:r>
      <w:r>
        <w:rPr>
          <w:lang w:eastAsia="en-US"/>
        </w:rPr>
        <w:t xml:space="preserve"> discrimination.</w:t>
      </w:r>
      <w:r w:rsidR="00A91FB1">
        <w:rPr>
          <w:lang w:eastAsia="en-US"/>
        </w:rPr>
        <w:t xml:space="preserve"> (</w:t>
      </w:r>
      <w:r w:rsidR="00C5136D">
        <w:rPr>
          <w:lang w:eastAsia="en-US"/>
        </w:rPr>
        <w:t xml:space="preserve">ILO 2008; </w:t>
      </w:r>
      <w:proofErr w:type="spellStart"/>
      <w:r w:rsidR="00A91FB1">
        <w:rPr>
          <w:lang w:eastAsia="en-US"/>
        </w:rPr>
        <w:t>McCrudden</w:t>
      </w:r>
      <w:proofErr w:type="spellEnd"/>
      <w:r w:rsidR="00A91FB1">
        <w:rPr>
          <w:lang w:eastAsia="en-US"/>
        </w:rPr>
        <w:t xml:space="preserve"> 2004)</w:t>
      </w:r>
      <w:r w:rsidR="00D913EC" w:rsidRPr="00D913EC">
        <w:rPr>
          <w:vertAlign w:val="superscript"/>
          <w:lang w:eastAsia="en-US"/>
        </w:rPr>
        <w:t xml:space="preserve"> </w:t>
      </w:r>
    </w:p>
    <w:p w:rsidR="00474C4D" w:rsidRDefault="00474C4D" w:rsidP="00152D5E">
      <w:pPr>
        <w:rPr>
          <w:lang w:eastAsia="en-US"/>
        </w:rPr>
      </w:pPr>
    </w:p>
    <w:p w:rsidR="00DF17B9" w:rsidRDefault="00DF17B9" w:rsidP="00DF17B9">
      <w:pPr>
        <w:pStyle w:val="Heading2"/>
      </w:pPr>
      <w:bookmarkStart w:id="44" w:name="_Toc388199722"/>
      <w:r>
        <w:t>Public services as mediator between equality and social benefits</w:t>
      </w:r>
      <w:bookmarkEnd w:id="44"/>
    </w:p>
    <w:p w:rsidR="00F85A7E" w:rsidRDefault="00F85A7E" w:rsidP="00C87E0B">
      <w:pPr>
        <w:rPr>
          <w:lang w:eastAsia="en-US"/>
        </w:rPr>
      </w:pPr>
      <w:r>
        <w:rPr>
          <w:lang w:eastAsia="en-US"/>
        </w:rPr>
        <w:t>Public services are also one of the mechanisms</w:t>
      </w:r>
      <w:r w:rsidR="00605881">
        <w:rPr>
          <w:lang w:eastAsia="en-US"/>
        </w:rPr>
        <w:t xml:space="preserve"> </w:t>
      </w:r>
      <w:r>
        <w:rPr>
          <w:lang w:eastAsia="en-US"/>
        </w:rPr>
        <w:t xml:space="preserve">linking income equality to better social outcomes. </w:t>
      </w:r>
      <w:r w:rsidR="00DF17B9">
        <w:rPr>
          <w:lang w:eastAsia="en-US"/>
        </w:rPr>
        <w:t>‘The Spirit Level’ makes few references to public services</w:t>
      </w:r>
      <w:r w:rsidR="0019690A">
        <w:rPr>
          <w:lang w:eastAsia="en-US"/>
        </w:rPr>
        <w:t xml:space="preserve">, but </w:t>
      </w:r>
      <w:r>
        <w:rPr>
          <w:lang w:eastAsia="en-US"/>
        </w:rPr>
        <w:t>i</w:t>
      </w:r>
      <w:r w:rsidR="00DF17B9">
        <w:rPr>
          <w:lang w:eastAsia="en-US"/>
        </w:rPr>
        <w:t xml:space="preserve">t notes that public spending on education is strongly linked to equality of personal income, so that better educational </w:t>
      </w:r>
      <w:proofErr w:type="gramStart"/>
      <w:r w:rsidR="00DF17B9">
        <w:rPr>
          <w:lang w:eastAsia="en-US"/>
        </w:rPr>
        <w:t xml:space="preserve">results </w:t>
      </w:r>
      <w:r w:rsidR="00C87E0B">
        <w:rPr>
          <w:lang w:eastAsia="en-US"/>
        </w:rPr>
        <w:t xml:space="preserve"> </w:t>
      </w:r>
      <w:r w:rsidR="00DF17B9">
        <w:rPr>
          <w:lang w:eastAsia="en-US"/>
        </w:rPr>
        <w:t>are</w:t>
      </w:r>
      <w:proofErr w:type="gramEnd"/>
      <w:r w:rsidR="00DF17B9">
        <w:rPr>
          <w:lang w:eastAsia="en-US"/>
        </w:rPr>
        <w:t xml:space="preserve"> linked to both factors (</w:t>
      </w:r>
      <w:r>
        <w:rPr>
          <w:lang w:eastAsia="en-US"/>
        </w:rPr>
        <w:t xml:space="preserve">Wilson and Pickett 2009 </w:t>
      </w:r>
      <w:r w:rsidR="00DF17B9">
        <w:rPr>
          <w:lang w:eastAsia="en-US"/>
        </w:rPr>
        <w:t xml:space="preserve">p.112).  </w:t>
      </w:r>
      <w:r w:rsidR="00C87E0B">
        <w:rPr>
          <w:lang w:eastAsia="en-US"/>
        </w:rPr>
        <w:t>On healthcare, it</w:t>
      </w:r>
      <w:r w:rsidR="00DF17B9">
        <w:rPr>
          <w:lang w:eastAsia="en-US"/>
        </w:rPr>
        <w:t xml:space="preserve"> comments that life expectancy is not strongly correlated with</w:t>
      </w:r>
      <w:r w:rsidR="00DF17B9" w:rsidRPr="00940985">
        <w:rPr>
          <w:lang w:eastAsia="en-US"/>
        </w:rPr>
        <w:t xml:space="preserve"> </w:t>
      </w:r>
      <w:r w:rsidR="00DF17B9">
        <w:rPr>
          <w:lang w:eastAsia="en-US"/>
        </w:rPr>
        <w:t xml:space="preserve">the </w:t>
      </w:r>
      <w:r w:rsidR="00DF17B9" w:rsidRPr="00DE2B83">
        <w:rPr>
          <w:i/>
          <w:lang w:eastAsia="en-US"/>
        </w:rPr>
        <w:t>total</w:t>
      </w:r>
      <w:r w:rsidR="00DF17B9">
        <w:rPr>
          <w:lang w:eastAsia="en-US"/>
        </w:rPr>
        <w:t xml:space="preserve"> spending on healthcare</w:t>
      </w:r>
      <w:r w:rsidR="00C87E0B">
        <w:rPr>
          <w:lang w:eastAsia="en-US"/>
        </w:rPr>
        <w:t xml:space="preserve">: but </w:t>
      </w:r>
      <w:r w:rsidR="00DF17B9" w:rsidRPr="006C33ED">
        <w:rPr>
          <w:i/>
          <w:lang w:eastAsia="en-US"/>
        </w:rPr>
        <w:t>public</w:t>
      </w:r>
      <w:r w:rsidR="00DF17B9">
        <w:rPr>
          <w:lang w:eastAsia="en-US"/>
        </w:rPr>
        <w:t xml:space="preserve"> spending on healthcare </w:t>
      </w:r>
      <w:r w:rsidR="00DF17B9" w:rsidRPr="00940985">
        <w:rPr>
          <w:i/>
          <w:lang w:eastAsia="en-US"/>
        </w:rPr>
        <w:t>is</w:t>
      </w:r>
      <w:r w:rsidR="00DF17B9">
        <w:rPr>
          <w:lang w:eastAsia="en-US"/>
        </w:rPr>
        <w:t xml:space="preserve"> positively linked to infant mortality rates – whereas private healthcare spending has no effect, or even a negative effect, and even foreign aid has no significant </w:t>
      </w:r>
      <w:proofErr w:type="gramStart"/>
      <w:r w:rsidR="00DF17B9">
        <w:rPr>
          <w:lang w:eastAsia="en-US"/>
        </w:rPr>
        <w:t xml:space="preserve">effect  </w:t>
      </w:r>
      <w:r w:rsidR="00DF17B9" w:rsidRPr="00152D5E">
        <w:rPr>
          <w:lang w:eastAsia="en-US"/>
        </w:rPr>
        <w:t>(</w:t>
      </w:r>
      <w:proofErr w:type="spellStart"/>
      <w:proofErr w:type="gramEnd"/>
      <w:r w:rsidR="00DF17B9" w:rsidRPr="00152D5E">
        <w:rPr>
          <w:lang w:eastAsia="en-US"/>
        </w:rPr>
        <w:t>Ogloblin</w:t>
      </w:r>
      <w:proofErr w:type="spellEnd"/>
      <w:r w:rsidR="00DF17B9" w:rsidRPr="00152D5E">
        <w:rPr>
          <w:lang w:eastAsia="en-US"/>
        </w:rPr>
        <w:t xml:space="preserve"> 2011</w:t>
      </w:r>
      <w:r w:rsidR="00DF17B9">
        <w:rPr>
          <w:lang w:eastAsia="en-US"/>
        </w:rPr>
        <w:t xml:space="preserve">, </w:t>
      </w:r>
      <w:proofErr w:type="spellStart"/>
      <w:r w:rsidR="00DF17B9" w:rsidRPr="00152D5E">
        <w:rPr>
          <w:lang w:eastAsia="en-US"/>
        </w:rPr>
        <w:t>Tacke</w:t>
      </w:r>
      <w:proofErr w:type="spellEnd"/>
      <w:r w:rsidR="00DF17B9" w:rsidRPr="00152D5E">
        <w:rPr>
          <w:lang w:eastAsia="en-US"/>
        </w:rPr>
        <w:t xml:space="preserve"> and </w:t>
      </w:r>
      <w:proofErr w:type="spellStart"/>
      <w:r w:rsidR="00DF17B9" w:rsidRPr="00152D5E">
        <w:rPr>
          <w:lang w:eastAsia="en-US"/>
        </w:rPr>
        <w:t>Waldmann</w:t>
      </w:r>
      <w:proofErr w:type="spellEnd"/>
      <w:r w:rsidR="00DF17B9" w:rsidRPr="00152D5E">
        <w:rPr>
          <w:lang w:eastAsia="en-US"/>
        </w:rPr>
        <w:t xml:space="preserve"> 2011</w:t>
      </w:r>
      <w:r w:rsidR="00DF17B9">
        <w:rPr>
          <w:lang w:eastAsia="en-US"/>
        </w:rPr>
        <w:t>, Mukh</w:t>
      </w:r>
      <w:r w:rsidR="00C87E0B">
        <w:rPr>
          <w:lang w:eastAsia="en-US"/>
        </w:rPr>
        <w:t xml:space="preserve">erjee and </w:t>
      </w:r>
      <w:proofErr w:type="spellStart"/>
      <w:r w:rsidR="00C87E0B">
        <w:rPr>
          <w:lang w:eastAsia="en-US"/>
        </w:rPr>
        <w:t>Kizhakethalakal</w:t>
      </w:r>
      <w:proofErr w:type="spellEnd"/>
      <w:r w:rsidR="00C87E0B">
        <w:rPr>
          <w:lang w:eastAsia="en-US"/>
        </w:rPr>
        <w:t xml:space="preserve"> 2013). </w:t>
      </w:r>
      <w:r w:rsidR="00DF17B9">
        <w:rPr>
          <w:lang w:eastAsia="en-US"/>
        </w:rPr>
        <w:t xml:space="preserve">A study of 93 countries found that </w:t>
      </w:r>
      <w:r>
        <w:rPr>
          <w:lang w:eastAsia="en-US"/>
        </w:rPr>
        <w:t xml:space="preserve">income </w:t>
      </w:r>
      <w:r w:rsidR="00DF17B9">
        <w:rPr>
          <w:lang w:eastAsia="en-US"/>
        </w:rPr>
        <w:t xml:space="preserve">equality is strongly linked to better infant mortality - so that if the income share of the top 20% is cut by 1% of GDP, then infant mortality falls by 1.5% - </w:t>
      </w:r>
      <w:proofErr w:type="gramStart"/>
      <w:r w:rsidR="00DF17B9">
        <w:rPr>
          <w:lang w:eastAsia="en-US"/>
        </w:rPr>
        <w:t>but  it</w:t>
      </w:r>
      <w:proofErr w:type="gramEnd"/>
      <w:r w:rsidR="00DF17B9">
        <w:rPr>
          <w:lang w:eastAsia="en-US"/>
        </w:rPr>
        <w:t xml:space="preserve"> also found that “</w:t>
      </w:r>
      <w:r w:rsidR="00DF17B9" w:rsidRPr="00DF26C1">
        <w:rPr>
          <w:lang w:eastAsia="en-US"/>
        </w:rPr>
        <w:t xml:space="preserve">The overall results are sensitive to public policy: </w:t>
      </w:r>
      <w:r w:rsidR="00DF17B9" w:rsidRPr="00D913EC">
        <w:rPr>
          <w:lang w:eastAsia="en-US"/>
        </w:rPr>
        <w:t>public health care expenditure, educational outcomes, and access to basic sanitation and safe water can explain the inequality–health relationship</w:t>
      </w:r>
      <w:r w:rsidR="00DF17B9">
        <w:rPr>
          <w:lang w:eastAsia="en-US"/>
        </w:rPr>
        <w:t>”</w:t>
      </w:r>
      <w:r w:rsidR="00D63B31">
        <w:rPr>
          <w:lang w:eastAsia="en-US"/>
        </w:rPr>
        <w:t>.</w:t>
      </w:r>
      <w:r w:rsidR="00DF17B9">
        <w:rPr>
          <w:lang w:eastAsia="en-US"/>
        </w:rPr>
        <w:t xml:space="preserve"> (</w:t>
      </w:r>
      <w:proofErr w:type="spellStart"/>
      <w:r w:rsidR="00DF17B9">
        <w:rPr>
          <w:lang w:eastAsia="en-US"/>
        </w:rPr>
        <w:t>Tacke</w:t>
      </w:r>
      <w:proofErr w:type="spellEnd"/>
      <w:r w:rsidR="00DF17B9">
        <w:rPr>
          <w:lang w:eastAsia="en-US"/>
        </w:rPr>
        <w:t xml:space="preserve"> and </w:t>
      </w:r>
      <w:proofErr w:type="spellStart"/>
      <w:r w:rsidR="00DF17B9">
        <w:rPr>
          <w:lang w:eastAsia="en-US"/>
        </w:rPr>
        <w:t>Waldmann</w:t>
      </w:r>
      <w:proofErr w:type="spellEnd"/>
      <w:r w:rsidR="00DF17B9">
        <w:rPr>
          <w:lang w:eastAsia="en-US"/>
        </w:rPr>
        <w:t xml:space="preserve"> 2013) The same combination was identified in Brazil, where life </w:t>
      </w:r>
      <w:proofErr w:type="gramStart"/>
      <w:r w:rsidR="00DF17B9">
        <w:rPr>
          <w:lang w:eastAsia="en-US"/>
        </w:rPr>
        <w:t>expectancy  is</w:t>
      </w:r>
      <w:proofErr w:type="gramEnd"/>
      <w:r w:rsidR="00DF17B9">
        <w:rPr>
          <w:lang w:eastAsia="en-US"/>
        </w:rPr>
        <w:t xml:space="preserve"> improved both by public healthcare services and by more equal distribution of income. </w:t>
      </w:r>
      <w:r w:rsidR="00DF17B9" w:rsidRPr="00152D5E">
        <w:rPr>
          <w:lang w:eastAsia="en-US"/>
        </w:rPr>
        <w:t>(</w:t>
      </w:r>
      <w:proofErr w:type="spellStart"/>
      <w:r w:rsidR="00DF17B9">
        <w:rPr>
          <w:lang w:eastAsia="en-US"/>
        </w:rPr>
        <w:t>Rasella</w:t>
      </w:r>
      <w:proofErr w:type="spellEnd"/>
      <w:r w:rsidR="00DF17B9">
        <w:rPr>
          <w:lang w:eastAsia="en-US"/>
        </w:rPr>
        <w:t xml:space="preserve"> et al 2013).</w:t>
      </w:r>
      <w:r w:rsidR="00DF17B9" w:rsidRPr="007C3BF8">
        <w:rPr>
          <w:lang w:eastAsia="en-US"/>
        </w:rPr>
        <w:t xml:space="preserve"> </w:t>
      </w:r>
      <w:r w:rsidR="00D63B31">
        <w:rPr>
          <w:lang w:eastAsia="en-US"/>
        </w:rPr>
        <w:t xml:space="preserve"> So </w:t>
      </w:r>
      <w:r w:rsidR="00C87E0B">
        <w:rPr>
          <w:lang w:eastAsia="en-US"/>
        </w:rPr>
        <w:t xml:space="preserve">public services may be a key mediating mechanism by which more equal societies deliver better social outcomes. </w:t>
      </w:r>
    </w:p>
    <w:p w:rsidR="00DF17B9" w:rsidRPr="00B31F8C" w:rsidRDefault="00C87E0B" w:rsidP="00C87E0B">
      <w:pPr>
        <w:rPr>
          <w:lang w:eastAsia="en-US"/>
        </w:rPr>
      </w:pPr>
      <w:r>
        <w:rPr>
          <w:lang w:eastAsia="en-US"/>
        </w:rPr>
        <w:t xml:space="preserve"> </w:t>
      </w:r>
    </w:p>
    <w:p w:rsidR="00C57611" w:rsidRDefault="00C57611" w:rsidP="00C57611">
      <w:pPr>
        <w:pStyle w:val="Heading1"/>
      </w:pPr>
      <w:bookmarkStart w:id="45" w:name="_Toc388199723"/>
      <w:r>
        <w:t>Conclusions</w:t>
      </w:r>
      <w:bookmarkEnd w:id="45"/>
    </w:p>
    <w:p w:rsidR="0044692C" w:rsidRDefault="00C57611" w:rsidP="00C57611">
      <w:r>
        <w:t xml:space="preserve">Public services are one of the central mechanisms for improving equality. Their impact on equality is at least as great as the redistribution of disposable income through benefits. The growth of public services, including public infrastructure services, is central to the creation of more equal societies, in high income countries and in developing countries alike.  </w:t>
      </w:r>
    </w:p>
    <w:p w:rsidR="0044692C" w:rsidRDefault="0044692C" w:rsidP="00C57611"/>
    <w:p w:rsidR="00F72C07" w:rsidRDefault="0044692C" w:rsidP="00F72C07">
      <w:r>
        <w:lastRenderedPageBreak/>
        <w:t xml:space="preserve">Public services do not just mitigate the effects of the market economy – in a real </w:t>
      </w:r>
      <w:proofErr w:type="gramStart"/>
      <w:r>
        <w:t>sense,</w:t>
      </w:r>
      <w:proofErr w:type="gramEnd"/>
      <w:r>
        <w:t xml:space="preserve"> they reduce the relative size of the market economy, and replace it with an intrinsically more equal system. </w:t>
      </w:r>
      <w:r w:rsidR="00E74CE1">
        <w:t xml:space="preserve">The benefits of services are equally distributed, so that they bear no relation to the wealth of households, or the market value of labour to employers – although they continue to bear a close relationship to demand, e.g. for education, health, energy. Profit may be zero, or recycled into other services, but in either case is not an essential driver of the system. </w:t>
      </w:r>
      <w:r w:rsidR="00F72C07">
        <w:t xml:space="preserve"> </w:t>
      </w:r>
    </w:p>
    <w:p w:rsidR="00F72C07" w:rsidRDefault="00F72C07" w:rsidP="00F72C07"/>
    <w:p w:rsidR="00F72C07" w:rsidRDefault="00F72C07" w:rsidP="00F72C07">
      <w:pPr>
        <w:rPr>
          <w:lang w:eastAsia="en-US"/>
        </w:rPr>
      </w:pPr>
      <w:r>
        <w:rPr>
          <w:lang w:eastAsia="en-US"/>
        </w:rPr>
        <w:t xml:space="preserve">These effects of public </w:t>
      </w:r>
      <w:proofErr w:type="gramStart"/>
      <w:r>
        <w:rPr>
          <w:lang w:eastAsia="en-US"/>
        </w:rPr>
        <w:t>services  are</w:t>
      </w:r>
      <w:proofErr w:type="gramEnd"/>
      <w:r>
        <w:rPr>
          <w:lang w:eastAsia="en-US"/>
        </w:rPr>
        <w:t xml:space="preserve"> economically significant, because they challenge market allocation by price and demand, and challenge the dominant mode of private production. They are socially significant, because these public services are based on principles of universalism and solidarity, which similarly challenge the social relations of the market. </w:t>
      </w:r>
    </w:p>
    <w:p w:rsidR="00E74CE1" w:rsidRDefault="00E74CE1" w:rsidP="00C57611"/>
    <w:p w:rsidR="00E74CE1" w:rsidRDefault="00E74CE1" w:rsidP="00C57611"/>
    <w:p w:rsidR="00F72C07" w:rsidRDefault="00F72C07" w:rsidP="00F72C07">
      <w:r>
        <w:t>The distribution of extra spending power through benefits is no substitute for public services in terms of their effect on equality. Public sector employment is central to the positive effect on income equality, and the absolute equalisation of service provision is central to the redistributive effect of the services themselves.</w:t>
      </w:r>
    </w:p>
    <w:p w:rsidR="00F72C07" w:rsidRDefault="00F72C07" w:rsidP="00F72C07"/>
    <w:p w:rsidR="00A067B6" w:rsidRDefault="0044692C" w:rsidP="00C57611">
      <w:r>
        <w:t xml:space="preserve">The </w:t>
      </w:r>
      <w:r w:rsidR="00E74CE1">
        <w:t>growth in outsourcing of these services, including through PPPs, reduces the equalising effec</w:t>
      </w:r>
      <w:r w:rsidR="003F0916">
        <w:t xml:space="preserve">t of public services, </w:t>
      </w:r>
      <w:r w:rsidR="00E74CE1">
        <w:t xml:space="preserve">in two ways. Firstly, it replaces the wage income of public employees with a mixture of profits and wages of private employees, and thus increases the share of profits. Secondly, </w:t>
      </w:r>
      <w:r w:rsidR="003F0916">
        <w:t xml:space="preserve">especially through PPPs, </w:t>
      </w:r>
      <w:r w:rsidR="00E74CE1">
        <w:t xml:space="preserve">it enables private companies to charge higher prices to consumers or governments, thus again increasing the potential share of profits and reducing the disposable income of households.  </w:t>
      </w:r>
    </w:p>
    <w:p w:rsidR="00A067B6" w:rsidRDefault="00A067B6" w:rsidP="00C57611"/>
    <w:p w:rsidR="00F72C07" w:rsidRDefault="00F72C07" w:rsidP="00C57611"/>
    <w:p w:rsidR="00F72C07" w:rsidRDefault="00F72C07" w:rsidP="00C57611"/>
    <w:p w:rsidR="00F72C07" w:rsidRDefault="00F72C07" w:rsidP="00C57611"/>
    <w:p w:rsidR="00A067B6" w:rsidRDefault="00A067B6" w:rsidP="00C57611">
      <w:r>
        <w:t xml:space="preserve"> </w:t>
      </w:r>
    </w:p>
    <w:p w:rsidR="00A067B6" w:rsidRDefault="00A067B6" w:rsidP="00C57611">
      <w:r>
        <w:br w:type="page"/>
      </w:r>
    </w:p>
    <w:p w:rsidR="00A067B6" w:rsidRDefault="00A067B6" w:rsidP="00C57611"/>
    <w:p w:rsidR="009051B3" w:rsidRDefault="009051B3" w:rsidP="009051B3">
      <w:pPr>
        <w:pStyle w:val="Heading1"/>
      </w:pPr>
      <w:bookmarkStart w:id="46" w:name="_Toc378064390"/>
      <w:bookmarkStart w:id="47" w:name="_Toc388199724"/>
      <w:r>
        <w:t>Bibliography</w:t>
      </w:r>
      <w:bookmarkEnd w:id="46"/>
      <w:bookmarkEnd w:id="47"/>
    </w:p>
    <w:tbl>
      <w:tblPr>
        <w:tblStyle w:val="TableGrid"/>
        <w:tblW w:w="0" w:type="auto"/>
        <w:tblLook w:val="04A0" w:firstRow="1" w:lastRow="0" w:firstColumn="1" w:lastColumn="0" w:noHBand="0" w:noVBand="1"/>
      </w:tblPr>
      <w:tblGrid>
        <w:gridCol w:w="9854"/>
      </w:tblGrid>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Akazili</w:t>
            </w:r>
            <w:proofErr w:type="spellEnd"/>
            <w:r w:rsidRPr="00510ED4">
              <w:rPr>
                <w:sz w:val="20"/>
                <w:szCs w:val="20"/>
              </w:rPr>
              <w:t xml:space="preserve">, James, Bertha </w:t>
            </w:r>
            <w:proofErr w:type="spellStart"/>
            <w:r w:rsidRPr="00510ED4">
              <w:rPr>
                <w:sz w:val="20"/>
                <w:szCs w:val="20"/>
              </w:rPr>
              <w:t>Garshong</w:t>
            </w:r>
            <w:proofErr w:type="spellEnd"/>
            <w:r w:rsidRPr="00510ED4">
              <w:rPr>
                <w:sz w:val="20"/>
                <w:szCs w:val="20"/>
              </w:rPr>
              <w:t xml:space="preserve">, Moses </w:t>
            </w:r>
            <w:proofErr w:type="spellStart"/>
            <w:r w:rsidRPr="00510ED4">
              <w:rPr>
                <w:sz w:val="20"/>
                <w:szCs w:val="20"/>
              </w:rPr>
              <w:t>Aikins</w:t>
            </w:r>
            <w:proofErr w:type="spellEnd"/>
            <w:r w:rsidRPr="00510ED4">
              <w:rPr>
                <w:sz w:val="20"/>
                <w:szCs w:val="20"/>
              </w:rPr>
              <w:t xml:space="preserve">, John </w:t>
            </w:r>
            <w:proofErr w:type="spellStart"/>
            <w:r w:rsidRPr="00510ED4">
              <w:rPr>
                <w:sz w:val="20"/>
                <w:szCs w:val="20"/>
              </w:rPr>
              <w:t>Gyapong</w:t>
            </w:r>
            <w:proofErr w:type="spellEnd"/>
            <w:r w:rsidRPr="00510ED4">
              <w:rPr>
                <w:sz w:val="20"/>
                <w:szCs w:val="20"/>
              </w:rPr>
              <w:t>, and Di McIntyre. 2012. ‘Progressivity of Health Care Financing and Incidence of Service Benefits in Ghana’. Health Policy and Planning 27 (</w:t>
            </w:r>
            <w:proofErr w:type="spellStart"/>
            <w:r w:rsidRPr="00510ED4">
              <w:rPr>
                <w:sz w:val="20"/>
                <w:szCs w:val="20"/>
              </w:rPr>
              <w:t>suppl</w:t>
            </w:r>
            <w:proofErr w:type="spellEnd"/>
            <w:r w:rsidRPr="00510ED4">
              <w:rPr>
                <w:sz w:val="20"/>
                <w:szCs w:val="20"/>
              </w:rPr>
              <w:t xml:space="preserve"> 1) (January 3): i13–i22. doi:10.1093/</w:t>
            </w:r>
            <w:proofErr w:type="spellStart"/>
            <w:r w:rsidRPr="00510ED4">
              <w:rPr>
                <w:sz w:val="20"/>
                <w:szCs w:val="20"/>
              </w:rPr>
              <w:t>heapol</w:t>
            </w:r>
            <w:proofErr w:type="spellEnd"/>
            <w:r w:rsidRPr="00510ED4">
              <w:rPr>
                <w:sz w:val="20"/>
                <w:szCs w:val="20"/>
              </w:rPr>
              <w:t xml:space="preserve">/czs004. </w:t>
            </w:r>
            <w:hyperlink r:id="rId30" w:history="1">
              <w:r w:rsidRPr="00510ED4">
                <w:rPr>
                  <w:rStyle w:val="Hyperlink"/>
                  <w:sz w:val="20"/>
                  <w:szCs w:val="20"/>
                </w:rPr>
                <w:t>http://heapol.oxfordjournals.org/content/27/suppl_1/i13</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Arrieta</w:t>
            </w:r>
            <w:proofErr w:type="spellEnd"/>
            <w:r w:rsidRPr="00510ED4">
              <w:rPr>
                <w:sz w:val="20"/>
                <w:szCs w:val="20"/>
              </w:rPr>
              <w:t xml:space="preserve"> A. (2011) Health reform and </w:t>
            </w:r>
            <w:proofErr w:type="spellStart"/>
            <w:r w:rsidRPr="00510ED4">
              <w:rPr>
                <w:sz w:val="20"/>
                <w:szCs w:val="20"/>
              </w:rPr>
              <w:t>cesarean</w:t>
            </w:r>
            <w:proofErr w:type="spellEnd"/>
            <w:r w:rsidRPr="00510ED4">
              <w:rPr>
                <w:sz w:val="20"/>
                <w:szCs w:val="20"/>
              </w:rPr>
              <w:t xml:space="preserve"> sections in the private sector: The experience of Peru  </w:t>
            </w:r>
            <w:r w:rsidRPr="00510ED4">
              <w:rPr>
                <w:sz w:val="20"/>
                <w:szCs w:val="20"/>
                <w:u w:val="single"/>
              </w:rPr>
              <w:t>Health Policy</w:t>
            </w:r>
            <w:r w:rsidRPr="00510ED4">
              <w:rPr>
                <w:sz w:val="20"/>
                <w:szCs w:val="20"/>
              </w:rPr>
              <w:t xml:space="preserve">  99(2):124-30</w:t>
            </w:r>
          </w:p>
        </w:tc>
      </w:tr>
      <w:tr w:rsidR="00510ED4" w:rsidRPr="00510ED4" w:rsidTr="00FE7486">
        <w:tc>
          <w:tcPr>
            <w:tcW w:w="9854" w:type="dxa"/>
          </w:tcPr>
          <w:p w:rsidR="00510ED4" w:rsidRPr="00510ED4" w:rsidRDefault="00510ED4" w:rsidP="00DF17B9">
            <w:pPr>
              <w:rPr>
                <w:sz w:val="20"/>
                <w:szCs w:val="20"/>
                <w:u w:val="single"/>
              </w:rPr>
            </w:pPr>
            <w:proofErr w:type="spellStart"/>
            <w:r w:rsidRPr="00510ED4">
              <w:rPr>
                <w:sz w:val="20"/>
                <w:szCs w:val="20"/>
              </w:rPr>
              <w:t>Ayako</w:t>
            </w:r>
            <w:proofErr w:type="spellEnd"/>
            <w:r w:rsidRPr="00510ED4">
              <w:rPr>
                <w:sz w:val="20"/>
                <w:szCs w:val="20"/>
              </w:rPr>
              <w:t xml:space="preserve"> </w:t>
            </w:r>
            <w:proofErr w:type="spellStart"/>
            <w:r w:rsidRPr="00510ED4">
              <w:rPr>
                <w:sz w:val="20"/>
                <w:szCs w:val="20"/>
              </w:rPr>
              <w:t>Kondoyand</w:t>
            </w:r>
            <w:proofErr w:type="spellEnd"/>
            <w:r w:rsidRPr="00510ED4">
              <w:rPr>
                <w:sz w:val="20"/>
                <w:szCs w:val="20"/>
              </w:rPr>
              <w:t xml:space="preserve"> Hitoshi </w:t>
            </w:r>
            <w:proofErr w:type="spellStart"/>
            <w:r w:rsidRPr="00510ED4">
              <w:rPr>
                <w:sz w:val="20"/>
                <w:szCs w:val="20"/>
              </w:rPr>
              <w:t>Shigeoka</w:t>
            </w:r>
            <w:proofErr w:type="spellEnd"/>
            <w:r w:rsidRPr="00510ED4">
              <w:rPr>
                <w:sz w:val="20"/>
                <w:szCs w:val="20"/>
              </w:rPr>
              <w:t xml:space="preserve"> 2011 Effects of Universal Health Insurance on Health Care Utilization, Supply-Side Responses and Mortality Rates: Evidence from Japan </w:t>
            </w:r>
            <w:hyperlink r:id="rId31" w:history="1">
              <w:r w:rsidRPr="00510ED4">
                <w:rPr>
                  <w:rStyle w:val="Hyperlink"/>
                  <w:sz w:val="20"/>
                  <w:szCs w:val="20"/>
                </w:rPr>
                <w:t>http://www.columbia.edu/~hs2166/Kondo_Shigeoka_Oct4_2011.pdf</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lang w:eastAsia="en-US"/>
              </w:rPr>
              <w:t>Balakrishnan</w:t>
            </w:r>
            <w:proofErr w:type="spellEnd"/>
            <w:r w:rsidRPr="00510ED4">
              <w:rPr>
                <w:sz w:val="20"/>
                <w:szCs w:val="20"/>
                <w:lang w:eastAsia="en-US"/>
              </w:rPr>
              <w:t xml:space="preserve">, Ravi, Steinberg, Chad, and Syed </w:t>
            </w:r>
            <w:proofErr w:type="spellStart"/>
            <w:r w:rsidRPr="00510ED4">
              <w:rPr>
                <w:sz w:val="20"/>
                <w:szCs w:val="20"/>
                <w:lang w:eastAsia="en-US"/>
              </w:rPr>
              <w:t>Murtaza</w:t>
            </w:r>
            <w:proofErr w:type="spellEnd"/>
            <w:r w:rsidRPr="00510ED4">
              <w:rPr>
                <w:sz w:val="20"/>
                <w:szCs w:val="20"/>
                <w:lang w:eastAsia="en-US"/>
              </w:rPr>
              <w:t xml:space="preserve"> 2013 The Elusive Quest for Inclusive Growth: Growth, Poverty, and Inequality. IMF WP 13/152 </w:t>
            </w:r>
            <w:hyperlink r:id="rId32" w:history="1">
              <w:r w:rsidRPr="00510ED4">
                <w:rPr>
                  <w:rStyle w:val="Hyperlink"/>
                  <w:sz w:val="20"/>
                  <w:szCs w:val="20"/>
                  <w:lang w:eastAsia="en-US"/>
                </w:rPr>
                <w:t>http://www.imf.org/external/pubs/ft/wp/2013/wp13152.pdf</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Basu</w:t>
            </w:r>
            <w:proofErr w:type="spellEnd"/>
            <w:r w:rsidRPr="00510ED4">
              <w:rPr>
                <w:sz w:val="20"/>
                <w:szCs w:val="20"/>
              </w:rPr>
              <w:t xml:space="preserve"> S, Andrews J, Kishore S, Panjabi R, </w:t>
            </w:r>
            <w:proofErr w:type="spellStart"/>
            <w:r w:rsidRPr="00510ED4">
              <w:rPr>
                <w:sz w:val="20"/>
                <w:szCs w:val="20"/>
              </w:rPr>
              <w:t>Stuckler</w:t>
            </w:r>
            <w:proofErr w:type="spellEnd"/>
            <w:r w:rsidRPr="00510ED4">
              <w:rPr>
                <w:sz w:val="20"/>
                <w:szCs w:val="20"/>
              </w:rPr>
              <w:t xml:space="preserve"> D (2012) Comparative Performance of Private and Public Healthcare Systems in Low- and Middle-Income Countries: A Systematic Review. </w:t>
            </w:r>
            <w:proofErr w:type="spellStart"/>
            <w:r w:rsidRPr="00510ED4">
              <w:rPr>
                <w:sz w:val="20"/>
                <w:szCs w:val="20"/>
              </w:rPr>
              <w:t>PLoS</w:t>
            </w:r>
            <w:proofErr w:type="spellEnd"/>
            <w:r w:rsidRPr="00510ED4">
              <w:rPr>
                <w:sz w:val="20"/>
                <w:szCs w:val="20"/>
              </w:rPr>
              <w:t xml:space="preserve"> Med 9(6): e1001244. doi:10.1371/journal.pmed.1001244 </w:t>
            </w:r>
            <w:hyperlink r:id="rId33" w:history="1">
              <w:r w:rsidRPr="00510ED4">
                <w:rPr>
                  <w:rStyle w:val="Hyperlink"/>
                  <w:sz w:val="20"/>
                  <w:szCs w:val="20"/>
                </w:rPr>
                <w:t>http://dx.doi.org/10.1371/journal.pmed.1001244</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Beck, Ulrich. 2013. ‘Why “class” Is Too Soft a Category to Capture the Explosiveness of Social Inequality at the Beginning of the Twenty-First Century’. </w:t>
            </w:r>
            <w:r w:rsidRPr="00510ED4">
              <w:rPr>
                <w:i/>
                <w:sz w:val="20"/>
                <w:szCs w:val="20"/>
              </w:rPr>
              <w:t>The British Journal of Sociology</w:t>
            </w:r>
            <w:r w:rsidRPr="00510ED4">
              <w:rPr>
                <w:sz w:val="20"/>
                <w:szCs w:val="20"/>
              </w:rPr>
              <w:t xml:space="preserve"> 64 (1): 63–74. doi:10.1111/1468-4446.12005. </w:t>
            </w:r>
            <w:hyperlink r:id="rId34" w:history="1">
              <w:r w:rsidRPr="00510ED4">
                <w:rPr>
                  <w:rStyle w:val="Hyperlink"/>
                  <w:sz w:val="20"/>
                  <w:szCs w:val="20"/>
                </w:rPr>
                <w:t>http://onlinelibrary.wiley.com/doi/10.1111/1468-4446.12005/abstract</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Bridel</w:t>
            </w:r>
            <w:proofErr w:type="spellEnd"/>
            <w:r w:rsidRPr="00510ED4">
              <w:rPr>
                <w:sz w:val="20"/>
                <w:szCs w:val="20"/>
              </w:rPr>
              <w:t xml:space="preserve"> A. (2012) </w:t>
            </w:r>
            <w:r w:rsidRPr="00510ED4">
              <w:rPr>
                <w:sz w:val="20"/>
                <w:szCs w:val="20"/>
                <w:u w:val="single"/>
              </w:rPr>
              <w:t>Explaining 1CARE: its proposals, rationale and feasibility</w:t>
            </w:r>
            <w:r w:rsidRPr="00510ED4">
              <w:rPr>
                <w:sz w:val="20"/>
                <w:szCs w:val="20"/>
              </w:rPr>
              <w:t xml:space="preserve"> Centre for Public Policy Studies 17 August 2012 </w:t>
            </w:r>
            <w:hyperlink r:id="rId35" w:history="1">
              <w:r w:rsidRPr="00510ED4">
                <w:rPr>
                  <w:rStyle w:val="Hyperlink"/>
                  <w:sz w:val="20"/>
                  <w:szCs w:val="20"/>
                </w:rPr>
                <w:t>http://www.cpps.org.my/upload/CPPS%201Care%20Policy%20Paper.pdf</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Castelli</w:t>
            </w:r>
            <w:proofErr w:type="spellEnd"/>
            <w:r w:rsidRPr="00510ED4">
              <w:rPr>
                <w:sz w:val="20"/>
                <w:szCs w:val="20"/>
              </w:rPr>
              <w:t xml:space="preserve"> A.&amp; </w:t>
            </w:r>
            <w:proofErr w:type="spellStart"/>
            <w:r w:rsidRPr="00510ED4">
              <w:rPr>
                <w:sz w:val="20"/>
                <w:szCs w:val="20"/>
              </w:rPr>
              <w:t>Nizalova</w:t>
            </w:r>
            <w:proofErr w:type="spellEnd"/>
            <w:r w:rsidRPr="00510ED4">
              <w:rPr>
                <w:sz w:val="20"/>
                <w:szCs w:val="20"/>
              </w:rPr>
              <w:t xml:space="preserve"> O. (2011)  </w:t>
            </w:r>
            <w:r w:rsidRPr="00510ED4">
              <w:rPr>
                <w:bCs/>
                <w:sz w:val="20"/>
                <w:szCs w:val="20"/>
              </w:rPr>
              <w:t>Avoidable Mortality: What it Means and How it is Measured</w:t>
            </w:r>
            <w:r w:rsidRPr="00510ED4">
              <w:rPr>
                <w:sz w:val="20"/>
                <w:szCs w:val="20"/>
                <w:u w:val="single"/>
              </w:rPr>
              <w:t xml:space="preserve"> CHE Research Paper 63</w:t>
            </w:r>
            <w:r w:rsidRPr="00510ED4">
              <w:rPr>
                <w:sz w:val="20"/>
                <w:szCs w:val="20"/>
              </w:rPr>
              <w:t xml:space="preserve"> University of York Centre for Health Economics</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Cataife</w:t>
            </w:r>
            <w:proofErr w:type="spellEnd"/>
            <w:r w:rsidRPr="00510ED4">
              <w:rPr>
                <w:sz w:val="20"/>
                <w:szCs w:val="20"/>
              </w:rPr>
              <w:t xml:space="preserve"> G. and </w:t>
            </w:r>
            <w:proofErr w:type="spellStart"/>
            <w:r w:rsidRPr="00510ED4">
              <w:rPr>
                <w:sz w:val="20"/>
                <w:szCs w:val="20"/>
              </w:rPr>
              <w:t>Courtemanche</w:t>
            </w:r>
            <w:proofErr w:type="spellEnd"/>
            <w:r w:rsidRPr="00510ED4">
              <w:rPr>
                <w:sz w:val="20"/>
                <w:szCs w:val="20"/>
              </w:rPr>
              <w:t xml:space="preserve"> C. 2011 Is Universal Health Care in Brazil Really Universal? </w:t>
            </w:r>
            <w:r w:rsidRPr="00510ED4">
              <w:rPr>
                <w:bCs/>
                <w:sz w:val="20"/>
                <w:szCs w:val="20"/>
              </w:rPr>
              <w:t>NBER Working Paper No. 17069 May 2011</w:t>
            </w:r>
            <w:hyperlink r:id="rId36" w:history="1">
              <w:r w:rsidRPr="00510ED4">
                <w:rPr>
                  <w:rStyle w:val="Hyperlink"/>
                  <w:sz w:val="20"/>
                  <w:szCs w:val="20"/>
                </w:rPr>
                <w:t>http://www.nber.org/papers/w17069</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Chakraborty, </w:t>
            </w:r>
            <w:proofErr w:type="spellStart"/>
            <w:r w:rsidRPr="00510ED4">
              <w:rPr>
                <w:sz w:val="20"/>
                <w:szCs w:val="20"/>
              </w:rPr>
              <w:t>Lekha</w:t>
            </w:r>
            <w:proofErr w:type="spellEnd"/>
            <w:r w:rsidRPr="00510ED4">
              <w:rPr>
                <w:sz w:val="20"/>
                <w:szCs w:val="20"/>
              </w:rPr>
              <w:t xml:space="preserve"> S., Singh, </w:t>
            </w:r>
            <w:proofErr w:type="spellStart"/>
            <w:r w:rsidRPr="00510ED4">
              <w:rPr>
                <w:sz w:val="20"/>
                <w:szCs w:val="20"/>
              </w:rPr>
              <w:t>Yadawendra</w:t>
            </w:r>
            <w:proofErr w:type="spellEnd"/>
            <w:r w:rsidRPr="00510ED4">
              <w:rPr>
                <w:sz w:val="20"/>
                <w:szCs w:val="20"/>
              </w:rPr>
              <w:t xml:space="preserve"> and Jacob, </w:t>
            </w:r>
            <w:proofErr w:type="spellStart"/>
            <w:r w:rsidRPr="00510ED4">
              <w:rPr>
                <w:sz w:val="20"/>
                <w:szCs w:val="20"/>
              </w:rPr>
              <w:t>Jannet</w:t>
            </w:r>
            <w:proofErr w:type="spellEnd"/>
            <w:r w:rsidRPr="00510ED4">
              <w:rPr>
                <w:sz w:val="20"/>
                <w:szCs w:val="20"/>
              </w:rPr>
              <w:t xml:space="preserve"> </w:t>
            </w:r>
            <w:proofErr w:type="gramStart"/>
            <w:r w:rsidRPr="00510ED4">
              <w:rPr>
                <w:sz w:val="20"/>
                <w:szCs w:val="20"/>
              </w:rPr>
              <w:t>Farida ,</w:t>
            </w:r>
            <w:proofErr w:type="gramEnd"/>
            <w:r w:rsidRPr="00510ED4">
              <w:rPr>
                <w:sz w:val="20"/>
                <w:szCs w:val="20"/>
              </w:rPr>
              <w:t xml:space="preserve"> </w:t>
            </w:r>
            <w:proofErr w:type="spellStart"/>
            <w:r w:rsidRPr="00510ED4">
              <w:rPr>
                <w:sz w:val="20"/>
                <w:szCs w:val="20"/>
              </w:rPr>
              <w:t>Analyzing</w:t>
            </w:r>
            <w:proofErr w:type="spellEnd"/>
            <w:r w:rsidRPr="00510ED4">
              <w:rPr>
                <w:sz w:val="20"/>
                <w:szCs w:val="20"/>
              </w:rPr>
              <w:t xml:space="preserve"> Public Expenditure Benefit Incidence in Health Care: Evidence from India (January 18, 2013). Levy Economics Institute, Working Papers Series No. 748. Available at SSRN: http://ssrn.com/abstract=2202817 or </w:t>
            </w:r>
            <w:hyperlink r:id="rId37" w:history="1">
              <w:r w:rsidRPr="00510ED4">
                <w:rPr>
                  <w:rStyle w:val="Hyperlink"/>
                  <w:sz w:val="20"/>
                  <w:szCs w:val="20"/>
                </w:rPr>
                <w:t>http://dx.doi.org/10.2139/ssrn.2202817</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Chee H.L. &amp; </w:t>
            </w:r>
            <w:proofErr w:type="spellStart"/>
            <w:r w:rsidRPr="00510ED4">
              <w:rPr>
                <w:sz w:val="20"/>
                <w:szCs w:val="20"/>
              </w:rPr>
              <w:t>Barraclough</w:t>
            </w:r>
            <w:proofErr w:type="spellEnd"/>
            <w:r w:rsidRPr="00510ED4">
              <w:rPr>
                <w:sz w:val="20"/>
                <w:szCs w:val="20"/>
              </w:rPr>
              <w:t xml:space="preserve"> S. (2007) ‘Introduction: The transformation of healthcare in Malaysia’ in </w:t>
            </w:r>
            <w:r w:rsidRPr="00510ED4">
              <w:rPr>
                <w:sz w:val="20"/>
                <w:szCs w:val="20"/>
                <w:u w:val="single"/>
              </w:rPr>
              <w:t>Healthcare in Malaysia The dynamics of provision, financing and access</w:t>
            </w:r>
            <w:r w:rsidRPr="00510ED4">
              <w:rPr>
                <w:sz w:val="20"/>
                <w:szCs w:val="20"/>
              </w:rPr>
              <w:t xml:space="preserve"> (</w:t>
            </w:r>
            <w:proofErr w:type="spellStart"/>
            <w:r w:rsidRPr="00510ED4">
              <w:rPr>
                <w:sz w:val="20"/>
                <w:szCs w:val="20"/>
              </w:rPr>
              <w:t>eds</w:t>
            </w:r>
            <w:proofErr w:type="spellEnd"/>
            <w:r w:rsidRPr="00510ED4">
              <w:rPr>
                <w:sz w:val="20"/>
                <w:szCs w:val="20"/>
              </w:rPr>
              <w:t xml:space="preserve">) Chee H.L. &amp; </w:t>
            </w:r>
            <w:proofErr w:type="spellStart"/>
            <w:r w:rsidRPr="00510ED4">
              <w:rPr>
                <w:sz w:val="20"/>
                <w:szCs w:val="20"/>
              </w:rPr>
              <w:t>Barraclough</w:t>
            </w:r>
            <w:proofErr w:type="spellEnd"/>
            <w:r w:rsidRPr="00510ED4">
              <w:rPr>
                <w:sz w:val="20"/>
                <w:szCs w:val="20"/>
              </w:rPr>
              <w:t xml:space="preserve"> S. (2007) Routledge Malaysia Studies Series</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Chena Y, </w:t>
            </w:r>
            <w:proofErr w:type="spellStart"/>
            <w:r w:rsidRPr="00510ED4">
              <w:rPr>
                <w:sz w:val="20"/>
                <w:szCs w:val="20"/>
              </w:rPr>
              <w:t>Zhe</w:t>
            </w:r>
            <w:proofErr w:type="spellEnd"/>
            <w:r w:rsidRPr="00510ED4">
              <w:rPr>
                <w:sz w:val="20"/>
                <w:szCs w:val="20"/>
              </w:rPr>
              <w:t xml:space="preserve"> Jin G. 2012 Does health insurance coverage lead to better health and educational outcomes? Evidence from rural China Journal of Health Economics 31 (2012) 1– 14  doi:10.1016/j.jhealeco.2011.11.001</w:t>
            </w:r>
          </w:p>
        </w:tc>
      </w:tr>
      <w:tr w:rsidR="00510ED4" w:rsidRPr="00510ED4" w:rsidTr="00FE7486">
        <w:tc>
          <w:tcPr>
            <w:tcW w:w="9854" w:type="dxa"/>
          </w:tcPr>
          <w:p w:rsidR="00510ED4" w:rsidRPr="00510ED4" w:rsidRDefault="00510ED4" w:rsidP="00F56958">
            <w:pPr>
              <w:rPr>
                <w:sz w:val="20"/>
                <w:szCs w:val="20"/>
              </w:rPr>
            </w:pPr>
            <w:proofErr w:type="spellStart"/>
            <w:r w:rsidRPr="00510ED4">
              <w:rPr>
                <w:rStyle w:val="Strong"/>
                <w:b w:val="0"/>
                <w:sz w:val="20"/>
                <w:szCs w:val="20"/>
              </w:rPr>
              <w:t>Christofides</w:t>
            </w:r>
            <w:proofErr w:type="spellEnd"/>
            <w:r w:rsidRPr="00510ED4">
              <w:rPr>
                <w:rStyle w:val="Strong"/>
                <w:b w:val="0"/>
                <w:sz w:val="20"/>
                <w:szCs w:val="20"/>
              </w:rPr>
              <w:t xml:space="preserve"> L.</w:t>
            </w:r>
            <w:r w:rsidRPr="00510ED4">
              <w:rPr>
                <w:sz w:val="20"/>
                <w:szCs w:val="20"/>
              </w:rPr>
              <w:t xml:space="preserve"> and </w:t>
            </w:r>
            <w:r w:rsidRPr="00510ED4">
              <w:rPr>
                <w:rStyle w:val="Strong"/>
                <w:b w:val="0"/>
                <w:sz w:val="20"/>
                <w:szCs w:val="20"/>
              </w:rPr>
              <w:t>Michael</w:t>
            </w:r>
            <w:r w:rsidRPr="00510ED4">
              <w:rPr>
                <w:sz w:val="20"/>
                <w:szCs w:val="20"/>
              </w:rPr>
              <w:t xml:space="preserve"> </w:t>
            </w:r>
            <w:r w:rsidRPr="00510ED4">
              <w:rPr>
                <w:rStyle w:val="Strong"/>
                <w:b w:val="0"/>
                <w:sz w:val="20"/>
                <w:szCs w:val="20"/>
              </w:rPr>
              <w:t xml:space="preserve">M. 2013 </w:t>
            </w:r>
            <w:r w:rsidRPr="00510ED4">
              <w:rPr>
                <w:sz w:val="20"/>
                <w:szCs w:val="20"/>
              </w:rPr>
              <w:t xml:space="preserve">Exploring the public-private sector wage gap in European countries  </w:t>
            </w:r>
            <w:r w:rsidRPr="00510ED4">
              <w:rPr>
                <w:i/>
                <w:iCs/>
                <w:sz w:val="20"/>
                <w:szCs w:val="20"/>
              </w:rPr>
              <w:t xml:space="preserve">IZA Journal of European </w:t>
            </w:r>
            <w:proofErr w:type="spellStart"/>
            <w:r w:rsidRPr="00510ED4">
              <w:rPr>
                <w:i/>
                <w:iCs/>
                <w:sz w:val="20"/>
                <w:szCs w:val="20"/>
              </w:rPr>
              <w:t>Labor</w:t>
            </w:r>
            <w:proofErr w:type="spellEnd"/>
            <w:r w:rsidRPr="00510ED4">
              <w:rPr>
                <w:i/>
                <w:iCs/>
                <w:sz w:val="20"/>
                <w:szCs w:val="20"/>
              </w:rPr>
              <w:t xml:space="preserve"> Studies</w:t>
            </w:r>
            <w:r w:rsidRPr="00510ED4">
              <w:rPr>
                <w:sz w:val="20"/>
                <w:szCs w:val="20"/>
              </w:rPr>
              <w:t xml:space="preserve"> 2013, </w:t>
            </w:r>
            <w:r w:rsidRPr="00510ED4">
              <w:rPr>
                <w:bCs/>
                <w:sz w:val="20"/>
                <w:szCs w:val="20"/>
              </w:rPr>
              <w:t>2</w:t>
            </w:r>
            <w:r w:rsidRPr="00510ED4">
              <w:rPr>
                <w:sz w:val="20"/>
                <w:szCs w:val="20"/>
              </w:rPr>
              <w:t xml:space="preserve">:15  doi:10.1186/2193-9012-2-15  </w:t>
            </w:r>
            <w:hyperlink r:id="rId38" w:history="1">
              <w:r w:rsidRPr="00510ED4">
                <w:rPr>
                  <w:rStyle w:val="Hyperlink"/>
                  <w:sz w:val="20"/>
                  <w:szCs w:val="20"/>
                </w:rPr>
                <w:t>http://www.izajoels.com/content/2/1/15</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Chu K., Hamid </w:t>
            </w:r>
            <w:proofErr w:type="spellStart"/>
            <w:r w:rsidRPr="00510ED4">
              <w:rPr>
                <w:sz w:val="20"/>
                <w:szCs w:val="20"/>
              </w:rPr>
              <w:t>Davoodi</w:t>
            </w:r>
            <w:proofErr w:type="spellEnd"/>
            <w:r w:rsidRPr="00510ED4">
              <w:rPr>
                <w:sz w:val="20"/>
                <w:szCs w:val="20"/>
              </w:rPr>
              <w:t xml:space="preserve">, Sanjeev Gupta 2004 Income Distribution and Tax and Government Social-Spending Policies in Developing Countries 2004 in Inequality Growth and Poverty in an Era of Liberalization and Globalization ed. Giovanni Andrea </w:t>
            </w:r>
            <w:proofErr w:type="spellStart"/>
            <w:r w:rsidRPr="00510ED4">
              <w:rPr>
                <w:sz w:val="20"/>
                <w:szCs w:val="20"/>
              </w:rPr>
              <w:t>Cornia</w:t>
            </w:r>
            <w:proofErr w:type="spellEnd"/>
            <w:r w:rsidRPr="00510ED4">
              <w:rPr>
                <w:sz w:val="20"/>
                <w:szCs w:val="20"/>
              </w:rPr>
              <w:t xml:space="preserve"> Oxford Scholarship Online: Aug-04 </w:t>
            </w:r>
            <w:hyperlink r:id="rId39" w:history="1">
              <w:r w:rsidRPr="00510ED4">
                <w:rPr>
                  <w:rStyle w:val="Hyperlink"/>
                  <w:sz w:val="20"/>
                  <w:szCs w:val="20"/>
                </w:rPr>
                <w:t>http://www.oxfordscholarship.com/view/10.1093/0199271410.001.0001/acprof-9780199271412-chapter-10?rskey=S5UdbM&amp;result=1&amp;q=transition%20countries</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Cynamon</w:t>
            </w:r>
            <w:proofErr w:type="spellEnd"/>
            <w:r w:rsidRPr="00510ED4">
              <w:rPr>
                <w:sz w:val="20"/>
                <w:szCs w:val="20"/>
              </w:rPr>
              <w:t xml:space="preserve"> B. and </w:t>
            </w:r>
            <w:proofErr w:type="spellStart"/>
            <w:r w:rsidRPr="00510ED4">
              <w:rPr>
                <w:sz w:val="20"/>
                <w:szCs w:val="20"/>
              </w:rPr>
              <w:t>Fazzari</w:t>
            </w:r>
            <w:proofErr w:type="spellEnd"/>
            <w:r w:rsidRPr="00510ED4">
              <w:rPr>
                <w:sz w:val="20"/>
                <w:szCs w:val="20"/>
              </w:rPr>
              <w:t xml:space="preserve"> S. 2014 Inequality, the Great Recession, and Slow Recovery. Institute for New Economic Thinking  </w:t>
            </w:r>
            <w:hyperlink r:id="rId40" w:history="1">
              <w:r w:rsidRPr="00510ED4">
                <w:rPr>
                  <w:rStyle w:val="Hyperlink"/>
                  <w:iCs/>
                  <w:sz w:val="20"/>
                  <w:szCs w:val="20"/>
                </w:rPr>
                <w:t>http://ineteconomics.org/research_note/inequality-and-household-finance-during-consumer-age</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Dalinjong</w:t>
            </w:r>
            <w:proofErr w:type="spellEnd"/>
            <w:r w:rsidRPr="00510ED4">
              <w:rPr>
                <w:sz w:val="20"/>
                <w:szCs w:val="20"/>
              </w:rPr>
              <w:t xml:space="preserve"> and </w:t>
            </w:r>
            <w:proofErr w:type="spellStart"/>
            <w:r w:rsidRPr="00510ED4">
              <w:rPr>
                <w:sz w:val="20"/>
                <w:szCs w:val="20"/>
              </w:rPr>
              <w:t>Laar</w:t>
            </w:r>
            <w:proofErr w:type="spellEnd"/>
            <w:r w:rsidRPr="00510ED4">
              <w:rPr>
                <w:sz w:val="20"/>
                <w:szCs w:val="20"/>
              </w:rPr>
              <w:t xml:space="preserve"> 2012 The national health insurance </w:t>
            </w:r>
            <w:proofErr w:type="spellStart"/>
            <w:r w:rsidRPr="00510ED4">
              <w:rPr>
                <w:sz w:val="20"/>
                <w:szCs w:val="20"/>
              </w:rPr>
              <w:t>scheme</w:t>
            </w:r>
            <w:proofErr w:type="gramStart"/>
            <w:r w:rsidRPr="00510ED4">
              <w:rPr>
                <w:sz w:val="20"/>
                <w:szCs w:val="20"/>
              </w:rPr>
              <w:t>:perceptions</w:t>
            </w:r>
            <w:proofErr w:type="spellEnd"/>
            <w:proofErr w:type="gramEnd"/>
            <w:r w:rsidRPr="00510ED4">
              <w:rPr>
                <w:sz w:val="20"/>
                <w:szCs w:val="20"/>
              </w:rPr>
              <w:t xml:space="preserve"> and experiences of health care providers and clients in two districts of Ghana. Health Economics Review 2012, 2:13 </w:t>
            </w:r>
            <w:hyperlink r:id="rId41" w:history="1">
              <w:r w:rsidRPr="00510ED4">
                <w:rPr>
                  <w:rStyle w:val="Hyperlink"/>
                  <w:sz w:val="20"/>
                  <w:szCs w:val="20"/>
                </w:rPr>
                <w:t>http://www.healtheconomicsreview.com/content/2/1/13</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Davoodi</w:t>
            </w:r>
            <w:proofErr w:type="spellEnd"/>
            <w:r w:rsidRPr="00510ED4">
              <w:rPr>
                <w:sz w:val="20"/>
                <w:szCs w:val="20"/>
              </w:rPr>
              <w:t xml:space="preserve">, H, Erwin R </w:t>
            </w:r>
            <w:proofErr w:type="spellStart"/>
            <w:r w:rsidRPr="00510ED4">
              <w:rPr>
                <w:sz w:val="20"/>
                <w:szCs w:val="20"/>
              </w:rPr>
              <w:t>Tiongson</w:t>
            </w:r>
            <w:proofErr w:type="spellEnd"/>
            <w:r w:rsidRPr="00510ED4">
              <w:rPr>
                <w:sz w:val="20"/>
                <w:szCs w:val="20"/>
              </w:rPr>
              <w:t xml:space="preserve">, and </w:t>
            </w:r>
            <w:proofErr w:type="spellStart"/>
            <w:r w:rsidRPr="00510ED4">
              <w:rPr>
                <w:sz w:val="20"/>
                <w:szCs w:val="20"/>
              </w:rPr>
              <w:t>Sawitree</w:t>
            </w:r>
            <w:proofErr w:type="spellEnd"/>
            <w:r w:rsidRPr="00510ED4">
              <w:rPr>
                <w:sz w:val="20"/>
                <w:szCs w:val="20"/>
              </w:rPr>
              <w:t xml:space="preserve"> </w:t>
            </w:r>
            <w:proofErr w:type="spellStart"/>
            <w:r w:rsidRPr="00510ED4">
              <w:rPr>
                <w:sz w:val="20"/>
                <w:szCs w:val="20"/>
              </w:rPr>
              <w:t>Sachjapinan</w:t>
            </w:r>
            <w:proofErr w:type="spellEnd"/>
            <w:r w:rsidRPr="00510ED4">
              <w:rPr>
                <w:sz w:val="20"/>
                <w:szCs w:val="20"/>
              </w:rPr>
              <w:t xml:space="preserve"> </w:t>
            </w:r>
            <w:proofErr w:type="spellStart"/>
            <w:r w:rsidRPr="00510ED4">
              <w:rPr>
                <w:sz w:val="20"/>
                <w:szCs w:val="20"/>
              </w:rPr>
              <w:t>Asawanuchit</w:t>
            </w:r>
            <w:proofErr w:type="spellEnd"/>
            <w:r w:rsidRPr="00510ED4">
              <w:rPr>
                <w:sz w:val="20"/>
                <w:szCs w:val="20"/>
              </w:rPr>
              <w:t xml:space="preserve">. 2010. ‘Benefit Incidence of Public Education and Health Spending Worldwide: Evidence From A New Database’. </w:t>
            </w:r>
            <w:r w:rsidRPr="00510ED4">
              <w:rPr>
                <w:i/>
                <w:sz w:val="20"/>
                <w:szCs w:val="20"/>
              </w:rPr>
              <w:t>Poverty &amp; Public Policy</w:t>
            </w:r>
            <w:r w:rsidRPr="00510ED4">
              <w:rPr>
                <w:sz w:val="20"/>
                <w:szCs w:val="20"/>
              </w:rPr>
              <w:t xml:space="preserve"> 2 (2): 5–52. doi:10.2202/1944-2858.1055. </w:t>
            </w:r>
            <w:hyperlink r:id="rId42" w:history="1">
              <w:r w:rsidRPr="00510ED4">
                <w:rPr>
                  <w:rStyle w:val="Hyperlink"/>
                  <w:sz w:val="20"/>
                  <w:szCs w:val="20"/>
                </w:rPr>
                <w:t>http://onlinelibrary.wiley.com/doi/10.2202/1944-2858.1055/abstract</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Dhaxton</w:t>
            </w:r>
            <w:proofErr w:type="spellEnd"/>
            <w:r w:rsidRPr="00510ED4">
              <w:rPr>
                <w:sz w:val="20"/>
                <w:szCs w:val="20"/>
              </w:rPr>
              <w:t xml:space="preserve"> N., J. Christensen, N. Mathieson 2012 Inequality: You don’t know the half of it TJN 2012 </w:t>
            </w:r>
            <w:hyperlink r:id="rId43" w:history="1">
              <w:r w:rsidRPr="00510ED4">
                <w:rPr>
                  <w:rStyle w:val="Hyperlink"/>
                  <w:sz w:val="20"/>
                  <w:szCs w:val="20"/>
                </w:rPr>
                <w:t>http://www.taxjustice.net/cms/upload/pdf/Inequality_120722_You_dont_know_the_half_of_it.pdf</w:t>
              </w:r>
            </w:hyperlink>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Ghosh, </w:t>
            </w:r>
            <w:proofErr w:type="spellStart"/>
            <w:r w:rsidRPr="00510ED4">
              <w:rPr>
                <w:sz w:val="20"/>
                <w:szCs w:val="20"/>
              </w:rPr>
              <w:t>Madhusudan</w:t>
            </w:r>
            <w:proofErr w:type="spellEnd"/>
            <w:r w:rsidRPr="00510ED4">
              <w:rPr>
                <w:sz w:val="20"/>
                <w:szCs w:val="20"/>
              </w:rPr>
              <w:t xml:space="preserve">. 2013. ‘Regional Disparities in Education, Health and Human Development’. In </w:t>
            </w:r>
            <w:r w:rsidRPr="00510ED4">
              <w:rPr>
                <w:i/>
                <w:sz w:val="20"/>
                <w:szCs w:val="20"/>
              </w:rPr>
              <w:t>Liberalization, Growth and Regional Disparities in India</w:t>
            </w:r>
            <w:r w:rsidRPr="00510ED4">
              <w:rPr>
                <w:sz w:val="20"/>
                <w:szCs w:val="20"/>
              </w:rPr>
              <w:t xml:space="preserve">, 185–217. India Studies in Business and Economics. Springer India. </w:t>
            </w:r>
            <w:hyperlink r:id="rId44" w:history="1">
              <w:r w:rsidRPr="00510ED4">
                <w:rPr>
                  <w:rStyle w:val="Hyperlink"/>
                  <w:sz w:val="20"/>
                  <w:szCs w:val="20"/>
                </w:rPr>
                <w:t>http://link.springer.com/chapter/10.1007/978-81-322-0981-2_11</w:t>
              </w:r>
            </w:hyperlink>
            <w:r w:rsidRPr="00510ED4">
              <w:rPr>
                <w:sz w:val="20"/>
                <w:szCs w:val="20"/>
              </w:rPr>
              <w:t xml:space="preserve"> </w:t>
            </w:r>
          </w:p>
        </w:tc>
      </w:tr>
      <w:tr w:rsidR="00510ED4" w:rsidRPr="002348AB" w:rsidTr="00FE7486">
        <w:tc>
          <w:tcPr>
            <w:tcW w:w="9854" w:type="dxa"/>
            <w:shd w:val="clear" w:color="auto" w:fill="auto"/>
          </w:tcPr>
          <w:p w:rsidR="00510ED4" w:rsidRPr="00510ED4" w:rsidRDefault="00510ED4" w:rsidP="00DF17B9">
            <w:pPr>
              <w:rPr>
                <w:sz w:val="20"/>
                <w:szCs w:val="20"/>
                <w:lang w:val="fr-FR"/>
              </w:rPr>
            </w:pPr>
            <w:r w:rsidRPr="00510ED4">
              <w:rPr>
                <w:sz w:val="20"/>
                <w:szCs w:val="20"/>
              </w:rPr>
              <w:t xml:space="preserve">Gilson L, Doherty J, </w:t>
            </w:r>
            <w:proofErr w:type="spellStart"/>
            <w:r w:rsidRPr="00510ED4">
              <w:rPr>
                <w:sz w:val="20"/>
                <w:szCs w:val="20"/>
              </w:rPr>
              <w:t>Loewenson</w:t>
            </w:r>
            <w:proofErr w:type="spellEnd"/>
            <w:r w:rsidRPr="00510ED4">
              <w:rPr>
                <w:sz w:val="20"/>
                <w:szCs w:val="20"/>
              </w:rPr>
              <w:t xml:space="preserve"> R, Francis V (2007) Challenging inequity through health systems. Final report. Knowledge Network on Health Systems. WHO Commission on the Social Determinants of Health. </w:t>
            </w:r>
            <w:proofErr w:type="spellStart"/>
            <w:r w:rsidRPr="00510ED4">
              <w:rPr>
                <w:sz w:val="20"/>
                <w:szCs w:val="20"/>
                <w:lang w:val="fr-FR"/>
              </w:rPr>
              <w:t>Available</w:t>
            </w:r>
            <w:proofErr w:type="spellEnd"/>
            <w:r w:rsidRPr="00510ED4">
              <w:rPr>
                <w:sz w:val="20"/>
                <w:szCs w:val="20"/>
                <w:lang w:val="fr-FR"/>
              </w:rPr>
              <w:t xml:space="preserve">: </w:t>
            </w:r>
            <w:hyperlink r:id="rId45" w:history="1">
              <w:r w:rsidRPr="00510ED4">
                <w:rPr>
                  <w:rStyle w:val="Hyperlink"/>
                  <w:sz w:val="20"/>
                  <w:szCs w:val="20"/>
                  <w:lang w:val="fr-FR"/>
                </w:rPr>
                <w:t>http://www.who.int/social_determinants/resources/csdh_media/hskn_final_2007_en.pdf</w:t>
              </w:r>
            </w:hyperlink>
            <w:r w:rsidRPr="00510ED4">
              <w:rPr>
                <w:sz w:val="20"/>
                <w:szCs w:val="20"/>
                <w:lang w:val="fr-FR"/>
              </w:rPr>
              <w:t xml:space="preserve"> </w:t>
            </w:r>
          </w:p>
        </w:tc>
      </w:tr>
      <w:tr w:rsidR="00510ED4" w:rsidRPr="00510ED4" w:rsidTr="00FE7486">
        <w:tc>
          <w:tcPr>
            <w:tcW w:w="9854" w:type="dxa"/>
            <w:shd w:val="clear" w:color="auto" w:fill="auto"/>
          </w:tcPr>
          <w:p w:rsidR="00510ED4" w:rsidRPr="00510ED4" w:rsidRDefault="00510ED4" w:rsidP="00DF17B9">
            <w:pPr>
              <w:rPr>
                <w:bCs/>
                <w:sz w:val="20"/>
                <w:szCs w:val="20"/>
              </w:rPr>
            </w:pPr>
            <w:r w:rsidRPr="00510ED4">
              <w:rPr>
                <w:bCs/>
                <w:sz w:val="20"/>
                <w:szCs w:val="20"/>
              </w:rPr>
              <w:t xml:space="preserve">Gruber J. </w:t>
            </w:r>
            <w:proofErr w:type="spellStart"/>
            <w:r w:rsidRPr="00510ED4">
              <w:rPr>
                <w:bCs/>
                <w:sz w:val="20"/>
                <w:szCs w:val="20"/>
              </w:rPr>
              <w:t>Hendren</w:t>
            </w:r>
            <w:proofErr w:type="spellEnd"/>
            <w:r w:rsidRPr="00510ED4">
              <w:rPr>
                <w:bCs/>
                <w:sz w:val="20"/>
                <w:szCs w:val="20"/>
              </w:rPr>
              <w:t xml:space="preserve"> N. &amp; Townsend R. (2012) Demand and Reimbursement Effects of Healthcare Reform: Health Care Utilization and Infant Mortality in Thailand </w:t>
            </w:r>
            <w:r w:rsidRPr="00510ED4">
              <w:rPr>
                <w:bCs/>
                <w:sz w:val="20"/>
                <w:szCs w:val="20"/>
                <w:u w:val="single"/>
              </w:rPr>
              <w:t xml:space="preserve">NBER Working Paper No. 17739 </w:t>
            </w:r>
            <w:r w:rsidRPr="00510ED4">
              <w:rPr>
                <w:bCs/>
                <w:sz w:val="20"/>
                <w:szCs w:val="20"/>
              </w:rPr>
              <w:t xml:space="preserve">January 2012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Gupta, Sanjeev, </w:t>
            </w:r>
            <w:proofErr w:type="spellStart"/>
            <w:r w:rsidRPr="00510ED4">
              <w:rPr>
                <w:sz w:val="20"/>
                <w:szCs w:val="20"/>
              </w:rPr>
              <w:t>Marijn</w:t>
            </w:r>
            <w:proofErr w:type="spellEnd"/>
            <w:r w:rsidRPr="00510ED4">
              <w:rPr>
                <w:sz w:val="20"/>
                <w:szCs w:val="20"/>
              </w:rPr>
              <w:t xml:space="preserve"> </w:t>
            </w:r>
            <w:proofErr w:type="spellStart"/>
            <w:r w:rsidRPr="00510ED4">
              <w:rPr>
                <w:sz w:val="20"/>
                <w:szCs w:val="20"/>
              </w:rPr>
              <w:t>Verhoeven</w:t>
            </w:r>
            <w:proofErr w:type="spellEnd"/>
            <w:r w:rsidRPr="00510ED4">
              <w:rPr>
                <w:sz w:val="20"/>
                <w:szCs w:val="20"/>
              </w:rPr>
              <w:t xml:space="preserve">, and Erwin R. </w:t>
            </w:r>
            <w:proofErr w:type="spellStart"/>
            <w:r w:rsidRPr="00510ED4">
              <w:rPr>
                <w:sz w:val="20"/>
                <w:szCs w:val="20"/>
              </w:rPr>
              <w:t>Tiongson</w:t>
            </w:r>
            <w:proofErr w:type="spellEnd"/>
            <w:r w:rsidRPr="00510ED4">
              <w:rPr>
                <w:sz w:val="20"/>
                <w:szCs w:val="20"/>
              </w:rPr>
              <w:t>. 2003. ‘Public Spending on Health Care and the Poor’. Health Economics 12 (8): 685–696. doi:10.1002/hec.759.</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Hall D. 2010 Why we need public spending PSIRU </w:t>
            </w:r>
            <w:hyperlink r:id="rId46" w:history="1">
              <w:r w:rsidRPr="00510ED4">
                <w:rPr>
                  <w:rStyle w:val="Hyperlink"/>
                  <w:sz w:val="20"/>
                  <w:szCs w:val="20"/>
                </w:rPr>
                <w:t>www.psiru.org/reports/2010-10-QPS-pubspend.pdf</w:t>
              </w:r>
            </w:hyperlink>
            <w:r w:rsidRPr="00510ED4">
              <w:rPr>
                <w:sz w:val="20"/>
                <w:szCs w:val="20"/>
              </w:rPr>
              <w:t xml:space="preserve"> </w:t>
            </w:r>
          </w:p>
        </w:tc>
      </w:tr>
      <w:tr w:rsidR="00510ED4" w:rsidRPr="00510ED4" w:rsidTr="00FE7486">
        <w:tc>
          <w:tcPr>
            <w:tcW w:w="9854" w:type="dxa"/>
          </w:tcPr>
          <w:p w:rsidR="00510ED4" w:rsidRPr="00510ED4" w:rsidRDefault="00510ED4" w:rsidP="00F46FAD">
            <w:pPr>
              <w:rPr>
                <w:sz w:val="20"/>
                <w:szCs w:val="20"/>
              </w:rPr>
            </w:pPr>
            <w:proofErr w:type="spellStart"/>
            <w:r w:rsidRPr="00510ED4">
              <w:rPr>
                <w:sz w:val="20"/>
                <w:szCs w:val="20"/>
              </w:rPr>
              <w:lastRenderedPageBreak/>
              <w:t>Hyder</w:t>
            </w:r>
            <w:proofErr w:type="spellEnd"/>
            <w:r w:rsidRPr="00510ED4">
              <w:rPr>
                <w:sz w:val="20"/>
                <w:szCs w:val="20"/>
              </w:rPr>
              <w:t xml:space="preserve"> A. and Reilly B. 2005</w:t>
            </w:r>
            <w:r w:rsidRPr="00510ED4">
              <w:rPr>
                <w:bCs/>
                <w:sz w:val="20"/>
                <w:szCs w:val="20"/>
              </w:rPr>
              <w:t xml:space="preserve"> The Public and Private Sector Pay Gap in Pakistan: A </w:t>
            </w:r>
            <w:proofErr w:type="spellStart"/>
            <w:r w:rsidRPr="00510ED4">
              <w:rPr>
                <w:bCs/>
                <w:sz w:val="20"/>
                <w:szCs w:val="20"/>
              </w:rPr>
              <w:t>Quantile</w:t>
            </w:r>
            <w:proofErr w:type="spellEnd"/>
            <w:r w:rsidRPr="00510ED4">
              <w:rPr>
                <w:bCs/>
                <w:sz w:val="20"/>
                <w:szCs w:val="20"/>
              </w:rPr>
              <w:t xml:space="preserve"> Regression Analysis. </w:t>
            </w:r>
            <w:r w:rsidRPr="00510ED4">
              <w:rPr>
                <w:iCs/>
                <w:sz w:val="20"/>
                <w:szCs w:val="20"/>
              </w:rPr>
              <w:t>The Pakistan Development Review</w:t>
            </w:r>
            <w:r w:rsidRPr="00510ED4">
              <w:rPr>
                <w:sz w:val="20"/>
                <w:szCs w:val="20"/>
              </w:rPr>
              <w:t xml:space="preserve"> Vol. 44, No. 3 (Autumn 2005), pp. 271-306 </w:t>
            </w:r>
            <w:hyperlink r:id="rId47" w:history="1">
              <w:r w:rsidRPr="00510ED4">
                <w:rPr>
                  <w:rStyle w:val="Hyperlink"/>
                  <w:sz w:val="20"/>
                  <w:szCs w:val="20"/>
                </w:rPr>
                <w:t>http://www.jstor.org/stable/41260626</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IFC 2011  Healthy Partnerships How Governments Can Engage the Private Sector to Improve Health in Africa </w:t>
            </w:r>
            <w:hyperlink r:id="rId48" w:history="1">
              <w:r w:rsidRPr="00510ED4">
                <w:rPr>
                  <w:rStyle w:val="Hyperlink"/>
                  <w:sz w:val="20"/>
                  <w:szCs w:val="20"/>
                </w:rPr>
                <w:t>http://www1.ifc.org/wps/wcm/connect/industry_ext_content/ifc_external_corporate_site/industries/health+and+education/news/features_health_healthypartnerships</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IFC 2011 Guide for Investors in Private Health Care in Emerging Markets </w:t>
            </w:r>
            <w:hyperlink r:id="rId49" w:history="1">
              <w:r w:rsidRPr="00510ED4">
                <w:rPr>
                  <w:rStyle w:val="Hyperlink"/>
                  <w:sz w:val="20"/>
                  <w:szCs w:val="20"/>
                </w:rPr>
                <w:t>https://www.wbginvestmentclimate.org/toolkits/upload/Guide_for_Investors_in_Private_Health_Care_in_Emerging_Markets_RESIZED.pdf</w:t>
              </w:r>
            </w:hyperlink>
          </w:p>
        </w:tc>
      </w:tr>
      <w:tr w:rsidR="00510ED4" w:rsidRPr="00510ED4" w:rsidTr="00FE7486">
        <w:tc>
          <w:tcPr>
            <w:tcW w:w="9854" w:type="dxa"/>
          </w:tcPr>
          <w:p w:rsidR="00510ED4" w:rsidRPr="00510ED4" w:rsidRDefault="00510ED4" w:rsidP="00B31F8C">
            <w:pPr>
              <w:rPr>
                <w:sz w:val="20"/>
                <w:szCs w:val="20"/>
              </w:rPr>
            </w:pPr>
            <w:r w:rsidRPr="00510ED4">
              <w:rPr>
                <w:sz w:val="20"/>
                <w:szCs w:val="20"/>
              </w:rPr>
              <w:t xml:space="preserve">ILO 2008 Labour clauses in public contracts: Integrating the social dimension into procurement policies and practices. International Labour Conference 97th Session, 2008. </w:t>
            </w:r>
            <w:hyperlink r:id="rId50" w:history="1">
              <w:r w:rsidRPr="00510ED4">
                <w:rPr>
                  <w:rStyle w:val="Hyperlink"/>
                  <w:sz w:val="20"/>
                  <w:szCs w:val="20"/>
                </w:rPr>
                <w:t>http://www.ilo.org/wcmsp5/groups/public/@ed_norm/@normes/documents/publication/wcms_099699.pdf</w:t>
              </w:r>
            </w:hyperlink>
            <w:r w:rsidRPr="00510ED4">
              <w:rPr>
                <w:sz w:val="20"/>
                <w:szCs w:val="20"/>
              </w:rPr>
              <w:t xml:space="preserve"> </w:t>
            </w:r>
          </w:p>
        </w:tc>
      </w:tr>
      <w:tr w:rsidR="00510ED4" w:rsidRPr="00510ED4" w:rsidTr="00FE7486">
        <w:tc>
          <w:tcPr>
            <w:tcW w:w="9854" w:type="dxa"/>
          </w:tcPr>
          <w:p w:rsidR="00510ED4" w:rsidRPr="00510ED4" w:rsidRDefault="00510ED4" w:rsidP="00777100">
            <w:pPr>
              <w:rPr>
                <w:sz w:val="20"/>
                <w:szCs w:val="20"/>
              </w:rPr>
            </w:pPr>
            <w:r w:rsidRPr="00510ED4">
              <w:rPr>
                <w:sz w:val="20"/>
                <w:szCs w:val="20"/>
              </w:rPr>
              <w:t xml:space="preserve">ILO 2011 </w:t>
            </w:r>
            <w:r w:rsidRPr="00510ED4">
              <w:rPr>
                <w:iCs/>
                <w:sz w:val="20"/>
                <w:szCs w:val="20"/>
              </w:rPr>
              <w:t>Social Protection Floor for a Fair and Inclusive Globalization</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ILO 2012 Global Wage Report </w:t>
            </w:r>
            <w:hyperlink r:id="rId51" w:history="1">
              <w:r w:rsidRPr="00510ED4">
                <w:rPr>
                  <w:rStyle w:val="Hyperlink"/>
                  <w:sz w:val="20"/>
                  <w:szCs w:val="20"/>
                </w:rPr>
                <w:t>http://www.ilo.org/global/research/global-reports/global-wage-report/2012/charts/WCMS_193311/lang--en/index.htm</w:t>
              </w:r>
            </w:hyperlink>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IMF 2012  The Economics of Public Health Care Reform in Advanced and Emerging Economies  </w:t>
            </w:r>
            <w:hyperlink r:id="rId52" w:history="1">
              <w:r w:rsidRPr="00510ED4">
                <w:rPr>
                  <w:rStyle w:val="Hyperlink"/>
                  <w:sz w:val="20"/>
                  <w:szCs w:val="20"/>
                </w:rPr>
                <w:t>http://www.imf.org/external/pubs/ft/books/2012/health/healthcare.pdf</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IOM 2012 Best Care at Lower Cost: The Path to Continuously Learning Health Care in America </w:t>
            </w:r>
            <w:hyperlink r:id="rId53" w:history="1">
              <w:r w:rsidRPr="00510ED4">
                <w:rPr>
                  <w:rStyle w:val="Hyperlink"/>
                  <w:sz w:val="20"/>
                  <w:szCs w:val="20"/>
                </w:rPr>
                <w:t>http://www.iom.edu/Reports/2012/Best-Care-at-Lower-Cost-The-Path-to-Continuously-Learning-Health-Care-in-America.aspx</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Juswanto</w:t>
            </w:r>
            <w:proofErr w:type="spellEnd"/>
            <w:r w:rsidRPr="00510ED4">
              <w:rPr>
                <w:sz w:val="20"/>
                <w:szCs w:val="20"/>
              </w:rPr>
              <w:t xml:space="preserve">, </w:t>
            </w:r>
            <w:proofErr w:type="spellStart"/>
            <w:r w:rsidRPr="00510ED4">
              <w:rPr>
                <w:sz w:val="20"/>
                <w:szCs w:val="20"/>
              </w:rPr>
              <w:t>Wawan</w:t>
            </w:r>
            <w:proofErr w:type="spellEnd"/>
            <w:r w:rsidRPr="00510ED4">
              <w:rPr>
                <w:sz w:val="20"/>
                <w:szCs w:val="20"/>
              </w:rPr>
              <w:t xml:space="preserve">. 2010. ‘Distribution of Government Expenditure and Demand for Education </w:t>
            </w:r>
            <w:proofErr w:type="spellStart"/>
            <w:r w:rsidRPr="00510ED4">
              <w:rPr>
                <w:sz w:val="20"/>
                <w:szCs w:val="20"/>
              </w:rPr>
              <w:t>Services</w:t>
            </w:r>
            <w:proofErr w:type="gramStart"/>
            <w:r w:rsidRPr="00510ED4">
              <w:rPr>
                <w:sz w:val="20"/>
                <w:szCs w:val="20"/>
              </w:rPr>
              <w:t>:The</w:t>
            </w:r>
            <w:proofErr w:type="spellEnd"/>
            <w:proofErr w:type="gramEnd"/>
            <w:r w:rsidRPr="00510ED4">
              <w:rPr>
                <w:sz w:val="20"/>
                <w:szCs w:val="20"/>
              </w:rPr>
              <w:t xml:space="preserve"> Case of Indonesia’. Forum of International Development Studies 39 (March 2010)   </w:t>
            </w:r>
            <w:hyperlink r:id="rId54" w:history="1">
              <w:r w:rsidRPr="00510ED4">
                <w:rPr>
                  <w:rStyle w:val="Hyperlink"/>
                  <w:sz w:val="20"/>
                  <w:szCs w:val="20"/>
                </w:rPr>
                <w:t>http://ir2.nul.nagoya-u.ac.jp/jspui/handle/2237/14053</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Krugman P. 2013 End this depression now!  Norton and co.</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Kruk, M.E. &amp; Freedman, L.P., 2008. Assessing health system performance in developing countries: A review of the literature. Health Policy, 85(3), pp.263–276. Available at: http://www.sciencedirect.com/science/article/pii/S016885100700200X [Accessed September 4, 2012].</w:t>
            </w:r>
          </w:p>
        </w:tc>
      </w:tr>
      <w:tr w:rsidR="00510ED4" w:rsidRPr="00510ED4" w:rsidTr="00FE7486">
        <w:tc>
          <w:tcPr>
            <w:tcW w:w="9854" w:type="dxa"/>
          </w:tcPr>
          <w:p w:rsidR="00510ED4" w:rsidRPr="00510ED4" w:rsidRDefault="00510ED4" w:rsidP="0019690A">
            <w:pPr>
              <w:rPr>
                <w:sz w:val="20"/>
                <w:szCs w:val="20"/>
              </w:rPr>
            </w:pPr>
            <w:proofErr w:type="spellStart"/>
            <w:r w:rsidRPr="00510ED4">
              <w:rPr>
                <w:sz w:val="20"/>
                <w:szCs w:val="20"/>
                <w:lang w:eastAsia="en-US"/>
              </w:rPr>
              <w:t>Lucifora</w:t>
            </w:r>
            <w:proofErr w:type="spellEnd"/>
            <w:r w:rsidRPr="00510ED4">
              <w:rPr>
                <w:sz w:val="20"/>
                <w:szCs w:val="20"/>
                <w:lang w:eastAsia="en-US"/>
              </w:rPr>
              <w:t xml:space="preserve"> C. and </w:t>
            </w:r>
            <w:proofErr w:type="spellStart"/>
            <w:r w:rsidRPr="00510ED4">
              <w:rPr>
                <w:sz w:val="20"/>
                <w:szCs w:val="20"/>
                <w:lang w:eastAsia="en-US"/>
              </w:rPr>
              <w:t>Meurs</w:t>
            </w:r>
            <w:proofErr w:type="spellEnd"/>
            <w:r w:rsidRPr="00510ED4">
              <w:rPr>
                <w:sz w:val="20"/>
                <w:szCs w:val="20"/>
                <w:lang w:eastAsia="en-US"/>
              </w:rPr>
              <w:t xml:space="preserve"> D. 2006. The public sector pay gap in France, Great Britain and Italy. Review of Income and Wealth Series 52, Number 1, March 2006 DOI: 10.1111/j.1475-4991.2006.00175.x </w:t>
            </w:r>
            <w:hyperlink r:id="rId55" w:history="1">
              <w:r w:rsidRPr="00510ED4">
                <w:rPr>
                  <w:rStyle w:val="Hyperlink"/>
                  <w:sz w:val="20"/>
                  <w:szCs w:val="20"/>
                  <w:lang w:eastAsia="en-US"/>
                </w:rPr>
                <w:t>http://onlinelibrary.wiley.com/doi/10.1111/j.1475-4991.2006.00175.x/abstract;jsessionid=1525004D7C3EF76E9660282AA842E37D.f01t03?deniedAccessCustomisedMessage=&amp;userIsAuthenticated=false</w:t>
              </w:r>
            </w:hyperlink>
            <w:r w:rsidRPr="00510ED4">
              <w:rPr>
                <w:sz w:val="20"/>
                <w:szCs w:val="20"/>
                <w:lang w:eastAsia="en-US"/>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Lustig</w:t>
            </w:r>
            <w:proofErr w:type="spellEnd"/>
            <w:r w:rsidRPr="00510ED4">
              <w:rPr>
                <w:sz w:val="20"/>
                <w:szCs w:val="20"/>
              </w:rPr>
              <w:t xml:space="preserve">, Nora 2012 Taxes, Transfers, and Income Redistribution in Latin America. Inequality in Focus Volume 1, No 2 July 2012 </w:t>
            </w:r>
            <w:hyperlink r:id="rId56" w:history="1">
              <w:r w:rsidRPr="00510ED4">
                <w:rPr>
                  <w:rStyle w:val="Hyperlink"/>
                  <w:sz w:val="20"/>
                  <w:szCs w:val="20"/>
                </w:rPr>
                <w:t>http://siteresources.worldbank.org/EXTPOVERTY/Resources/InequalityInFocusJuly2012FINAL.pdf</w:t>
              </w:r>
            </w:hyperlink>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Lustig</w:t>
            </w:r>
            <w:proofErr w:type="spellEnd"/>
            <w:r w:rsidRPr="00510ED4">
              <w:rPr>
                <w:sz w:val="20"/>
                <w:szCs w:val="20"/>
              </w:rPr>
              <w:t xml:space="preserve">, Nora et al 2011 Fiscal Policy and Income Redistribution in Latin America: Challenging the Conventional Wisdom Tulane University Economics Working Paper 1124 October 2011   </w:t>
            </w:r>
            <w:hyperlink r:id="rId57" w:history="1">
              <w:r w:rsidRPr="00510ED4">
                <w:rPr>
                  <w:rStyle w:val="Hyperlink"/>
                  <w:sz w:val="20"/>
                  <w:szCs w:val="20"/>
                </w:rPr>
                <w:t>http://econ.tulane.edu/RePEc/pdf/tul1124.pdf</w:t>
              </w:r>
            </w:hyperlink>
            <w:r w:rsidRPr="00510ED4">
              <w:rPr>
                <w:sz w:val="20"/>
                <w:szCs w:val="20"/>
                <w:u w:val="single"/>
              </w:rPr>
              <w:t xml:space="preserve">  </w:t>
            </w:r>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Lustig</w:t>
            </w:r>
            <w:proofErr w:type="spellEnd"/>
            <w:r w:rsidRPr="00510ED4">
              <w:rPr>
                <w:sz w:val="20"/>
                <w:szCs w:val="20"/>
              </w:rPr>
              <w:t xml:space="preserve">, Nora; </w:t>
            </w:r>
            <w:proofErr w:type="spellStart"/>
            <w:r w:rsidRPr="00510ED4">
              <w:rPr>
                <w:sz w:val="20"/>
                <w:szCs w:val="20"/>
              </w:rPr>
              <w:t>Gray</w:t>
            </w:r>
            <w:proofErr w:type="spellEnd"/>
            <w:r w:rsidRPr="00510ED4">
              <w:rPr>
                <w:sz w:val="20"/>
                <w:szCs w:val="20"/>
              </w:rPr>
              <w:t xml:space="preserve">-Molina, George; </w:t>
            </w:r>
            <w:proofErr w:type="spellStart"/>
            <w:r w:rsidRPr="00510ED4">
              <w:rPr>
                <w:sz w:val="20"/>
                <w:szCs w:val="20"/>
              </w:rPr>
              <w:t>Higgins,Sean</w:t>
            </w:r>
            <w:proofErr w:type="spellEnd"/>
            <w:r w:rsidRPr="00510ED4">
              <w:rPr>
                <w:sz w:val="20"/>
                <w:szCs w:val="20"/>
              </w:rPr>
              <w:t xml:space="preserve">; </w:t>
            </w:r>
            <w:proofErr w:type="spellStart"/>
            <w:r w:rsidRPr="00510ED4">
              <w:rPr>
                <w:sz w:val="20"/>
                <w:szCs w:val="20"/>
              </w:rPr>
              <w:t>Jaramillo,Miguel</w:t>
            </w:r>
            <w:proofErr w:type="spellEnd"/>
            <w:r w:rsidRPr="00510ED4">
              <w:rPr>
                <w:sz w:val="20"/>
                <w:szCs w:val="20"/>
              </w:rPr>
              <w:t xml:space="preserve">; </w:t>
            </w:r>
            <w:proofErr w:type="spellStart"/>
            <w:r w:rsidRPr="00510ED4">
              <w:rPr>
                <w:sz w:val="20"/>
                <w:szCs w:val="20"/>
              </w:rPr>
              <w:t>Jiménez,Wilson</w:t>
            </w:r>
            <w:proofErr w:type="spellEnd"/>
            <w:r w:rsidRPr="00510ED4">
              <w:rPr>
                <w:sz w:val="20"/>
                <w:szCs w:val="20"/>
              </w:rPr>
              <w:t xml:space="preserve">; </w:t>
            </w:r>
            <w:proofErr w:type="spellStart"/>
            <w:r w:rsidRPr="00510ED4">
              <w:rPr>
                <w:sz w:val="20"/>
                <w:szCs w:val="20"/>
              </w:rPr>
              <w:t>Paz,Veronica</w:t>
            </w:r>
            <w:proofErr w:type="spellEnd"/>
            <w:r w:rsidRPr="00510ED4">
              <w:rPr>
                <w:sz w:val="20"/>
                <w:szCs w:val="20"/>
              </w:rPr>
              <w:t xml:space="preserve">; Pereira, </w:t>
            </w:r>
            <w:proofErr w:type="spellStart"/>
            <w:r w:rsidRPr="00510ED4">
              <w:rPr>
                <w:sz w:val="20"/>
                <w:szCs w:val="20"/>
              </w:rPr>
              <w:t>Claudiney</w:t>
            </w:r>
            <w:proofErr w:type="spellEnd"/>
            <w:r w:rsidRPr="00510ED4">
              <w:rPr>
                <w:sz w:val="20"/>
                <w:szCs w:val="20"/>
              </w:rPr>
              <w:t xml:space="preserve">; </w:t>
            </w:r>
            <w:proofErr w:type="spellStart"/>
            <w:r w:rsidRPr="00510ED4">
              <w:rPr>
                <w:sz w:val="20"/>
                <w:szCs w:val="20"/>
              </w:rPr>
              <w:t>Pessino,Carola</w:t>
            </w:r>
            <w:proofErr w:type="spellEnd"/>
            <w:r w:rsidRPr="00510ED4">
              <w:rPr>
                <w:sz w:val="20"/>
                <w:szCs w:val="20"/>
              </w:rPr>
              <w:t xml:space="preserve">; Scott, John; and </w:t>
            </w:r>
            <w:proofErr w:type="spellStart"/>
            <w:r w:rsidRPr="00510ED4">
              <w:rPr>
                <w:sz w:val="20"/>
                <w:szCs w:val="20"/>
              </w:rPr>
              <w:t>Yañez</w:t>
            </w:r>
            <w:proofErr w:type="spellEnd"/>
            <w:r w:rsidRPr="00510ED4">
              <w:rPr>
                <w:sz w:val="20"/>
                <w:szCs w:val="20"/>
              </w:rPr>
              <w:t xml:space="preserve">, Ernesto. 2012 The Impact of Taxes and Social Spending on Inequality and Poverty in Argentina, Bolivia, Brazil, Mexico and Peru: A Synthesis of Results CAF Working Paper 2012/05 August 2012  </w:t>
            </w:r>
            <w:hyperlink r:id="rId58" w:history="1">
              <w:r w:rsidRPr="00510ED4">
                <w:rPr>
                  <w:rStyle w:val="Hyperlink"/>
                  <w:sz w:val="20"/>
                  <w:szCs w:val="20"/>
                </w:rPr>
                <w:t>http://www.caf.com/attach/19/default/taxes-social-spending-inequality-poverty-argentina-bolivia-brazil-mexico-peru-synthesis-results.pdf</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Martinez-Vazquez, J., Moreno-Dodson, B. and V. </w:t>
            </w:r>
            <w:proofErr w:type="spellStart"/>
            <w:r w:rsidRPr="00510ED4">
              <w:rPr>
                <w:sz w:val="20"/>
                <w:szCs w:val="20"/>
              </w:rPr>
              <w:t>Vulovic</w:t>
            </w:r>
            <w:proofErr w:type="spellEnd"/>
            <w:r w:rsidRPr="00510ED4">
              <w:rPr>
                <w:sz w:val="20"/>
                <w:szCs w:val="20"/>
              </w:rPr>
              <w:t xml:space="preserve"> (2012), “The Impact of Tax and Expenditure Policies on Income Distribution: Evidence from a Large Panel of </w:t>
            </w:r>
            <w:proofErr w:type="spellStart"/>
            <w:r w:rsidRPr="00510ED4">
              <w:rPr>
                <w:sz w:val="20"/>
                <w:szCs w:val="20"/>
              </w:rPr>
              <w:t>Countries”Review</w:t>
            </w:r>
            <w:proofErr w:type="spellEnd"/>
            <w:r w:rsidRPr="00510ED4">
              <w:rPr>
                <w:sz w:val="20"/>
                <w:szCs w:val="20"/>
              </w:rPr>
              <w:t xml:space="preserve"> of Public Economics, 200-(4/2012): 95-130  </w:t>
            </w:r>
            <w:hyperlink r:id="rId59" w:history="1">
              <w:r w:rsidRPr="00510ED4">
                <w:rPr>
                  <w:rStyle w:val="Hyperlink"/>
                  <w:iCs/>
                  <w:sz w:val="20"/>
                  <w:szCs w:val="20"/>
                </w:rPr>
                <w:t>http://www.ief.es/documentos/recursos/publicaciones/revistas/hac_pub/200_Art4.pdf</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McCrudden</w:t>
            </w:r>
            <w:proofErr w:type="spellEnd"/>
            <w:r w:rsidRPr="00510ED4">
              <w:rPr>
                <w:sz w:val="20"/>
                <w:szCs w:val="20"/>
              </w:rPr>
              <w:t xml:space="preserve"> C. (2004) ‘Using public procurement to achieve social outcomes’ </w:t>
            </w:r>
            <w:r w:rsidRPr="00510ED4">
              <w:rPr>
                <w:i/>
                <w:sz w:val="20"/>
                <w:szCs w:val="20"/>
              </w:rPr>
              <w:t xml:space="preserve">Natural Resources Forum </w:t>
            </w:r>
            <w:r w:rsidRPr="00510ED4">
              <w:rPr>
                <w:sz w:val="20"/>
                <w:szCs w:val="20"/>
              </w:rPr>
              <w:t xml:space="preserve">28(4), 257–67 </w:t>
            </w:r>
            <w:hyperlink r:id="rId60" w:history="1">
              <w:r w:rsidRPr="00510ED4">
                <w:rPr>
                  <w:rStyle w:val="Hyperlink"/>
                  <w:iCs/>
                  <w:sz w:val="20"/>
                  <w:szCs w:val="20"/>
                </w:rPr>
                <w:t>http://onlinelibrary.wiley.com/doi/10.1111/j.1477-8947.2004.00099.x/abstract</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Meessen</w:t>
            </w:r>
            <w:proofErr w:type="spellEnd"/>
            <w:r w:rsidRPr="00510ED4">
              <w:rPr>
                <w:sz w:val="20"/>
                <w:szCs w:val="20"/>
              </w:rPr>
              <w:t xml:space="preserve">, B. et al., 2006. Poverty and user fees for public health care in low-income countries: lessons from Uganda and Cambodia. The Lancet, 368(9554), pp.2253–2257. Available at: </w:t>
            </w:r>
            <w:hyperlink r:id="rId61" w:history="1">
              <w:r w:rsidRPr="00510ED4">
                <w:rPr>
                  <w:rStyle w:val="Hyperlink"/>
                  <w:sz w:val="20"/>
                  <w:szCs w:val="20"/>
                </w:rPr>
                <w:t>http://www.sciencedirect.com/science/article/pii/S0140673606698991</w:t>
              </w:r>
            </w:hyperlink>
            <w:r w:rsidRPr="00510ED4">
              <w:rPr>
                <w:sz w:val="20"/>
                <w:szCs w:val="20"/>
              </w:rPr>
              <w:t>.</w:t>
            </w:r>
          </w:p>
        </w:tc>
      </w:tr>
      <w:tr w:rsidR="00510ED4" w:rsidRPr="00510ED4" w:rsidTr="00FE7486">
        <w:tc>
          <w:tcPr>
            <w:tcW w:w="9854" w:type="dxa"/>
          </w:tcPr>
          <w:p w:rsidR="00510ED4" w:rsidRPr="00510ED4" w:rsidRDefault="00510ED4" w:rsidP="00F46FAD">
            <w:pPr>
              <w:rPr>
                <w:sz w:val="20"/>
                <w:szCs w:val="20"/>
              </w:rPr>
            </w:pPr>
            <w:proofErr w:type="spellStart"/>
            <w:r w:rsidRPr="00510ED4">
              <w:rPr>
                <w:sz w:val="20"/>
                <w:szCs w:val="20"/>
              </w:rPr>
              <w:t>Mizala</w:t>
            </w:r>
            <w:proofErr w:type="spellEnd"/>
            <w:r w:rsidRPr="00510ED4">
              <w:rPr>
                <w:sz w:val="20"/>
                <w:szCs w:val="20"/>
              </w:rPr>
              <w:t xml:space="preserve"> A., </w:t>
            </w:r>
            <w:proofErr w:type="spellStart"/>
            <w:r w:rsidRPr="00510ED4">
              <w:rPr>
                <w:sz w:val="20"/>
                <w:szCs w:val="20"/>
              </w:rPr>
              <w:t>Romagueras</w:t>
            </w:r>
            <w:proofErr w:type="spellEnd"/>
            <w:r w:rsidRPr="00510ED4">
              <w:rPr>
                <w:sz w:val="20"/>
                <w:szCs w:val="20"/>
              </w:rPr>
              <w:t xml:space="preserve"> P. and Gallegos S. 2011 Public–private wage gap in Latin America (1992–2007): A matching approach  </w:t>
            </w:r>
            <w:hyperlink r:id="rId62" w:tooltip="Go to Labour Economics on ScienceDirect" w:history="1">
              <w:r w:rsidRPr="00510ED4">
                <w:rPr>
                  <w:rStyle w:val="Hyperlink"/>
                  <w:sz w:val="20"/>
                  <w:szCs w:val="20"/>
                  <w:lang w:eastAsia="en-US"/>
                </w:rPr>
                <w:t>Labour Economics</w:t>
              </w:r>
            </w:hyperlink>
            <w:r w:rsidRPr="00510ED4">
              <w:rPr>
                <w:sz w:val="20"/>
                <w:szCs w:val="20"/>
              </w:rPr>
              <w:t xml:space="preserve"> </w:t>
            </w:r>
            <w:hyperlink r:id="rId63" w:tooltip="Go to table of contents for this volume/issue" w:history="1">
              <w:r w:rsidRPr="00510ED4">
                <w:rPr>
                  <w:rStyle w:val="Hyperlink"/>
                  <w:sz w:val="20"/>
                  <w:szCs w:val="20"/>
                  <w:lang w:eastAsia="en-US"/>
                </w:rPr>
                <w:t>Volume 18, Supplement 1</w:t>
              </w:r>
            </w:hyperlink>
            <w:r w:rsidRPr="00510ED4">
              <w:rPr>
                <w:sz w:val="20"/>
                <w:szCs w:val="20"/>
              </w:rPr>
              <w:t>, December 2011, Pages S115–S131</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Murray S. (2000) Relation between private health insurance and high rates of caesarean section in Chile: qualitative and quantitative study </w:t>
            </w:r>
            <w:r w:rsidRPr="00510ED4">
              <w:rPr>
                <w:sz w:val="20"/>
                <w:szCs w:val="20"/>
                <w:u w:val="single"/>
              </w:rPr>
              <w:t>British Medical Journal</w:t>
            </w:r>
            <w:r w:rsidRPr="00510ED4">
              <w:rPr>
                <w:sz w:val="20"/>
                <w:szCs w:val="20"/>
              </w:rPr>
              <w:t xml:space="preserve"> 321:1501</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Murray S. (2000) Relation between private health insurance and high rates of caesarean section in Chile: qualitative and quantitative study </w:t>
            </w:r>
            <w:r w:rsidRPr="00510ED4">
              <w:rPr>
                <w:sz w:val="20"/>
                <w:szCs w:val="20"/>
                <w:u w:val="single"/>
              </w:rPr>
              <w:t>British Medical Journal</w:t>
            </w:r>
            <w:r w:rsidRPr="00510ED4">
              <w:rPr>
                <w:sz w:val="20"/>
                <w:szCs w:val="20"/>
              </w:rPr>
              <w:t xml:space="preserve"> 321:1501</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Nayyar</w:t>
            </w:r>
            <w:proofErr w:type="spellEnd"/>
            <w:r w:rsidRPr="00510ED4">
              <w:rPr>
                <w:sz w:val="20"/>
                <w:szCs w:val="20"/>
              </w:rPr>
              <w:t xml:space="preserve"> D. 2006 ‘Globalisation, history and development: a tale of two centuries’,</w:t>
            </w:r>
            <w:r w:rsidRPr="00510ED4">
              <w:rPr>
                <w:i/>
                <w:sz w:val="20"/>
                <w:szCs w:val="20"/>
              </w:rPr>
              <w:t xml:space="preserve"> Cambridge Journal of Economics </w:t>
            </w:r>
            <w:r w:rsidRPr="00510ED4">
              <w:rPr>
                <w:sz w:val="20"/>
                <w:szCs w:val="20"/>
              </w:rPr>
              <w:t xml:space="preserve">2006, 30. pp155–6 </w:t>
            </w:r>
            <w:hyperlink r:id="rId64" w:history="1">
              <w:r w:rsidRPr="00510ED4">
                <w:rPr>
                  <w:rStyle w:val="Hyperlink"/>
                  <w:sz w:val="20"/>
                  <w:szCs w:val="20"/>
                </w:rPr>
                <w:t>http://economia.unipv.it/biblio/nayyar.pdf</w:t>
              </w:r>
            </w:hyperlink>
          </w:p>
        </w:tc>
      </w:tr>
      <w:tr w:rsidR="00510ED4" w:rsidRPr="00510ED4" w:rsidTr="00FE7486">
        <w:tc>
          <w:tcPr>
            <w:tcW w:w="9854" w:type="dxa"/>
          </w:tcPr>
          <w:p w:rsidR="00510ED4" w:rsidRPr="00510ED4" w:rsidRDefault="00510ED4" w:rsidP="00F57CBB">
            <w:pPr>
              <w:rPr>
                <w:sz w:val="20"/>
                <w:szCs w:val="20"/>
              </w:rPr>
            </w:pPr>
            <w:r w:rsidRPr="00510ED4">
              <w:rPr>
                <w:sz w:val="20"/>
                <w:szCs w:val="20"/>
              </w:rPr>
              <w:t xml:space="preserve">Nielsen H. and </w:t>
            </w:r>
            <w:proofErr w:type="spellStart"/>
            <w:r w:rsidRPr="00510ED4">
              <w:rPr>
                <w:sz w:val="20"/>
                <w:szCs w:val="20"/>
              </w:rPr>
              <w:t>Rosholm</w:t>
            </w:r>
            <w:proofErr w:type="spellEnd"/>
            <w:r w:rsidRPr="00510ED4">
              <w:rPr>
                <w:sz w:val="20"/>
                <w:szCs w:val="20"/>
              </w:rPr>
              <w:t xml:space="preserve"> M. 2002 The public-private sector wage gap in Zambia in the 1990s: A </w:t>
            </w:r>
            <w:proofErr w:type="spellStart"/>
            <w:r w:rsidRPr="00510ED4">
              <w:rPr>
                <w:sz w:val="20"/>
                <w:szCs w:val="20"/>
              </w:rPr>
              <w:t>quantile</w:t>
            </w:r>
            <w:proofErr w:type="spellEnd"/>
            <w:r w:rsidRPr="00510ED4">
              <w:rPr>
                <w:sz w:val="20"/>
                <w:szCs w:val="20"/>
              </w:rPr>
              <w:t xml:space="preserve"> regression approach.   Economic Applications of </w:t>
            </w:r>
            <w:proofErr w:type="spellStart"/>
            <w:r w:rsidRPr="00510ED4">
              <w:rPr>
                <w:sz w:val="20"/>
                <w:szCs w:val="20"/>
              </w:rPr>
              <w:t>Quantile</w:t>
            </w:r>
            <w:proofErr w:type="spellEnd"/>
            <w:r w:rsidRPr="00510ED4">
              <w:rPr>
                <w:sz w:val="20"/>
                <w:szCs w:val="20"/>
              </w:rPr>
              <w:t xml:space="preserve"> Regression Studies in Empirical Economics 2002, pp 169-182 </w:t>
            </w:r>
            <w:hyperlink r:id="rId65" w:history="1">
              <w:r w:rsidRPr="00510ED4">
                <w:rPr>
                  <w:rStyle w:val="Hyperlink"/>
                  <w:sz w:val="20"/>
                  <w:szCs w:val="20"/>
                </w:rPr>
                <w:t>http://link.springer.com/chapter/10.1007/978-3-662-11592-3_8</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O’Donnell, Owen, Eddy van </w:t>
            </w:r>
            <w:proofErr w:type="spellStart"/>
            <w:r w:rsidRPr="00510ED4">
              <w:rPr>
                <w:sz w:val="20"/>
                <w:szCs w:val="20"/>
              </w:rPr>
              <w:t>Doorslaer</w:t>
            </w:r>
            <w:proofErr w:type="spellEnd"/>
            <w:r w:rsidRPr="00510ED4">
              <w:rPr>
                <w:sz w:val="20"/>
                <w:szCs w:val="20"/>
              </w:rPr>
              <w:t xml:space="preserve">, Ravi P. </w:t>
            </w:r>
            <w:proofErr w:type="spellStart"/>
            <w:r w:rsidRPr="00510ED4">
              <w:rPr>
                <w:sz w:val="20"/>
                <w:szCs w:val="20"/>
              </w:rPr>
              <w:t>Rannan-Eliya</w:t>
            </w:r>
            <w:proofErr w:type="spellEnd"/>
            <w:r w:rsidRPr="00510ED4">
              <w:rPr>
                <w:sz w:val="20"/>
                <w:szCs w:val="20"/>
              </w:rPr>
              <w:t xml:space="preserve">, </w:t>
            </w:r>
            <w:proofErr w:type="spellStart"/>
            <w:r w:rsidRPr="00510ED4">
              <w:rPr>
                <w:sz w:val="20"/>
                <w:szCs w:val="20"/>
              </w:rPr>
              <w:t>Aparnaa</w:t>
            </w:r>
            <w:proofErr w:type="spellEnd"/>
            <w:r w:rsidRPr="00510ED4">
              <w:rPr>
                <w:sz w:val="20"/>
                <w:szCs w:val="20"/>
              </w:rPr>
              <w:t xml:space="preserve"> </w:t>
            </w:r>
            <w:proofErr w:type="spellStart"/>
            <w:r w:rsidRPr="00510ED4">
              <w:rPr>
                <w:sz w:val="20"/>
                <w:szCs w:val="20"/>
              </w:rPr>
              <w:t>Somanathan</w:t>
            </w:r>
            <w:proofErr w:type="spellEnd"/>
            <w:r w:rsidRPr="00510ED4">
              <w:rPr>
                <w:sz w:val="20"/>
                <w:szCs w:val="20"/>
              </w:rPr>
              <w:t xml:space="preserve">, Shiva Raj </w:t>
            </w:r>
            <w:proofErr w:type="spellStart"/>
            <w:r w:rsidRPr="00510ED4">
              <w:rPr>
                <w:sz w:val="20"/>
                <w:szCs w:val="20"/>
              </w:rPr>
              <w:t>Adhikari</w:t>
            </w:r>
            <w:proofErr w:type="spellEnd"/>
            <w:r w:rsidRPr="00510ED4">
              <w:rPr>
                <w:sz w:val="20"/>
                <w:szCs w:val="20"/>
              </w:rPr>
              <w:t xml:space="preserve">, </w:t>
            </w:r>
            <w:proofErr w:type="spellStart"/>
            <w:r w:rsidRPr="00510ED4">
              <w:rPr>
                <w:sz w:val="20"/>
                <w:szCs w:val="20"/>
              </w:rPr>
              <w:t>Deni</w:t>
            </w:r>
            <w:proofErr w:type="spellEnd"/>
            <w:r w:rsidRPr="00510ED4">
              <w:rPr>
                <w:sz w:val="20"/>
                <w:szCs w:val="20"/>
              </w:rPr>
              <w:t xml:space="preserve"> </w:t>
            </w:r>
            <w:proofErr w:type="spellStart"/>
            <w:r w:rsidRPr="00510ED4">
              <w:rPr>
                <w:sz w:val="20"/>
                <w:szCs w:val="20"/>
              </w:rPr>
              <w:t>Harbianto</w:t>
            </w:r>
            <w:proofErr w:type="spellEnd"/>
            <w:r w:rsidRPr="00510ED4">
              <w:rPr>
                <w:sz w:val="20"/>
                <w:szCs w:val="20"/>
              </w:rPr>
              <w:t xml:space="preserve">, </w:t>
            </w:r>
            <w:proofErr w:type="spellStart"/>
            <w:r w:rsidRPr="00510ED4">
              <w:rPr>
                <w:sz w:val="20"/>
                <w:szCs w:val="20"/>
              </w:rPr>
              <w:t>Charu</w:t>
            </w:r>
            <w:proofErr w:type="spellEnd"/>
            <w:r w:rsidRPr="00510ED4">
              <w:rPr>
                <w:sz w:val="20"/>
                <w:szCs w:val="20"/>
              </w:rPr>
              <w:t xml:space="preserve"> C. </w:t>
            </w:r>
            <w:proofErr w:type="spellStart"/>
            <w:r w:rsidRPr="00510ED4">
              <w:rPr>
                <w:sz w:val="20"/>
                <w:szCs w:val="20"/>
              </w:rPr>
              <w:t>Garg</w:t>
            </w:r>
            <w:proofErr w:type="spellEnd"/>
            <w:r w:rsidRPr="00510ED4">
              <w:rPr>
                <w:sz w:val="20"/>
                <w:szCs w:val="20"/>
              </w:rPr>
              <w:t xml:space="preserve">, et al. 2007. ‘The Incidence of Public Spending on Healthcare: Comparative Evidence from </w:t>
            </w:r>
            <w:r w:rsidRPr="00510ED4">
              <w:rPr>
                <w:sz w:val="20"/>
                <w:szCs w:val="20"/>
              </w:rPr>
              <w:lastRenderedPageBreak/>
              <w:t xml:space="preserve">Asia’. </w:t>
            </w:r>
            <w:r w:rsidRPr="00510ED4">
              <w:rPr>
                <w:i/>
                <w:sz w:val="20"/>
                <w:szCs w:val="20"/>
              </w:rPr>
              <w:t>The World Bank Economic Review</w:t>
            </w:r>
            <w:r w:rsidRPr="00510ED4">
              <w:rPr>
                <w:sz w:val="20"/>
                <w:szCs w:val="20"/>
              </w:rPr>
              <w:t xml:space="preserve"> 21 (1) (January 1): 93–123. doi:10.1093/</w:t>
            </w:r>
            <w:proofErr w:type="spellStart"/>
            <w:r w:rsidRPr="00510ED4">
              <w:rPr>
                <w:sz w:val="20"/>
                <w:szCs w:val="20"/>
              </w:rPr>
              <w:t>wber</w:t>
            </w:r>
            <w:proofErr w:type="spellEnd"/>
            <w:r w:rsidRPr="00510ED4">
              <w:rPr>
                <w:sz w:val="20"/>
                <w:szCs w:val="20"/>
              </w:rPr>
              <w:t xml:space="preserve">/lhl009. </w:t>
            </w:r>
            <w:hyperlink r:id="rId66" w:history="1">
              <w:r w:rsidRPr="00510ED4">
                <w:rPr>
                  <w:rStyle w:val="Hyperlink"/>
                  <w:sz w:val="20"/>
                  <w:szCs w:val="20"/>
                </w:rPr>
                <w:t>http://wber.oxfordjournals.org/content/21/1/93</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lastRenderedPageBreak/>
              <w:t>Ogloblin</w:t>
            </w:r>
            <w:proofErr w:type="spellEnd"/>
            <w:r w:rsidRPr="00510ED4">
              <w:rPr>
                <w:sz w:val="20"/>
                <w:szCs w:val="20"/>
              </w:rPr>
              <w:t>, C. 2011 H</w:t>
            </w:r>
            <w:r w:rsidRPr="00510ED4">
              <w:rPr>
                <w:bCs/>
                <w:sz w:val="20"/>
                <w:szCs w:val="20"/>
              </w:rPr>
              <w:t>ealth care efficiency across countries: a stochastic frontier analysis.</w:t>
            </w:r>
            <w:r w:rsidRPr="00510ED4">
              <w:rPr>
                <w:sz w:val="20"/>
                <w:szCs w:val="20"/>
              </w:rPr>
              <w:t xml:space="preserve"> Applied Econometrics and International Development Vol. 11-1 </w:t>
            </w:r>
            <w:hyperlink r:id="rId67" w:history="1">
              <w:r w:rsidRPr="00510ED4">
                <w:rPr>
                  <w:rStyle w:val="Hyperlink"/>
                  <w:sz w:val="20"/>
                  <w:szCs w:val="20"/>
                </w:rPr>
                <w:t>http://www.usc.es/~economet/reviews/aeid1111.pdf</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Onaran</w:t>
            </w:r>
            <w:proofErr w:type="spellEnd"/>
            <w:r w:rsidRPr="00510ED4">
              <w:rPr>
                <w:sz w:val="20"/>
                <w:szCs w:val="20"/>
              </w:rPr>
              <w:t xml:space="preserve">, </w:t>
            </w:r>
            <w:proofErr w:type="spellStart"/>
            <w:r w:rsidRPr="00510ED4">
              <w:rPr>
                <w:sz w:val="20"/>
                <w:szCs w:val="20"/>
              </w:rPr>
              <w:t>Özlem</w:t>
            </w:r>
            <w:proofErr w:type="spellEnd"/>
            <w:r w:rsidRPr="00510ED4">
              <w:rPr>
                <w:sz w:val="20"/>
                <w:szCs w:val="20"/>
              </w:rPr>
              <w:t xml:space="preserve"> and </w:t>
            </w:r>
            <w:proofErr w:type="spellStart"/>
            <w:r w:rsidRPr="00510ED4">
              <w:rPr>
                <w:sz w:val="20"/>
                <w:szCs w:val="20"/>
              </w:rPr>
              <w:t>Galanis</w:t>
            </w:r>
            <w:proofErr w:type="spellEnd"/>
            <w:r w:rsidRPr="00510ED4">
              <w:rPr>
                <w:sz w:val="20"/>
                <w:szCs w:val="20"/>
              </w:rPr>
              <w:t xml:space="preserve">, </w:t>
            </w:r>
            <w:proofErr w:type="spellStart"/>
            <w:r w:rsidRPr="00510ED4">
              <w:rPr>
                <w:sz w:val="20"/>
                <w:szCs w:val="20"/>
              </w:rPr>
              <w:t>Giorgos</w:t>
            </w:r>
            <w:proofErr w:type="spellEnd"/>
            <w:r w:rsidRPr="00510ED4">
              <w:rPr>
                <w:sz w:val="20"/>
                <w:szCs w:val="20"/>
              </w:rPr>
              <w:t xml:space="preserve"> (2013) </w:t>
            </w:r>
            <w:r w:rsidRPr="00510ED4">
              <w:rPr>
                <w:i/>
                <w:sz w:val="20"/>
                <w:szCs w:val="20"/>
              </w:rPr>
              <w:t>Income distribution and aggregate demand: a global post-Keynesian model.</w:t>
            </w:r>
            <w:r w:rsidRPr="00510ED4">
              <w:rPr>
                <w:sz w:val="20"/>
                <w:szCs w:val="20"/>
              </w:rPr>
              <w:t xml:space="preserve">  </w:t>
            </w:r>
            <w:hyperlink r:id="rId68" w:history="1">
              <w:r w:rsidRPr="00510ED4">
                <w:rPr>
                  <w:rStyle w:val="Hyperlink"/>
                  <w:sz w:val="20"/>
                  <w:szCs w:val="20"/>
                </w:rPr>
                <w:t>http://gala.gre.ac.uk/9767/</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ONS 2012 The Effects of Taxes and Benefits on Household Income, 2010/2011  </w:t>
            </w:r>
            <w:hyperlink r:id="rId69" w:history="1">
              <w:r w:rsidRPr="00510ED4">
                <w:rPr>
                  <w:rStyle w:val="Hyperlink"/>
                  <w:sz w:val="20"/>
                  <w:szCs w:val="20"/>
                </w:rPr>
                <w:t xml:space="preserve">http://www.ons.gov.uk/ons/rel/household-income/the-effects-of-taxes-and-benefits-on-household-income/2010-11/index.html  </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Ortiz, Isabel and Cummins, Matthew 2011 Global Inequality: Beyond the Bottom Billion </w:t>
            </w:r>
            <w:r w:rsidRPr="00510ED4">
              <w:rPr>
                <w:rFonts w:hint="eastAsia"/>
                <w:sz w:val="20"/>
                <w:szCs w:val="20"/>
              </w:rPr>
              <w:t>–</w:t>
            </w:r>
            <w:r w:rsidRPr="00510ED4">
              <w:rPr>
                <w:sz w:val="20"/>
                <w:szCs w:val="20"/>
              </w:rPr>
              <w:t xml:space="preserve"> A Rapid Review of Income Distribution in 141 Countries UNICEF Social and Economic Policy Working Paper April 2011 </w:t>
            </w:r>
            <w:hyperlink r:id="rId70" w:history="1">
              <w:r w:rsidRPr="00510ED4">
                <w:rPr>
                  <w:rStyle w:val="Hyperlink"/>
                  <w:sz w:val="20"/>
                  <w:szCs w:val="20"/>
                </w:rPr>
                <w:t>http://www.unicef.org/socialpolicy/files/Global_Inequality.pdf</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Piketty</w:t>
            </w:r>
            <w:proofErr w:type="spellEnd"/>
            <w:r w:rsidRPr="00510ED4">
              <w:rPr>
                <w:sz w:val="20"/>
                <w:szCs w:val="20"/>
              </w:rPr>
              <w:t xml:space="preserve">, Thomas 2014 Capital in the Twenty-First Century. Harvard University Press’. 2014. Accessed January 16. </w:t>
            </w:r>
            <w:hyperlink r:id="rId71" w:history="1">
              <w:r w:rsidRPr="00510ED4">
                <w:rPr>
                  <w:rStyle w:val="Hyperlink"/>
                  <w:sz w:val="20"/>
                  <w:szCs w:val="20"/>
                </w:rPr>
                <w:t>http://www.hup.harvard.edu/catalog.php?isbn=9780674430006</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Quercioli</w:t>
            </w:r>
            <w:proofErr w:type="spellEnd"/>
            <w:r w:rsidRPr="00510ED4">
              <w:rPr>
                <w:sz w:val="20"/>
                <w:szCs w:val="20"/>
              </w:rPr>
              <w:t xml:space="preserve"> C, Messina G, </w:t>
            </w:r>
            <w:proofErr w:type="spellStart"/>
            <w:r w:rsidRPr="00510ED4">
              <w:rPr>
                <w:sz w:val="20"/>
                <w:szCs w:val="20"/>
              </w:rPr>
              <w:t>Basu</w:t>
            </w:r>
            <w:proofErr w:type="spellEnd"/>
            <w:r w:rsidRPr="00510ED4">
              <w:rPr>
                <w:sz w:val="20"/>
                <w:szCs w:val="20"/>
              </w:rPr>
              <w:t xml:space="preserve"> S, McKee M, </w:t>
            </w:r>
            <w:proofErr w:type="spellStart"/>
            <w:r w:rsidRPr="00510ED4">
              <w:rPr>
                <w:sz w:val="20"/>
                <w:szCs w:val="20"/>
              </w:rPr>
              <w:t>Nante</w:t>
            </w:r>
            <w:proofErr w:type="spellEnd"/>
            <w:r w:rsidRPr="00510ED4">
              <w:rPr>
                <w:sz w:val="20"/>
                <w:szCs w:val="20"/>
              </w:rPr>
              <w:t xml:space="preserve"> N, </w:t>
            </w:r>
            <w:proofErr w:type="spellStart"/>
            <w:r w:rsidRPr="00510ED4">
              <w:rPr>
                <w:sz w:val="20"/>
                <w:szCs w:val="20"/>
              </w:rPr>
              <w:t>Stuckler</w:t>
            </w:r>
            <w:proofErr w:type="spellEnd"/>
            <w:r w:rsidRPr="00510ED4">
              <w:rPr>
                <w:sz w:val="20"/>
                <w:szCs w:val="20"/>
              </w:rPr>
              <w:t xml:space="preserve"> D. (2012) The effect of healthcare delivery privatisation on avoidable mortality: longitudinal cross-regional results from Italy, 1993-2003 </w:t>
            </w:r>
            <w:r w:rsidRPr="00510ED4">
              <w:rPr>
                <w:sz w:val="20"/>
                <w:szCs w:val="20"/>
                <w:u w:val="single"/>
              </w:rPr>
              <w:t>Journal of Epidemiology and Community Health</w:t>
            </w:r>
            <w:r w:rsidRPr="00510ED4">
              <w:rPr>
                <w:sz w:val="20"/>
                <w:szCs w:val="20"/>
              </w:rPr>
              <w:t xml:space="preserve"> doi:10.1136/jech-2011-200640</w:t>
            </w:r>
          </w:p>
        </w:tc>
      </w:tr>
      <w:tr w:rsidR="00510ED4" w:rsidRPr="00510ED4" w:rsidTr="00FE7486">
        <w:tc>
          <w:tcPr>
            <w:tcW w:w="9854" w:type="dxa"/>
          </w:tcPr>
          <w:p w:rsidR="00510ED4" w:rsidRPr="00510ED4" w:rsidRDefault="00510ED4" w:rsidP="00DF17B9">
            <w:pPr>
              <w:rPr>
                <w:sz w:val="20"/>
                <w:szCs w:val="20"/>
                <w:lang w:val="fi-FI"/>
              </w:rPr>
            </w:pPr>
            <w:proofErr w:type="spellStart"/>
            <w:r w:rsidRPr="00510ED4">
              <w:rPr>
                <w:sz w:val="20"/>
                <w:szCs w:val="20"/>
                <w:lang w:val="es-ES_tradnl" w:eastAsia="en-US"/>
              </w:rPr>
              <w:t>Rasella</w:t>
            </w:r>
            <w:proofErr w:type="spellEnd"/>
            <w:r w:rsidRPr="00510ED4">
              <w:rPr>
                <w:sz w:val="20"/>
                <w:szCs w:val="20"/>
                <w:lang w:val="es-ES_tradnl" w:eastAsia="en-US"/>
              </w:rPr>
              <w:t xml:space="preserve">, </w:t>
            </w:r>
            <w:proofErr w:type="spellStart"/>
            <w:r w:rsidRPr="00510ED4">
              <w:rPr>
                <w:sz w:val="20"/>
                <w:szCs w:val="20"/>
                <w:lang w:val="es-ES_tradnl" w:eastAsia="en-US"/>
              </w:rPr>
              <w:t>Davide</w:t>
            </w:r>
            <w:proofErr w:type="spellEnd"/>
            <w:r w:rsidRPr="00510ED4">
              <w:rPr>
                <w:sz w:val="20"/>
                <w:szCs w:val="20"/>
                <w:lang w:val="es-ES_tradnl" w:eastAsia="en-US"/>
              </w:rPr>
              <w:t xml:space="preserve">, Rosana Aquino, and Mauricio Lima Barreto. </w:t>
            </w:r>
            <w:r w:rsidRPr="00510ED4">
              <w:rPr>
                <w:sz w:val="20"/>
                <w:szCs w:val="20"/>
                <w:lang w:eastAsia="en-US"/>
              </w:rPr>
              <w:t xml:space="preserve">2013. ‘Impact of Income Inequality on Life Expectancy in a Highly Unequal Developing Country: The Case of Brazil’. </w:t>
            </w:r>
            <w:r w:rsidRPr="00510ED4">
              <w:rPr>
                <w:i/>
                <w:sz w:val="20"/>
                <w:szCs w:val="20"/>
                <w:lang w:eastAsia="en-US"/>
              </w:rPr>
              <w:t>Journal of Epidemiology and Community Health</w:t>
            </w:r>
            <w:r w:rsidRPr="00510ED4">
              <w:rPr>
                <w:sz w:val="20"/>
                <w:szCs w:val="20"/>
                <w:lang w:eastAsia="en-US"/>
              </w:rPr>
              <w:t xml:space="preserve">: </w:t>
            </w:r>
            <w:proofErr w:type="spellStart"/>
            <w:r w:rsidRPr="00510ED4">
              <w:rPr>
                <w:sz w:val="20"/>
                <w:szCs w:val="20"/>
                <w:lang w:eastAsia="en-US"/>
              </w:rPr>
              <w:t>jech</w:t>
            </w:r>
            <w:proofErr w:type="spellEnd"/>
            <w:r w:rsidRPr="00510ED4">
              <w:rPr>
                <w:sz w:val="20"/>
                <w:szCs w:val="20"/>
                <w:lang w:eastAsia="en-US"/>
              </w:rPr>
              <w:t xml:space="preserve">–2012–201426. </w:t>
            </w:r>
            <w:proofErr w:type="gramStart"/>
            <w:r w:rsidRPr="00510ED4">
              <w:rPr>
                <w:sz w:val="20"/>
                <w:szCs w:val="20"/>
                <w:lang w:eastAsia="en-US"/>
              </w:rPr>
              <w:t>doi:</w:t>
            </w:r>
            <w:proofErr w:type="gramEnd"/>
            <w:r w:rsidRPr="00510ED4">
              <w:rPr>
                <w:sz w:val="20"/>
                <w:szCs w:val="20"/>
                <w:lang w:eastAsia="en-US"/>
              </w:rPr>
              <w:t xml:space="preserve">10.1136/jech-2012-201426. </w:t>
            </w:r>
            <w:hyperlink r:id="rId72" w:history="1">
              <w:r w:rsidRPr="00510ED4">
                <w:rPr>
                  <w:rStyle w:val="Hyperlink"/>
                  <w:sz w:val="20"/>
                  <w:szCs w:val="20"/>
                  <w:lang w:eastAsia="en-US"/>
                </w:rPr>
                <w:t>http://jech.bmj.com/content/early/2013/04/30/jech-2012-201426</w:t>
              </w:r>
            </w:hyperlink>
            <w:r w:rsidRPr="00510ED4">
              <w:rPr>
                <w:sz w:val="20"/>
                <w:szCs w:val="20"/>
                <w:lang w:eastAsia="en-US"/>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lang w:val="fi-FI"/>
              </w:rPr>
              <w:t xml:space="preserve">Ravi P. Rannan-Eliya and Lankani Sikurajapathy 2009 </w:t>
            </w:r>
            <w:r w:rsidRPr="00510ED4">
              <w:rPr>
                <w:sz w:val="20"/>
                <w:szCs w:val="20"/>
                <w:lang w:val="en-US"/>
              </w:rPr>
              <w:t xml:space="preserve">Sri Lanka: “Good Practice” in Expanding </w:t>
            </w:r>
            <w:r w:rsidRPr="00510ED4">
              <w:rPr>
                <w:sz w:val="20"/>
                <w:szCs w:val="20"/>
              </w:rPr>
              <w:t>Health Care Coverage. In “</w:t>
            </w:r>
            <w:r w:rsidRPr="00510ED4">
              <w:rPr>
                <w:bCs/>
                <w:sz w:val="20"/>
                <w:szCs w:val="20"/>
              </w:rPr>
              <w:t xml:space="preserve">Good Practices in Health Financing </w:t>
            </w:r>
            <w:r w:rsidRPr="00510ED4">
              <w:rPr>
                <w:bCs/>
                <w:sz w:val="20"/>
                <w:szCs w:val="20"/>
                <w:lang w:val="en-US"/>
              </w:rPr>
              <w:t xml:space="preserve">Lessons from Reforms in Low- and </w:t>
            </w:r>
            <w:r w:rsidRPr="00510ED4">
              <w:rPr>
                <w:bCs/>
                <w:sz w:val="20"/>
                <w:szCs w:val="20"/>
              </w:rPr>
              <w:t xml:space="preserve">Middle-Income Countries. World Bank 2009  </w:t>
            </w:r>
            <w:hyperlink r:id="rId73" w:history="1">
              <w:r w:rsidRPr="00510ED4">
                <w:rPr>
                  <w:rStyle w:val="Hyperlink"/>
                  <w:bCs/>
                  <w:sz w:val="20"/>
                  <w:szCs w:val="20"/>
                </w:rPr>
                <w:t>http://siteresources.worldbank.org/INTHSD/Resources/376278-1202320704235/GoodPracticesHealthFinancing.pdf</w:t>
              </w:r>
            </w:hyperlink>
            <w:r w:rsidRPr="00510ED4">
              <w:rPr>
                <w:bCs/>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Robertson, Christopher, Richard </w:t>
            </w:r>
            <w:proofErr w:type="spellStart"/>
            <w:r w:rsidRPr="00510ED4">
              <w:rPr>
                <w:sz w:val="20"/>
                <w:szCs w:val="20"/>
              </w:rPr>
              <w:t>Egelhof</w:t>
            </w:r>
            <w:proofErr w:type="spellEnd"/>
            <w:r w:rsidRPr="00510ED4">
              <w:rPr>
                <w:sz w:val="20"/>
                <w:szCs w:val="20"/>
              </w:rPr>
              <w:t xml:space="preserve">, and Michael Hoke. 2009. Get Sick, Get Out: The Medical Causes of Home Mortgage Foreclosures. SSRN Scholarly Paper. Rochester, NY: Social Science Research Network. </w:t>
            </w:r>
            <w:hyperlink r:id="rId74" w:history="1">
              <w:r w:rsidRPr="00510ED4">
                <w:rPr>
                  <w:rStyle w:val="Hyperlink"/>
                  <w:sz w:val="20"/>
                  <w:szCs w:val="20"/>
                </w:rPr>
                <w:t>http://papers.ssrn.com/abstract=1416947</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Sachs 2012 Achieving universal health coverage in low-income settings. Lancet 2012; 380: 944–47 September 8, 2012 </w:t>
            </w:r>
            <w:hyperlink r:id="rId75" w:history="1">
              <w:r w:rsidRPr="00510ED4">
                <w:rPr>
                  <w:rStyle w:val="Hyperlink"/>
                  <w:sz w:val="20"/>
                  <w:szCs w:val="20"/>
                </w:rPr>
                <w:t>www.thelancet.com</w:t>
              </w:r>
            </w:hyperlink>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Saez</w:t>
            </w:r>
            <w:proofErr w:type="spellEnd"/>
            <w:r w:rsidRPr="00510ED4">
              <w:rPr>
                <w:sz w:val="20"/>
                <w:szCs w:val="20"/>
              </w:rPr>
              <w:t xml:space="preserve"> E. 2013 Striking it Richer  3 September 2013 </w:t>
            </w:r>
            <w:hyperlink r:id="rId76" w:history="1">
              <w:r w:rsidRPr="00510ED4">
                <w:rPr>
                  <w:rStyle w:val="Hyperlink"/>
                  <w:sz w:val="20"/>
                  <w:szCs w:val="20"/>
                </w:rPr>
                <w:t>http://elsa.berkeley.edu/~saez/saez-UStopincomes-2012.pdf</w:t>
              </w:r>
            </w:hyperlink>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lang w:val="es-ES_tradnl"/>
              </w:rPr>
              <w:t>Senicato</w:t>
            </w:r>
            <w:proofErr w:type="spellEnd"/>
            <w:r w:rsidRPr="00510ED4">
              <w:rPr>
                <w:sz w:val="20"/>
                <w:szCs w:val="20"/>
                <w:lang w:val="es-ES_tradnl"/>
              </w:rPr>
              <w:t xml:space="preserve">, C., and M. B. de </w:t>
            </w:r>
            <w:proofErr w:type="spellStart"/>
            <w:r w:rsidRPr="00510ED4">
              <w:rPr>
                <w:sz w:val="20"/>
                <w:szCs w:val="20"/>
                <w:lang w:val="es-ES_tradnl"/>
              </w:rPr>
              <w:t>Azevedo</w:t>
            </w:r>
            <w:proofErr w:type="spellEnd"/>
            <w:r w:rsidRPr="00510ED4">
              <w:rPr>
                <w:sz w:val="20"/>
                <w:szCs w:val="20"/>
                <w:lang w:val="es-ES_tradnl"/>
              </w:rPr>
              <w:t xml:space="preserve"> Barros. </w:t>
            </w:r>
            <w:r w:rsidRPr="00510ED4">
              <w:rPr>
                <w:sz w:val="20"/>
                <w:szCs w:val="20"/>
              </w:rPr>
              <w:t>2011. ‘P2-371 Social Inequality in Health Among Women’. Journal of Epidemiology &amp; Community Health 65 (</w:t>
            </w:r>
            <w:proofErr w:type="spellStart"/>
            <w:r w:rsidRPr="00510ED4">
              <w:rPr>
                <w:sz w:val="20"/>
                <w:szCs w:val="20"/>
              </w:rPr>
              <w:t>Suppl</w:t>
            </w:r>
            <w:proofErr w:type="spellEnd"/>
            <w:r w:rsidRPr="00510ED4">
              <w:rPr>
                <w:sz w:val="20"/>
                <w:szCs w:val="20"/>
              </w:rPr>
              <w:t xml:space="preserve"> 1) (August 5): A325–A325. doi:10.1136/jech.2011.142976l.2. </w:t>
            </w:r>
            <w:hyperlink r:id="rId77" w:history="1">
              <w:r w:rsidRPr="00510ED4">
                <w:rPr>
                  <w:rStyle w:val="Hyperlink"/>
                  <w:sz w:val="20"/>
                  <w:szCs w:val="20"/>
                </w:rPr>
                <w:t>http://jech.bmj.com/content/65/Suppl_1/A325.2.short</w:t>
              </w:r>
            </w:hyperlink>
            <w:r w:rsidRPr="00510ED4">
              <w:rPr>
                <w:sz w:val="20"/>
                <w:szCs w:val="20"/>
                <w:u w:val="single"/>
              </w:rPr>
              <w:t xml:space="preserve">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Shandra</w:t>
            </w:r>
            <w:proofErr w:type="spellEnd"/>
            <w:r w:rsidRPr="00510ED4">
              <w:rPr>
                <w:sz w:val="20"/>
                <w:szCs w:val="20"/>
              </w:rPr>
              <w:t xml:space="preserve">, Carrie L., John M. </w:t>
            </w:r>
            <w:proofErr w:type="spellStart"/>
            <w:r w:rsidRPr="00510ED4">
              <w:rPr>
                <w:sz w:val="20"/>
                <w:szCs w:val="20"/>
              </w:rPr>
              <w:t>Shandra</w:t>
            </w:r>
            <w:proofErr w:type="spellEnd"/>
            <w:r w:rsidRPr="00510ED4">
              <w:rPr>
                <w:sz w:val="20"/>
                <w:szCs w:val="20"/>
              </w:rPr>
              <w:t>, and Bruce London. 2012. ‘The International Monetary Fund, Structural Adjustment, and Infant Mortality: A Cross-National Analysis of Sub-Saharan Africa’. Journal of Poverty 16 (2): 194–219. doi:10.1080/</w:t>
            </w:r>
            <w:proofErr w:type="gramStart"/>
            <w:r w:rsidRPr="00510ED4">
              <w:rPr>
                <w:sz w:val="20"/>
                <w:szCs w:val="20"/>
              </w:rPr>
              <w:t>10875549.2012.667059 .</w:t>
            </w:r>
            <w:proofErr w:type="gramEnd"/>
            <w:r w:rsidRPr="00510ED4">
              <w:rPr>
                <w:sz w:val="20"/>
                <w:szCs w:val="20"/>
              </w:rPr>
              <w:t xml:space="preserve"> </w:t>
            </w:r>
            <w:hyperlink r:id="rId78" w:history="1">
              <w:r w:rsidRPr="00510ED4">
                <w:rPr>
                  <w:rStyle w:val="Hyperlink"/>
                  <w:sz w:val="20"/>
                  <w:szCs w:val="20"/>
                </w:rPr>
                <w:t>http://www.tandfonline.com/doi/abs/10.1080/10875549.2012.667059</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Steven H. Woolf and </w:t>
            </w:r>
            <w:proofErr w:type="spellStart"/>
            <w:r w:rsidRPr="00510ED4">
              <w:rPr>
                <w:sz w:val="20"/>
                <w:szCs w:val="20"/>
              </w:rPr>
              <w:t>Laudan</w:t>
            </w:r>
            <w:proofErr w:type="spellEnd"/>
            <w:r w:rsidRPr="00510ED4">
              <w:rPr>
                <w:sz w:val="20"/>
                <w:szCs w:val="20"/>
              </w:rPr>
              <w:t xml:space="preserve"> Aron, </w:t>
            </w:r>
            <w:proofErr w:type="spellStart"/>
            <w:r w:rsidRPr="00510ED4">
              <w:rPr>
                <w:sz w:val="20"/>
                <w:szCs w:val="20"/>
              </w:rPr>
              <w:t>eds</w:t>
            </w:r>
            <w:proofErr w:type="spellEnd"/>
            <w:r w:rsidRPr="00510ED4">
              <w:rPr>
                <w:sz w:val="20"/>
                <w:szCs w:val="20"/>
              </w:rPr>
              <w:t xml:space="preserve"> 2013.U.S. Health in International Perspective: Shorter Lives, Poorer Health. National Academy of Sciences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Stiglitz</w:t>
            </w:r>
            <w:proofErr w:type="spellEnd"/>
            <w:r w:rsidRPr="00510ED4">
              <w:rPr>
                <w:sz w:val="20"/>
                <w:szCs w:val="20"/>
              </w:rPr>
              <w:t xml:space="preserve"> J. 2013 The Price of Inequality. Norton and co.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Stockhammer</w:t>
            </w:r>
            <w:proofErr w:type="spellEnd"/>
            <w:r w:rsidRPr="00510ED4">
              <w:rPr>
                <w:sz w:val="20"/>
                <w:szCs w:val="20"/>
              </w:rPr>
              <w:t xml:space="preserve"> E. and </w:t>
            </w:r>
            <w:proofErr w:type="spellStart"/>
            <w:r w:rsidRPr="00510ED4">
              <w:rPr>
                <w:sz w:val="20"/>
                <w:szCs w:val="20"/>
              </w:rPr>
              <w:t>Onaran</w:t>
            </w:r>
            <w:proofErr w:type="spellEnd"/>
            <w:r w:rsidRPr="00510ED4">
              <w:rPr>
                <w:sz w:val="20"/>
                <w:szCs w:val="20"/>
              </w:rPr>
              <w:t xml:space="preserve"> O. 2012 Wage led growth: theory, evidence, policy. </w:t>
            </w:r>
            <w:proofErr w:type="spellStart"/>
            <w:r w:rsidRPr="00510ED4">
              <w:rPr>
                <w:sz w:val="20"/>
                <w:szCs w:val="20"/>
              </w:rPr>
              <w:t>Univ</w:t>
            </w:r>
            <w:proofErr w:type="spellEnd"/>
            <w:r w:rsidRPr="00510ED4">
              <w:rPr>
                <w:sz w:val="20"/>
                <w:szCs w:val="20"/>
              </w:rPr>
              <w:t xml:space="preserve"> Massachusetts PERI WP 300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Stockhammer</w:t>
            </w:r>
            <w:proofErr w:type="spellEnd"/>
            <w:r w:rsidRPr="00510ED4">
              <w:rPr>
                <w:sz w:val="20"/>
                <w:szCs w:val="20"/>
              </w:rPr>
              <w:t xml:space="preserve"> </w:t>
            </w:r>
            <w:proofErr w:type="spellStart"/>
            <w:r w:rsidRPr="00510ED4">
              <w:rPr>
                <w:sz w:val="20"/>
                <w:szCs w:val="20"/>
              </w:rPr>
              <w:t>Engelbert</w:t>
            </w:r>
            <w:proofErr w:type="spellEnd"/>
            <w:r w:rsidRPr="00510ED4">
              <w:rPr>
                <w:sz w:val="20"/>
                <w:szCs w:val="20"/>
              </w:rPr>
              <w:t xml:space="preserve"> 2013 Why have wage shares fallen? ILO Conditions of Work and Employment Series No. 35 </w:t>
            </w:r>
            <w:hyperlink r:id="rId79" w:history="1">
              <w:r w:rsidRPr="00510ED4">
                <w:rPr>
                  <w:rStyle w:val="Hyperlink"/>
                  <w:sz w:val="20"/>
                  <w:szCs w:val="20"/>
                </w:rPr>
                <w:t>http://www.ilo.org/wcmsp5/groups/public/---</w:t>
              </w:r>
              <w:proofErr w:type="spellStart"/>
              <w:r w:rsidRPr="00510ED4">
                <w:rPr>
                  <w:rStyle w:val="Hyperlink"/>
                  <w:sz w:val="20"/>
                  <w:szCs w:val="20"/>
                </w:rPr>
                <w:t>ed_protect</w:t>
              </w:r>
              <w:proofErr w:type="spellEnd"/>
              <w:r w:rsidRPr="00510ED4">
                <w:rPr>
                  <w:rStyle w:val="Hyperlink"/>
                  <w:sz w:val="20"/>
                  <w:szCs w:val="20"/>
                </w:rPr>
                <w:t>/---</w:t>
              </w:r>
              <w:proofErr w:type="spellStart"/>
              <w:r w:rsidRPr="00510ED4">
                <w:rPr>
                  <w:rStyle w:val="Hyperlink"/>
                  <w:sz w:val="20"/>
                  <w:szCs w:val="20"/>
                </w:rPr>
                <w:t>protrav</w:t>
              </w:r>
              <w:proofErr w:type="spellEnd"/>
              <w:r w:rsidRPr="00510ED4">
                <w:rPr>
                  <w:rStyle w:val="Hyperlink"/>
                  <w:sz w:val="20"/>
                  <w:szCs w:val="20"/>
                </w:rPr>
                <w:t>/---travail/documents/publication/wcms_202352.pdf</w:t>
              </w:r>
            </w:hyperlink>
            <w:r w:rsidRPr="00510ED4">
              <w:rPr>
                <w:sz w:val="20"/>
                <w:szCs w:val="20"/>
              </w:rPr>
              <w:t xml:space="preserve"> ;  </w:t>
            </w:r>
          </w:p>
        </w:tc>
      </w:tr>
      <w:tr w:rsidR="00510ED4" w:rsidRPr="00510ED4" w:rsidTr="00FE7486">
        <w:tc>
          <w:tcPr>
            <w:tcW w:w="9854" w:type="dxa"/>
            <w:shd w:val="clear" w:color="auto" w:fill="auto"/>
          </w:tcPr>
          <w:p w:rsidR="00510ED4" w:rsidRPr="00510ED4" w:rsidRDefault="00510ED4" w:rsidP="00DF17B9">
            <w:pPr>
              <w:rPr>
                <w:bCs/>
                <w:sz w:val="20"/>
                <w:szCs w:val="20"/>
              </w:rPr>
            </w:pPr>
            <w:proofErr w:type="spellStart"/>
            <w:r w:rsidRPr="00510ED4">
              <w:rPr>
                <w:bCs/>
                <w:sz w:val="20"/>
                <w:szCs w:val="20"/>
              </w:rPr>
              <w:t>Strittmatter</w:t>
            </w:r>
            <w:proofErr w:type="spellEnd"/>
            <w:r w:rsidRPr="00510ED4">
              <w:rPr>
                <w:bCs/>
                <w:sz w:val="20"/>
                <w:szCs w:val="20"/>
              </w:rPr>
              <w:t xml:space="preserve"> A. &amp; </w:t>
            </w:r>
            <w:proofErr w:type="spellStart"/>
            <w:r w:rsidRPr="00510ED4">
              <w:rPr>
                <w:bCs/>
                <w:sz w:val="20"/>
                <w:szCs w:val="20"/>
              </w:rPr>
              <w:t>Sunde</w:t>
            </w:r>
            <w:proofErr w:type="spellEnd"/>
            <w:r w:rsidRPr="00510ED4">
              <w:rPr>
                <w:bCs/>
                <w:sz w:val="20"/>
                <w:szCs w:val="20"/>
              </w:rPr>
              <w:t xml:space="preserve"> U. (2011) Health and Economic Development - Evidence from the Introduction of Public Health Care </w:t>
            </w:r>
            <w:r w:rsidRPr="00510ED4">
              <w:rPr>
                <w:bCs/>
                <w:sz w:val="20"/>
                <w:szCs w:val="20"/>
                <w:u w:val="single"/>
              </w:rPr>
              <w:t>Discussion Paper no. 2011-32</w:t>
            </w:r>
            <w:r w:rsidRPr="00510ED4">
              <w:rPr>
                <w:bCs/>
                <w:sz w:val="20"/>
                <w:szCs w:val="20"/>
              </w:rPr>
              <w:t xml:space="preserve"> LSE/ University of St. </w:t>
            </w:r>
            <w:proofErr w:type="spellStart"/>
            <w:r w:rsidRPr="00510ED4">
              <w:rPr>
                <w:bCs/>
                <w:sz w:val="20"/>
                <w:szCs w:val="20"/>
              </w:rPr>
              <w:t>Gallen</w:t>
            </w:r>
            <w:proofErr w:type="spellEnd"/>
          </w:p>
        </w:tc>
      </w:tr>
      <w:tr w:rsidR="00510ED4" w:rsidRPr="002348AB" w:rsidTr="00FE7486">
        <w:tc>
          <w:tcPr>
            <w:tcW w:w="9854" w:type="dxa"/>
          </w:tcPr>
          <w:p w:rsidR="00510ED4" w:rsidRPr="00510ED4" w:rsidRDefault="00510ED4" w:rsidP="00DF17B9">
            <w:pPr>
              <w:rPr>
                <w:sz w:val="20"/>
                <w:szCs w:val="20"/>
                <w:lang w:val="es-ES_tradnl"/>
              </w:rPr>
            </w:pPr>
            <w:proofErr w:type="spellStart"/>
            <w:r w:rsidRPr="00510ED4">
              <w:rPr>
                <w:sz w:val="20"/>
                <w:szCs w:val="20"/>
              </w:rPr>
              <w:t>Strittmatter</w:t>
            </w:r>
            <w:proofErr w:type="spellEnd"/>
            <w:r w:rsidRPr="00510ED4">
              <w:rPr>
                <w:sz w:val="20"/>
                <w:szCs w:val="20"/>
              </w:rPr>
              <w:t xml:space="preserve">, Anthony, and Uwe </w:t>
            </w:r>
            <w:proofErr w:type="spellStart"/>
            <w:r w:rsidRPr="00510ED4">
              <w:rPr>
                <w:sz w:val="20"/>
                <w:szCs w:val="20"/>
              </w:rPr>
              <w:t>Sunde</w:t>
            </w:r>
            <w:proofErr w:type="spellEnd"/>
            <w:r w:rsidRPr="00510ED4">
              <w:rPr>
                <w:sz w:val="20"/>
                <w:szCs w:val="20"/>
              </w:rPr>
              <w:t xml:space="preserve">. ‘Health and Economic Development: Evidence from the Introduction of Public Health Care’. </w:t>
            </w:r>
            <w:r w:rsidRPr="00510ED4">
              <w:rPr>
                <w:sz w:val="20"/>
                <w:szCs w:val="20"/>
                <w:lang w:val="es-ES_tradnl"/>
              </w:rPr>
              <w:t xml:space="preserve">IZA DP No. 5901 SSRN </w:t>
            </w:r>
            <w:proofErr w:type="spellStart"/>
            <w:r w:rsidRPr="00510ED4">
              <w:rPr>
                <w:sz w:val="20"/>
                <w:szCs w:val="20"/>
                <w:lang w:val="es-ES_tradnl"/>
              </w:rPr>
              <w:t>eLibrary</w:t>
            </w:r>
            <w:proofErr w:type="spellEnd"/>
            <w:r w:rsidRPr="00510ED4">
              <w:rPr>
                <w:sz w:val="20"/>
                <w:szCs w:val="20"/>
                <w:lang w:val="es-ES_tradnl"/>
              </w:rPr>
              <w:t xml:space="preserve">. </w:t>
            </w:r>
            <w:hyperlink r:id="rId80" w:history="1">
              <w:r w:rsidRPr="00510ED4">
                <w:rPr>
                  <w:rStyle w:val="Hyperlink"/>
                  <w:sz w:val="20"/>
                  <w:szCs w:val="20"/>
                  <w:lang w:val="es-ES_tradnl"/>
                </w:rPr>
                <w:t>http://papers.ssrn.com/sol3/papers.cfm?abstract_id=1909381</w:t>
              </w:r>
            </w:hyperlink>
            <w:r w:rsidRPr="00510ED4">
              <w:rPr>
                <w:sz w:val="20"/>
                <w:szCs w:val="20"/>
                <w:lang w:val="es-ES_tradnl"/>
              </w:rPr>
              <w:t xml:space="preserve"> .</w:t>
            </w:r>
          </w:p>
        </w:tc>
      </w:tr>
      <w:tr w:rsidR="00510ED4" w:rsidRPr="002348AB" w:rsidTr="00FE7486">
        <w:tc>
          <w:tcPr>
            <w:tcW w:w="9854" w:type="dxa"/>
          </w:tcPr>
          <w:p w:rsidR="00510ED4" w:rsidRPr="00510ED4" w:rsidRDefault="00510ED4" w:rsidP="00DF17B9">
            <w:pPr>
              <w:rPr>
                <w:sz w:val="20"/>
                <w:szCs w:val="20"/>
                <w:lang w:val="fr-FR"/>
              </w:rPr>
            </w:pPr>
            <w:proofErr w:type="spellStart"/>
            <w:r w:rsidRPr="00510ED4">
              <w:rPr>
                <w:sz w:val="20"/>
                <w:szCs w:val="20"/>
              </w:rPr>
              <w:t>Stuckler</w:t>
            </w:r>
            <w:proofErr w:type="spellEnd"/>
            <w:r w:rsidRPr="00510ED4">
              <w:rPr>
                <w:sz w:val="20"/>
                <w:szCs w:val="20"/>
              </w:rPr>
              <w:t xml:space="preserve"> D., </w:t>
            </w:r>
            <w:proofErr w:type="spellStart"/>
            <w:r w:rsidRPr="00510ED4">
              <w:rPr>
                <w:sz w:val="20"/>
                <w:szCs w:val="20"/>
              </w:rPr>
              <w:t>Basu</w:t>
            </w:r>
            <w:proofErr w:type="spellEnd"/>
            <w:r w:rsidRPr="00510ED4">
              <w:rPr>
                <w:sz w:val="20"/>
                <w:szCs w:val="20"/>
              </w:rPr>
              <w:t xml:space="preserve"> S., McKee M. 2011 Health Care Capacity and Allocations Among South Africa’s Provinces: Infrastructure–Inequality Traps After the End of Apartheid January 2011, (Am J Public Health. </w:t>
            </w:r>
            <w:r w:rsidRPr="00510ED4">
              <w:rPr>
                <w:sz w:val="20"/>
                <w:szCs w:val="20"/>
                <w:lang w:val="fr-FR"/>
              </w:rPr>
              <w:t xml:space="preserve">2011;101: 165–172. doi:10.2105/AJPH.2009.184895 </w:t>
            </w:r>
            <w:hyperlink r:id="rId81" w:history="1">
              <w:r w:rsidRPr="00510ED4">
                <w:rPr>
                  <w:rStyle w:val="Hyperlink"/>
                  <w:sz w:val="20"/>
                  <w:szCs w:val="20"/>
                  <w:lang w:val="fr-FR"/>
                </w:rPr>
                <w:t>http://people.ds.cam.ac.uk/ds450/details/P496%20Inequity%20in%20South%20Africa.pdf</w:t>
              </w:r>
            </w:hyperlink>
            <w:r w:rsidRPr="00510ED4">
              <w:rPr>
                <w:sz w:val="20"/>
                <w:szCs w:val="20"/>
                <w:lang w:val="fr-FR"/>
              </w:rPr>
              <w:t xml:space="preserve">  </w:t>
            </w:r>
          </w:p>
        </w:tc>
      </w:tr>
      <w:tr w:rsidR="00510ED4" w:rsidRPr="00510ED4" w:rsidTr="00FE7486">
        <w:tc>
          <w:tcPr>
            <w:tcW w:w="9854" w:type="dxa"/>
          </w:tcPr>
          <w:p w:rsidR="00510ED4" w:rsidRPr="00510ED4" w:rsidRDefault="00510ED4" w:rsidP="00DF17B9">
            <w:pPr>
              <w:rPr>
                <w:sz w:val="20"/>
                <w:szCs w:val="20"/>
                <w:u w:val="single"/>
              </w:rPr>
            </w:pPr>
            <w:proofErr w:type="spellStart"/>
            <w:r w:rsidRPr="00510ED4">
              <w:rPr>
                <w:sz w:val="20"/>
                <w:szCs w:val="20"/>
              </w:rPr>
              <w:t>Tacke</w:t>
            </w:r>
            <w:proofErr w:type="spellEnd"/>
            <w:r w:rsidRPr="00510ED4">
              <w:rPr>
                <w:sz w:val="20"/>
                <w:szCs w:val="20"/>
              </w:rPr>
              <w:t xml:space="preserve"> T. and Robert J. </w:t>
            </w:r>
            <w:proofErr w:type="spellStart"/>
            <w:r w:rsidRPr="00510ED4">
              <w:rPr>
                <w:sz w:val="20"/>
                <w:szCs w:val="20"/>
              </w:rPr>
              <w:t>Waldmann</w:t>
            </w:r>
            <w:proofErr w:type="spellEnd"/>
            <w:r w:rsidRPr="00510ED4">
              <w:rPr>
                <w:sz w:val="20"/>
                <w:szCs w:val="20"/>
              </w:rPr>
              <w:t xml:space="preserve"> 2009 Income Distribution, Infant Mortality, and Health Care Expenditure </w:t>
            </w:r>
            <w:hyperlink r:id="rId82" w:history="1">
              <w:r w:rsidRPr="00510ED4">
                <w:rPr>
                  <w:rStyle w:val="Hyperlink"/>
                  <w:sz w:val="20"/>
                  <w:szCs w:val="20"/>
                </w:rPr>
                <w:t>www.ceistorvergata.it/repec/rpaper/RP146.pdf</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Tacke</w:t>
            </w:r>
            <w:proofErr w:type="spellEnd"/>
            <w:r w:rsidRPr="00510ED4">
              <w:rPr>
                <w:sz w:val="20"/>
                <w:szCs w:val="20"/>
              </w:rPr>
              <w:t xml:space="preserve"> T. and </w:t>
            </w:r>
            <w:proofErr w:type="spellStart"/>
            <w:r w:rsidRPr="00510ED4">
              <w:rPr>
                <w:sz w:val="20"/>
                <w:szCs w:val="20"/>
              </w:rPr>
              <w:t>Waldmann</w:t>
            </w:r>
            <w:proofErr w:type="spellEnd"/>
            <w:r w:rsidRPr="00510ED4">
              <w:rPr>
                <w:sz w:val="20"/>
                <w:szCs w:val="20"/>
              </w:rPr>
              <w:t xml:space="preserve"> R. 2013 Infant mortality, relative income and public policy. Applied Economics </w:t>
            </w:r>
            <w:r w:rsidRPr="00510ED4">
              <w:rPr>
                <w:sz w:val="20"/>
                <w:szCs w:val="20"/>
              </w:rPr>
              <w:br/>
              <w:t xml:space="preserve">Vol. 45, </w:t>
            </w:r>
            <w:proofErr w:type="spellStart"/>
            <w:r w:rsidRPr="00510ED4">
              <w:rPr>
                <w:sz w:val="20"/>
                <w:szCs w:val="20"/>
              </w:rPr>
              <w:t>Iss</w:t>
            </w:r>
            <w:proofErr w:type="spellEnd"/>
            <w:r w:rsidRPr="00510ED4">
              <w:rPr>
                <w:sz w:val="20"/>
                <w:szCs w:val="20"/>
              </w:rPr>
              <w:t xml:space="preserve">. 22, 2013  </w:t>
            </w:r>
            <w:hyperlink r:id="rId83" w:history="1">
              <w:r w:rsidRPr="00510ED4">
                <w:rPr>
                  <w:rStyle w:val="Hyperlink"/>
                  <w:sz w:val="20"/>
                  <w:szCs w:val="20"/>
                </w:rPr>
                <w:t>http://www.tandfonline.com/doi/abs/10.1080/00036846.2012.705429</w:t>
              </w:r>
            </w:hyperlink>
            <w:r w:rsidRPr="00510ED4">
              <w:rPr>
                <w:sz w:val="20"/>
                <w:szCs w:val="20"/>
              </w:rPr>
              <w:t xml:space="preserve"> </w:t>
            </w:r>
            <w:hyperlink r:id="rId84" w:history="1">
              <w:r w:rsidRPr="00510ED4">
                <w:rPr>
                  <w:rStyle w:val="Hyperlink"/>
                  <w:sz w:val="20"/>
                  <w:szCs w:val="20"/>
                </w:rPr>
                <w:t xml:space="preserve">Applied Economics </w:t>
              </w:r>
            </w:hyperlink>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Tacke</w:t>
            </w:r>
            <w:proofErr w:type="spellEnd"/>
            <w:r w:rsidRPr="00510ED4">
              <w:rPr>
                <w:sz w:val="20"/>
                <w:szCs w:val="20"/>
              </w:rPr>
              <w:t xml:space="preserve">, </w:t>
            </w:r>
            <w:proofErr w:type="spellStart"/>
            <w:r w:rsidRPr="00510ED4">
              <w:rPr>
                <w:sz w:val="20"/>
                <w:szCs w:val="20"/>
              </w:rPr>
              <w:t>Tilman</w:t>
            </w:r>
            <w:proofErr w:type="spellEnd"/>
            <w:r w:rsidRPr="00510ED4">
              <w:rPr>
                <w:sz w:val="20"/>
                <w:szCs w:val="20"/>
              </w:rPr>
              <w:t xml:space="preserve">, and Robert </w:t>
            </w:r>
            <w:proofErr w:type="spellStart"/>
            <w:r w:rsidRPr="00510ED4">
              <w:rPr>
                <w:sz w:val="20"/>
                <w:szCs w:val="20"/>
              </w:rPr>
              <w:t>Waldmann</w:t>
            </w:r>
            <w:proofErr w:type="spellEnd"/>
            <w:r w:rsidRPr="00510ED4">
              <w:rPr>
                <w:sz w:val="20"/>
                <w:szCs w:val="20"/>
              </w:rPr>
              <w:t xml:space="preserve">. 2011. ‘The Relative Efficiency of Public and Private Health Care’. </w:t>
            </w:r>
            <w:r w:rsidRPr="00510ED4">
              <w:rPr>
                <w:bCs/>
                <w:sz w:val="20"/>
                <w:szCs w:val="20"/>
              </w:rPr>
              <w:t xml:space="preserve">CEIS Tor </w:t>
            </w:r>
            <w:proofErr w:type="spellStart"/>
            <w:r w:rsidRPr="00510ED4">
              <w:rPr>
                <w:bCs/>
                <w:sz w:val="20"/>
                <w:szCs w:val="20"/>
              </w:rPr>
              <w:t>Vergata</w:t>
            </w:r>
            <w:proofErr w:type="spellEnd"/>
            <w:r w:rsidRPr="00510ED4">
              <w:rPr>
                <w:bCs/>
                <w:sz w:val="20"/>
                <w:szCs w:val="20"/>
              </w:rPr>
              <w:t xml:space="preserve"> </w:t>
            </w:r>
            <w:r w:rsidRPr="00510ED4">
              <w:rPr>
                <w:sz w:val="20"/>
                <w:szCs w:val="20"/>
              </w:rPr>
              <w:t xml:space="preserve">RESEARCH PAPER SERIES </w:t>
            </w:r>
            <w:r w:rsidRPr="00510ED4">
              <w:rPr>
                <w:bCs/>
                <w:sz w:val="20"/>
                <w:szCs w:val="20"/>
              </w:rPr>
              <w:t xml:space="preserve">Vol. 9, Issue 8, No. 202 – July 2011 </w:t>
            </w:r>
            <w:r w:rsidRPr="00510ED4">
              <w:rPr>
                <w:sz w:val="20"/>
                <w:szCs w:val="20"/>
              </w:rPr>
              <w:t xml:space="preserve">SSRN </w:t>
            </w:r>
            <w:proofErr w:type="spellStart"/>
            <w:r w:rsidRPr="00510ED4">
              <w:rPr>
                <w:sz w:val="20"/>
                <w:szCs w:val="20"/>
              </w:rPr>
              <w:t>eLibrary</w:t>
            </w:r>
            <w:proofErr w:type="spellEnd"/>
            <w:r w:rsidRPr="00510ED4">
              <w:rPr>
                <w:sz w:val="20"/>
                <w:szCs w:val="20"/>
              </w:rPr>
              <w:t xml:space="preserve"> (July 5). </w:t>
            </w:r>
            <w:hyperlink r:id="rId85" w:history="1">
              <w:r w:rsidRPr="00510ED4">
                <w:rPr>
                  <w:rStyle w:val="Hyperlink"/>
                  <w:sz w:val="20"/>
                  <w:szCs w:val="20"/>
                </w:rPr>
                <w:t>http://papers.ssrn.com/sol3/papers.cfm?abstract_id=1879136</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Taylor, Sebastian. 2009. ‘Wealth, Health and Equity: Convergence to Divergence in Late 20th Century Globalization’. </w:t>
            </w:r>
            <w:r w:rsidRPr="00510ED4">
              <w:rPr>
                <w:i/>
                <w:sz w:val="20"/>
                <w:szCs w:val="20"/>
              </w:rPr>
              <w:t>British Medical Bulletin</w:t>
            </w:r>
            <w:r w:rsidRPr="00510ED4">
              <w:rPr>
                <w:sz w:val="20"/>
                <w:szCs w:val="20"/>
              </w:rPr>
              <w:t xml:space="preserve"> 91 (1) (January 9): 29–48. doi:10.1093/</w:t>
            </w:r>
            <w:proofErr w:type="spellStart"/>
            <w:r w:rsidRPr="00510ED4">
              <w:rPr>
                <w:sz w:val="20"/>
                <w:szCs w:val="20"/>
              </w:rPr>
              <w:t>bmb</w:t>
            </w:r>
            <w:proofErr w:type="spellEnd"/>
            <w:r w:rsidRPr="00510ED4">
              <w:rPr>
                <w:sz w:val="20"/>
                <w:szCs w:val="20"/>
              </w:rPr>
              <w:t xml:space="preserve">/ldp024. </w:t>
            </w:r>
            <w:hyperlink r:id="rId86" w:history="1">
              <w:r w:rsidRPr="00510ED4">
                <w:rPr>
                  <w:rStyle w:val="Hyperlink"/>
                  <w:sz w:val="20"/>
                  <w:szCs w:val="20"/>
                </w:rPr>
                <w:t>http://bmb.oxfordjournals.org/content/91/1/29</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Therborn</w:t>
            </w:r>
            <w:proofErr w:type="spellEnd"/>
            <w:r w:rsidRPr="00510ED4">
              <w:rPr>
                <w:sz w:val="20"/>
                <w:szCs w:val="20"/>
              </w:rPr>
              <w:t xml:space="preserve"> G. 2013 The Killing Fields of Inequality. Polity   Books </w:t>
            </w:r>
            <w:hyperlink r:id="rId87" w:history="1">
              <w:r w:rsidRPr="00510ED4">
                <w:rPr>
                  <w:rStyle w:val="Hyperlink"/>
                  <w:sz w:val="20"/>
                  <w:szCs w:val="20"/>
                </w:rPr>
                <w:t>http://www.polity.co.uk/book.asp?ref=9780745662589</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lastRenderedPageBreak/>
              <w:t xml:space="preserve">Torre, Roberta, and </w:t>
            </w:r>
            <w:proofErr w:type="spellStart"/>
            <w:r w:rsidRPr="00510ED4">
              <w:rPr>
                <w:sz w:val="20"/>
                <w:szCs w:val="20"/>
              </w:rPr>
              <w:t>Mikko</w:t>
            </w:r>
            <w:proofErr w:type="spellEnd"/>
            <w:r w:rsidRPr="00510ED4">
              <w:rPr>
                <w:sz w:val="20"/>
                <w:szCs w:val="20"/>
              </w:rPr>
              <w:t xml:space="preserve"> </w:t>
            </w:r>
            <w:proofErr w:type="spellStart"/>
            <w:r w:rsidRPr="00510ED4">
              <w:rPr>
                <w:sz w:val="20"/>
                <w:szCs w:val="20"/>
              </w:rPr>
              <w:t>Myrskylä</w:t>
            </w:r>
            <w:proofErr w:type="spellEnd"/>
            <w:r w:rsidRPr="00510ED4">
              <w:rPr>
                <w:sz w:val="20"/>
                <w:szCs w:val="20"/>
              </w:rPr>
              <w:t xml:space="preserve">. 2014. ‘Income Inequality and Population Health: An Analysis of Panel Data for 21 Developed Countries, 1975–2006’. </w:t>
            </w:r>
            <w:r w:rsidRPr="00510ED4">
              <w:rPr>
                <w:i/>
                <w:iCs/>
                <w:sz w:val="20"/>
                <w:szCs w:val="20"/>
              </w:rPr>
              <w:t>Population Studies</w:t>
            </w:r>
            <w:r w:rsidRPr="00510ED4">
              <w:rPr>
                <w:sz w:val="20"/>
                <w:szCs w:val="20"/>
              </w:rPr>
              <w:t xml:space="preserve"> 68 (1): 1–13. doi:10.1080/00324728.2013.856457. http://www.tandfonline.com/doi/abs/10.1080/00324728.2013.856457</w:t>
            </w:r>
          </w:p>
        </w:tc>
      </w:tr>
      <w:tr w:rsidR="00510ED4" w:rsidRPr="00510ED4" w:rsidTr="00FE7486">
        <w:tc>
          <w:tcPr>
            <w:tcW w:w="9854" w:type="dxa"/>
          </w:tcPr>
          <w:p w:rsidR="00510ED4" w:rsidRPr="00510ED4" w:rsidRDefault="00510ED4" w:rsidP="00F8021C">
            <w:pPr>
              <w:rPr>
                <w:sz w:val="20"/>
                <w:szCs w:val="20"/>
              </w:rPr>
            </w:pPr>
            <w:r w:rsidRPr="00510ED4">
              <w:rPr>
                <w:sz w:val="20"/>
                <w:szCs w:val="20"/>
              </w:rPr>
              <w:t xml:space="preserve">UNDESA 2013 Inequality Matters: Report of the World Social Situation 2013  ST/ESA/345 </w:t>
            </w:r>
            <w:hyperlink r:id="rId88" w:history="1">
              <w:r w:rsidRPr="00510ED4">
                <w:rPr>
                  <w:rStyle w:val="Hyperlink"/>
                  <w:sz w:val="20"/>
                  <w:szCs w:val="20"/>
                </w:rPr>
                <w:t>http://www.un.org/esa/socdev/documents/reports/InequalityMatters.pdf</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UNESCO 2012 From access to equality: empowering girls and women through literacy and secondary education  </w:t>
            </w:r>
            <w:hyperlink r:id="rId89" w:history="1">
              <w:r w:rsidRPr="00510ED4">
                <w:rPr>
                  <w:rStyle w:val="Hyperlink"/>
                  <w:sz w:val="20"/>
                  <w:szCs w:val="20"/>
                </w:rPr>
                <w:t>http://unesdoc.unesco.org/images/0021/002184/218450e.pdf</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Uzochukwu</w:t>
            </w:r>
            <w:proofErr w:type="spellEnd"/>
            <w:r w:rsidRPr="00510ED4">
              <w:rPr>
                <w:sz w:val="20"/>
                <w:szCs w:val="20"/>
              </w:rPr>
              <w:t xml:space="preserve"> </w:t>
            </w:r>
            <w:proofErr w:type="spellStart"/>
            <w:r w:rsidRPr="00510ED4">
              <w:rPr>
                <w:sz w:val="20"/>
                <w:szCs w:val="20"/>
              </w:rPr>
              <w:t>Amakom</w:t>
            </w:r>
            <w:proofErr w:type="spellEnd"/>
            <w:r w:rsidRPr="00510ED4">
              <w:rPr>
                <w:sz w:val="20"/>
                <w:szCs w:val="20"/>
              </w:rPr>
              <w:t xml:space="preserve">. 2010 Distributional Impact of Public Expenditure on Education and Healthcare in Nigeria: A Gender Based Welfare Dominance Analysis www.ccsenet.org/ijbm International Journal of Business and Management Vol. 5, No. 12; December 2010 </w:t>
            </w:r>
            <w:hyperlink r:id="rId90" w:history="1">
              <w:r w:rsidRPr="00510ED4">
                <w:rPr>
                  <w:rStyle w:val="Hyperlink"/>
                  <w:sz w:val="20"/>
                  <w:szCs w:val="20"/>
                </w:rPr>
                <w:t>http://www.ccsenet.org/journal/index.php/ijbm/article/viewFile/7174/6337</w:t>
              </w:r>
            </w:hyperlink>
            <w:r w:rsidRPr="00510ED4">
              <w:rPr>
                <w:sz w:val="20"/>
                <w:szCs w:val="20"/>
              </w:rPr>
              <w:t xml:space="preserve"> </w:t>
            </w:r>
          </w:p>
        </w:tc>
      </w:tr>
      <w:tr w:rsidR="00510ED4" w:rsidRPr="00510ED4" w:rsidTr="00FE7486">
        <w:tc>
          <w:tcPr>
            <w:tcW w:w="9854" w:type="dxa"/>
            <w:shd w:val="clear" w:color="auto" w:fill="auto"/>
          </w:tcPr>
          <w:p w:rsidR="00510ED4" w:rsidRPr="00510ED4" w:rsidRDefault="00510ED4" w:rsidP="00DF17B9">
            <w:pPr>
              <w:rPr>
                <w:sz w:val="20"/>
                <w:szCs w:val="20"/>
              </w:rPr>
            </w:pPr>
            <w:proofErr w:type="spellStart"/>
            <w:r w:rsidRPr="00510ED4">
              <w:rPr>
                <w:sz w:val="20"/>
                <w:szCs w:val="20"/>
              </w:rPr>
              <w:t>Verbist</w:t>
            </w:r>
            <w:proofErr w:type="spellEnd"/>
            <w:r w:rsidRPr="00510ED4">
              <w:rPr>
                <w:sz w:val="20"/>
                <w:szCs w:val="20"/>
              </w:rPr>
              <w:t xml:space="preserve">, G., M. </w:t>
            </w:r>
            <w:proofErr w:type="spellStart"/>
            <w:r w:rsidRPr="00510ED4">
              <w:rPr>
                <w:sz w:val="20"/>
                <w:szCs w:val="20"/>
              </w:rPr>
              <w:t>Förster</w:t>
            </w:r>
            <w:proofErr w:type="spellEnd"/>
            <w:r w:rsidRPr="00510ED4">
              <w:rPr>
                <w:sz w:val="20"/>
                <w:szCs w:val="20"/>
              </w:rPr>
              <w:t xml:space="preserve"> and M. </w:t>
            </w:r>
            <w:proofErr w:type="spellStart"/>
            <w:r w:rsidRPr="00510ED4">
              <w:rPr>
                <w:sz w:val="20"/>
                <w:szCs w:val="20"/>
              </w:rPr>
              <w:t>Vaalavuo</w:t>
            </w:r>
            <w:proofErr w:type="spellEnd"/>
            <w:r w:rsidRPr="00510ED4">
              <w:rPr>
                <w:sz w:val="20"/>
                <w:szCs w:val="20"/>
              </w:rPr>
              <w:t xml:space="preserve"> (2012), “The Impact of Publicly Provided Services on the Distribution of Resources: Review of New Results and Methods”, OECD Social, Employment and Migration Working Papers, No. 130, OECD Publishing. </w:t>
            </w:r>
            <w:hyperlink r:id="rId91" w:history="1">
              <w:r w:rsidRPr="00510ED4">
                <w:rPr>
                  <w:rStyle w:val="Hyperlink"/>
                  <w:sz w:val="20"/>
                  <w:szCs w:val="20"/>
                </w:rPr>
                <w:t>http://dx.doi.org/10.1787/5k9h363c5szq-en</w:t>
              </w:r>
            </w:hyperlink>
          </w:p>
        </w:tc>
      </w:tr>
      <w:tr w:rsidR="00510ED4" w:rsidRPr="00510ED4" w:rsidTr="00FE7486">
        <w:tc>
          <w:tcPr>
            <w:tcW w:w="9854" w:type="dxa"/>
            <w:shd w:val="clear" w:color="auto" w:fill="auto"/>
          </w:tcPr>
          <w:p w:rsidR="00510ED4" w:rsidRPr="00510ED4" w:rsidRDefault="00510ED4" w:rsidP="00DF17B9">
            <w:pPr>
              <w:rPr>
                <w:sz w:val="20"/>
                <w:szCs w:val="20"/>
              </w:rPr>
            </w:pPr>
            <w:r w:rsidRPr="00510ED4">
              <w:rPr>
                <w:sz w:val="20"/>
                <w:szCs w:val="20"/>
              </w:rPr>
              <w:t xml:space="preserve">Wagner, Anita K., Amy Johnson Graves, Sheila K. Reiss, Robert </w:t>
            </w:r>
            <w:proofErr w:type="spellStart"/>
            <w:r w:rsidRPr="00510ED4">
              <w:rPr>
                <w:sz w:val="20"/>
                <w:szCs w:val="20"/>
              </w:rPr>
              <w:t>LeCates</w:t>
            </w:r>
            <w:proofErr w:type="spellEnd"/>
            <w:r w:rsidRPr="00510ED4">
              <w:rPr>
                <w:sz w:val="20"/>
                <w:szCs w:val="20"/>
              </w:rPr>
              <w:t>, Fang Zhang, and Dennis Ross-</w:t>
            </w:r>
            <w:proofErr w:type="spellStart"/>
            <w:r w:rsidRPr="00510ED4">
              <w:rPr>
                <w:sz w:val="20"/>
                <w:szCs w:val="20"/>
              </w:rPr>
              <w:t>Degnan</w:t>
            </w:r>
            <w:proofErr w:type="spellEnd"/>
            <w:r w:rsidRPr="00510ED4">
              <w:rPr>
                <w:sz w:val="20"/>
                <w:szCs w:val="20"/>
              </w:rPr>
              <w:t>. 2011. ‘Access to Care and Medicines, Burden of Health Care Expenditures, and Risk Protection: Results from the World Health Survey’. Health Policy 100 (2–3) (May): 151–158. doi:10.1016/j.healthpol.2010.08.004</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Wagstaff</w:t>
            </w:r>
            <w:proofErr w:type="spellEnd"/>
            <w:r w:rsidRPr="00510ED4">
              <w:rPr>
                <w:sz w:val="20"/>
                <w:szCs w:val="20"/>
              </w:rPr>
              <w:t xml:space="preserve"> A and </w:t>
            </w:r>
            <w:proofErr w:type="spellStart"/>
            <w:r w:rsidRPr="00510ED4">
              <w:rPr>
                <w:sz w:val="20"/>
                <w:szCs w:val="20"/>
              </w:rPr>
              <w:t>Lindelow</w:t>
            </w:r>
            <w:proofErr w:type="spellEnd"/>
            <w:r w:rsidRPr="00510ED4">
              <w:rPr>
                <w:sz w:val="20"/>
                <w:szCs w:val="20"/>
              </w:rPr>
              <w:t xml:space="preserve"> M. 2008 Can insurance increase financial risk? The curious case of health insurance in China  Journal of Health Economics 27 (2008) 990–1005 doi:10.1016/j.jhealeco.2008.02.002 </w:t>
            </w:r>
          </w:p>
        </w:tc>
      </w:tr>
      <w:tr w:rsidR="00510ED4" w:rsidRPr="00510ED4" w:rsidTr="00FE7486">
        <w:tc>
          <w:tcPr>
            <w:tcW w:w="9854" w:type="dxa"/>
          </w:tcPr>
          <w:p w:rsidR="00510ED4" w:rsidRPr="00510ED4" w:rsidRDefault="00510ED4" w:rsidP="00DF17B9">
            <w:pPr>
              <w:rPr>
                <w:sz w:val="20"/>
                <w:szCs w:val="20"/>
              </w:rPr>
            </w:pPr>
            <w:proofErr w:type="spellStart"/>
            <w:r w:rsidRPr="00510ED4">
              <w:rPr>
                <w:sz w:val="20"/>
                <w:szCs w:val="20"/>
              </w:rPr>
              <w:t>Wagstaff</w:t>
            </w:r>
            <w:proofErr w:type="spellEnd"/>
            <w:r w:rsidRPr="00510ED4">
              <w:rPr>
                <w:sz w:val="20"/>
                <w:szCs w:val="20"/>
              </w:rPr>
              <w:t xml:space="preserve"> A </w:t>
            </w:r>
            <w:proofErr w:type="spellStart"/>
            <w:r w:rsidRPr="00510ED4">
              <w:rPr>
                <w:sz w:val="20"/>
                <w:szCs w:val="20"/>
              </w:rPr>
              <w:t>Lindelow</w:t>
            </w:r>
            <w:proofErr w:type="spellEnd"/>
            <w:r w:rsidRPr="00510ED4">
              <w:rPr>
                <w:sz w:val="20"/>
                <w:szCs w:val="20"/>
              </w:rPr>
              <w:t xml:space="preserve"> M., Gao Jun,, Xu Ling, Qian </w:t>
            </w:r>
            <w:proofErr w:type="spellStart"/>
            <w:r w:rsidRPr="00510ED4">
              <w:rPr>
                <w:sz w:val="20"/>
                <w:szCs w:val="20"/>
              </w:rPr>
              <w:t>Juncheng</w:t>
            </w:r>
            <w:proofErr w:type="spellEnd"/>
            <w:r w:rsidRPr="00510ED4">
              <w:rPr>
                <w:sz w:val="20"/>
                <w:szCs w:val="20"/>
              </w:rPr>
              <w:t xml:space="preserve"> 2009  Extending health insurance to the rural population: An impact evaluation of China’s new cooperative medical </w:t>
            </w:r>
            <w:proofErr w:type="spellStart"/>
            <w:r w:rsidRPr="00510ED4">
              <w:rPr>
                <w:sz w:val="20"/>
                <w:szCs w:val="20"/>
              </w:rPr>
              <w:t>schemeJournal</w:t>
            </w:r>
            <w:proofErr w:type="spellEnd"/>
            <w:r w:rsidRPr="00510ED4">
              <w:rPr>
                <w:sz w:val="20"/>
                <w:szCs w:val="20"/>
              </w:rPr>
              <w:t xml:space="preserve"> of Health Economics 28 (2009) 1–19 doi:10.1016/j.jhealeco.2008.10.007</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WHO (2010) </w:t>
            </w:r>
            <w:r w:rsidRPr="00510ED4">
              <w:rPr>
                <w:sz w:val="20"/>
                <w:szCs w:val="20"/>
                <w:u w:val="single"/>
              </w:rPr>
              <w:t>Health systems financing: The path to universal coverage.</w:t>
            </w:r>
            <w:r w:rsidRPr="00510ED4">
              <w:rPr>
                <w:sz w:val="20"/>
                <w:szCs w:val="20"/>
              </w:rPr>
              <w:t xml:space="preserve"> Geneva: World Health Organization</w:t>
            </w:r>
          </w:p>
        </w:tc>
      </w:tr>
      <w:tr w:rsidR="00510ED4" w:rsidRPr="00510ED4" w:rsidTr="00FE7486">
        <w:tc>
          <w:tcPr>
            <w:tcW w:w="9854" w:type="dxa"/>
            <w:shd w:val="clear" w:color="auto" w:fill="auto"/>
          </w:tcPr>
          <w:p w:rsidR="00510ED4" w:rsidRPr="00510ED4" w:rsidRDefault="00510ED4" w:rsidP="00DF17B9">
            <w:pPr>
              <w:rPr>
                <w:sz w:val="20"/>
                <w:szCs w:val="20"/>
                <w:lang w:eastAsia="en-US"/>
              </w:rPr>
            </w:pPr>
            <w:r w:rsidRPr="00510ED4">
              <w:rPr>
                <w:sz w:val="20"/>
                <w:szCs w:val="20"/>
                <w:lang w:eastAsia="en-US"/>
              </w:rPr>
              <w:t xml:space="preserve">Woo, </w:t>
            </w:r>
            <w:proofErr w:type="spellStart"/>
            <w:r w:rsidRPr="00510ED4">
              <w:rPr>
                <w:sz w:val="20"/>
                <w:szCs w:val="20"/>
                <w:lang w:eastAsia="en-US"/>
              </w:rPr>
              <w:t>Jaejoon</w:t>
            </w:r>
            <w:proofErr w:type="spellEnd"/>
            <w:r w:rsidRPr="00510ED4">
              <w:rPr>
                <w:sz w:val="20"/>
                <w:szCs w:val="20"/>
                <w:lang w:eastAsia="en-US"/>
              </w:rPr>
              <w:t xml:space="preserve">, </w:t>
            </w:r>
            <w:proofErr w:type="spellStart"/>
            <w:r w:rsidRPr="00510ED4">
              <w:rPr>
                <w:sz w:val="20"/>
                <w:szCs w:val="20"/>
                <w:lang w:eastAsia="en-US"/>
              </w:rPr>
              <w:t>Bova</w:t>
            </w:r>
            <w:proofErr w:type="spellEnd"/>
            <w:r w:rsidRPr="00510ED4">
              <w:rPr>
                <w:sz w:val="20"/>
                <w:szCs w:val="20"/>
                <w:lang w:eastAsia="en-US"/>
              </w:rPr>
              <w:t xml:space="preserve">, Elva, </w:t>
            </w:r>
            <w:proofErr w:type="spellStart"/>
            <w:r w:rsidRPr="00510ED4">
              <w:rPr>
                <w:sz w:val="20"/>
                <w:szCs w:val="20"/>
                <w:lang w:eastAsia="en-US"/>
              </w:rPr>
              <w:t>Kinda</w:t>
            </w:r>
            <w:proofErr w:type="spellEnd"/>
            <w:r w:rsidRPr="00510ED4">
              <w:rPr>
                <w:sz w:val="20"/>
                <w:szCs w:val="20"/>
                <w:lang w:eastAsia="en-US"/>
              </w:rPr>
              <w:t xml:space="preserve">, </w:t>
            </w:r>
            <w:proofErr w:type="spellStart"/>
            <w:r w:rsidRPr="00510ED4">
              <w:rPr>
                <w:sz w:val="20"/>
                <w:szCs w:val="20"/>
                <w:lang w:eastAsia="en-US"/>
              </w:rPr>
              <w:t>Tidiane</w:t>
            </w:r>
            <w:proofErr w:type="spellEnd"/>
            <w:r w:rsidRPr="00510ED4">
              <w:rPr>
                <w:sz w:val="20"/>
                <w:szCs w:val="20"/>
                <w:lang w:eastAsia="en-US"/>
              </w:rPr>
              <w:t>, and Zhang, Y. Sophia 2013 Distributional Consequences of Fiscal Consolidation and the Role of Fiscal Policy: What Do the Data Say? IMF Working Paper 13/195</w:t>
            </w:r>
          </w:p>
          <w:p w:rsidR="00510ED4" w:rsidRPr="00510ED4" w:rsidRDefault="00183A02" w:rsidP="00DF17B9">
            <w:pPr>
              <w:rPr>
                <w:sz w:val="20"/>
                <w:szCs w:val="20"/>
              </w:rPr>
            </w:pPr>
            <w:hyperlink r:id="rId92" w:history="1">
              <w:r w:rsidR="00510ED4" w:rsidRPr="00510ED4">
                <w:rPr>
                  <w:rStyle w:val="Hyperlink"/>
                  <w:sz w:val="20"/>
                  <w:szCs w:val="20"/>
                  <w:lang w:eastAsia="en-US"/>
                </w:rPr>
                <w:t>http://www.imf.org/external/pubs/ft/wp/2013/wp13195.pdf</w:t>
              </w:r>
            </w:hyperlink>
            <w:r w:rsidR="00510ED4" w:rsidRPr="00510ED4">
              <w:rPr>
                <w:sz w:val="20"/>
                <w:szCs w:val="20"/>
                <w:lang w:eastAsia="en-US"/>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Woolf S. and Aron L. </w:t>
            </w:r>
            <w:proofErr w:type="spellStart"/>
            <w:r w:rsidRPr="00510ED4">
              <w:rPr>
                <w:sz w:val="20"/>
                <w:szCs w:val="20"/>
              </w:rPr>
              <w:t>eds</w:t>
            </w:r>
            <w:proofErr w:type="spellEnd"/>
            <w:r w:rsidRPr="00510ED4">
              <w:rPr>
                <w:sz w:val="20"/>
                <w:szCs w:val="20"/>
              </w:rPr>
              <w:t xml:space="preserve">  2013 U.S. Health in International Perspective: Shorter Lives, Poorer Health  National Academy of Sciences </w:t>
            </w:r>
            <w:hyperlink r:id="rId93" w:history="1">
              <w:r w:rsidRPr="00510ED4">
                <w:rPr>
                  <w:rStyle w:val="Hyperlink"/>
                  <w:sz w:val="20"/>
                  <w:szCs w:val="20"/>
                </w:rPr>
                <w:t>http://www.nap.edu/catalog.php?record_id=13497</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World </w:t>
            </w:r>
            <w:proofErr w:type="gramStart"/>
            <w:r w:rsidRPr="00510ED4">
              <w:rPr>
                <w:sz w:val="20"/>
                <w:szCs w:val="20"/>
              </w:rPr>
              <w:t>Bank .</w:t>
            </w:r>
            <w:proofErr w:type="gramEnd"/>
            <w:r w:rsidRPr="00510ED4">
              <w:rPr>
                <w:sz w:val="20"/>
                <w:szCs w:val="20"/>
              </w:rPr>
              <w:t xml:space="preserve"> Database: health. </w:t>
            </w:r>
            <w:hyperlink r:id="rId94" w:history="1">
              <w:r w:rsidRPr="00510ED4">
                <w:rPr>
                  <w:rStyle w:val="Hyperlink"/>
                  <w:sz w:val="20"/>
                  <w:szCs w:val="20"/>
                </w:rPr>
                <w:t>http://data.worldbank.org/topic/health</w:t>
              </w:r>
            </w:hyperlink>
            <w:r w:rsidRPr="00510ED4">
              <w:rPr>
                <w:sz w:val="20"/>
                <w:szCs w:val="20"/>
              </w:rPr>
              <w:t xml:space="preserve"> </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Xu K, Evans D, </w:t>
            </w:r>
            <w:proofErr w:type="spellStart"/>
            <w:r w:rsidRPr="00510ED4">
              <w:rPr>
                <w:sz w:val="20"/>
                <w:szCs w:val="20"/>
              </w:rPr>
              <w:t>Carrin</w:t>
            </w:r>
            <w:proofErr w:type="spellEnd"/>
            <w:r w:rsidRPr="00510ED4">
              <w:rPr>
                <w:sz w:val="20"/>
                <w:szCs w:val="20"/>
              </w:rPr>
              <w:t xml:space="preserve"> G, Aguilar-Rivera A, Musgrove P, Evans T. (2007) Protecting households from catastrophic health expenditures </w:t>
            </w:r>
            <w:r w:rsidRPr="00510ED4">
              <w:rPr>
                <w:sz w:val="20"/>
                <w:szCs w:val="20"/>
                <w:u w:val="single"/>
              </w:rPr>
              <w:t>Health Affairs</w:t>
            </w:r>
            <w:r w:rsidRPr="00510ED4">
              <w:rPr>
                <w:sz w:val="20"/>
                <w:szCs w:val="20"/>
              </w:rPr>
              <w:t xml:space="preserve"> 26: 972–83.</w:t>
            </w:r>
          </w:p>
        </w:tc>
      </w:tr>
      <w:tr w:rsidR="00510ED4" w:rsidRPr="00510ED4" w:rsidTr="00FE7486">
        <w:tc>
          <w:tcPr>
            <w:tcW w:w="9854" w:type="dxa"/>
          </w:tcPr>
          <w:p w:rsidR="00510ED4" w:rsidRPr="00510ED4" w:rsidRDefault="00510ED4" w:rsidP="00DF17B9">
            <w:pPr>
              <w:rPr>
                <w:sz w:val="20"/>
                <w:szCs w:val="20"/>
              </w:rPr>
            </w:pPr>
            <w:r w:rsidRPr="00510ED4">
              <w:rPr>
                <w:sz w:val="20"/>
                <w:szCs w:val="20"/>
              </w:rPr>
              <w:t xml:space="preserve">Yates Rob 2009; Universal health care and the removal of user fees Lancet 2009: 373: 2078–81 </w:t>
            </w:r>
            <w:hyperlink r:id="rId95" w:history="1">
              <w:r w:rsidRPr="00510ED4">
                <w:rPr>
                  <w:rStyle w:val="Hyperlink"/>
                  <w:bCs/>
                  <w:sz w:val="20"/>
                  <w:szCs w:val="20"/>
                </w:rPr>
                <w:t>http://uhcforward.org/sites/uhcforward.org/files/TheLancet_Universal_health_care_and_the_removal_of_user_fees.pdf</w:t>
              </w:r>
            </w:hyperlink>
            <w:r w:rsidRPr="00510ED4">
              <w:rPr>
                <w:bCs/>
                <w:sz w:val="20"/>
                <w:szCs w:val="20"/>
              </w:rPr>
              <w:t xml:space="preserve"> </w:t>
            </w:r>
          </w:p>
        </w:tc>
      </w:tr>
    </w:tbl>
    <w:p w:rsidR="00731B17" w:rsidRDefault="00731B17" w:rsidP="00ED0688">
      <w:r>
        <w:br w:type="page"/>
      </w:r>
    </w:p>
    <w:p w:rsidR="00731B17" w:rsidRPr="00ED0688" w:rsidRDefault="00C57611" w:rsidP="00C57611">
      <w:pPr>
        <w:pStyle w:val="Heading1"/>
      </w:pPr>
      <w:bookmarkStart w:id="48" w:name="_Toc388199725"/>
      <w:r>
        <w:lastRenderedPageBreak/>
        <w:t>Notes</w:t>
      </w:r>
      <w:bookmarkEnd w:id="48"/>
    </w:p>
    <w:sectPr w:rsidR="00731B17" w:rsidRPr="00ED0688" w:rsidSect="0078087D">
      <w:headerReference w:type="even" r:id="rId96"/>
      <w:headerReference w:type="default" r:id="rId97"/>
      <w:footerReference w:type="even" r:id="rId98"/>
      <w:footerReference w:type="default" r:id="rId99"/>
      <w:headerReference w:type="first" r:id="rId100"/>
      <w:footerReference w:type="first" r:id="rId101"/>
      <w:footnotePr>
        <w:numFmt w:val="lowerLetter"/>
      </w:footnotePr>
      <w:endnotePr>
        <w:numFmt w:val="decimal"/>
      </w:endnotePr>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F0E" w:rsidRDefault="00E31F0E" w:rsidP="00992566">
      <w:r>
        <w:separator/>
      </w:r>
    </w:p>
  </w:endnote>
  <w:endnote w:type="continuationSeparator" w:id="0">
    <w:p w:rsidR="00E31F0E" w:rsidRDefault="00E31F0E" w:rsidP="00992566">
      <w:r>
        <w:continuationSeparator/>
      </w:r>
    </w:p>
  </w:endnote>
  <w:endnote w:id="1">
    <w:p w:rsidR="00183A02" w:rsidRPr="007C7F69" w:rsidRDefault="00183A02" w:rsidP="001C0356">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Isabel Ortiz and Matthew Cummins 2011 Global Inequality: Beyond the Bottom Billion – A Rapid Review of Income Distribution in 141 Countries UNICEF Social and Economic Policy Working Paper April 2011 </w:t>
      </w:r>
      <w:hyperlink r:id="rId1" w:history="1">
        <w:r w:rsidRPr="007C7F69">
          <w:rPr>
            <w:rStyle w:val="Hyperlink"/>
            <w:rFonts w:asciiTheme="minorHAnsi" w:hAnsiTheme="minorHAnsi"/>
            <w:sz w:val="18"/>
            <w:szCs w:val="18"/>
          </w:rPr>
          <w:t>http://www.unicef.org/socialpolicy/files/Global_Inequality.pdf</w:t>
        </w:r>
      </w:hyperlink>
      <w:r w:rsidRPr="007C7F69">
        <w:rPr>
          <w:rFonts w:asciiTheme="minorHAnsi" w:hAnsiTheme="minorHAnsi"/>
          <w:sz w:val="18"/>
          <w:szCs w:val="18"/>
        </w:rPr>
        <w:t xml:space="preserve"> </w:t>
      </w:r>
    </w:p>
  </w:endnote>
  <w:endnote w:id="2">
    <w:p w:rsidR="00183A02" w:rsidRPr="007C7F69" w:rsidRDefault="00183A02" w:rsidP="00ED14DB">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r w:rsidRPr="007C7F69">
        <w:rPr>
          <w:rFonts w:asciiTheme="minorHAnsi" w:hAnsiTheme="minorHAnsi"/>
          <w:sz w:val="18"/>
          <w:szCs w:val="18"/>
        </w:rPr>
        <w:t>Onaran</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Özlem</w:t>
      </w:r>
      <w:proofErr w:type="spellEnd"/>
      <w:r w:rsidRPr="007C7F69">
        <w:rPr>
          <w:rFonts w:asciiTheme="minorHAnsi" w:hAnsiTheme="minorHAnsi"/>
          <w:sz w:val="18"/>
          <w:szCs w:val="18"/>
        </w:rPr>
        <w:t xml:space="preserve"> and </w:t>
      </w:r>
      <w:proofErr w:type="spellStart"/>
      <w:r w:rsidRPr="007C7F69">
        <w:rPr>
          <w:rFonts w:asciiTheme="minorHAnsi" w:hAnsiTheme="minorHAnsi"/>
          <w:sz w:val="18"/>
          <w:szCs w:val="18"/>
        </w:rPr>
        <w:t>Galanis</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Giorgos</w:t>
      </w:r>
      <w:proofErr w:type="spellEnd"/>
      <w:r w:rsidRPr="007C7F69">
        <w:rPr>
          <w:rFonts w:asciiTheme="minorHAnsi" w:hAnsiTheme="minorHAnsi"/>
          <w:sz w:val="18"/>
          <w:szCs w:val="18"/>
        </w:rPr>
        <w:t xml:space="preserve"> (2013) </w:t>
      </w:r>
      <w:r w:rsidRPr="007C7F69">
        <w:rPr>
          <w:rFonts w:asciiTheme="minorHAnsi" w:hAnsiTheme="minorHAnsi"/>
          <w:iCs/>
          <w:sz w:val="18"/>
          <w:szCs w:val="18"/>
        </w:rPr>
        <w:t>Income distribution and aggregate demand: a global post-Keynesian model.</w:t>
      </w:r>
      <w:r w:rsidRPr="007C7F69">
        <w:rPr>
          <w:rFonts w:asciiTheme="minorHAnsi" w:hAnsiTheme="minorHAnsi"/>
          <w:sz w:val="18"/>
          <w:szCs w:val="18"/>
        </w:rPr>
        <w:t xml:space="preserve">  </w:t>
      </w:r>
      <w:hyperlink r:id="rId2" w:history="1">
        <w:r w:rsidRPr="007C7F69">
          <w:rPr>
            <w:rStyle w:val="Hyperlink"/>
            <w:rFonts w:asciiTheme="minorHAnsi" w:hAnsiTheme="minorHAnsi"/>
            <w:sz w:val="18"/>
            <w:szCs w:val="18"/>
          </w:rPr>
          <w:t>http://gala.gre.ac.uk/9767/</w:t>
        </w:r>
      </w:hyperlink>
      <w:r w:rsidRPr="007C7F69">
        <w:rPr>
          <w:rFonts w:asciiTheme="minorHAnsi" w:hAnsiTheme="minorHAnsi"/>
          <w:sz w:val="18"/>
          <w:szCs w:val="18"/>
        </w:rPr>
        <w:t xml:space="preserve"> ; </w:t>
      </w:r>
      <w:proofErr w:type="spellStart"/>
      <w:r w:rsidRPr="007C7F69">
        <w:rPr>
          <w:rFonts w:asciiTheme="minorHAnsi" w:hAnsiTheme="minorHAnsi"/>
          <w:sz w:val="18"/>
          <w:szCs w:val="18"/>
        </w:rPr>
        <w:t>Engelbert</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Stockhammer</w:t>
      </w:r>
      <w:proofErr w:type="spellEnd"/>
      <w:r w:rsidRPr="007C7F69">
        <w:rPr>
          <w:rFonts w:asciiTheme="minorHAnsi" w:hAnsiTheme="minorHAnsi"/>
          <w:sz w:val="18"/>
          <w:szCs w:val="18"/>
        </w:rPr>
        <w:t xml:space="preserve"> and </w:t>
      </w:r>
      <w:proofErr w:type="spellStart"/>
      <w:r w:rsidRPr="007C7F69">
        <w:rPr>
          <w:rFonts w:asciiTheme="minorHAnsi" w:hAnsiTheme="minorHAnsi"/>
          <w:sz w:val="18"/>
          <w:szCs w:val="18"/>
        </w:rPr>
        <w:t>Ozlem</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Onaran</w:t>
      </w:r>
      <w:proofErr w:type="spellEnd"/>
      <w:r w:rsidRPr="007C7F69">
        <w:rPr>
          <w:rFonts w:asciiTheme="minorHAnsi" w:hAnsiTheme="minorHAnsi"/>
          <w:sz w:val="18"/>
          <w:szCs w:val="18"/>
        </w:rPr>
        <w:t xml:space="preserve"> 2012Univ Massachusetts PERI WP 300   Wage led growth: theory, evidence, policy </w:t>
      </w:r>
    </w:p>
    <w:p w:rsidR="00183A02" w:rsidRPr="007C7F69" w:rsidRDefault="00183A02" w:rsidP="00ED14DB">
      <w:pPr>
        <w:pStyle w:val="EndnoteText"/>
        <w:rPr>
          <w:rFonts w:asciiTheme="minorHAnsi" w:hAnsiTheme="minorHAnsi"/>
          <w:sz w:val="18"/>
          <w:szCs w:val="18"/>
        </w:rPr>
      </w:pPr>
      <w:r w:rsidRPr="007C7F69">
        <w:rPr>
          <w:rFonts w:asciiTheme="minorHAnsi" w:hAnsiTheme="minorHAnsi"/>
          <w:sz w:val="18"/>
          <w:szCs w:val="18"/>
        </w:rPr>
        <w:t xml:space="preserve">Isabel Ortiz and Matthew Cummins 2011 Global Inequality: Beyond the Bottom Billion – A Rapid Review of Income Distribution in 141 Countries UNICEF Social and Economic Policy Working Paper April 2011 </w:t>
      </w:r>
      <w:hyperlink r:id="rId3" w:history="1">
        <w:r w:rsidRPr="007C7F69">
          <w:rPr>
            <w:rStyle w:val="Hyperlink"/>
            <w:rFonts w:asciiTheme="minorHAnsi" w:hAnsiTheme="minorHAnsi"/>
            <w:sz w:val="18"/>
            <w:szCs w:val="18"/>
          </w:rPr>
          <w:t>http://www.unicef.org/socialpolicy/files/Global_Inequality.pdf</w:t>
        </w:r>
      </w:hyperlink>
      <w:r w:rsidRPr="007C7F69">
        <w:rPr>
          <w:rStyle w:val="Hyperlink"/>
          <w:rFonts w:asciiTheme="minorHAnsi" w:hAnsiTheme="minorHAnsi"/>
          <w:sz w:val="18"/>
          <w:szCs w:val="18"/>
        </w:rPr>
        <w:t xml:space="preserve">; </w:t>
      </w:r>
    </w:p>
  </w:endnote>
  <w:endnote w:id="3">
    <w:p w:rsidR="00183A02" w:rsidRPr="007C7F69" w:rsidRDefault="00183A02" w:rsidP="00ED14DB">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FT January 19, 2014  </w:t>
      </w:r>
      <w:r w:rsidRPr="007C7F69">
        <w:rPr>
          <w:rFonts w:asciiTheme="minorHAnsi" w:hAnsiTheme="minorHAnsi"/>
          <w:bCs/>
          <w:sz w:val="18"/>
          <w:szCs w:val="18"/>
        </w:rPr>
        <w:t xml:space="preserve">IMF warns on threat of income inequality </w:t>
      </w:r>
      <w:hyperlink r:id="rId4" w:anchor="axzz2r3GuDIdX" w:history="1">
        <w:r w:rsidRPr="007C7F69">
          <w:rPr>
            <w:rStyle w:val="Hyperlink"/>
            <w:rFonts w:asciiTheme="minorHAnsi" w:hAnsiTheme="minorHAnsi"/>
            <w:bCs/>
            <w:sz w:val="18"/>
            <w:szCs w:val="18"/>
          </w:rPr>
          <w:t>http://www.ft.com/cms/s/0/b3462520-805b-11e3-853f-00144feab7de.html#axzz2r3GuDIdX</w:t>
        </w:r>
      </w:hyperlink>
      <w:r w:rsidRPr="007C7F69">
        <w:rPr>
          <w:rFonts w:asciiTheme="minorHAnsi" w:hAnsiTheme="minorHAnsi"/>
          <w:bCs/>
          <w:sz w:val="18"/>
          <w:szCs w:val="18"/>
        </w:rPr>
        <w:t xml:space="preserve"> </w:t>
      </w:r>
    </w:p>
  </w:endnote>
  <w:endnote w:id="4">
    <w:p w:rsidR="00183A02" w:rsidRPr="007C7F69" w:rsidRDefault="00183A02" w:rsidP="00ED14DB">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Isabel Ortiz and Matthew Cummins 2011 Global Inequality: Beyond the Bottom Billion – A Rapid Review of Income Distribution in 141 Countries UNICEF Social and Economic Policy Working Paper April 2011 </w:t>
      </w:r>
      <w:hyperlink r:id="rId5" w:history="1">
        <w:r w:rsidRPr="007C7F69">
          <w:rPr>
            <w:rStyle w:val="Hyperlink"/>
            <w:rFonts w:asciiTheme="minorHAnsi" w:hAnsiTheme="minorHAnsi"/>
            <w:sz w:val="18"/>
            <w:szCs w:val="18"/>
          </w:rPr>
          <w:t>http://www.unicef.org/socialpolicy/files/Global_Inequality.pdf</w:t>
        </w:r>
      </w:hyperlink>
      <w:r w:rsidRPr="007C7F69">
        <w:rPr>
          <w:rFonts w:asciiTheme="minorHAnsi" w:hAnsiTheme="minorHAnsi"/>
          <w:sz w:val="18"/>
          <w:szCs w:val="18"/>
        </w:rPr>
        <w:t xml:space="preserve"> </w:t>
      </w:r>
    </w:p>
  </w:endnote>
  <w:endnote w:id="5">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
  </w:endnote>
  <w:endnote w:id="6">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Fernando </w:t>
      </w:r>
      <w:proofErr w:type="spellStart"/>
      <w:r w:rsidRPr="007C7F69">
        <w:rPr>
          <w:rFonts w:asciiTheme="minorHAnsi" w:hAnsiTheme="minorHAnsi"/>
          <w:sz w:val="18"/>
          <w:szCs w:val="18"/>
        </w:rPr>
        <w:t>Gaiger</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Silveira</w:t>
      </w:r>
      <w:proofErr w:type="spellEnd"/>
      <w:r w:rsidRPr="007C7F69">
        <w:rPr>
          <w:rFonts w:asciiTheme="minorHAnsi" w:hAnsiTheme="minorHAnsi"/>
          <w:sz w:val="18"/>
          <w:szCs w:val="18"/>
        </w:rPr>
        <w:t xml:space="preserve">; Fernando </w:t>
      </w:r>
      <w:proofErr w:type="spellStart"/>
      <w:r w:rsidRPr="007C7F69">
        <w:rPr>
          <w:rFonts w:asciiTheme="minorHAnsi" w:hAnsiTheme="minorHAnsi"/>
          <w:sz w:val="18"/>
          <w:szCs w:val="18"/>
        </w:rPr>
        <w:t>Rezende</w:t>
      </w:r>
      <w:proofErr w:type="spellEnd"/>
      <w:r w:rsidRPr="007C7F69">
        <w:rPr>
          <w:rFonts w:asciiTheme="minorHAnsi" w:hAnsiTheme="minorHAnsi"/>
          <w:sz w:val="18"/>
          <w:szCs w:val="18"/>
        </w:rPr>
        <w:t xml:space="preserve">; Jose Roberto </w:t>
      </w:r>
      <w:proofErr w:type="spellStart"/>
      <w:r w:rsidRPr="007C7F69">
        <w:rPr>
          <w:rFonts w:asciiTheme="minorHAnsi" w:hAnsiTheme="minorHAnsi"/>
          <w:sz w:val="18"/>
          <w:szCs w:val="18"/>
        </w:rPr>
        <w:t>Afonso</w:t>
      </w:r>
      <w:proofErr w:type="spellEnd"/>
      <w:r w:rsidRPr="007C7F69">
        <w:rPr>
          <w:rFonts w:asciiTheme="minorHAnsi" w:hAnsiTheme="minorHAnsi"/>
          <w:sz w:val="18"/>
          <w:szCs w:val="18"/>
        </w:rPr>
        <w:t>; and  Johnathan Ferreira  2013 F</w:t>
      </w:r>
      <w:r w:rsidRPr="007C7F69">
        <w:rPr>
          <w:rFonts w:asciiTheme="minorHAnsi" w:hAnsiTheme="minorHAnsi"/>
          <w:bCs/>
          <w:sz w:val="18"/>
          <w:szCs w:val="18"/>
        </w:rPr>
        <w:t xml:space="preserve">iscal equity: distributional impacts of taxation and social spending in Brazil  UNDP IPC – IG Working Paper number 115 October, 2013 </w:t>
      </w:r>
      <w:hyperlink r:id="rId6" w:history="1">
        <w:r w:rsidRPr="007C7F69">
          <w:rPr>
            <w:rStyle w:val="Hyperlink"/>
            <w:rFonts w:asciiTheme="minorHAnsi" w:hAnsiTheme="minorHAnsi"/>
            <w:sz w:val="18"/>
            <w:szCs w:val="18"/>
          </w:rPr>
          <w:t>http://www.ipc-undp.org/pub/IPCWorkingPaper115.pdf</w:t>
        </w:r>
      </w:hyperlink>
      <w:r w:rsidRPr="007C7F69">
        <w:rPr>
          <w:rFonts w:asciiTheme="minorHAnsi" w:hAnsiTheme="minorHAnsi"/>
          <w:sz w:val="18"/>
          <w:szCs w:val="18"/>
        </w:rPr>
        <w:t xml:space="preserve"> </w:t>
      </w:r>
    </w:p>
  </w:endnote>
  <w:endnote w:id="7">
    <w:p w:rsidR="00183A02" w:rsidRPr="007C7F69" w:rsidRDefault="00183A02" w:rsidP="005A3464">
      <w:pPr>
        <w:autoSpaceDE w:val="0"/>
        <w:autoSpaceDN w:val="0"/>
        <w:adjustRightInd w:val="0"/>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proofErr w:type="gramStart"/>
      <w:r w:rsidRPr="007C7F69">
        <w:rPr>
          <w:rFonts w:asciiTheme="minorHAnsi" w:hAnsiTheme="minorHAnsi"/>
          <w:sz w:val="18"/>
          <w:szCs w:val="18"/>
        </w:rPr>
        <w:t>Lustig</w:t>
      </w:r>
      <w:proofErr w:type="spellEnd"/>
      <w:r w:rsidRPr="007C7F69">
        <w:rPr>
          <w:rFonts w:asciiTheme="minorHAnsi" w:hAnsiTheme="minorHAnsi"/>
          <w:sz w:val="18"/>
          <w:szCs w:val="18"/>
        </w:rPr>
        <w:t xml:space="preserve">, Nora et al 2012 </w:t>
      </w:r>
      <w:hyperlink r:id="rId7" w:history="1">
        <w:r w:rsidRPr="007C7F69">
          <w:rPr>
            <w:rStyle w:val="Hyperlink"/>
            <w:rFonts w:asciiTheme="minorHAnsi" w:hAnsiTheme="minorHAnsi"/>
            <w:sz w:val="18"/>
            <w:szCs w:val="18"/>
          </w:rPr>
          <w:t>http://www.caf.com/attach/19/default/taxes-social-spending-inequality-poverty-argentina-bolivia-brazil-mexico-peru-synthesis-results.pdf</w:t>
        </w:r>
      </w:hyperlink>
      <w:r w:rsidRPr="007C7F69">
        <w:rPr>
          <w:rFonts w:asciiTheme="minorHAnsi" w:hAnsiTheme="minorHAnsi"/>
          <w:sz w:val="18"/>
          <w:szCs w:val="18"/>
        </w:rPr>
        <w:t xml:space="preserve"> .</w:t>
      </w:r>
      <w:proofErr w:type="gramEnd"/>
      <w:r w:rsidRPr="007C7F69">
        <w:rPr>
          <w:rFonts w:asciiTheme="minorHAnsi" w:hAnsiTheme="minorHAnsi"/>
          <w:sz w:val="18"/>
          <w:szCs w:val="18"/>
        </w:rPr>
        <w:t xml:space="preserve"> This research has also been published in a number of earlier forms.  The main results are in two Tulane University working papers and a summary article in the WB’s Equality in Focus:  </w:t>
      </w:r>
    </w:p>
    <w:p w:rsidR="00183A02" w:rsidRPr="007C7F69" w:rsidRDefault="00183A02" w:rsidP="005A3464">
      <w:pPr>
        <w:pStyle w:val="ListParagraph"/>
        <w:numPr>
          <w:ilvl w:val="0"/>
          <w:numId w:val="32"/>
        </w:numPr>
        <w:autoSpaceDE w:val="0"/>
        <w:autoSpaceDN w:val="0"/>
        <w:adjustRightInd w:val="0"/>
        <w:contextualSpacing/>
        <w:rPr>
          <w:sz w:val="18"/>
          <w:szCs w:val="18"/>
          <w:lang w:eastAsia="en-US"/>
        </w:rPr>
      </w:pPr>
      <w:proofErr w:type="spellStart"/>
      <w:r w:rsidRPr="007C7F69">
        <w:rPr>
          <w:rFonts w:eastAsiaTheme="minorEastAsia" w:cs="CMSS12"/>
          <w:sz w:val="18"/>
          <w:szCs w:val="18"/>
        </w:rPr>
        <w:t>Lustig</w:t>
      </w:r>
      <w:proofErr w:type="spellEnd"/>
      <w:r w:rsidRPr="007C7F69">
        <w:rPr>
          <w:rFonts w:eastAsiaTheme="minorEastAsia" w:cs="CMSS12"/>
          <w:sz w:val="18"/>
          <w:szCs w:val="18"/>
        </w:rPr>
        <w:t>, Nora et al 2011 Fiscal Policy and Income Redistribution in Latin America: Challenging the Conventional Wisdom</w:t>
      </w:r>
      <w:r w:rsidRPr="007C7F69">
        <w:rPr>
          <w:rFonts w:cs="CMSS10"/>
          <w:sz w:val="18"/>
          <w:szCs w:val="18"/>
        </w:rPr>
        <w:t xml:space="preserve"> </w:t>
      </w:r>
      <w:r w:rsidRPr="007C7F69">
        <w:rPr>
          <w:rFonts w:cs="CMSS12"/>
          <w:sz w:val="18"/>
          <w:szCs w:val="18"/>
        </w:rPr>
        <w:t xml:space="preserve">Tulane University Economics Working Paper </w:t>
      </w:r>
      <w:r w:rsidRPr="007C7F69">
        <w:rPr>
          <w:rFonts w:eastAsiaTheme="minorEastAsia" w:cs="CMSS10"/>
          <w:sz w:val="18"/>
          <w:szCs w:val="18"/>
        </w:rPr>
        <w:t xml:space="preserve">1124 October 2011  </w:t>
      </w:r>
      <w:hyperlink r:id="rId8" w:history="1">
        <w:r w:rsidRPr="007C7F69">
          <w:rPr>
            <w:rStyle w:val="Hyperlink"/>
            <w:sz w:val="18"/>
            <w:szCs w:val="18"/>
            <w:lang w:eastAsia="en-US"/>
          </w:rPr>
          <w:t>http://econ.tulane.edu/RePEc/pdf/tul1124.pdf</w:t>
        </w:r>
      </w:hyperlink>
      <w:r w:rsidRPr="007C7F69">
        <w:rPr>
          <w:sz w:val="18"/>
          <w:szCs w:val="18"/>
          <w:lang w:eastAsia="en-US"/>
        </w:rPr>
        <w:t xml:space="preserve"> </w:t>
      </w:r>
    </w:p>
    <w:p w:rsidR="00183A02" w:rsidRPr="007C7F69" w:rsidRDefault="00183A02" w:rsidP="005A3464">
      <w:pPr>
        <w:pStyle w:val="ListParagraph"/>
        <w:numPr>
          <w:ilvl w:val="0"/>
          <w:numId w:val="32"/>
        </w:numPr>
        <w:autoSpaceDE w:val="0"/>
        <w:autoSpaceDN w:val="0"/>
        <w:adjustRightInd w:val="0"/>
        <w:contextualSpacing/>
        <w:rPr>
          <w:sz w:val="18"/>
          <w:szCs w:val="18"/>
          <w:lang w:eastAsia="en-US"/>
        </w:rPr>
      </w:pPr>
      <w:proofErr w:type="spellStart"/>
      <w:r w:rsidRPr="007C7F69">
        <w:rPr>
          <w:rFonts w:eastAsiaTheme="minorEastAsia" w:cs="CMSS12"/>
          <w:sz w:val="18"/>
          <w:szCs w:val="18"/>
        </w:rPr>
        <w:t>Lustig</w:t>
      </w:r>
      <w:proofErr w:type="spellEnd"/>
      <w:r w:rsidRPr="007C7F69">
        <w:rPr>
          <w:rFonts w:eastAsiaTheme="minorEastAsia" w:cs="CMSS12"/>
          <w:sz w:val="18"/>
          <w:szCs w:val="18"/>
        </w:rPr>
        <w:t>, Nora et al 2012 The Impact of Taxes and Social Spending on Inequality and Poverty in Argentina, Bolivia, Brazil, Mexico and Peru: A Synthesis of Results</w:t>
      </w:r>
      <w:r w:rsidRPr="007C7F69">
        <w:rPr>
          <w:rFonts w:cs="CMSS10"/>
          <w:sz w:val="18"/>
          <w:szCs w:val="18"/>
        </w:rPr>
        <w:t xml:space="preserve"> </w:t>
      </w:r>
      <w:r w:rsidRPr="007C7F69">
        <w:rPr>
          <w:rFonts w:eastAsiaTheme="minorEastAsia" w:cs="CMSS10"/>
          <w:sz w:val="18"/>
          <w:szCs w:val="18"/>
        </w:rPr>
        <w:t>Working Paper 1216 August 2012</w:t>
      </w:r>
      <w:r w:rsidRPr="007C7F69">
        <w:rPr>
          <w:sz w:val="18"/>
          <w:szCs w:val="18"/>
        </w:rPr>
        <w:t xml:space="preserve">  </w:t>
      </w:r>
      <w:hyperlink r:id="rId9" w:history="1">
        <w:r w:rsidRPr="007C7F69">
          <w:rPr>
            <w:rStyle w:val="Hyperlink"/>
            <w:sz w:val="18"/>
            <w:szCs w:val="18"/>
          </w:rPr>
          <w:t>http://</w:t>
        </w:r>
        <w:r w:rsidRPr="007C7F69">
          <w:rPr>
            <w:rStyle w:val="Hyperlink"/>
            <w:rFonts w:eastAsiaTheme="minorEastAsia" w:cs="CMSS10"/>
            <w:sz w:val="18"/>
            <w:szCs w:val="18"/>
          </w:rPr>
          <w:t>econ.tulane.edu/RePEc/pdf/tul1216.pdf</w:t>
        </w:r>
      </w:hyperlink>
      <w:r w:rsidRPr="007C7F69">
        <w:rPr>
          <w:rFonts w:eastAsiaTheme="minorEastAsia" w:cs="CMSS10"/>
          <w:sz w:val="18"/>
          <w:szCs w:val="18"/>
        </w:rPr>
        <w:t xml:space="preserve">   (also CAF Working paper 2012/05, at </w:t>
      </w:r>
      <w:hyperlink r:id="rId10" w:history="1">
        <w:r w:rsidRPr="007C7F69">
          <w:rPr>
            <w:rStyle w:val="Hyperlink"/>
            <w:rFonts w:eastAsiaTheme="minorEastAsia" w:cs="CMSS10"/>
            <w:sz w:val="18"/>
            <w:szCs w:val="18"/>
          </w:rPr>
          <w:t>http://www.caf.com/attach/19/default/taxes-social-spending-inequality-poverty-argentina-bolivia-brazil-mexico-peru-synthesis-results.pdf</w:t>
        </w:r>
      </w:hyperlink>
      <w:r w:rsidRPr="007C7F69">
        <w:rPr>
          <w:rFonts w:eastAsiaTheme="minorEastAsia" w:cs="CMSS10"/>
          <w:sz w:val="18"/>
          <w:szCs w:val="18"/>
        </w:rPr>
        <w:t xml:space="preserve"> </w:t>
      </w:r>
    </w:p>
    <w:p w:rsidR="00183A02" w:rsidRPr="007C7F69" w:rsidRDefault="00183A02" w:rsidP="005A3464">
      <w:pPr>
        <w:pStyle w:val="ListParagraph"/>
        <w:numPr>
          <w:ilvl w:val="0"/>
          <w:numId w:val="32"/>
        </w:numPr>
        <w:autoSpaceDE w:val="0"/>
        <w:autoSpaceDN w:val="0"/>
        <w:adjustRightInd w:val="0"/>
        <w:contextualSpacing/>
        <w:rPr>
          <w:sz w:val="18"/>
          <w:szCs w:val="18"/>
        </w:rPr>
      </w:pPr>
      <w:proofErr w:type="spellStart"/>
      <w:r w:rsidRPr="007C7F69">
        <w:rPr>
          <w:rFonts w:cs="Museo-300"/>
          <w:sz w:val="18"/>
          <w:szCs w:val="18"/>
        </w:rPr>
        <w:t>Lustig</w:t>
      </w:r>
      <w:proofErr w:type="spellEnd"/>
      <w:r w:rsidRPr="007C7F69">
        <w:rPr>
          <w:rFonts w:cs="Museo-300"/>
          <w:sz w:val="18"/>
          <w:szCs w:val="18"/>
        </w:rPr>
        <w:t>,</w:t>
      </w:r>
      <w:r w:rsidRPr="007C7F69">
        <w:rPr>
          <w:rFonts w:cs="Museo-700"/>
          <w:sz w:val="18"/>
          <w:szCs w:val="18"/>
        </w:rPr>
        <w:t xml:space="preserve"> </w:t>
      </w:r>
      <w:r w:rsidRPr="007C7F69">
        <w:rPr>
          <w:rFonts w:cs="Museo-300"/>
          <w:sz w:val="18"/>
          <w:szCs w:val="18"/>
        </w:rPr>
        <w:t>Nora</w:t>
      </w:r>
      <w:r w:rsidRPr="007C7F69">
        <w:rPr>
          <w:rFonts w:cs="Museo-700"/>
          <w:sz w:val="18"/>
          <w:szCs w:val="18"/>
        </w:rPr>
        <w:t xml:space="preserve"> 2012 Taxes, Transfers, and Income Redistribution in Latin America</w:t>
      </w:r>
      <w:r w:rsidRPr="007C7F69">
        <w:rPr>
          <w:rFonts w:cs="Museo-300"/>
          <w:sz w:val="18"/>
          <w:szCs w:val="18"/>
        </w:rPr>
        <w:t xml:space="preserve">. Inequality </w:t>
      </w:r>
      <w:r w:rsidRPr="007C7F69">
        <w:rPr>
          <w:rFonts w:cs="Museo-300"/>
          <w:iCs/>
          <w:sz w:val="18"/>
          <w:szCs w:val="18"/>
        </w:rPr>
        <w:t xml:space="preserve">in </w:t>
      </w:r>
      <w:r w:rsidRPr="007C7F69">
        <w:rPr>
          <w:rFonts w:cs="Museo-300"/>
          <w:sz w:val="18"/>
          <w:szCs w:val="18"/>
        </w:rPr>
        <w:t xml:space="preserve">Focus Volume 1, No 2 July 2012 </w:t>
      </w:r>
      <w:hyperlink r:id="rId11" w:history="1">
        <w:r w:rsidRPr="007C7F69">
          <w:rPr>
            <w:rStyle w:val="Hyperlink"/>
            <w:sz w:val="18"/>
            <w:szCs w:val="18"/>
          </w:rPr>
          <w:t>http://siteresources.worldbank.org/EXTPOVERTY/Resources/InequalityInFocusJuly2012FINAL.pdf</w:t>
        </w:r>
      </w:hyperlink>
      <w:r w:rsidRPr="007C7F69">
        <w:rPr>
          <w:sz w:val="18"/>
          <w:szCs w:val="18"/>
        </w:rPr>
        <w:t xml:space="preserve"> </w:t>
      </w:r>
    </w:p>
    <w:p w:rsidR="00183A02" w:rsidRPr="007C7F69" w:rsidRDefault="00183A02" w:rsidP="005A3464">
      <w:pPr>
        <w:rPr>
          <w:rFonts w:asciiTheme="minorHAnsi" w:hAnsiTheme="minorHAnsi"/>
          <w:sz w:val="18"/>
          <w:szCs w:val="18"/>
        </w:rPr>
      </w:pPr>
      <w:r w:rsidRPr="007C7F69">
        <w:rPr>
          <w:rFonts w:asciiTheme="minorHAnsi" w:hAnsiTheme="minorHAnsi"/>
          <w:sz w:val="18"/>
          <w:szCs w:val="18"/>
        </w:rPr>
        <w:t>The results have been re-worked and presented in different ways, to fit the WB agenda. Some versions almost ignore the impact of public services e.g. the impact of education is explored entirely in terms of reducing the relative wages of skilled workers, and the results on healthcare are mentioned only in a dismissive footnote</w:t>
      </w:r>
      <w:proofErr w:type="gramStart"/>
      <w:r w:rsidRPr="007C7F69">
        <w:rPr>
          <w:rFonts w:asciiTheme="minorHAnsi" w:hAnsiTheme="minorHAnsi"/>
          <w:sz w:val="18"/>
          <w:szCs w:val="18"/>
        </w:rPr>
        <w:t>,  in</w:t>
      </w:r>
      <w:proofErr w:type="gramEnd"/>
      <w:r w:rsidRPr="007C7F69">
        <w:rPr>
          <w:rFonts w:asciiTheme="minorHAnsi" w:hAnsiTheme="minorHAnsi"/>
          <w:sz w:val="18"/>
          <w:szCs w:val="18"/>
        </w:rPr>
        <w:t xml:space="preserve">: </w:t>
      </w:r>
      <w:proofErr w:type="spellStart"/>
      <w:r w:rsidRPr="007C7F69">
        <w:rPr>
          <w:rFonts w:asciiTheme="minorHAnsi" w:hAnsiTheme="minorHAnsi"/>
          <w:sz w:val="18"/>
          <w:szCs w:val="18"/>
          <w:lang w:eastAsia="en-US"/>
        </w:rPr>
        <w:t>Lustig</w:t>
      </w:r>
      <w:proofErr w:type="spellEnd"/>
      <w:r w:rsidRPr="007C7F69">
        <w:rPr>
          <w:rFonts w:asciiTheme="minorHAnsi" w:hAnsiTheme="minorHAnsi"/>
          <w:sz w:val="18"/>
          <w:szCs w:val="18"/>
          <w:lang w:eastAsia="en-US"/>
        </w:rPr>
        <w:t>, Nora; Lopez-</w:t>
      </w:r>
      <w:proofErr w:type="spellStart"/>
      <w:r w:rsidRPr="007C7F69">
        <w:rPr>
          <w:rFonts w:asciiTheme="minorHAnsi" w:hAnsiTheme="minorHAnsi"/>
          <w:sz w:val="18"/>
          <w:szCs w:val="18"/>
          <w:lang w:eastAsia="en-US"/>
        </w:rPr>
        <w:t>Calva</w:t>
      </w:r>
      <w:proofErr w:type="spellEnd"/>
      <w:r w:rsidRPr="007C7F69">
        <w:rPr>
          <w:rFonts w:asciiTheme="minorHAnsi" w:hAnsiTheme="minorHAnsi"/>
          <w:sz w:val="18"/>
          <w:szCs w:val="18"/>
          <w:lang w:eastAsia="en-US"/>
        </w:rPr>
        <w:t xml:space="preserve">, Luis F.; Ortiz-Juarez, Eduardo. 2012. </w:t>
      </w:r>
      <w:r w:rsidRPr="007C7F69">
        <w:rPr>
          <w:rFonts w:asciiTheme="minorHAnsi" w:hAnsiTheme="minorHAnsi"/>
          <w:iCs/>
          <w:sz w:val="18"/>
          <w:szCs w:val="18"/>
          <w:lang w:eastAsia="en-US"/>
        </w:rPr>
        <w:t xml:space="preserve">Declining inequality in Latin America in the </w:t>
      </w:r>
      <w:proofErr w:type="gramStart"/>
      <w:r w:rsidRPr="007C7F69">
        <w:rPr>
          <w:rFonts w:asciiTheme="minorHAnsi" w:hAnsiTheme="minorHAnsi"/>
          <w:iCs/>
          <w:sz w:val="18"/>
          <w:szCs w:val="18"/>
          <w:lang w:eastAsia="en-US"/>
        </w:rPr>
        <w:t>2000s :</w:t>
      </w:r>
      <w:proofErr w:type="gramEnd"/>
      <w:r w:rsidRPr="007C7F69">
        <w:rPr>
          <w:rFonts w:asciiTheme="minorHAnsi" w:hAnsiTheme="minorHAnsi"/>
          <w:iCs/>
          <w:sz w:val="18"/>
          <w:szCs w:val="18"/>
          <w:lang w:eastAsia="en-US"/>
        </w:rPr>
        <w:t xml:space="preserve"> the cases of Argentina, Brazil, and Mexico</w:t>
      </w:r>
      <w:r w:rsidRPr="007C7F69">
        <w:rPr>
          <w:rFonts w:asciiTheme="minorHAnsi" w:hAnsiTheme="minorHAnsi"/>
          <w:sz w:val="18"/>
          <w:szCs w:val="18"/>
          <w:lang w:eastAsia="en-US"/>
        </w:rPr>
        <w:t xml:space="preserve">. Policy Research working </w:t>
      </w:r>
      <w:proofErr w:type="gramStart"/>
      <w:r w:rsidRPr="007C7F69">
        <w:rPr>
          <w:rFonts w:asciiTheme="minorHAnsi" w:hAnsiTheme="minorHAnsi"/>
          <w:sz w:val="18"/>
          <w:szCs w:val="18"/>
          <w:lang w:eastAsia="en-US"/>
        </w:rPr>
        <w:t>paper ;</w:t>
      </w:r>
      <w:proofErr w:type="gramEnd"/>
      <w:r w:rsidRPr="007C7F69">
        <w:rPr>
          <w:rFonts w:asciiTheme="minorHAnsi" w:hAnsiTheme="minorHAnsi"/>
          <w:sz w:val="18"/>
          <w:szCs w:val="18"/>
          <w:lang w:eastAsia="en-US"/>
        </w:rPr>
        <w:t xml:space="preserve"> no. </w:t>
      </w:r>
      <w:proofErr w:type="gramStart"/>
      <w:r w:rsidRPr="007C7F69">
        <w:rPr>
          <w:rFonts w:asciiTheme="minorHAnsi" w:hAnsiTheme="minorHAnsi"/>
          <w:sz w:val="18"/>
          <w:szCs w:val="18"/>
          <w:lang w:eastAsia="en-US"/>
        </w:rPr>
        <w:t>WPS 6248.</w:t>
      </w:r>
      <w:proofErr w:type="gramEnd"/>
      <w:r w:rsidRPr="007C7F69">
        <w:rPr>
          <w:rFonts w:asciiTheme="minorHAnsi" w:hAnsiTheme="minorHAnsi"/>
          <w:sz w:val="18"/>
          <w:szCs w:val="18"/>
          <w:lang w:eastAsia="en-US"/>
        </w:rPr>
        <w:t xml:space="preserve"> Washington D.C. - The </w:t>
      </w:r>
      <w:proofErr w:type="spellStart"/>
      <w:r w:rsidRPr="007C7F69">
        <w:rPr>
          <w:rFonts w:asciiTheme="minorHAnsi" w:hAnsiTheme="minorHAnsi"/>
          <w:sz w:val="18"/>
          <w:szCs w:val="18"/>
          <w:lang w:eastAsia="en-US"/>
        </w:rPr>
        <w:t>Worldbank</w:t>
      </w:r>
      <w:proofErr w:type="spellEnd"/>
      <w:r w:rsidRPr="007C7F69">
        <w:rPr>
          <w:rFonts w:asciiTheme="minorHAnsi" w:hAnsiTheme="minorHAnsi"/>
          <w:sz w:val="18"/>
          <w:szCs w:val="18"/>
          <w:lang w:eastAsia="en-US"/>
        </w:rPr>
        <w:t xml:space="preserve">. </w:t>
      </w:r>
      <w:hyperlink r:id="rId12" w:history="1">
        <w:r w:rsidRPr="007C7F69">
          <w:rPr>
            <w:rStyle w:val="Hyperlink"/>
            <w:rFonts w:asciiTheme="minorHAnsi" w:hAnsiTheme="minorHAnsi"/>
            <w:sz w:val="18"/>
            <w:szCs w:val="18"/>
            <w:lang w:eastAsia="en-US"/>
          </w:rPr>
          <w:t>http://documents.worldbank.org/curated/en/2000/01/16867190/declining-inequality-latin-america-2000s-cases-argentina-brazil-mexico-declining-inequality-latin-america-2000s-cases-argentina-brazil-mexico</w:t>
        </w:r>
      </w:hyperlink>
      <w:r w:rsidRPr="007C7F69">
        <w:rPr>
          <w:rFonts w:asciiTheme="minorHAnsi" w:hAnsiTheme="minorHAnsi"/>
          <w:sz w:val="18"/>
          <w:szCs w:val="18"/>
          <w:lang w:eastAsia="en-US"/>
        </w:rPr>
        <w:t xml:space="preserve"> </w:t>
      </w:r>
    </w:p>
  </w:endnote>
  <w:endnote w:id="8">
    <w:p w:rsidR="00183A02" w:rsidRPr="007C7F69" w:rsidRDefault="00183A02" w:rsidP="005A3464">
      <w:pPr>
        <w:autoSpaceDE w:val="0"/>
        <w:autoSpaceDN w:val="0"/>
        <w:adjustRightInd w:val="0"/>
        <w:rPr>
          <w:rFonts w:asciiTheme="minorHAnsi" w:hAnsiTheme="minorHAnsi"/>
          <w:sz w:val="18"/>
          <w:szCs w:val="18"/>
          <w:lang w:eastAsia="en-US"/>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Quote from Abstract, p.1, </w:t>
      </w:r>
      <w:proofErr w:type="spellStart"/>
      <w:r w:rsidRPr="007C7F69">
        <w:rPr>
          <w:rFonts w:asciiTheme="minorHAnsi" w:eastAsiaTheme="minorEastAsia" w:hAnsiTheme="minorHAnsi" w:cs="CMSS12"/>
          <w:sz w:val="18"/>
          <w:szCs w:val="18"/>
        </w:rPr>
        <w:t>Lustig</w:t>
      </w:r>
      <w:proofErr w:type="spellEnd"/>
      <w:r w:rsidRPr="007C7F69">
        <w:rPr>
          <w:rFonts w:asciiTheme="minorHAnsi" w:eastAsiaTheme="minorEastAsia" w:hAnsiTheme="minorHAnsi" w:cs="CMSS12"/>
          <w:sz w:val="18"/>
          <w:szCs w:val="18"/>
        </w:rPr>
        <w:t>, Nora et al 2011 Fiscal Policy and Income Redistribution in Latin America: Challenging the Conventional Wisdom</w:t>
      </w:r>
      <w:r w:rsidRPr="007C7F69">
        <w:rPr>
          <w:rFonts w:asciiTheme="minorHAnsi" w:hAnsiTheme="minorHAnsi" w:cs="CMSS10"/>
          <w:sz w:val="18"/>
          <w:szCs w:val="18"/>
        </w:rPr>
        <w:t xml:space="preserve"> </w:t>
      </w:r>
      <w:r w:rsidRPr="007C7F69">
        <w:rPr>
          <w:rFonts w:asciiTheme="minorHAnsi" w:hAnsiTheme="minorHAnsi" w:cs="CMSS12"/>
          <w:sz w:val="18"/>
          <w:szCs w:val="18"/>
        </w:rPr>
        <w:t xml:space="preserve">Tulane University Economics Working Paper </w:t>
      </w:r>
      <w:r w:rsidRPr="007C7F69">
        <w:rPr>
          <w:rFonts w:asciiTheme="minorHAnsi" w:eastAsiaTheme="minorEastAsia" w:hAnsiTheme="minorHAnsi" w:cs="CMSS10"/>
          <w:sz w:val="18"/>
          <w:szCs w:val="18"/>
        </w:rPr>
        <w:t xml:space="preserve">1124 October 2011  </w:t>
      </w:r>
      <w:hyperlink r:id="rId13" w:history="1">
        <w:r w:rsidRPr="007C7F69">
          <w:rPr>
            <w:rStyle w:val="Hyperlink"/>
            <w:rFonts w:asciiTheme="minorHAnsi" w:hAnsiTheme="minorHAnsi"/>
            <w:sz w:val="18"/>
            <w:szCs w:val="18"/>
            <w:lang w:eastAsia="en-US"/>
          </w:rPr>
          <w:t>http://econ.tulane.edu/RePEc/pdf/tul1124.pdf</w:t>
        </w:r>
      </w:hyperlink>
      <w:r w:rsidRPr="007C7F69">
        <w:rPr>
          <w:rFonts w:asciiTheme="minorHAnsi" w:hAnsiTheme="minorHAnsi"/>
          <w:sz w:val="18"/>
          <w:szCs w:val="18"/>
          <w:lang w:eastAsia="en-US"/>
        </w:rPr>
        <w:t xml:space="preserve"> </w:t>
      </w:r>
    </w:p>
  </w:endnote>
  <w:endnote w:id="9">
    <w:p w:rsidR="00183A02" w:rsidRPr="007C7F69" w:rsidRDefault="00183A02" w:rsidP="005A3464">
      <w:pPr>
        <w:autoSpaceDE w:val="0"/>
        <w:autoSpaceDN w:val="0"/>
        <w:adjustRightInd w:val="0"/>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r w:rsidRPr="007C7F69">
        <w:rPr>
          <w:rFonts w:asciiTheme="minorHAnsi" w:hAnsiTheme="minorHAnsi" w:cs="Museo-300"/>
          <w:sz w:val="18"/>
          <w:szCs w:val="18"/>
        </w:rPr>
        <w:t xml:space="preserve">Nora </w:t>
      </w:r>
      <w:proofErr w:type="spellStart"/>
      <w:r w:rsidRPr="007C7F69">
        <w:rPr>
          <w:rFonts w:asciiTheme="minorHAnsi" w:hAnsiTheme="minorHAnsi" w:cs="Museo-300"/>
          <w:sz w:val="18"/>
          <w:szCs w:val="18"/>
        </w:rPr>
        <w:t>Lustig</w:t>
      </w:r>
      <w:proofErr w:type="spellEnd"/>
      <w:r w:rsidRPr="007C7F69">
        <w:rPr>
          <w:rFonts w:asciiTheme="minorHAnsi" w:hAnsiTheme="minorHAnsi" w:cs="Museo-700"/>
          <w:sz w:val="18"/>
          <w:szCs w:val="18"/>
        </w:rPr>
        <w:t>: Taxes, Transfers, and Income Redistribution in Latin America</w:t>
      </w:r>
      <w:r w:rsidRPr="007C7F69">
        <w:rPr>
          <w:rFonts w:asciiTheme="minorHAnsi" w:hAnsiTheme="minorHAnsi" w:cs="Museo-300"/>
          <w:sz w:val="18"/>
          <w:szCs w:val="18"/>
        </w:rPr>
        <w:t xml:space="preserve">. Inequality </w:t>
      </w:r>
      <w:r w:rsidRPr="007C7F69">
        <w:rPr>
          <w:rFonts w:asciiTheme="minorHAnsi" w:hAnsiTheme="minorHAnsi" w:cs="Museo-300"/>
          <w:iCs/>
          <w:sz w:val="18"/>
          <w:szCs w:val="18"/>
        </w:rPr>
        <w:t xml:space="preserve">in </w:t>
      </w:r>
      <w:r w:rsidRPr="007C7F69">
        <w:rPr>
          <w:rFonts w:asciiTheme="minorHAnsi" w:hAnsiTheme="minorHAnsi" w:cs="Museo-300"/>
          <w:sz w:val="18"/>
          <w:szCs w:val="18"/>
        </w:rPr>
        <w:t xml:space="preserve">Focus Volume 1, No 2 July 2012 </w:t>
      </w:r>
      <w:hyperlink r:id="rId14" w:history="1">
        <w:r w:rsidRPr="007C7F69">
          <w:rPr>
            <w:rStyle w:val="Hyperlink"/>
            <w:rFonts w:asciiTheme="minorHAnsi" w:hAnsiTheme="minorHAnsi"/>
            <w:sz w:val="18"/>
            <w:szCs w:val="18"/>
          </w:rPr>
          <w:t>http://siteresources.worldbank.org/EXTPOVERTY/Resources/InequalityInFocusJuly2012FINAL.pdf</w:t>
        </w:r>
      </w:hyperlink>
      <w:r w:rsidRPr="007C7F69">
        <w:rPr>
          <w:rFonts w:asciiTheme="minorHAnsi" w:hAnsiTheme="minorHAnsi"/>
          <w:sz w:val="18"/>
          <w:szCs w:val="18"/>
        </w:rPr>
        <w:t xml:space="preserve"> </w:t>
      </w:r>
    </w:p>
  </w:endnote>
  <w:endnote w:id="10">
    <w:p w:rsidR="00183A02" w:rsidRPr="007C7F69" w:rsidRDefault="00183A02" w:rsidP="005A3464">
      <w:pPr>
        <w:autoSpaceDE w:val="0"/>
        <w:autoSpaceDN w:val="0"/>
        <w:adjustRightInd w:val="0"/>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r w:rsidRPr="007C7F69">
        <w:rPr>
          <w:rFonts w:asciiTheme="minorHAnsi" w:hAnsiTheme="minorHAnsi" w:cs="Museo-300"/>
          <w:sz w:val="18"/>
          <w:szCs w:val="18"/>
        </w:rPr>
        <w:t xml:space="preserve">Nora </w:t>
      </w:r>
      <w:proofErr w:type="spellStart"/>
      <w:r w:rsidRPr="007C7F69">
        <w:rPr>
          <w:rFonts w:asciiTheme="minorHAnsi" w:hAnsiTheme="minorHAnsi" w:cs="Museo-300"/>
          <w:sz w:val="18"/>
          <w:szCs w:val="18"/>
        </w:rPr>
        <w:t>Lustig</w:t>
      </w:r>
      <w:proofErr w:type="spellEnd"/>
      <w:r w:rsidRPr="007C7F69">
        <w:rPr>
          <w:rFonts w:asciiTheme="minorHAnsi" w:hAnsiTheme="minorHAnsi" w:cs="Museo-700"/>
          <w:sz w:val="18"/>
          <w:szCs w:val="18"/>
        </w:rPr>
        <w:t>: Taxes, Transfers, and Income Redistribution in Latin America</w:t>
      </w:r>
      <w:r w:rsidRPr="007C7F69">
        <w:rPr>
          <w:rFonts w:asciiTheme="minorHAnsi" w:hAnsiTheme="minorHAnsi" w:cs="Museo-300"/>
          <w:sz w:val="18"/>
          <w:szCs w:val="18"/>
        </w:rPr>
        <w:t xml:space="preserve">. Inequality </w:t>
      </w:r>
      <w:r w:rsidRPr="007C7F69">
        <w:rPr>
          <w:rFonts w:asciiTheme="minorHAnsi" w:hAnsiTheme="minorHAnsi" w:cs="Museo-300"/>
          <w:iCs/>
          <w:sz w:val="18"/>
          <w:szCs w:val="18"/>
        </w:rPr>
        <w:t xml:space="preserve">in </w:t>
      </w:r>
      <w:r w:rsidRPr="007C7F69">
        <w:rPr>
          <w:rFonts w:asciiTheme="minorHAnsi" w:hAnsiTheme="minorHAnsi" w:cs="Museo-300"/>
          <w:sz w:val="18"/>
          <w:szCs w:val="18"/>
        </w:rPr>
        <w:t xml:space="preserve">Focus Volume 1, No 2 July 2012 </w:t>
      </w:r>
      <w:hyperlink r:id="rId15" w:history="1">
        <w:r w:rsidRPr="007C7F69">
          <w:rPr>
            <w:rStyle w:val="Hyperlink"/>
            <w:rFonts w:asciiTheme="minorHAnsi" w:hAnsiTheme="minorHAnsi"/>
            <w:sz w:val="18"/>
            <w:szCs w:val="18"/>
          </w:rPr>
          <w:t>http://siteresources.worldbank.org/EXTPOVERTY/Resources/InequalityInFocusJuly2012FINAL.pdf</w:t>
        </w:r>
      </w:hyperlink>
      <w:r w:rsidRPr="007C7F69">
        <w:rPr>
          <w:rFonts w:asciiTheme="minorHAnsi" w:hAnsiTheme="minorHAnsi"/>
          <w:sz w:val="18"/>
          <w:szCs w:val="18"/>
        </w:rPr>
        <w:t xml:space="preserve"> </w:t>
      </w:r>
    </w:p>
  </w:endnote>
  <w:endnote w:id="11">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proofErr w:type="gramStart"/>
      <w:r w:rsidRPr="007C7F69">
        <w:rPr>
          <w:rFonts w:asciiTheme="minorHAnsi" w:hAnsiTheme="minorHAnsi"/>
          <w:sz w:val="18"/>
          <w:szCs w:val="18"/>
        </w:rPr>
        <w:t>Davoodi</w:t>
      </w:r>
      <w:proofErr w:type="spellEnd"/>
      <w:r w:rsidRPr="007C7F69">
        <w:rPr>
          <w:rFonts w:asciiTheme="minorHAnsi" w:hAnsiTheme="minorHAnsi"/>
          <w:sz w:val="18"/>
          <w:szCs w:val="18"/>
        </w:rPr>
        <w:t xml:space="preserve">, H, Erwin R </w:t>
      </w:r>
      <w:proofErr w:type="spellStart"/>
      <w:r w:rsidRPr="007C7F69">
        <w:rPr>
          <w:rFonts w:asciiTheme="minorHAnsi" w:hAnsiTheme="minorHAnsi"/>
          <w:sz w:val="18"/>
          <w:szCs w:val="18"/>
        </w:rPr>
        <w:t>Tiongson</w:t>
      </w:r>
      <w:proofErr w:type="spellEnd"/>
      <w:r w:rsidRPr="007C7F69">
        <w:rPr>
          <w:rFonts w:asciiTheme="minorHAnsi" w:hAnsiTheme="minorHAnsi"/>
          <w:sz w:val="18"/>
          <w:szCs w:val="18"/>
        </w:rPr>
        <w:t xml:space="preserve">, and </w:t>
      </w:r>
      <w:proofErr w:type="spellStart"/>
      <w:r w:rsidRPr="007C7F69">
        <w:rPr>
          <w:rFonts w:asciiTheme="minorHAnsi" w:hAnsiTheme="minorHAnsi"/>
          <w:sz w:val="18"/>
          <w:szCs w:val="18"/>
        </w:rPr>
        <w:t>Sawitree</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Sachjapinan</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Asawanuchit</w:t>
      </w:r>
      <w:proofErr w:type="spellEnd"/>
      <w:r w:rsidRPr="007C7F69">
        <w:rPr>
          <w:rFonts w:asciiTheme="minorHAnsi" w:hAnsiTheme="minorHAnsi"/>
          <w:sz w:val="18"/>
          <w:szCs w:val="18"/>
        </w:rPr>
        <w:t>.</w:t>
      </w:r>
      <w:proofErr w:type="gramEnd"/>
      <w:r w:rsidRPr="007C7F69">
        <w:rPr>
          <w:rFonts w:asciiTheme="minorHAnsi" w:hAnsiTheme="minorHAnsi"/>
          <w:sz w:val="18"/>
          <w:szCs w:val="18"/>
        </w:rPr>
        <w:t xml:space="preserve"> 2010. ‘Benefit Incidence of Public Education and Health Spending Worldwide: Evidence From A New Database’. </w:t>
      </w:r>
      <w:r w:rsidRPr="007C7F69">
        <w:rPr>
          <w:rFonts w:asciiTheme="minorHAnsi" w:hAnsiTheme="minorHAnsi"/>
          <w:iCs/>
          <w:sz w:val="18"/>
          <w:szCs w:val="18"/>
        </w:rPr>
        <w:t>Poverty &amp; Public Policy</w:t>
      </w:r>
      <w:r w:rsidRPr="007C7F69">
        <w:rPr>
          <w:rFonts w:asciiTheme="minorHAnsi" w:hAnsiTheme="minorHAnsi"/>
          <w:sz w:val="18"/>
          <w:szCs w:val="18"/>
        </w:rPr>
        <w:t xml:space="preserve"> 2 (2): 5–52. doi:10.2202/1944-2858.1055. Table 2 </w:t>
      </w:r>
      <w:hyperlink r:id="rId16" w:history="1">
        <w:r w:rsidRPr="007C7F69">
          <w:rPr>
            <w:rStyle w:val="Hyperlink"/>
            <w:rFonts w:asciiTheme="minorHAnsi" w:hAnsiTheme="minorHAnsi"/>
            <w:sz w:val="18"/>
            <w:szCs w:val="18"/>
          </w:rPr>
          <w:t>http://onlinelibrary.wiley.com/doi/10.2202/1944-2858.1055/abstract</w:t>
        </w:r>
      </w:hyperlink>
    </w:p>
  </w:endnote>
  <w:endnote w:id="12">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lang w:val="fr-FR"/>
        </w:rPr>
        <w:t xml:space="preserve"> (</w:t>
      </w:r>
      <w:proofErr w:type="spellStart"/>
      <w:r w:rsidRPr="007C7F69">
        <w:rPr>
          <w:rFonts w:asciiTheme="minorHAnsi" w:hAnsiTheme="minorHAnsi"/>
          <w:sz w:val="18"/>
          <w:szCs w:val="18"/>
          <w:lang w:val="fr-FR"/>
        </w:rPr>
        <w:t>Elvidge</w:t>
      </w:r>
      <w:proofErr w:type="spellEnd"/>
      <w:r w:rsidRPr="007C7F69">
        <w:rPr>
          <w:rFonts w:asciiTheme="minorHAnsi" w:hAnsiTheme="minorHAnsi"/>
          <w:sz w:val="18"/>
          <w:szCs w:val="18"/>
          <w:lang w:val="fr-FR"/>
        </w:rPr>
        <w:t xml:space="preserve">, C. D., et al. </w:t>
      </w:r>
      <w:r w:rsidRPr="007C7F69">
        <w:rPr>
          <w:rFonts w:asciiTheme="minorHAnsi" w:hAnsiTheme="minorHAnsi"/>
          <w:sz w:val="18"/>
          <w:szCs w:val="18"/>
        </w:rPr>
        <w:t xml:space="preserve">"The Night Light Development Index (NLDI): a spatially explicit measure of human development from satellite data." </w:t>
      </w:r>
      <w:r w:rsidRPr="007C7F69">
        <w:rPr>
          <w:rFonts w:asciiTheme="minorHAnsi" w:hAnsiTheme="minorHAnsi"/>
          <w:iCs/>
          <w:sz w:val="18"/>
          <w:szCs w:val="18"/>
        </w:rPr>
        <w:t xml:space="preserve">Soc. </w:t>
      </w:r>
      <w:proofErr w:type="spellStart"/>
      <w:r w:rsidRPr="007C7F69">
        <w:rPr>
          <w:rFonts w:asciiTheme="minorHAnsi" w:hAnsiTheme="minorHAnsi"/>
          <w:iCs/>
          <w:sz w:val="18"/>
          <w:szCs w:val="18"/>
        </w:rPr>
        <w:t>Geogr</w:t>
      </w:r>
      <w:proofErr w:type="spellEnd"/>
      <w:r w:rsidRPr="007C7F69">
        <w:rPr>
          <w:rFonts w:asciiTheme="minorHAnsi" w:hAnsiTheme="minorHAnsi"/>
          <w:sz w:val="18"/>
          <w:szCs w:val="18"/>
        </w:rPr>
        <w:t xml:space="preserve"> 7 (2012): 23-35. </w:t>
      </w:r>
      <w:hyperlink r:id="rId17" w:history="1">
        <w:r w:rsidRPr="007C7F69">
          <w:rPr>
            <w:rStyle w:val="Hyperlink"/>
            <w:rFonts w:asciiTheme="minorHAnsi" w:hAnsiTheme="minorHAnsi"/>
            <w:sz w:val="18"/>
            <w:szCs w:val="18"/>
          </w:rPr>
          <w:t>http://www.soc-geogr.net/7/23/2012/sg-7-23-2012.pdf</w:t>
        </w:r>
      </w:hyperlink>
      <w:r w:rsidRPr="007C7F69">
        <w:rPr>
          <w:rFonts w:asciiTheme="minorHAnsi" w:hAnsiTheme="minorHAnsi"/>
          <w:sz w:val="18"/>
          <w:szCs w:val="18"/>
          <w:u w:val="single"/>
        </w:rPr>
        <w:t xml:space="preserve"> )</w:t>
      </w:r>
    </w:p>
  </w:endnote>
  <w:endnote w:id="13">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César </w:t>
      </w:r>
      <w:proofErr w:type="spellStart"/>
      <w:r w:rsidRPr="007C7F69">
        <w:rPr>
          <w:rFonts w:asciiTheme="minorHAnsi" w:hAnsiTheme="minorHAnsi"/>
          <w:sz w:val="18"/>
          <w:szCs w:val="18"/>
        </w:rPr>
        <w:t>Calderón</w:t>
      </w:r>
      <w:proofErr w:type="spellEnd"/>
      <w:r w:rsidRPr="007C7F69">
        <w:rPr>
          <w:rFonts w:asciiTheme="minorHAnsi" w:hAnsiTheme="minorHAnsi"/>
          <w:sz w:val="18"/>
          <w:szCs w:val="18"/>
        </w:rPr>
        <w:t xml:space="preserve"> and Luis </w:t>
      </w:r>
      <w:proofErr w:type="spellStart"/>
      <w:r w:rsidRPr="007C7F69">
        <w:rPr>
          <w:rFonts w:asciiTheme="minorHAnsi" w:hAnsiTheme="minorHAnsi"/>
          <w:sz w:val="18"/>
          <w:szCs w:val="18"/>
        </w:rPr>
        <w:t>Servén</w:t>
      </w:r>
      <w:proofErr w:type="spellEnd"/>
      <w:r w:rsidRPr="007C7F69">
        <w:rPr>
          <w:rFonts w:asciiTheme="minorHAnsi" w:hAnsiTheme="minorHAnsi"/>
          <w:sz w:val="18"/>
          <w:szCs w:val="18"/>
        </w:rPr>
        <w:t xml:space="preserve"> 2008 </w:t>
      </w:r>
      <w:r w:rsidRPr="007C7F69">
        <w:rPr>
          <w:rFonts w:asciiTheme="minorHAnsi" w:hAnsiTheme="minorHAnsi"/>
          <w:iCs/>
          <w:sz w:val="18"/>
          <w:szCs w:val="18"/>
        </w:rPr>
        <w:t xml:space="preserve">Infrastructure and economic development in Sub-Saharan Africa </w:t>
      </w:r>
      <w:r w:rsidRPr="007C7F69">
        <w:rPr>
          <w:rFonts w:asciiTheme="minorHAnsi" w:hAnsiTheme="minorHAnsi"/>
          <w:sz w:val="18"/>
          <w:szCs w:val="18"/>
        </w:rPr>
        <w:t>http://www.csae.ox.ac.uk/conferences/2008-EdiA/papers/141-Serv%C3%</w:t>
      </w:r>
      <w:proofErr w:type="gramStart"/>
      <w:r w:rsidRPr="007C7F69">
        <w:rPr>
          <w:rFonts w:asciiTheme="minorHAnsi" w:hAnsiTheme="minorHAnsi"/>
          <w:sz w:val="18"/>
          <w:szCs w:val="18"/>
        </w:rPr>
        <w:t>A9n.pdf .</w:t>
      </w:r>
      <w:proofErr w:type="gramEnd"/>
      <w:r w:rsidRPr="007C7F69">
        <w:rPr>
          <w:rFonts w:asciiTheme="minorHAnsi" w:hAnsiTheme="minorHAnsi"/>
          <w:sz w:val="18"/>
          <w:szCs w:val="18"/>
        </w:rPr>
        <w:t xml:space="preserve"> Change in </w:t>
      </w:r>
      <w:proofErr w:type="spellStart"/>
      <w:r w:rsidRPr="007C7F69">
        <w:rPr>
          <w:rFonts w:asciiTheme="minorHAnsi" w:hAnsiTheme="minorHAnsi"/>
          <w:sz w:val="18"/>
          <w:szCs w:val="18"/>
        </w:rPr>
        <w:t>Gini</w:t>
      </w:r>
      <w:proofErr w:type="spellEnd"/>
      <w:r w:rsidRPr="007C7F69">
        <w:rPr>
          <w:rFonts w:asciiTheme="minorHAnsi" w:hAnsiTheme="minorHAnsi"/>
          <w:sz w:val="18"/>
          <w:szCs w:val="18"/>
        </w:rPr>
        <w:t xml:space="preserve"> coefficient between averages for 1991–1995 and 2001–2005</w:t>
      </w:r>
    </w:p>
  </w:endnote>
  <w:endnote w:id="14">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(Africa’s Infrastructure 2010 </w:t>
      </w:r>
      <w:hyperlink r:id="rId18" w:history="1">
        <w:r w:rsidRPr="007C7F69">
          <w:rPr>
            <w:rStyle w:val="Hyperlink"/>
            <w:rFonts w:asciiTheme="minorHAnsi" w:hAnsiTheme="minorHAnsi"/>
            <w:sz w:val="18"/>
            <w:szCs w:val="18"/>
          </w:rPr>
          <w:t>http://www.infrastructureafrica.org/aicd/system/files/AIATT_Consolidated_smaller.pdf</w:t>
        </w:r>
      </w:hyperlink>
      <w:r w:rsidRPr="007C7F69">
        <w:rPr>
          <w:rFonts w:asciiTheme="minorHAnsi" w:hAnsiTheme="minorHAnsi"/>
          <w:sz w:val="18"/>
          <w:szCs w:val="18"/>
        </w:rPr>
        <w:t xml:space="preserve">; European Commission 2013 Connecting Europe Facility </w:t>
      </w:r>
      <w:hyperlink r:id="rId19" w:history="1">
        <w:r w:rsidRPr="007C7F69">
          <w:rPr>
            <w:rStyle w:val="Hyperlink"/>
            <w:rFonts w:asciiTheme="minorHAnsi" w:hAnsiTheme="minorHAnsi"/>
            <w:sz w:val="18"/>
            <w:szCs w:val="18"/>
          </w:rPr>
          <w:t>http://ec.europa.eu/bepa/pdf/cef_brochure.pdf</w:t>
        </w:r>
      </w:hyperlink>
      <w:r w:rsidRPr="007C7F69">
        <w:rPr>
          <w:rFonts w:asciiTheme="minorHAnsi" w:hAnsiTheme="minorHAnsi"/>
          <w:sz w:val="18"/>
          <w:szCs w:val="18"/>
        </w:rPr>
        <w:t xml:space="preserve"> ) </w:t>
      </w:r>
    </w:p>
  </w:endnote>
  <w:endnote w:id="15">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r w:rsidRPr="007C7F69">
        <w:rPr>
          <w:rFonts w:asciiTheme="minorHAnsi" w:hAnsiTheme="minorHAnsi"/>
          <w:sz w:val="18"/>
          <w:szCs w:val="18"/>
        </w:rPr>
        <w:t>Stuti</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Khemani</w:t>
      </w:r>
      <w:proofErr w:type="spellEnd"/>
      <w:r w:rsidRPr="007C7F69">
        <w:rPr>
          <w:rFonts w:asciiTheme="minorHAnsi" w:hAnsiTheme="minorHAnsi"/>
          <w:sz w:val="18"/>
          <w:szCs w:val="18"/>
        </w:rPr>
        <w:t xml:space="preserve"> 2010 ‘Political Economy of Infrastructure Spending in India’. World Bank Policy Research Working Paper 5423 September 2010. </w:t>
      </w:r>
      <w:hyperlink r:id="rId20" w:history="1">
        <w:r w:rsidRPr="007C7F69">
          <w:rPr>
            <w:rStyle w:val="Hyperlink"/>
            <w:rFonts w:asciiTheme="minorHAnsi" w:hAnsiTheme="minorHAnsi"/>
            <w:sz w:val="18"/>
            <w:szCs w:val="18"/>
          </w:rPr>
          <w:t>http://hdl.handle.net/10986/3907</w:t>
        </w:r>
      </w:hyperlink>
      <w:r w:rsidRPr="007C7F69">
        <w:rPr>
          <w:rFonts w:asciiTheme="minorHAnsi" w:hAnsiTheme="minorHAnsi"/>
          <w:sz w:val="18"/>
          <w:szCs w:val="18"/>
        </w:rPr>
        <w:t xml:space="preserve"> )c</w:t>
      </w:r>
    </w:p>
  </w:endnote>
  <w:endnote w:id="16">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lang w:val="es-ES_tradnl"/>
        </w:rPr>
        <w:t xml:space="preserve">  (Borraz, Fernando; González </w:t>
      </w:r>
      <w:proofErr w:type="spellStart"/>
      <w:r w:rsidRPr="007C7F69">
        <w:rPr>
          <w:rFonts w:asciiTheme="minorHAnsi" w:hAnsiTheme="minorHAnsi"/>
          <w:sz w:val="18"/>
          <w:szCs w:val="18"/>
          <w:lang w:val="es-ES_tradnl"/>
        </w:rPr>
        <w:t>Pampillon</w:t>
      </w:r>
      <w:proofErr w:type="spellEnd"/>
      <w:r w:rsidRPr="007C7F69">
        <w:rPr>
          <w:rFonts w:asciiTheme="minorHAnsi" w:hAnsiTheme="minorHAnsi"/>
          <w:sz w:val="18"/>
          <w:szCs w:val="18"/>
          <w:lang w:val="es-ES_tradnl"/>
        </w:rPr>
        <w:t xml:space="preserve">, Nicolás; </w:t>
      </w:r>
      <w:proofErr w:type="spellStart"/>
      <w:r w:rsidRPr="007C7F69">
        <w:rPr>
          <w:rFonts w:asciiTheme="minorHAnsi" w:hAnsiTheme="minorHAnsi"/>
          <w:sz w:val="18"/>
          <w:szCs w:val="18"/>
          <w:lang w:val="es-ES_tradnl"/>
        </w:rPr>
        <w:t>Olarreaga</w:t>
      </w:r>
      <w:proofErr w:type="spellEnd"/>
      <w:r w:rsidRPr="007C7F69">
        <w:rPr>
          <w:rFonts w:asciiTheme="minorHAnsi" w:hAnsiTheme="minorHAnsi"/>
          <w:sz w:val="18"/>
          <w:szCs w:val="18"/>
          <w:lang w:val="es-ES_tradnl"/>
        </w:rPr>
        <w:t xml:space="preserve">, Marcelo. </w:t>
      </w:r>
      <w:r w:rsidRPr="007C7F69">
        <w:rPr>
          <w:rFonts w:asciiTheme="minorHAnsi" w:hAnsiTheme="minorHAnsi"/>
          <w:sz w:val="18"/>
          <w:szCs w:val="18"/>
        </w:rPr>
        <w:t xml:space="preserve">2013. Water Nationalization and Service Quality. </w:t>
      </w:r>
      <w:proofErr w:type="gramStart"/>
      <w:r w:rsidRPr="007C7F69">
        <w:rPr>
          <w:rFonts w:asciiTheme="minorHAnsi" w:hAnsiTheme="minorHAnsi"/>
          <w:sz w:val="18"/>
          <w:szCs w:val="18"/>
        </w:rPr>
        <w:t>World Bank, Washington, DC.</w:t>
      </w:r>
      <w:proofErr w:type="gramEnd"/>
      <w:r w:rsidRPr="007C7F69">
        <w:rPr>
          <w:rFonts w:asciiTheme="minorHAnsi" w:hAnsiTheme="minorHAnsi"/>
          <w:sz w:val="18"/>
          <w:szCs w:val="18"/>
        </w:rPr>
        <w:t xml:space="preserve"> </w:t>
      </w:r>
      <w:hyperlink r:id="rId21" w:history="1">
        <w:r w:rsidRPr="007C7F69">
          <w:rPr>
            <w:rStyle w:val="Hyperlink"/>
            <w:rFonts w:asciiTheme="minorHAnsi" w:hAnsiTheme="minorHAnsi"/>
            <w:sz w:val="18"/>
            <w:szCs w:val="18"/>
          </w:rPr>
          <w:t>https://openknowledge.worldbank.org/handle/10986/12180</w:t>
        </w:r>
      </w:hyperlink>
      <w:r w:rsidRPr="007C7F69">
        <w:rPr>
          <w:rFonts w:asciiTheme="minorHAnsi" w:hAnsiTheme="minorHAnsi"/>
          <w:sz w:val="18"/>
          <w:szCs w:val="18"/>
        </w:rPr>
        <w:t xml:space="preserve"> ).</w:t>
      </w:r>
    </w:p>
  </w:endnote>
  <w:endnote w:id="17">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r w:rsidRPr="007C7F69">
        <w:rPr>
          <w:rFonts w:asciiTheme="minorHAnsi" w:hAnsiTheme="minorHAnsi"/>
          <w:sz w:val="18"/>
          <w:szCs w:val="18"/>
        </w:rPr>
        <w:t>Dubash</w:t>
      </w:r>
      <w:proofErr w:type="spellEnd"/>
      <w:r w:rsidRPr="007C7F69">
        <w:rPr>
          <w:rFonts w:asciiTheme="minorHAnsi" w:hAnsiTheme="minorHAnsi"/>
          <w:sz w:val="18"/>
          <w:szCs w:val="18"/>
        </w:rPr>
        <w:t xml:space="preserve"> N. (ed.) 2002. Power politics: Equity and environment in electricity reform. World Resources Institute.  August 2002</w:t>
      </w:r>
      <w:proofErr w:type="gramStart"/>
      <w:r w:rsidRPr="007C7F69">
        <w:rPr>
          <w:rFonts w:asciiTheme="minorHAnsi" w:hAnsiTheme="minorHAnsi"/>
          <w:sz w:val="18"/>
          <w:szCs w:val="18"/>
        </w:rPr>
        <w:t>..</w:t>
      </w:r>
      <w:proofErr w:type="gramEnd"/>
      <w:r w:rsidRPr="007C7F69">
        <w:rPr>
          <w:rFonts w:asciiTheme="minorHAnsi" w:hAnsiTheme="minorHAnsi"/>
          <w:sz w:val="18"/>
          <w:szCs w:val="18"/>
        </w:rPr>
        <w:t xml:space="preserve"> Chapter 8: South </w:t>
      </w:r>
      <w:proofErr w:type="gramStart"/>
      <w:r w:rsidRPr="007C7F69">
        <w:rPr>
          <w:rFonts w:asciiTheme="minorHAnsi" w:hAnsiTheme="minorHAnsi"/>
          <w:sz w:val="18"/>
          <w:szCs w:val="18"/>
        </w:rPr>
        <w:t xml:space="preserve">Africa  </w:t>
      </w:r>
      <w:proofErr w:type="gramEnd"/>
      <w:r w:rsidRPr="007C7F69">
        <w:rPr>
          <w:rFonts w:asciiTheme="minorHAnsi" w:hAnsiTheme="minorHAnsi"/>
          <w:sz w:val="18"/>
          <w:szCs w:val="18"/>
        </w:rPr>
        <w:fldChar w:fldCharType="begin"/>
      </w:r>
      <w:r w:rsidRPr="007C7F69">
        <w:rPr>
          <w:rFonts w:asciiTheme="minorHAnsi" w:hAnsiTheme="minorHAnsi"/>
          <w:sz w:val="18"/>
          <w:szCs w:val="18"/>
        </w:rPr>
        <w:instrText>HYPERLINK "http://pdf.wri.org/powerpolitics_chap8.pdf" \t "new"</w:instrText>
      </w:r>
      <w:r w:rsidRPr="007C7F69">
        <w:rPr>
          <w:rFonts w:asciiTheme="minorHAnsi" w:hAnsiTheme="minorHAnsi"/>
          <w:sz w:val="18"/>
          <w:szCs w:val="18"/>
        </w:rPr>
        <w:fldChar w:fldCharType="separate"/>
      </w:r>
      <w:r w:rsidRPr="007C7F69">
        <w:rPr>
          <w:rStyle w:val="Hyperlink"/>
          <w:rFonts w:asciiTheme="minorHAnsi" w:hAnsiTheme="minorHAnsi"/>
          <w:sz w:val="18"/>
          <w:szCs w:val="18"/>
        </w:rPr>
        <w:t>http://pdf.wri.org/powerpolitics_chap8.pdf</w:t>
      </w:r>
      <w:r w:rsidRPr="007C7F69">
        <w:rPr>
          <w:rFonts w:asciiTheme="minorHAnsi" w:hAnsiTheme="minorHAnsi"/>
          <w:sz w:val="18"/>
          <w:szCs w:val="18"/>
        </w:rPr>
        <w:fldChar w:fldCharType="end"/>
      </w:r>
      <w:r w:rsidRPr="007C7F69">
        <w:rPr>
          <w:rFonts w:asciiTheme="minorHAnsi" w:hAnsiTheme="minorHAnsi"/>
          <w:sz w:val="18"/>
          <w:szCs w:val="18"/>
        </w:rPr>
        <w:t xml:space="preserve"> ; Eskom Annual report 2006 . </w:t>
      </w:r>
      <w:proofErr w:type="gramStart"/>
      <w:r w:rsidRPr="007C7F69">
        <w:rPr>
          <w:rFonts w:asciiTheme="minorHAnsi" w:hAnsiTheme="minorHAnsi"/>
          <w:sz w:val="18"/>
          <w:szCs w:val="18"/>
        </w:rPr>
        <w:t>Chief executive's report.</w:t>
      </w:r>
      <w:proofErr w:type="gramEnd"/>
      <w:r w:rsidRPr="007C7F69">
        <w:rPr>
          <w:rFonts w:asciiTheme="minorHAnsi" w:hAnsiTheme="minorHAnsi"/>
          <w:sz w:val="18"/>
          <w:szCs w:val="18"/>
        </w:rPr>
        <w:t xml:space="preserve"> </w:t>
      </w:r>
      <w:hyperlink r:id="rId22" w:history="1">
        <w:r w:rsidRPr="007C7F69">
          <w:rPr>
            <w:rStyle w:val="Hyperlink"/>
            <w:rFonts w:asciiTheme="minorHAnsi" w:hAnsiTheme="minorHAnsi"/>
            <w:sz w:val="18"/>
            <w:szCs w:val="18"/>
          </w:rPr>
          <w:t>http://www.eskom.co.za/annreport06/chiefexecutivesreport.htm</w:t>
        </w:r>
      </w:hyperlink>
      <w:r w:rsidRPr="007C7F69">
        <w:rPr>
          <w:rFonts w:asciiTheme="minorHAnsi" w:hAnsiTheme="minorHAnsi"/>
          <w:sz w:val="18"/>
          <w:szCs w:val="18"/>
        </w:rPr>
        <w:t xml:space="preserve"> )</w:t>
      </w:r>
    </w:p>
  </w:endnote>
  <w:endnote w:id="18">
    <w:p w:rsidR="00183A02" w:rsidRPr="007C7F69" w:rsidRDefault="00183A02" w:rsidP="005A3464">
      <w:pPr>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Taryn </w:t>
      </w:r>
      <w:proofErr w:type="spellStart"/>
      <w:r w:rsidRPr="007C7F69">
        <w:rPr>
          <w:rFonts w:asciiTheme="minorHAnsi" w:hAnsiTheme="minorHAnsi"/>
          <w:sz w:val="18"/>
          <w:szCs w:val="18"/>
        </w:rPr>
        <w:t>Dinkelman</w:t>
      </w:r>
      <w:proofErr w:type="spellEnd"/>
      <w:r w:rsidRPr="007C7F69">
        <w:rPr>
          <w:rFonts w:asciiTheme="minorHAnsi" w:hAnsiTheme="minorHAnsi"/>
          <w:sz w:val="18"/>
          <w:szCs w:val="18"/>
        </w:rPr>
        <w:t xml:space="preserve">, 2008. The Effects of Rural Electrification on Employment: New Evidence from South Africa. University of Michigan Job Market Paper Available at:  </w:t>
      </w:r>
      <w:hyperlink r:id="rId23" w:history="1">
        <w:r w:rsidRPr="007C7F69">
          <w:rPr>
            <w:rStyle w:val="Hyperlink"/>
            <w:rFonts w:asciiTheme="minorHAnsi" w:hAnsiTheme="minorHAnsi"/>
            <w:sz w:val="18"/>
            <w:szCs w:val="18"/>
          </w:rPr>
          <w:t>http://faculty.ucr.edu/~jorgea/econ261/electricity.pdf</w:t>
        </w:r>
      </w:hyperlink>
      <w:r w:rsidRPr="007C7F69">
        <w:rPr>
          <w:rFonts w:asciiTheme="minorHAnsi" w:hAnsiTheme="minorHAnsi"/>
          <w:sz w:val="18"/>
          <w:szCs w:val="18"/>
        </w:rPr>
        <w:t xml:space="preserve">  [Accessed November 10, 2009]. </w:t>
      </w:r>
    </w:p>
  </w:endnote>
  <w:endnote w:id="19">
    <w:p w:rsidR="00183A02" w:rsidRPr="007C7F69" w:rsidRDefault="00183A02" w:rsidP="005A3464">
      <w:pPr>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Eskom Annual report </w:t>
      </w:r>
      <w:proofErr w:type="gramStart"/>
      <w:r w:rsidRPr="007C7F69">
        <w:rPr>
          <w:rFonts w:asciiTheme="minorHAnsi" w:hAnsiTheme="minorHAnsi"/>
          <w:sz w:val="18"/>
          <w:szCs w:val="18"/>
        </w:rPr>
        <w:t>2006 .</w:t>
      </w:r>
      <w:proofErr w:type="gramEnd"/>
      <w:r w:rsidRPr="007C7F69">
        <w:rPr>
          <w:rFonts w:asciiTheme="minorHAnsi" w:hAnsiTheme="minorHAnsi"/>
          <w:sz w:val="18"/>
          <w:szCs w:val="18"/>
        </w:rPr>
        <w:t xml:space="preserve"> </w:t>
      </w:r>
      <w:proofErr w:type="gramStart"/>
      <w:r w:rsidRPr="007C7F69">
        <w:rPr>
          <w:rFonts w:asciiTheme="minorHAnsi" w:hAnsiTheme="minorHAnsi"/>
          <w:sz w:val="18"/>
          <w:szCs w:val="18"/>
        </w:rPr>
        <w:t>Chief executive's report.</w:t>
      </w:r>
      <w:proofErr w:type="gramEnd"/>
      <w:r w:rsidRPr="007C7F69">
        <w:rPr>
          <w:rFonts w:asciiTheme="minorHAnsi" w:hAnsiTheme="minorHAnsi"/>
          <w:sz w:val="18"/>
          <w:szCs w:val="18"/>
        </w:rPr>
        <w:t xml:space="preserve"> </w:t>
      </w:r>
      <w:hyperlink r:id="rId24" w:history="1">
        <w:r w:rsidRPr="007C7F69">
          <w:rPr>
            <w:rStyle w:val="Hyperlink"/>
            <w:rFonts w:asciiTheme="minorHAnsi" w:hAnsiTheme="minorHAnsi"/>
            <w:sz w:val="18"/>
            <w:szCs w:val="18"/>
          </w:rPr>
          <w:t>http://www.eskom.co.za/annreport06/chiefexecutivesreport.htm</w:t>
        </w:r>
      </w:hyperlink>
      <w:r w:rsidRPr="007C7F69">
        <w:rPr>
          <w:rFonts w:asciiTheme="minorHAnsi" w:hAnsiTheme="minorHAnsi"/>
          <w:sz w:val="18"/>
          <w:szCs w:val="18"/>
        </w:rPr>
        <w:t xml:space="preserve"> </w:t>
      </w:r>
    </w:p>
  </w:endnote>
  <w:endnote w:id="20">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spellStart"/>
      <w:r w:rsidRPr="007C7F69">
        <w:rPr>
          <w:rFonts w:asciiTheme="minorHAnsi" w:hAnsiTheme="minorHAnsi"/>
          <w:sz w:val="18"/>
          <w:szCs w:val="18"/>
        </w:rPr>
        <w:t>Afeikhena</w:t>
      </w:r>
      <w:proofErr w:type="spellEnd"/>
      <w:r w:rsidRPr="007C7F69">
        <w:rPr>
          <w:rFonts w:asciiTheme="minorHAnsi" w:hAnsiTheme="minorHAnsi"/>
          <w:sz w:val="18"/>
          <w:szCs w:val="18"/>
        </w:rPr>
        <w:t xml:space="preserve"> Jerome 2011 Infrastructure for Economic Development and Poverty Reduction in Africa UN Habitat </w:t>
      </w:r>
      <w:r w:rsidRPr="007C7F69">
        <w:rPr>
          <w:rFonts w:asciiTheme="minorHAnsi" w:hAnsiTheme="minorHAnsi"/>
          <w:sz w:val="18"/>
          <w:szCs w:val="18"/>
          <w:lang w:val="en-US"/>
        </w:rPr>
        <w:t>)</w:t>
      </w:r>
    </w:p>
  </w:endnote>
  <w:endnote w:id="21">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(Lipscomb, Molly, </w:t>
      </w:r>
      <w:proofErr w:type="spellStart"/>
      <w:r w:rsidRPr="007C7F69">
        <w:rPr>
          <w:rFonts w:asciiTheme="minorHAnsi" w:hAnsiTheme="minorHAnsi"/>
          <w:sz w:val="18"/>
          <w:szCs w:val="18"/>
        </w:rPr>
        <w:t>Mobarak</w:t>
      </w:r>
      <w:proofErr w:type="spellEnd"/>
      <w:r w:rsidRPr="007C7F69">
        <w:rPr>
          <w:rFonts w:asciiTheme="minorHAnsi" w:hAnsiTheme="minorHAnsi"/>
          <w:sz w:val="18"/>
          <w:szCs w:val="18"/>
        </w:rPr>
        <w:t xml:space="preserve"> </w:t>
      </w:r>
      <w:proofErr w:type="spellStart"/>
      <w:r w:rsidRPr="007C7F69">
        <w:rPr>
          <w:rFonts w:asciiTheme="minorHAnsi" w:hAnsiTheme="minorHAnsi"/>
          <w:sz w:val="18"/>
          <w:szCs w:val="18"/>
        </w:rPr>
        <w:t>Mushfiq</w:t>
      </w:r>
      <w:proofErr w:type="spellEnd"/>
      <w:r w:rsidRPr="007C7F69">
        <w:rPr>
          <w:rFonts w:asciiTheme="minorHAnsi" w:hAnsiTheme="minorHAnsi"/>
          <w:sz w:val="18"/>
          <w:szCs w:val="18"/>
        </w:rPr>
        <w:t xml:space="preserve">, Ahmed and </w:t>
      </w:r>
      <w:proofErr w:type="spellStart"/>
      <w:r w:rsidRPr="007C7F69">
        <w:rPr>
          <w:rFonts w:asciiTheme="minorHAnsi" w:hAnsiTheme="minorHAnsi"/>
          <w:sz w:val="18"/>
          <w:szCs w:val="18"/>
        </w:rPr>
        <w:t>Bahram</w:t>
      </w:r>
      <w:proofErr w:type="spellEnd"/>
      <w:r w:rsidRPr="007C7F69">
        <w:rPr>
          <w:rFonts w:asciiTheme="minorHAnsi" w:hAnsiTheme="minorHAnsi"/>
          <w:sz w:val="18"/>
          <w:szCs w:val="18"/>
        </w:rPr>
        <w:t xml:space="preserve">, Tania March, 2011 Returns to electricity: evidence from the quasi-random placement of hydropower plants in Brazil CAF Working paper N° 2011/03 </w:t>
      </w:r>
      <w:hyperlink r:id="rId25" w:history="1">
        <w:r w:rsidRPr="007C7F69">
          <w:rPr>
            <w:rStyle w:val="Hyperlink"/>
            <w:rFonts w:asciiTheme="minorHAnsi" w:hAnsiTheme="minorHAnsi"/>
            <w:sz w:val="18"/>
            <w:szCs w:val="18"/>
          </w:rPr>
          <w:t>http://www.caf.com.ec/attach/19/default/201103LipscombMobarakBarham32711%282%29.pdf</w:t>
        </w:r>
      </w:hyperlink>
      <w:r w:rsidRPr="007C7F69">
        <w:rPr>
          <w:rFonts w:asciiTheme="minorHAnsi" w:hAnsiTheme="minorHAnsi"/>
          <w:sz w:val="18"/>
          <w:szCs w:val="18"/>
        </w:rPr>
        <w:t xml:space="preserve"> )</w:t>
      </w:r>
    </w:p>
  </w:endnote>
  <w:endnote w:id="22">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proofErr w:type="gramStart"/>
      <w:r w:rsidRPr="007C7F69">
        <w:rPr>
          <w:rFonts w:asciiTheme="minorHAnsi" w:hAnsiTheme="minorHAnsi"/>
          <w:sz w:val="18"/>
          <w:szCs w:val="18"/>
        </w:rPr>
        <w:t>(</w:t>
      </w:r>
      <w:proofErr w:type="spellStart"/>
      <w:r w:rsidRPr="007C7F69">
        <w:rPr>
          <w:rFonts w:asciiTheme="minorHAnsi" w:hAnsiTheme="minorHAnsi"/>
          <w:sz w:val="18"/>
          <w:szCs w:val="18"/>
        </w:rPr>
        <w:t>Estache</w:t>
      </w:r>
      <w:proofErr w:type="spellEnd"/>
      <w:r w:rsidRPr="007C7F69">
        <w:rPr>
          <w:rFonts w:asciiTheme="minorHAnsi" w:hAnsiTheme="minorHAnsi"/>
          <w:sz w:val="18"/>
          <w:szCs w:val="18"/>
        </w:rPr>
        <w:t xml:space="preserve">, Antonio, Andres Gomez-Lobo, and Danny </w:t>
      </w:r>
      <w:proofErr w:type="spellStart"/>
      <w:r w:rsidRPr="007C7F69">
        <w:rPr>
          <w:rFonts w:asciiTheme="minorHAnsi" w:hAnsiTheme="minorHAnsi"/>
          <w:sz w:val="18"/>
          <w:szCs w:val="18"/>
        </w:rPr>
        <w:t>Leipziger</w:t>
      </w:r>
      <w:proofErr w:type="spellEnd"/>
      <w:r w:rsidRPr="007C7F69">
        <w:rPr>
          <w:rFonts w:asciiTheme="minorHAnsi" w:hAnsiTheme="minorHAnsi"/>
          <w:sz w:val="18"/>
          <w:szCs w:val="18"/>
        </w:rPr>
        <w:t>.</w:t>
      </w:r>
      <w:proofErr w:type="gramEnd"/>
      <w:r w:rsidRPr="007C7F69">
        <w:rPr>
          <w:rFonts w:asciiTheme="minorHAnsi" w:hAnsiTheme="minorHAnsi"/>
          <w:sz w:val="18"/>
          <w:szCs w:val="18"/>
        </w:rPr>
        <w:t xml:space="preserve"> 2001. ‘Utilities Privatization and the Poor: Lessons and Evidence from Latin America’. </w:t>
      </w:r>
      <w:r w:rsidRPr="007C7F69">
        <w:rPr>
          <w:rFonts w:asciiTheme="minorHAnsi" w:hAnsiTheme="minorHAnsi"/>
          <w:iCs/>
          <w:sz w:val="18"/>
          <w:szCs w:val="18"/>
        </w:rPr>
        <w:t>World Development</w:t>
      </w:r>
      <w:r w:rsidRPr="007C7F69">
        <w:rPr>
          <w:rFonts w:asciiTheme="minorHAnsi" w:hAnsiTheme="minorHAnsi"/>
          <w:sz w:val="18"/>
          <w:szCs w:val="18"/>
        </w:rPr>
        <w:t xml:space="preserve"> 29 (7) (July): 1179–1198 </w:t>
      </w:r>
      <w:hyperlink r:id="rId26" w:history="1">
        <w:r w:rsidRPr="007C7F69">
          <w:rPr>
            <w:rStyle w:val="Hyperlink"/>
            <w:rFonts w:asciiTheme="minorHAnsi" w:hAnsiTheme="minorHAnsi"/>
            <w:sz w:val="18"/>
            <w:szCs w:val="18"/>
          </w:rPr>
          <w:t>http://www.sciencedirect.com/science/article/pii/S0305750X01000341</w:t>
        </w:r>
      </w:hyperlink>
      <w:r w:rsidRPr="007C7F69">
        <w:rPr>
          <w:rFonts w:asciiTheme="minorHAnsi" w:hAnsiTheme="minorHAnsi"/>
          <w:sz w:val="18"/>
          <w:szCs w:val="18"/>
        </w:rPr>
        <w:t xml:space="preserve"> )</w:t>
      </w:r>
    </w:p>
  </w:endnote>
  <w:endnote w:id="23">
    <w:p w:rsidR="00183A02" w:rsidRDefault="00183A02" w:rsidP="005A3464">
      <w:pPr>
        <w:pStyle w:val="EndnoteText"/>
      </w:pPr>
      <w:r>
        <w:rPr>
          <w:rStyle w:val="EndnoteReference"/>
        </w:rPr>
        <w:endnoteRef/>
      </w:r>
      <w:r>
        <w:t xml:space="preserve"> UNDG 2013 </w:t>
      </w:r>
      <w:r w:rsidRPr="00D04584">
        <w:t xml:space="preserve">‘What People Want - A Report from Findings from Global Conversation’. 2014. Accessed February 6. </w:t>
      </w:r>
      <w:hyperlink r:id="rId27" w:anchor="bullet1" w:history="1">
        <w:r w:rsidRPr="00717F52">
          <w:rPr>
            <w:rStyle w:val="Hyperlink"/>
          </w:rPr>
          <w:t>http://www.worldwewant2015.org/millionvoices#bullet1</w:t>
        </w:r>
      </w:hyperlink>
      <w:r>
        <w:t xml:space="preserve">  </w:t>
      </w:r>
    </w:p>
  </w:endnote>
  <w:endnote w:id="24">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r w:rsidRPr="007C7F69">
        <w:rPr>
          <w:rFonts w:asciiTheme="minorHAnsi" w:hAnsiTheme="minorHAnsi"/>
          <w:bCs/>
          <w:sz w:val="18"/>
          <w:szCs w:val="18"/>
        </w:rPr>
        <w:t xml:space="preserve">Sabina </w:t>
      </w:r>
      <w:proofErr w:type="spellStart"/>
      <w:r w:rsidRPr="007C7F69">
        <w:rPr>
          <w:rFonts w:asciiTheme="minorHAnsi" w:hAnsiTheme="minorHAnsi"/>
          <w:bCs/>
          <w:sz w:val="18"/>
          <w:szCs w:val="18"/>
        </w:rPr>
        <w:t>Alkire</w:t>
      </w:r>
      <w:proofErr w:type="spellEnd"/>
      <w:r w:rsidRPr="007C7F69">
        <w:rPr>
          <w:rFonts w:asciiTheme="minorHAnsi" w:hAnsiTheme="minorHAnsi"/>
          <w:bCs/>
          <w:sz w:val="18"/>
          <w:szCs w:val="18"/>
        </w:rPr>
        <w:t>, OPHI and Andy Sumner</w:t>
      </w:r>
      <w:r w:rsidRPr="007C7F69">
        <w:rPr>
          <w:rFonts w:asciiTheme="minorHAnsi" w:hAnsiTheme="minorHAnsi"/>
          <w:sz w:val="18"/>
          <w:szCs w:val="18"/>
        </w:rPr>
        <w:t xml:space="preserve"> 2013 </w:t>
      </w:r>
      <w:r w:rsidRPr="007C7F69">
        <w:rPr>
          <w:rFonts w:asciiTheme="minorHAnsi" w:hAnsiTheme="minorHAnsi"/>
          <w:bCs/>
          <w:iCs/>
          <w:sz w:val="18"/>
          <w:szCs w:val="18"/>
        </w:rPr>
        <w:t>Multidimensional Poverty and the Post-2015 MDGs</w:t>
      </w:r>
      <w:r w:rsidRPr="007C7F69">
        <w:rPr>
          <w:rFonts w:asciiTheme="minorHAnsi" w:hAnsiTheme="minorHAnsi"/>
          <w:sz w:val="18"/>
          <w:szCs w:val="18"/>
        </w:rPr>
        <w:t xml:space="preserve"> </w:t>
      </w:r>
      <w:hyperlink r:id="rId28" w:history="1">
        <w:r w:rsidRPr="007C7F69">
          <w:rPr>
            <w:rStyle w:val="Hyperlink"/>
            <w:rFonts w:asciiTheme="minorHAnsi" w:hAnsiTheme="minorHAnsi"/>
            <w:sz w:val="18"/>
            <w:szCs w:val="18"/>
          </w:rPr>
          <w:t>http://www.ophi.org.uk/wp-content/uploads/MPI-post-2015-MDGs-FINAL.pdf?cda6c1</w:t>
        </w:r>
      </w:hyperlink>
    </w:p>
  </w:endnote>
  <w:endnote w:id="25">
    <w:p w:rsidR="00183A02" w:rsidRPr="007C7F69" w:rsidRDefault="00183A02" w:rsidP="005A3464">
      <w:pPr>
        <w:pStyle w:val="EndnoteText"/>
        <w:rPr>
          <w:rFonts w:asciiTheme="minorHAnsi" w:hAnsiTheme="minorHAnsi"/>
          <w:sz w:val="18"/>
          <w:szCs w:val="18"/>
        </w:rPr>
      </w:pPr>
      <w:r w:rsidRPr="007C7F69">
        <w:rPr>
          <w:rStyle w:val="EndnoteReference"/>
          <w:rFonts w:asciiTheme="minorHAnsi" w:hAnsiTheme="minorHAnsi"/>
          <w:sz w:val="18"/>
          <w:szCs w:val="18"/>
        </w:rPr>
        <w:endnoteRef/>
      </w:r>
      <w:r w:rsidRPr="007C7F69">
        <w:rPr>
          <w:rFonts w:asciiTheme="minorHAnsi" w:hAnsiTheme="minorHAnsi"/>
          <w:sz w:val="18"/>
          <w:szCs w:val="18"/>
        </w:rPr>
        <w:t xml:space="preserve"> </w:t>
      </w:r>
      <w:r w:rsidRPr="007C7F69">
        <w:rPr>
          <w:rFonts w:asciiTheme="minorHAnsi" w:hAnsiTheme="minorHAnsi"/>
          <w:bCs/>
          <w:sz w:val="18"/>
          <w:szCs w:val="18"/>
        </w:rPr>
        <w:t xml:space="preserve">Sabina </w:t>
      </w:r>
      <w:proofErr w:type="spellStart"/>
      <w:r w:rsidRPr="007C7F69">
        <w:rPr>
          <w:rFonts w:asciiTheme="minorHAnsi" w:hAnsiTheme="minorHAnsi"/>
          <w:bCs/>
          <w:sz w:val="18"/>
          <w:szCs w:val="18"/>
        </w:rPr>
        <w:t>Alkire</w:t>
      </w:r>
      <w:proofErr w:type="spellEnd"/>
      <w:r w:rsidRPr="007C7F69">
        <w:rPr>
          <w:rFonts w:asciiTheme="minorHAnsi" w:hAnsiTheme="minorHAnsi"/>
          <w:bCs/>
          <w:sz w:val="18"/>
          <w:szCs w:val="18"/>
        </w:rPr>
        <w:t>, OPHI and Andy Sumner</w:t>
      </w:r>
      <w:r w:rsidRPr="007C7F69">
        <w:rPr>
          <w:rFonts w:asciiTheme="minorHAnsi" w:hAnsiTheme="minorHAnsi"/>
          <w:sz w:val="18"/>
          <w:szCs w:val="18"/>
        </w:rPr>
        <w:t xml:space="preserve"> 2013 </w:t>
      </w:r>
      <w:r w:rsidRPr="007C7F69">
        <w:rPr>
          <w:rFonts w:asciiTheme="minorHAnsi" w:hAnsiTheme="minorHAnsi"/>
          <w:bCs/>
          <w:iCs/>
          <w:sz w:val="18"/>
          <w:szCs w:val="18"/>
        </w:rPr>
        <w:t>Multidimensional Poverty and the Post-2015 MDGs</w:t>
      </w:r>
      <w:r w:rsidRPr="007C7F69">
        <w:rPr>
          <w:rFonts w:asciiTheme="minorHAnsi" w:hAnsiTheme="minorHAnsi"/>
          <w:sz w:val="18"/>
          <w:szCs w:val="18"/>
        </w:rPr>
        <w:t xml:space="preserve"> </w:t>
      </w:r>
      <w:hyperlink r:id="rId29" w:history="1">
        <w:r w:rsidRPr="007C7F69">
          <w:rPr>
            <w:rStyle w:val="Hyperlink"/>
            <w:rFonts w:asciiTheme="minorHAnsi" w:hAnsiTheme="minorHAnsi"/>
            <w:sz w:val="18"/>
            <w:szCs w:val="18"/>
          </w:rPr>
          <w:t>http://www.ophi.org.uk/wp-content/uploads/MPI-post-2015-MDGs-FINAL.pdf?cda6c1</w:t>
        </w:r>
      </w:hyperlink>
    </w:p>
  </w:endnote>
  <w:endnote w:id="26">
    <w:p w:rsidR="00183A02" w:rsidRPr="008F6949" w:rsidRDefault="00183A02" w:rsidP="005A3464">
      <w:pPr>
        <w:pStyle w:val="EndnoteText"/>
      </w:pPr>
      <w:r>
        <w:rPr>
          <w:rStyle w:val="EndnoteReference"/>
        </w:rPr>
        <w:endnoteRef/>
      </w:r>
      <w:r>
        <w:t xml:space="preserve"> Global MPI 2013: key findings </w:t>
      </w:r>
      <w:hyperlink r:id="rId30" w:history="1">
        <w:r w:rsidRPr="00717F52">
          <w:rPr>
            <w:rStyle w:val="Hyperlink"/>
          </w:rPr>
          <w:t>http://www.ophi.org.uk/multidimensional-poverty-index/mpi-2013/</w:t>
        </w:r>
      </w:hyperlink>
      <w:r>
        <w:t xml:space="preserve"> ; </w:t>
      </w:r>
      <w:proofErr w:type="spellStart"/>
      <w:r w:rsidRPr="008F6949">
        <w:t>Alkire</w:t>
      </w:r>
      <w:proofErr w:type="spellEnd"/>
      <w:r w:rsidRPr="008F6949">
        <w:t xml:space="preserve">, Sabina, and </w:t>
      </w:r>
      <w:proofErr w:type="spellStart"/>
      <w:r w:rsidRPr="008F6949">
        <w:t>Suman</w:t>
      </w:r>
      <w:proofErr w:type="spellEnd"/>
      <w:r w:rsidRPr="008F6949">
        <w:t xml:space="preserve"> Seth. 2013. ‘Multidimensional Poverty Reduction in India 1999-2006’. </w:t>
      </w:r>
      <w:proofErr w:type="gramStart"/>
      <w:r w:rsidRPr="008F6949">
        <w:t>OPHI.</w:t>
      </w:r>
      <w:proofErr w:type="gramEnd"/>
      <w:r w:rsidRPr="008F6949">
        <w:t xml:space="preserve"> </w:t>
      </w:r>
      <w:hyperlink r:id="rId31" w:history="1">
        <w:r w:rsidRPr="00717F52">
          <w:rPr>
            <w:rStyle w:val="Hyperlink"/>
          </w:rPr>
          <w:t>http://www.ophi.org.uk/wp-content/uploads/Multidimensional-Poverty-Reduction-in-India-1999-2006.pdf?cc8bca</w:t>
        </w:r>
      </w:hyperlink>
      <w:r>
        <w:t xml:space="preserve"> </w:t>
      </w:r>
    </w:p>
    <w:p w:rsidR="00183A02" w:rsidRPr="008F6949" w:rsidRDefault="00183A02" w:rsidP="005A3464">
      <w:pPr>
        <w:pStyle w:val="EndnoteText"/>
      </w:pPr>
      <w:r>
        <w:t xml:space="preserve"> </w:t>
      </w:r>
    </w:p>
    <w:p w:rsidR="00183A02" w:rsidRDefault="00183A02" w:rsidP="005A3464">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Sans">
    <w:panose1 w:val="020B0602040502020204"/>
    <w:charset w:val="00"/>
    <w:family w:val="swiss"/>
    <w:pitch w:val="variable"/>
    <w:sig w:usb0="A1002AEF" w:usb1="8000787B" w:usb2="00000008" w:usb3="00000000" w:csb0="000100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Browallia New">
    <w:panose1 w:val="020B06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MSS12">
    <w:panose1 w:val="00000000000000000000"/>
    <w:charset w:val="00"/>
    <w:family w:val="auto"/>
    <w:notTrueType/>
    <w:pitch w:val="default"/>
    <w:sig w:usb0="00000003" w:usb1="00000000" w:usb2="00000000" w:usb3="00000000" w:csb0="00000001" w:csb1="00000000"/>
  </w:font>
  <w:font w:name="CMSS10">
    <w:panose1 w:val="00000000000000000000"/>
    <w:charset w:val="00"/>
    <w:family w:val="auto"/>
    <w:notTrueType/>
    <w:pitch w:val="default"/>
    <w:sig w:usb0="00000003" w:usb1="00000000" w:usb2="00000000" w:usb3="00000000" w:csb0="00000001" w:csb1="00000000"/>
  </w:font>
  <w:font w:name="Museo-300">
    <w:panose1 w:val="00000000000000000000"/>
    <w:charset w:val="00"/>
    <w:family w:val="roman"/>
    <w:notTrueType/>
    <w:pitch w:val="default"/>
    <w:sig w:usb0="00000003" w:usb1="00000000" w:usb2="00000000" w:usb3="00000000" w:csb0="00000001" w:csb1="00000000"/>
  </w:font>
  <w:font w:name="Museo-700">
    <w:panose1 w:val="00000000000000000000"/>
    <w:charset w:val="00"/>
    <w:family w:val="roman"/>
    <w:notTrueType/>
    <w:pitch w:val="default"/>
    <w:sig w:usb0="00000003" w:usb1="00000000" w:usb2="00000000" w:usb3="00000000" w:csb0="00000001" w:csb1="00000000"/>
  </w:font>
  <w:font w:name="AdvPS5958">
    <w:panose1 w:val="00000000000000000000"/>
    <w:charset w:val="00"/>
    <w:family w:val="roman"/>
    <w:notTrueType/>
    <w:pitch w:val="default"/>
    <w:sig w:usb0="00000003" w:usb1="00000000" w:usb2="00000000" w:usb3="00000000" w:csb0="00000001" w:csb1="00000000"/>
  </w:font>
  <w:font w:name="TrebuchetMS-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Default="00183A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Pr="00652411" w:rsidRDefault="00183A02" w:rsidP="00814BF3">
    <w:pPr>
      <w:pStyle w:val="Footer"/>
      <w:pBdr>
        <w:top w:val="single" w:sz="4" w:space="1" w:color="FF0000"/>
      </w:pBdr>
      <w:jc w:val="center"/>
      <w:rPr>
        <w:rFonts w:cs="Lucida Sans Unicode"/>
        <w:sz w:val="16"/>
        <w:szCs w:val="16"/>
      </w:rPr>
    </w:pPr>
    <w:r w:rsidRPr="00652411">
      <w:rPr>
        <w:rFonts w:cs="Lucida Sans Unicode"/>
        <w:sz w:val="16"/>
        <w:szCs w:val="16"/>
      </w:rPr>
      <w:fldChar w:fldCharType="begin"/>
    </w:r>
    <w:r w:rsidRPr="00652411">
      <w:rPr>
        <w:rFonts w:cs="Lucida Sans Unicode"/>
        <w:sz w:val="16"/>
        <w:szCs w:val="16"/>
      </w:rPr>
      <w:instrText xml:space="preserve"> DATE \@ "dd/MM/yyyy" </w:instrText>
    </w:r>
    <w:r w:rsidRPr="00652411">
      <w:rPr>
        <w:rFonts w:cs="Lucida Sans Unicode"/>
        <w:sz w:val="16"/>
        <w:szCs w:val="16"/>
      </w:rPr>
      <w:fldChar w:fldCharType="separate"/>
    </w:r>
    <w:r>
      <w:rPr>
        <w:rFonts w:cs="Lucida Sans Unicode"/>
        <w:noProof/>
        <w:sz w:val="16"/>
        <w:szCs w:val="16"/>
      </w:rPr>
      <w:t>18/05/2014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t xml:space="preserve">Page </w:t>
    </w:r>
    <w:r w:rsidRPr="00652411">
      <w:rPr>
        <w:rFonts w:cs="Lucida Sans Unicode"/>
        <w:sz w:val="16"/>
        <w:szCs w:val="16"/>
      </w:rPr>
      <w:fldChar w:fldCharType="begin"/>
    </w:r>
    <w:r w:rsidRPr="00652411">
      <w:rPr>
        <w:rFonts w:cs="Lucida Sans Unicode"/>
        <w:sz w:val="16"/>
        <w:szCs w:val="16"/>
      </w:rPr>
      <w:instrText xml:space="preserve"> PAGE </w:instrText>
    </w:r>
    <w:r w:rsidRPr="00652411">
      <w:rPr>
        <w:rFonts w:cs="Lucida Sans Unicode"/>
        <w:sz w:val="16"/>
        <w:szCs w:val="16"/>
      </w:rPr>
      <w:fldChar w:fldCharType="separate"/>
    </w:r>
    <w:r w:rsidR="000926F5">
      <w:rPr>
        <w:rFonts w:cs="Lucida Sans Unicode"/>
        <w:noProof/>
        <w:sz w:val="16"/>
        <w:szCs w:val="16"/>
      </w:rPr>
      <w:t>2</w:t>
    </w:r>
    <w:r w:rsidRPr="00652411">
      <w:rPr>
        <w:rFonts w:cs="Lucida Sans Unicode"/>
        <w:sz w:val="16"/>
        <w:szCs w:val="16"/>
      </w:rPr>
      <w:fldChar w:fldCharType="end"/>
    </w:r>
    <w:r w:rsidRPr="00652411">
      <w:rPr>
        <w:rFonts w:cs="Lucida Sans Unicode"/>
        <w:sz w:val="16"/>
        <w:szCs w:val="16"/>
      </w:rPr>
      <w:t xml:space="preserve"> of </w:t>
    </w:r>
    <w:r w:rsidRPr="00652411">
      <w:rPr>
        <w:rFonts w:cs="Lucida Sans Unicode"/>
        <w:sz w:val="16"/>
        <w:szCs w:val="16"/>
      </w:rPr>
      <w:fldChar w:fldCharType="begin"/>
    </w:r>
    <w:r w:rsidRPr="00652411">
      <w:rPr>
        <w:rFonts w:cs="Lucida Sans Unicode"/>
        <w:sz w:val="16"/>
        <w:szCs w:val="16"/>
      </w:rPr>
      <w:instrText xml:space="preserve"> NUMPAGES </w:instrText>
    </w:r>
    <w:r w:rsidRPr="00652411">
      <w:rPr>
        <w:rFonts w:cs="Lucida Sans Unicode"/>
        <w:sz w:val="16"/>
        <w:szCs w:val="16"/>
      </w:rPr>
      <w:fldChar w:fldCharType="separate"/>
    </w:r>
    <w:r w:rsidR="000926F5">
      <w:rPr>
        <w:rFonts w:cs="Lucida Sans Unicode"/>
        <w:noProof/>
        <w:sz w:val="16"/>
        <w:szCs w:val="16"/>
      </w:rPr>
      <w:t>24</w:t>
    </w:r>
    <w:r w:rsidRPr="00652411">
      <w:rPr>
        <w:rFonts w:cs="Lucida Sans Unicode"/>
        <w:sz w:val="16"/>
        <w:szCs w:val="16"/>
      </w:rPr>
      <w:fldChar w:fldCharType="end"/>
    </w:r>
    <w:r w:rsidRPr="00652411">
      <w:rPr>
        <w:rFonts w:cs="Lucida Sans Unicode"/>
        <w:sz w:val="16"/>
        <w:szCs w:val="16"/>
      </w:rPr>
      <w:tab/>
    </w:r>
    <w:r w:rsidRPr="00652411">
      <w:rPr>
        <w:rFonts w:cs="Lucida Sans Unicode"/>
        <w:sz w:val="16"/>
        <w:szCs w:val="16"/>
      </w:rPr>
      <w:tab/>
    </w:r>
    <w:r w:rsidRPr="00652411">
      <w:rPr>
        <w:rFonts w:cs="Lucida Sans Unicode"/>
        <w:sz w:val="16"/>
        <w:szCs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Pr="006153AC" w:rsidRDefault="00183A02" w:rsidP="000866FC">
    <w:pPr>
      <w:pBdr>
        <w:top w:val="single" w:sz="4" w:space="1" w:color="auto"/>
        <w:left w:val="single" w:sz="4" w:space="4" w:color="auto"/>
        <w:bottom w:val="single" w:sz="4" w:space="1" w:color="auto"/>
        <w:right w:val="single" w:sz="4" w:space="4" w:color="auto"/>
      </w:pBdr>
      <w:jc w:val="center"/>
      <w:rPr>
        <w:rFonts w:ascii="Calibri" w:hAnsi="Calibri" w:cs="Lucida Sans Unicode"/>
        <w:i/>
        <w:sz w:val="18"/>
        <w:szCs w:val="18"/>
      </w:rPr>
    </w:pPr>
    <w:smartTag w:uri="urn:schemas-microsoft-com:office:smarttags" w:element="PersonName">
      <w:r w:rsidRPr="006153AC">
        <w:rPr>
          <w:rFonts w:ascii="Calibri" w:hAnsi="Calibri" w:cs="Lucida Sans Unicode"/>
          <w:b/>
          <w:color w:val="FF0000"/>
          <w:sz w:val="18"/>
          <w:szCs w:val="18"/>
        </w:rPr>
        <w:t>PSIRU</w:t>
      </w:r>
    </w:smartTag>
    <w:r w:rsidRPr="006153AC">
      <w:rPr>
        <w:rFonts w:ascii="Calibri" w:hAnsi="Calibri" w:cs="Lucida Sans Unicode"/>
        <w:b/>
        <w:color w:val="FF0000"/>
        <w:sz w:val="18"/>
        <w:szCs w:val="18"/>
      </w:rPr>
      <w:t>, Business School, University of Greenwich, Park Row, London SE10 9LS, U.K.</w:t>
    </w:r>
  </w:p>
  <w:p w:rsidR="00183A02" w:rsidRPr="006153AC" w:rsidRDefault="00183A02" w:rsidP="000866FC">
    <w:pPr>
      <w:pBdr>
        <w:top w:val="single" w:sz="4" w:space="1" w:color="auto"/>
        <w:left w:val="single" w:sz="4" w:space="4" w:color="auto"/>
        <w:bottom w:val="single" w:sz="4" w:space="1" w:color="auto"/>
        <w:right w:val="single" w:sz="4" w:space="4" w:color="auto"/>
      </w:pBdr>
      <w:jc w:val="center"/>
      <w:rPr>
        <w:rFonts w:ascii="Calibri" w:hAnsi="Calibri" w:cs="Lucida Sans Unicode"/>
        <w:sz w:val="18"/>
        <w:szCs w:val="18"/>
      </w:rPr>
    </w:pPr>
    <w:r w:rsidRPr="006153AC">
      <w:rPr>
        <w:rFonts w:ascii="Calibri" w:hAnsi="Calibri" w:cs="Lucida Sans Unicode"/>
        <w:iCs/>
        <w:sz w:val="18"/>
        <w:szCs w:val="18"/>
      </w:rPr>
      <w:t xml:space="preserve">Website: </w:t>
    </w:r>
    <w:hyperlink r:id="rId1" w:history="1">
      <w:r w:rsidRPr="006153AC">
        <w:rPr>
          <w:rStyle w:val="Hyperlink"/>
          <w:rFonts w:ascii="Calibri" w:hAnsi="Calibri" w:cs="Lucida Sans Unicode"/>
          <w:sz w:val="18"/>
          <w:szCs w:val="18"/>
        </w:rPr>
        <w:t>www.psiru.org</w:t>
      </w:r>
    </w:hyperlink>
    <w:r w:rsidRPr="006153AC">
      <w:rPr>
        <w:rFonts w:ascii="Calibri" w:hAnsi="Calibri" w:cs="Lucida Sans Unicode"/>
        <w:sz w:val="18"/>
        <w:szCs w:val="18"/>
      </w:rPr>
      <w:t xml:space="preserve">   </w:t>
    </w:r>
    <w:r w:rsidRPr="006153AC">
      <w:rPr>
        <w:rFonts w:ascii="Calibri" w:hAnsi="Calibri" w:cs="Lucida Sans Unicode"/>
        <w:i/>
        <w:sz w:val="18"/>
        <w:szCs w:val="18"/>
      </w:rPr>
      <w:t xml:space="preserve">Email: </w:t>
    </w:r>
    <w:hyperlink r:id="rId2" w:history="1">
      <w:r w:rsidRPr="004824D2">
        <w:rPr>
          <w:rStyle w:val="Hyperlink"/>
          <w:rFonts w:ascii="Calibri" w:hAnsi="Calibri" w:cs="Lucida Sans Unicode"/>
          <w:i/>
          <w:sz w:val="18"/>
          <w:szCs w:val="18"/>
        </w:rPr>
        <w:t>d.j.hall@gre.ac.uk</w:t>
      </w:r>
    </w:hyperlink>
    <w:r>
      <w:rPr>
        <w:rFonts w:ascii="Calibri" w:hAnsi="Calibri" w:cs="Lucida Sans Unicode"/>
        <w:i/>
        <w:sz w:val="18"/>
        <w:szCs w:val="18"/>
      </w:rPr>
      <w:t xml:space="preserve"> </w:t>
    </w:r>
    <w:r w:rsidRPr="006153AC">
      <w:rPr>
        <w:rFonts w:ascii="Calibri" w:hAnsi="Calibri" w:cs="Lucida Sans Unicode"/>
        <w:sz w:val="18"/>
        <w:szCs w:val="18"/>
      </w:rPr>
      <w:t xml:space="preserve"> </w:t>
    </w:r>
    <w:r w:rsidRPr="006153AC">
      <w:rPr>
        <w:rFonts w:ascii="Calibri" w:hAnsi="Calibri" w:cs="Lucida Sans Unicode"/>
        <w:i/>
        <w:sz w:val="18"/>
        <w:szCs w:val="18"/>
      </w:rPr>
      <w:t>Tel</w:t>
    </w:r>
    <w:r>
      <w:rPr>
        <w:rFonts w:ascii="Calibri" w:hAnsi="Calibri" w:cs="Lucida Sans Unicode"/>
        <w:sz w:val="18"/>
        <w:szCs w:val="18"/>
      </w:rPr>
      <w:t>: +44-(0)208-331-9933</w:t>
    </w:r>
  </w:p>
  <w:p w:rsidR="00183A02" w:rsidRPr="006153AC" w:rsidRDefault="00183A02" w:rsidP="000866FC">
    <w:pPr>
      <w:pBdr>
        <w:top w:val="single" w:sz="4" w:space="1" w:color="auto"/>
        <w:left w:val="single" w:sz="4" w:space="4" w:color="auto"/>
        <w:bottom w:val="single" w:sz="4" w:space="1" w:color="auto"/>
        <w:right w:val="single" w:sz="4" w:space="4" w:color="auto"/>
      </w:pBdr>
      <w:jc w:val="center"/>
      <w:rPr>
        <w:rFonts w:ascii="Calibri" w:hAnsi="Calibri" w:cs="Lucida Sans Unicode"/>
        <w:color w:val="FF0000"/>
        <w:sz w:val="18"/>
        <w:szCs w:val="18"/>
      </w:rPr>
    </w:pPr>
    <w:r w:rsidRPr="006153AC">
      <w:rPr>
        <w:rFonts w:ascii="Calibri" w:hAnsi="Calibri" w:cs="Lucida Sans Unicode"/>
        <w:color w:val="FF0000"/>
        <w:sz w:val="18"/>
        <w:szCs w:val="18"/>
      </w:rPr>
      <w:t xml:space="preserve">Jane </w:t>
    </w:r>
    <w:proofErr w:type="spellStart"/>
    <w:r w:rsidRPr="006153AC">
      <w:rPr>
        <w:rFonts w:ascii="Calibri" w:hAnsi="Calibri" w:cs="Lucida Sans Unicode"/>
        <w:color w:val="FF0000"/>
        <w:sz w:val="18"/>
        <w:szCs w:val="18"/>
      </w:rPr>
      <w:t>Lethbridge</w:t>
    </w:r>
    <w:proofErr w:type="spellEnd"/>
    <w:r>
      <w:rPr>
        <w:rFonts w:ascii="Calibri" w:hAnsi="Calibri" w:cs="Lucida Sans Unicode"/>
        <w:color w:val="FF0000"/>
        <w:sz w:val="18"/>
        <w:szCs w:val="18"/>
      </w:rPr>
      <w:t xml:space="preserve"> </w:t>
    </w:r>
    <w:r w:rsidRPr="006153AC">
      <w:rPr>
        <w:rFonts w:ascii="Calibri" w:hAnsi="Calibri" w:cs="Lucida Sans Unicode"/>
        <w:color w:val="FF0000"/>
        <w:sz w:val="18"/>
        <w:szCs w:val="18"/>
      </w:rPr>
      <w:t>(Director),</w:t>
    </w:r>
    <w:r>
      <w:rPr>
        <w:rFonts w:ascii="Calibri" w:hAnsi="Calibri" w:cs="Lucida Sans Unicode"/>
        <w:color w:val="FF0000"/>
        <w:sz w:val="18"/>
        <w:szCs w:val="18"/>
      </w:rPr>
      <w:t xml:space="preserve"> </w:t>
    </w:r>
    <w:proofErr w:type="spellStart"/>
    <w:r w:rsidRPr="006153AC">
      <w:rPr>
        <w:rFonts w:ascii="Calibri" w:hAnsi="Calibri" w:cs="Lucida Sans Unicode"/>
        <w:color w:val="FF0000"/>
        <w:sz w:val="18"/>
        <w:szCs w:val="18"/>
      </w:rPr>
      <w:t>Prof.</w:t>
    </w:r>
    <w:proofErr w:type="spellEnd"/>
    <w:r w:rsidRPr="006153AC">
      <w:rPr>
        <w:rFonts w:ascii="Calibri" w:hAnsi="Calibri" w:cs="Lucida Sans Unicode"/>
        <w:color w:val="FF0000"/>
        <w:sz w:val="18"/>
        <w:szCs w:val="18"/>
      </w:rPr>
      <w:t xml:space="preserve"> Stephen Thomas, </w:t>
    </w:r>
    <w:proofErr w:type="spellStart"/>
    <w:r w:rsidRPr="006153AC">
      <w:rPr>
        <w:rFonts w:ascii="Calibri" w:hAnsi="Calibri" w:cs="Lucida Sans Unicode"/>
        <w:color w:val="FF0000"/>
        <w:sz w:val="18"/>
        <w:szCs w:val="18"/>
      </w:rPr>
      <w:t>Emanuele</w:t>
    </w:r>
    <w:proofErr w:type="spellEnd"/>
    <w:r w:rsidRPr="006153AC">
      <w:rPr>
        <w:rFonts w:ascii="Calibri" w:hAnsi="Calibri" w:cs="Lucida Sans Unicode"/>
        <w:color w:val="FF0000"/>
        <w:sz w:val="18"/>
        <w:szCs w:val="18"/>
      </w:rPr>
      <w:t xml:space="preserve"> </w:t>
    </w:r>
    <w:proofErr w:type="spellStart"/>
    <w:smartTag w:uri="urn:schemas-microsoft-com:office:smarttags" w:element="PersonName">
      <w:r w:rsidRPr="006153AC">
        <w:rPr>
          <w:rFonts w:ascii="Calibri" w:hAnsi="Calibri" w:cs="Lucida Sans Unicode"/>
          <w:color w:val="FF0000"/>
          <w:sz w:val="18"/>
          <w:szCs w:val="18"/>
        </w:rPr>
        <w:t>Lobina</w:t>
      </w:r>
    </w:smartTag>
    <w:proofErr w:type="spellEnd"/>
    <w:r w:rsidRPr="006153AC">
      <w:rPr>
        <w:rFonts w:ascii="Calibri" w:hAnsi="Calibri" w:cs="Lucida Sans Unicode"/>
        <w:color w:val="FF0000"/>
        <w:sz w:val="18"/>
        <w:szCs w:val="18"/>
      </w:rPr>
      <w:t xml:space="preserve">, David Hall, </w:t>
    </w:r>
    <w:r>
      <w:rPr>
        <w:rFonts w:ascii="Calibri" w:hAnsi="Calibri" w:cs="Lucida Sans Unicode"/>
        <w:color w:val="FF0000"/>
        <w:sz w:val="18"/>
        <w:szCs w:val="18"/>
      </w:rPr>
      <w:t xml:space="preserve">Sandra van </w:t>
    </w:r>
    <w:proofErr w:type="spellStart"/>
    <w:r>
      <w:rPr>
        <w:rFonts w:ascii="Calibri" w:hAnsi="Calibri" w:cs="Lucida Sans Unicode"/>
        <w:color w:val="FF0000"/>
        <w:sz w:val="18"/>
        <w:szCs w:val="18"/>
      </w:rPr>
      <w:t>Niekerk</w:t>
    </w:r>
    <w:proofErr w:type="spellEnd"/>
    <w:r>
      <w:rPr>
        <w:rFonts w:ascii="Calibri" w:hAnsi="Calibri" w:cs="Lucida Sans Unicode"/>
        <w:color w:val="FF0000"/>
        <w:sz w:val="18"/>
        <w:szCs w:val="18"/>
      </w:rPr>
      <w:t xml:space="preserve">, Jenny Nguyen, </w:t>
    </w:r>
    <w:r w:rsidRPr="006153AC">
      <w:rPr>
        <w:rFonts w:ascii="Calibri" w:hAnsi="Calibri" w:cs="Lucida Sans Unicode"/>
        <w:color w:val="FF0000"/>
        <w:sz w:val="18"/>
        <w:szCs w:val="18"/>
      </w:rPr>
      <w:t xml:space="preserve">Vladimir Popov </w:t>
    </w:r>
  </w:p>
  <w:p w:rsidR="00183A02" w:rsidRDefault="00183A02" w:rsidP="0052568E">
    <w:pPr>
      <w:jc w:val="both"/>
      <w:rPr>
        <w:rFonts w:ascii="Lucida Sans Unicode" w:hAnsi="Lucida Sans Unicode" w:cs="Lucida Sans Unicode"/>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F0E" w:rsidRDefault="00E31F0E" w:rsidP="00992566">
      <w:r>
        <w:separator/>
      </w:r>
    </w:p>
  </w:footnote>
  <w:footnote w:type="continuationSeparator" w:id="0">
    <w:p w:rsidR="00E31F0E" w:rsidRDefault="00E31F0E" w:rsidP="00992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Default="00183A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Pr="00652411" w:rsidRDefault="00183A02" w:rsidP="00507056">
    <w:pPr>
      <w:pStyle w:val="Header"/>
      <w:pBdr>
        <w:bottom w:val="single" w:sz="4" w:space="1" w:color="FF0000"/>
      </w:pBdr>
      <w:rPr>
        <w:rFonts w:cs="Lucida Sans Unicode"/>
        <w:sz w:val="16"/>
        <w:szCs w:val="16"/>
      </w:rPr>
    </w:pPr>
    <w:smartTag w:uri="urn:schemas-microsoft-com:office:smarttags" w:element="PersonName">
      <w:r w:rsidRPr="00652411">
        <w:rPr>
          <w:rFonts w:cs="Lucida Sans Unicode"/>
          <w:sz w:val="16"/>
          <w:szCs w:val="16"/>
        </w:rPr>
        <w:t>PSIRU</w:t>
      </w:r>
    </w:smartTag>
    <w:r w:rsidRPr="00652411">
      <w:rPr>
        <w:rFonts w:cs="Lucida Sans Unicode"/>
        <w:sz w:val="16"/>
        <w:szCs w:val="16"/>
      </w:rPr>
      <w:t xml:space="preserve"> University of Greenwich                           </w:t>
    </w:r>
    <w:r>
      <w:rPr>
        <w:rFonts w:cs="Lucida Sans Unicode"/>
        <w:sz w:val="16"/>
        <w:szCs w:val="16"/>
      </w:rPr>
      <w:t xml:space="preserve">                      </w:t>
    </w:r>
    <w:r w:rsidRPr="00652411">
      <w:rPr>
        <w:rFonts w:cs="Lucida Sans Unicode"/>
        <w:sz w:val="16"/>
        <w:szCs w:val="16"/>
      </w:rPr>
      <w:t xml:space="preserve">                                                                       </w:t>
    </w:r>
    <w:hyperlink r:id="rId1" w:history="1">
      <w:r w:rsidRPr="00652411">
        <w:rPr>
          <w:rStyle w:val="Hyperlink"/>
          <w:rFonts w:cs="Lucida Sans Unicode"/>
          <w:sz w:val="16"/>
          <w:szCs w:val="16"/>
        </w:rPr>
        <w:t>www.psiru.org</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A02" w:rsidRDefault="00183A02" w:rsidP="00B05F6D">
    <w:pPr>
      <w:pStyle w:val="Header"/>
    </w:pPr>
    <w:r>
      <w:rPr>
        <w:noProof/>
      </w:rPr>
      <mc:AlternateContent>
        <mc:Choice Requires="wps">
          <w:drawing>
            <wp:anchor distT="0" distB="0" distL="114300" distR="114300" simplePos="0" relativeHeight="251657728" behindDoc="0" locked="0" layoutInCell="1" allowOverlap="1" wp14:anchorId="5D9786E5" wp14:editId="191EE300">
              <wp:simplePos x="0" y="0"/>
              <wp:positionH relativeFrom="column">
                <wp:posOffset>1593902</wp:posOffset>
              </wp:positionH>
              <wp:positionV relativeFrom="paragraph">
                <wp:posOffset>50501</wp:posOffset>
              </wp:positionV>
              <wp:extent cx="4457700" cy="533193"/>
              <wp:effectExtent l="0" t="0" r="0" b="63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53319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83A02" w:rsidRPr="004E3457" w:rsidRDefault="00183A02"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183A02" w:rsidRPr="00B05F6D" w:rsidRDefault="00183A02" w:rsidP="004E3457">
                          <w:pPr>
                            <w:spacing w:line="600" w:lineRule="auto"/>
                            <w:jc w:val="center"/>
                            <w:rPr>
                              <w:rFonts w:ascii="Lucida Sans Unicode" w:hAnsi="Lucida Sans Unicode" w:cs="Lucida Sans Unicode"/>
                              <w:sz w:val="20"/>
                              <w:szCs w:val="20"/>
                            </w:rPr>
                          </w:pPr>
                          <w:hyperlink r:id="rId1" w:history="1">
                            <w:r w:rsidRPr="00B05F6D">
                              <w:rPr>
                                <w:rStyle w:val="Hyperlink"/>
                                <w:rFonts w:ascii="Lucida Sans Unicode" w:hAnsi="Lucida Sans Unicode" w:cs="Lucida Sans Unicode"/>
                                <w:sz w:val="20"/>
                                <w:szCs w:val="20"/>
                                <w:u w:val="none"/>
                              </w:rPr>
                              <w:t>www.psiru.org</w:t>
                            </w:r>
                          </w:hyperlink>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125.5pt;margin-top:4pt;width:351pt;height:4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" stroked="f">
              <v:textbox inset=".5mm,.3mm,.5mm,.3mm">
                <w:txbxContent>
                  <w:p w:rsidR="00183A02" w:rsidRPr="004E3457" w:rsidRDefault="00183A02" w:rsidP="00B05F6D">
                    <w:pPr>
                      <w:jc w:val="center"/>
                      <w:rPr>
                        <w:rFonts w:ascii="Lucida Sans Unicode" w:hAnsi="Lucida Sans Unicode" w:cs="Lucida Sans Unicode"/>
                        <w:b/>
                        <w:sz w:val="26"/>
                        <w:szCs w:val="26"/>
                      </w:rPr>
                    </w:pPr>
                    <w:r w:rsidRPr="004E3457">
                      <w:rPr>
                        <w:rFonts w:ascii="Lucida Sans Unicode" w:hAnsi="Lucida Sans Unicode" w:cs="Lucida Sans Unicode"/>
                        <w:b/>
                        <w:color w:val="FF0000"/>
                        <w:sz w:val="26"/>
                        <w:szCs w:val="26"/>
                      </w:rPr>
                      <w:t>Public Services International Research Unit (</w:t>
                    </w:r>
                    <w:smartTag w:uri="urn:schemas-microsoft-com:office:smarttags" w:element="PersonName">
                      <w:r w:rsidRPr="004E3457">
                        <w:rPr>
                          <w:rFonts w:ascii="Lucida Sans Unicode" w:hAnsi="Lucida Sans Unicode" w:cs="Lucida Sans Unicode"/>
                          <w:b/>
                          <w:color w:val="FF0000"/>
                          <w:sz w:val="26"/>
                          <w:szCs w:val="26"/>
                        </w:rPr>
                        <w:t>PSIRU</w:t>
                      </w:r>
                    </w:smartTag>
                    <w:r w:rsidRPr="004E3457">
                      <w:rPr>
                        <w:rFonts w:ascii="Lucida Sans Unicode" w:hAnsi="Lucida Sans Unicode" w:cs="Lucida Sans Unicode"/>
                        <w:b/>
                        <w:color w:val="FF0000"/>
                        <w:sz w:val="26"/>
                        <w:szCs w:val="26"/>
                      </w:rPr>
                      <w:t>)</w:t>
                    </w:r>
                    <w:r w:rsidRPr="004E3457">
                      <w:rPr>
                        <w:rFonts w:ascii="Lucida Sans Unicode" w:hAnsi="Lucida Sans Unicode" w:cs="Lucida Sans Unicode"/>
                        <w:b/>
                        <w:sz w:val="26"/>
                        <w:szCs w:val="26"/>
                      </w:rPr>
                      <w:t xml:space="preserve"> </w:t>
                    </w:r>
                  </w:p>
                  <w:p w:rsidR="00183A02" w:rsidRPr="00B05F6D" w:rsidRDefault="00183A02" w:rsidP="004E3457">
                    <w:pPr>
                      <w:spacing w:line="600" w:lineRule="auto"/>
                      <w:jc w:val="center"/>
                      <w:rPr>
                        <w:rFonts w:ascii="Lucida Sans Unicode" w:hAnsi="Lucida Sans Unicode" w:cs="Lucida Sans Unicode"/>
                        <w:sz w:val="20"/>
                        <w:szCs w:val="20"/>
                      </w:rPr>
                    </w:pPr>
                    <w:hyperlink r:id="rId2" w:history="1">
                      <w:r w:rsidRPr="00B05F6D">
                        <w:rPr>
                          <w:rStyle w:val="Hyperlink"/>
                          <w:rFonts w:ascii="Lucida Sans Unicode" w:hAnsi="Lucida Sans Unicode" w:cs="Lucida Sans Unicode"/>
                          <w:sz w:val="20"/>
                          <w:szCs w:val="20"/>
                          <w:u w:val="none"/>
                        </w:rPr>
                        <w:t>www.psiru.org</w:t>
                      </w:r>
                    </w:hyperlink>
                  </w:p>
                </w:txbxContent>
              </v:textbox>
            </v:shape>
          </w:pict>
        </mc:Fallback>
      </mc:AlternateContent>
    </w:r>
    <w:r>
      <w:rPr>
        <w:noProof/>
        <w:color w:val="0033FF"/>
      </w:rPr>
      <w:drawing>
        <wp:inline distT="0" distB="0" distL="0" distR="0" wp14:anchorId="50F72861" wp14:editId="34D4DF9D">
          <wp:extent cx="1446245" cy="580157"/>
          <wp:effectExtent l="0" t="0" r="1905" b="0"/>
          <wp:docPr id="1" name="Picture 1" descr="Image link: University of Greenwich Home Pag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link: University of Greenwich Home P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0975" cy="582054"/>
                  </a:xfrm>
                  <a:prstGeom prst="rect">
                    <a:avLst/>
                  </a:prstGeom>
                  <a:noFill/>
                  <a:ln>
                    <a:noFill/>
                  </a:ln>
                </pic:spPr>
              </pic:pic>
            </a:graphicData>
          </a:graphic>
        </wp:inline>
      </w:drawing>
    </w:r>
  </w:p>
  <w:p w:rsidR="00183A02" w:rsidRDefault="00183A02" w:rsidP="004E3457">
    <w:pPr>
      <w:pStyle w:val="Header"/>
      <w:pBdr>
        <w:bottom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4D23DD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E0FA74A4"/>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9286BDA4"/>
    <w:lvl w:ilvl="0">
      <w:start w:val="1"/>
      <w:numFmt w:val="decimal"/>
      <w:pStyle w:val="ListNumber3"/>
      <w:lvlText w:val="%1."/>
      <w:lvlJc w:val="left"/>
      <w:pPr>
        <w:tabs>
          <w:tab w:val="num" w:pos="926"/>
        </w:tabs>
        <w:ind w:left="926" w:hanging="360"/>
      </w:pPr>
    </w:lvl>
  </w:abstractNum>
  <w:abstractNum w:abstractNumId="3">
    <w:nsid w:val="FFFFFF7F"/>
    <w:multiLevelType w:val="singleLevel"/>
    <w:tmpl w:val="1BEC850A"/>
    <w:lvl w:ilvl="0">
      <w:start w:val="1"/>
      <w:numFmt w:val="decimal"/>
      <w:pStyle w:val="ListNumber2"/>
      <w:lvlText w:val="%1."/>
      <w:lvlJc w:val="left"/>
      <w:pPr>
        <w:tabs>
          <w:tab w:val="num" w:pos="643"/>
        </w:tabs>
        <w:ind w:left="643" w:hanging="360"/>
      </w:pPr>
    </w:lvl>
  </w:abstractNum>
  <w:abstractNum w:abstractNumId="4">
    <w:nsid w:val="FFFFFF80"/>
    <w:multiLevelType w:val="singleLevel"/>
    <w:tmpl w:val="C5DE5D2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BB0524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F450512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96059F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050492A"/>
    <w:lvl w:ilvl="0">
      <w:start w:val="1"/>
      <w:numFmt w:val="decimal"/>
      <w:pStyle w:val="ListNumber"/>
      <w:lvlText w:val="%1."/>
      <w:lvlJc w:val="left"/>
      <w:pPr>
        <w:tabs>
          <w:tab w:val="num" w:pos="360"/>
        </w:tabs>
        <w:ind w:left="360" w:hanging="360"/>
      </w:pPr>
    </w:lvl>
  </w:abstractNum>
  <w:abstractNum w:abstractNumId="9">
    <w:nsid w:val="FFFFFF89"/>
    <w:multiLevelType w:val="singleLevel"/>
    <w:tmpl w:val="4ABEAD36"/>
    <w:lvl w:ilvl="0">
      <w:start w:val="1"/>
      <w:numFmt w:val="bullet"/>
      <w:lvlText w:val=""/>
      <w:lvlJc w:val="left"/>
      <w:pPr>
        <w:tabs>
          <w:tab w:val="num" w:pos="360"/>
        </w:tabs>
        <w:ind w:left="360" w:hanging="360"/>
      </w:pPr>
      <w:rPr>
        <w:rFonts w:ascii="Symbol" w:hAnsi="Symbol" w:hint="default"/>
      </w:rPr>
    </w:lvl>
  </w:abstractNum>
  <w:abstractNum w:abstractNumId="10">
    <w:nsid w:val="0000000F"/>
    <w:multiLevelType w:val="multilevel"/>
    <w:tmpl w:val="0000000F"/>
    <w:name w:val="WW8Num16"/>
    <w:lvl w:ilvl="0">
      <w:start w:val="1"/>
      <w:numFmt w:val="decimal"/>
      <w:lvlText w:val="Table %1. "/>
      <w:lvlJc w:val="left"/>
      <w:pPr>
        <w:tabs>
          <w:tab w:val="num" w:pos="180"/>
        </w:tabs>
        <w:ind w:left="180" w:hanging="18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10"/>
    <w:multiLevelType w:val="multilevel"/>
    <w:tmpl w:val="00000010"/>
    <w:name w:val="WW8Num18"/>
    <w:lvl w:ilvl="0">
      <w:start w:val="1"/>
      <w:numFmt w:val="decimal"/>
      <w:lvlText w:val="Annexe %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suff w:val="nothing"/>
      <w:lvlText w:val=""/>
      <w:lvlJc w:val="left"/>
      <w:pPr>
        <w:tabs>
          <w:tab w:val="num" w:pos="0"/>
        </w:tabs>
        <w:ind w:left="0" w:firstLine="0"/>
      </w:pPr>
    </w:lvl>
  </w:abstractNum>
  <w:abstractNum w:abstractNumId="12">
    <w:nsid w:val="05AA025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0A157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0A1B522B"/>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12B01A02"/>
    <w:multiLevelType w:val="hybridMultilevel"/>
    <w:tmpl w:val="D58C065E"/>
    <w:lvl w:ilvl="0" w:tplc="18E2F1DC">
      <w:start w:val="1"/>
      <w:numFmt w:val="upperLetter"/>
      <w:pStyle w:val="Heading8"/>
      <w:lvlText w:val="Chart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9D07E3B"/>
    <w:multiLevelType w:val="hybridMultilevel"/>
    <w:tmpl w:val="D79E6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9DA019B"/>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52B0B65"/>
    <w:multiLevelType w:val="hybridMultilevel"/>
    <w:tmpl w:val="87BA8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8F591A"/>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307402F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30B95B0F"/>
    <w:multiLevelType w:val="hybridMultilevel"/>
    <w:tmpl w:val="EAEE6588"/>
    <w:lvl w:ilvl="0" w:tplc="644E978C">
      <w:start w:val="1"/>
      <w:numFmt w:val="bullet"/>
      <w:pStyle w:val="PSIbullet"/>
      <w:lvlText w:val=""/>
      <w:lvlJc w:val="left"/>
      <w:pPr>
        <w:tabs>
          <w:tab w:val="num" w:pos="720"/>
        </w:tabs>
        <w:ind w:left="720" w:hanging="360"/>
      </w:pPr>
      <w:rPr>
        <w:rFonts w:ascii="Symbol" w:hAnsi="Symbol" w:hint="default"/>
      </w:rPr>
    </w:lvl>
    <w:lvl w:ilvl="1" w:tplc="5F4AF296" w:tentative="1">
      <w:start w:val="1"/>
      <w:numFmt w:val="bullet"/>
      <w:lvlText w:val="o"/>
      <w:lvlJc w:val="left"/>
      <w:pPr>
        <w:ind w:left="1440" w:hanging="360"/>
      </w:pPr>
      <w:rPr>
        <w:rFonts w:ascii="Courier New" w:hAnsi="Courier New" w:cs="MS Mincho" w:hint="default"/>
      </w:rPr>
    </w:lvl>
    <w:lvl w:ilvl="2" w:tplc="16C00DEC" w:tentative="1">
      <w:start w:val="1"/>
      <w:numFmt w:val="bullet"/>
      <w:lvlText w:val=""/>
      <w:lvlJc w:val="left"/>
      <w:pPr>
        <w:ind w:left="2160" w:hanging="360"/>
      </w:pPr>
      <w:rPr>
        <w:rFonts w:ascii="Wingdings" w:hAnsi="Wingdings" w:hint="default"/>
      </w:rPr>
    </w:lvl>
    <w:lvl w:ilvl="3" w:tplc="7E3E8D28" w:tentative="1">
      <w:start w:val="1"/>
      <w:numFmt w:val="bullet"/>
      <w:lvlText w:val=""/>
      <w:lvlJc w:val="left"/>
      <w:pPr>
        <w:ind w:left="2880" w:hanging="360"/>
      </w:pPr>
      <w:rPr>
        <w:rFonts w:ascii="Symbol" w:hAnsi="Symbol" w:hint="default"/>
      </w:rPr>
    </w:lvl>
    <w:lvl w:ilvl="4" w:tplc="B7082B0A" w:tentative="1">
      <w:start w:val="1"/>
      <w:numFmt w:val="bullet"/>
      <w:lvlText w:val="o"/>
      <w:lvlJc w:val="left"/>
      <w:pPr>
        <w:ind w:left="3600" w:hanging="360"/>
      </w:pPr>
      <w:rPr>
        <w:rFonts w:ascii="Courier New" w:hAnsi="Courier New" w:cs="MS Mincho" w:hint="default"/>
      </w:rPr>
    </w:lvl>
    <w:lvl w:ilvl="5" w:tplc="AE0693DA" w:tentative="1">
      <w:start w:val="1"/>
      <w:numFmt w:val="bullet"/>
      <w:lvlText w:val=""/>
      <w:lvlJc w:val="left"/>
      <w:pPr>
        <w:ind w:left="4320" w:hanging="360"/>
      </w:pPr>
      <w:rPr>
        <w:rFonts w:ascii="Wingdings" w:hAnsi="Wingdings" w:hint="default"/>
      </w:rPr>
    </w:lvl>
    <w:lvl w:ilvl="6" w:tplc="B0CE3D2E" w:tentative="1">
      <w:start w:val="1"/>
      <w:numFmt w:val="bullet"/>
      <w:lvlText w:val=""/>
      <w:lvlJc w:val="left"/>
      <w:pPr>
        <w:ind w:left="5040" w:hanging="360"/>
      </w:pPr>
      <w:rPr>
        <w:rFonts w:ascii="Symbol" w:hAnsi="Symbol" w:hint="default"/>
      </w:rPr>
    </w:lvl>
    <w:lvl w:ilvl="7" w:tplc="96EA02B8" w:tentative="1">
      <w:start w:val="1"/>
      <w:numFmt w:val="bullet"/>
      <w:lvlText w:val="o"/>
      <w:lvlJc w:val="left"/>
      <w:pPr>
        <w:ind w:left="5760" w:hanging="360"/>
      </w:pPr>
      <w:rPr>
        <w:rFonts w:ascii="Courier New" w:hAnsi="Courier New" w:cs="MS Mincho" w:hint="default"/>
      </w:rPr>
    </w:lvl>
    <w:lvl w:ilvl="8" w:tplc="CB0877F4" w:tentative="1">
      <w:start w:val="1"/>
      <w:numFmt w:val="bullet"/>
      <w:lvlText w:val=""/>
      <w:lvlJc w:val="left"/>
      <w:pPr>
        <w:ind w:left="6480" w:hanging="360"/>
      </w:pPr>
      <w:rPr>
        <w:rFonts w:ascii="Wingdings" w:hAnsi="Wingdings" w:hint="default"/>
      </w:rPr>
    </w:lvl>
  </w:abstractNum>
  <w:abstractNum w:abstractNumId="22">
    <w:nsid w:val="37F166D5"/>
    <w:multiLevelType w:val="hybridMultilevel"/>
    <w:tmpl w:val="8716C1FE"/>
    <w:lvl w:ilvl="0" w:tplc="BFC6AA94">
      <w:start w:val="1"/>
      <w:numFmt w:val="decimal"/>
      <w:pStyle w:val="Heading7"/>
      <w:lvlText w:val="Table %1. "/>
      <w:lvlJc w:val="left"/>
      <w:pPr>
        <w:tabs>
          <w:tab w:val="num" w:pos="180"/>
        </w:tabs>
        <w:ind w:left="18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nsid w:val="3B6C5B41"/>
    <w:multiLevelType w:val="hybridMultilevel"/>
    <w:tmpl w:val="22C67410"/>
    <w:lvl w:ilvl="0" w:tplc="43A0B384">
      <w:start w:val="1"/>
      <w:numFmt w:val="upperLetter"/>
      <w:pStyle w:val="Heading6"/>
      <w:lvlText w:val="Bo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F334AB6"/>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nsid w:val="44BC2D00"/>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BDB6786"/>
    <w:multiLevelType w:val="multilevel"/>
    <w:tmpl w:val="0DA8493A"/>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792"/>
      </w:pPr>
      <w:rPr>
        <w:rFonts w:hint="default"/>
      </w:rPr>
    </w:lvl>
    <w:lvl w:ilvl="2">
      <w:start w:val="1"/>
      <w:numFmt w:val="decimal"/>
      <w:pStyle w:val="Heading3"/>
      <w:lvlText w:val="%1.%2.%3."/>
      <w:lvlJc w:val="left"/>
      <w:pPr>
        <w:tabs>
          <w:tab w:val="num" w:pos="1224"/>
        </w:tabs>
        <w:ind w:left="1224" w:hanging="1224"/>
      </w:pPr>
      <w:rPr>
        <w:rFonts w:hint="default"/>
      </w:rPr>
    </w:lvl>
    <w:lvl w:ilvl="3">
      <w:start w:val="1"/>
      <w:numFmt w:val="decimal"/>
      <w:lvlText w:val="%1.%2.%3.%4."/>
      <w:lvlJc w:val="left"/>
      <w:pPr>
        <w:tabs>
          <w:tab w:val="num" w:pos="1800"/>
        </w:tabs>
        <w:ind w:left="1728" w:hanging="1728"/>
      </w:pPr>
      <w:rPr>
        <w:rFonts w:hint="default"/>
      </w:rPr>
    </w:lvl>
    <w:lvl w:ilvl="4">
      <w:start w:val="1"/>
      <w:numFmt w:val="decimal"/>
      <w:lvlText w:val="%1.%2.%3.%4.%5."/>
      <w:lvlJc w:val="left"/>
      <w:pPr>
        <w:tabs>
          <w:tab w:val="num" w:pos="2520"/>
        </w:tabs>
        <w:ind w:left="2232" w:hanging="223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E013C32"/>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516C7463"/>
    <w:multiLevelType w:val="multilevel"/>
    <w:tmpl w:val="02C46410"/>
    <w:lvl w:ilvl="0">
      <w:start w:val="1"/>
      <w:numFmt w:val="decimal"/>
      <w:pStyle w:val="Heading9"/>
      <w:lvlText w:val="Annexe %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none"/>
      <w:pStyle w:val="Heading9"/>
      <w:lvlText w:val=""/>
      <w:lvlJc w:val="left"/>
      <w:pPr>
        <w:tabs>
          <w:tab w:val="num" w:pos="360"/>
        </w:tabs>
        <w:ind w:left="0" w:firstLine="0"/>
      </w:pPr>
      <w:rPr>
        <w:rFonts w:hint="default"/>
      </w:rPr>
    </w:lvl>
  </w:abstractNum>
  <w:abstractNum w:abstractNumId="29">
    <w:nsid w:val="53994DF1"/>
    <w:multiLevelType w:val="hybridMultilevel"/>
    <w:tmpl w:val="C20AAA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818474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594C0802"/>
    <w:multiLevelType w:val="hybridMultilevel"/>
    <w:tmpl w:val="CDF483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5C130E4F"/>
    <w:multiLevelType w:val="hybridMultilevel"/>
    <w:tmpl w:val="49C8CA06"/>
    <w:lvl w:ilvl="0" w:tplc="E1C855D2">
      <w:start w:val="1"/>
      <w:numFmt w:val="upperLetter"/>
      <w:lvlText w:val="Box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01B3817"/>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nsid w:val="60F42C93"/>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nsid w:val="62BC0CFC"/>
    <w:multiLevelType w:val="hybridMultilevel"/>
    <w:tmpl w:val="C466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CA31C9"/>
    <w:multiLevelType w:val="hybridMultilevel"/>
    <w:tmpl w:val="9452786C"/>
    <w:lvl w:ilvl="0" w:tplc="00CE0000">
      <w:start w:val="4"/>
      <w:numFmt w:val="bullet"/>
      <w:lvlText w:val="-"/>
      <w:lvlJc w:val="left"/>
      <w:pPr>
        <w:ind w:left="720" w:hanging="360"/>
      </w:pPr>
      <w:rPr>
        <w:rFonts w:ascii="Lucida Sans" w:eastAsia="Times New Roman" w:hAnsi="Lucida Sans" w:cs="Times New Roman" w:hint="default"/>
      </w:rPr>
    </w:lvl>
    <w:lvl w:ilvl="1" w:tplc="00C800E5" w:tentative="1">
      <w:start w:val="1"/>
      <w:numFmt w:val="bullet"/>
      <w:lvlText w:val="o"/>
      <w:lvlJc w:val="left"/>
      <w:pPr>
        <w:ind w:left="1440" w:hanging="360"/>
      </w:pPr>
      <w:rPr>
        <w:rFonts w:ascii="Courier New" w:hAnsi="Courier New" w:cs="Courier New" w:hint="default"/>
      </w:rPr>
    </w:lvl>
    <w:lvl w:ilvl="2" w:tplc="000300E0" w:tentative="1">
      <w:start w:val="1"/>
      <w:numFmt w:val="bullet"/>
      <w:lvlText w:val=""/>
      <w:lvlJc w:val="left"/>
      <w:pPr>
        <w:ind w:left="2160" w:hanging="360"/>
      </w:pPr>
      <w:rPr>
        <w:rFonts w:ascii="Wingdings" w:hAnsi="Wingdings" w:hint="default"/>
      </w:rPr>
    </w:lvl>
    <w:lvl w:ilvl="3" w:tplc="00090000" w:tentative="1">
      <w:start w:val="1"/>
      <w:numFmt w:val="bullet"/>
      <w:lvlText w:val=""/>
      <w:lvlJc w:val="left"/>
      <w:pPr>
        <w:ind w:left="2880" w:hanging="360"/>
      </w:pPr>
      <w:rPr>
        <w:rFonts w:ascii="Symbol" w:hAnsi="Symbol" w:hint="default"/>
      </w:rPr>
    </w:lvl>
    <w:lvl w:ilvl="4" w:tplc="00050008" w:tentative="1">
      <w:start w:val="1"/>
      <w:numFmt w:val="bullet"/>
      <w:lvlText w:val="o"/>
      <w:lvlJc w:val="left"/>
      <w:pPr>
        <w:ind w:left="3600" w:hanging="360"/>
      </w:pPr>
      <w:rPr>
        <w:rFonts w:ascii="Courier New" w:hAnsi="Courier New" w:cs="Courier New" w:hint="default"/>
      </w:rPr>
    </w:lvl>
    <w:lvl w:ilvl="5" w:tplc="00090000" w:tentative="1">
      <w:start w:val="1"/>
      <w:numFmt w:val="bullet"/>
      <w:lvlText w:val=""/>
      <w:lvlJc w:val="left"/>
      <w:pPr>
        <w:ind w:left="4320" w:hanging="360"/>
      </w:pPr>
      <w:rPr>
        <w:rFonts w:ascii="Wingdings" w:hAnsi="Wingdings" w:hint="default"/>
      </w:rPr>
    </w:lvl>
    <w:lvl w:ilvl="6" w:tplc="00010008" w:tentative="1">
      <w:start w:val="1"/>
      <w:numFmt w:val="bullet"/>
      <w:lvlText w:val=""/>
      <w:lvlJc w:val="left"/>
      <w:pPr>
        <w:ind w:left="5040" w:hanging="360"/>
      </w:pPr>
      <w:rPr>
        <w:rFonts w:ascii="Symbol" w:hAnsi="Symbol" w:hint="default"/>
      </w:rPr>
    </w:lvl>
    <w:lvl w:ilvl="7" w:tplc="00090000" w:tentative="1">
      <w:start w:val="1"/>
      <w:numFmt w:val="bullet"/>
      <w:lvlText w:val="o"/>
      <w:lvlJc w:val="left"/>
      <w:pPr>
        <w:ind w:left="5760" w:hanging="360"/>
      </w:pPr>
      <w:rPr>
        <w:rFonts w:ascii="Courier New" w:hAnsi="Courier New" w:cs="Courier New" w:hint="default"/>
      </w:rPr>
    </w:lvl>
    <w:lvl w:ilvl="8" w:tplc="00030008" w:tentative="1">
      <w:start w:val="1"/>
      <w:numFmt w:val="bullet"/>
      <w:lvlText w:val=""/>
      <w:lvlJc w:val="left"/>
      <w:pPr>
        <w:ind w:left="6480" w:hanging="360"/>
      </w:pPr>
      <w:rPr>
        <w:rFonts w:ascii="Wingdings" w:hAnsi="Wingdings" w:hint="default"/>
      </w:rPr>
    </w:lvl>
  </w:abstractNum>
  <w:abstractNum w:abstractNumId="37">
    <w:nsid w:val="68056115"/>
    <w:multiLevelType w:val="hybridMultilevel"/>
    <w:tmpl w:val="419ED542"/>
    <w:lvl w:ilvl="0" w:tplc="0BBCA520">
      <w:start w:val="1"/>
      <w:numFmt w:val="bullet"/>
      <w:lvlText w:val=""/>
      <w:lvlJc w:val="left"/>
      <w:pPr>
        <w:tabs>
          <w:tab w:val="num" w:pos="360"/>
        </w:tabs>
        <w:ind w:left="360" w:hanging="360"/>
      </w:pPr>
      <w:rPr>
        <w:rFonts w:ascii="Symbol" w:hAnsi="Symbol" w:hint="default"/>
      </w:rPr>
    </w:lvl>
    <w:lvl w:ilvl="1" w:tplc="4C04A150" w:tentative="1">
      <w:start w:val="1"/>
      <w:numFmt w:val="bullet"/>
      <w:lvlText w:val="o"/>
      <w:lvlJc w:val="left"/>
      <w:pPr>
        <w:tabs>
          <w:tab w:val="num" w:pos="1080"/>
        </w:tabs>
        <w:ind w:left="1080" w:hanging="360"/>
      </w:pPr>
      <w:rPr>
        <w:rFonts w:ascii="Courier New" w:hAnsi="Courier New" w:cs="MS Mincho" w:hint="default"/>
      </w:rPr>
    </w:lvl>
    <w:lvl w:ilvl="2" w:tplc="19E2358C" w:tentative="1">
      <w:start w:val="1"/>
      <w:numFmt w:val="bullet"/>
      <w:lvlText w:val=""/>
      <w:lvlJc w:val="left"/>
      <w:pPr>
        <w:tabs>
          <w:tab w:val="num" w:pos="1800"/>
        </w:tabs>
        <w:ind w:left="1800" w:hanging="360"/>
      </w:pPr>
      <w:rPr>
        <w:rFonts w:ascii="Wingdings" w:hAnsi="Wingdings" w:hint="default"/>
      </w:rPr>
    </w:lvl>
    <w:lvl w:ilvl="3" w:tplc="88524AA4" w:tentative="1">
      <w:start w:val="1"/>
      <w:numFmt w:val="bullet"/>
      <w:lvlText w:val=""/>
      <w:lvlJc w:val="left"/>
      <w:pPr>
        <w:tabs>
          <w:tab w:val="num" w:pos="2520"/>
        </w:tabs>
        <w:ind w:left="2520" w:hanging="360"/>
      </w:pPr>
      <w:rPr>
        <w:rFonts w:ascii="Symbol" w:hAnsi="Symbol" w:hint="default"/>
      </w:rPr>
    </w:lvl>
    <w:lvl w:ilvl="4" w:tplc="CF905B60" w:tentative="1">
      <w:start w:val="1"/>
      <w:numFmt w:val="bullet"/>
      <w:lvlText w:val="o"/>
      <w:lvlJc w:val="left"/>
      <w:pPr>
        <w:tabs>
          <w:tab w:val="num" w:pos="3240"/>
        </w:tabs>
        <w:ind w:left="3240" w:hanging="360"/>
      </w:pPr>
      <w:rPr>
        <w:rFonts w:ascii="Courier New" w:hAnsi="Courier New" w:cs="MS Mincho" w:hint="default"/>
      </w:rPr>
    </w:lvl>
    <w:lvl w:ilvl="5" w:tplc="D81EB208" w:tentative="1">
      <w:start w:val="1"/>
      <w:numFmt w:val="bullet"/>
      <w:lvlText w:val=""/>
      <w:lvlJc w:val="left"/>
      <w:pPr>
        <w:tabs>
          <w:tab w:val="num" w:pos="3960"/>
        </w:tabs>
        <w:ind w:left="3960" w:hanging="360"/>
      </w:pPr>
      <w:rPr>
        <w:rFonts w:ascii="Wingdings" w:hAnsi="Wingdings" w:hint="default"/>
      </w:rPr>
    </w:lvl>
    <w:lvl w:ilvl="6" w:tplc="7F545D2C" w:tentative="1">
      <w:start w:val="1"/>
      <w:numFmt w:val="bullet"/>
      <w:lvlText w:val=""/>
      <w:lvlJc w:val="left"/>
      <w:pPr>
        <w:tabs>
          <w:tab w:val="num" w:pos="4680"/>
        </w:tabs>
        <w:ind w:left="4680" w:hanging="360"/>
      </w:pPr>
      <w:rPr>
        <w:rFonts w:ascii="Symbol" w:hAnsi="Symbol" w:hint="default"/>
      </w:rPr>
    </w:lvl>
    <w:lvl w:ilvl="7" w:tplc="F4ECAA7E" w:tentative="1">
      <w:start w:val="1"/>
      <w:numFmt w:val="bullet"/>
      <w:lvlText w:val="o"/>
      <w:lvlJc w:val="left"/>
      <w:pPr>
        <w:tabs>
          <w:tab w:val="num" w:pos="5400"/>
        </w:tabs>
        <w:ind w:left="5400" w:hanging="360"/>
      </w:pPr>
      <w:rPr>
        <w:rFonts w:ascii="Courier New" w:hAnsi="Courier New" w:cs="MS Mincho" w:hint="default"/>
      </w:rPr>
    </w:lvl>
    <w:lvl w:ilvl="8" w:tplc="1B60A5E4" w:tentative="1">
      <w:start w:val="1"/>
      <w:numFmt w:val="bullet"/>
      <w:lvlText w:val=""/>
      <w:lvlJc w:val="left"/>
      <w:pPr>
        <w:tabs>
          <w:tab w:val="num" w:pos="6120"/>
        </w:tabs>
        <w:ind w:left="6120" w:hanging="360"/>
      </w:pPr>
      <w:rPr>
        <w:rFonts w:ascii="Wingdings" w:hAnsi="Wingdings" w:hint="default"/>
      </w:rPr>
    </w:lvl>
  </w:abstractNum>
  <w:abstractNum w:abstractNumId="38">
    <w:nsid w:val="684A3935"/>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9">
    <w:nsid w:val="6C0B2914"/>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nsid w:val="6C302A2C"/>
    <w:multiLevelType w:val="hybridMultilevel"/>
    <w:tmpl w:val="0B762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F5907D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714B1354"/>
    <w:multiLevelType w:val="hybridMultilevel"/>
    <w:tmpl w:val="B902F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4BB6985"/>
    <w:multiLevelType w:val="hybridMultilevel"/>
    <w:tmpl w:val="A3CEA2D4"/>
    <w:lvl w:ilvl="0" w:tplc="C4D00B6C">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81F7DB0"/>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28"/>
  </w:num>
  <w:num w:numId="2">
    <w:abstractNumId w:val="13"/>
  </w:num>
  <w:num w:numId="3">
    <w:abstractNumId w:val="19"/>
  </w:num>
  <w:num w:numId="4">
    <w:abstractNumId w:val="34"/>
  </w:num>
  <w:num w:numId="5">
    <w:abstractNumId w:val="12"/>
  </w:num>
  <w:num w:numId="6">
    <w:abstractNumId w:val="14"/>
  </w:num>
  <w:num w:numId="7">
    <w:abstractNumId w:val="33"/>
  </w:num>
  <w:num w:numId="8">
    <w:abstractNumId w:val="44"/>
  </w:num>
  <w:num w:numId="9">
    <w:abstractNumId w:val="38"/>
  </w:num>
  <w:num w:numId="10">
    <w:abstractNumId w:val="24"/>
  </w:num>
  <w:num w:numId="11">
    <w:abstractNumId w:val="39"/>
  </w:num>
  <w:num w:numId="12">
    <w:abstractNumId w:val="17"/>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 w:numId="23">
    <w:abstractNumId w:val="20"/>
  </w:num>
  <w:num w:numId="24">
    <w:abstractNumId w:val="27"/>
  </w:num>
  <w:num w:numId="25">
    <w:abstractNumId w:val="25"/>
  </w:num>
  <w:num w:numId="26">
    <w:abstractNumId w:val="30"/>
  </w:num>
  <w:num w:numId="27">
    <w:abstractNumId w:val="15"/>
  </w:num>
  <w:num w:numId="28">
    <w:abstractNumId w:val="22"/>
  </w:num>
  <w:num w:numId="29">
    <w:abstractNumId w:val="26"/>
  </w:num>
  <w:num w:numId="30">
    <w:abstractNumId w:val="41"/>
  </w:num>
  <w:num w:numId="31">
    <w:abstractNumId w:val="31"/>
  </w:num>
  <w:num w:numId="32">
    <w:abstractNumId w:val="18"/>
  </w:num>
  <w:num w:numId="33">
    <w:abstractNumId w:val="10"/>
  </w:num>
  <w:num w:numId="34">
    <w:abstractNumId w:val="11"/>
  </w:num>
  <w:num w:numId="35">
    <w:abstractNumId w:val="21"/>
  </w:num>
  <w:num w:numId="36">
    <w:abstractNumId w:val="40"/>
  </w:num>
  <w:num w:numId="37">
    <w:abstractNumId w:val="43"/>
  </w:num>
  <w:num w:numId="38">
    <w:abstractNumId w:val="36"/>
  </w:num>
  <w:num w:numId="39">
    <w:abstractNumId w:val="23"/>
  </w:num>
  <w:num w:numId="40">
    <w:abstractNumId w:val="37"/>
  </w:num>
  <w:num w:numId="41">
    <w:abstractNumId w:val="32"/>
  </w:num>
  <w:num w:numId="42">
    <w:abstractNumId w:val="29"/>
  </w:num>
  <w:num w:numId="43">
    <w:abstractNumId w:val="35"/>
  </w:num>
  <w:num w:numId="44">
    <w:abstractNumId w:val="16"/>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6"/>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n-CA" w:vendorID="64" w:dllVersion="131078" w:nlCheck="1"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49" fillcolor="white" stroke="f">
      <v:fill color="white"/>
      <v:stroke on="f"/>
    </o:shapedefaults>
  </w:hdrShapeDefaults>
  <w:footnotePr>
    <w:numFmt w:val="lowerLette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BDA"/>
    <w:rsid w:val="00003155"/>
    <w:rsid w:val="00005843"/>
    <w:rsid w:val="00015021"/>
    <w:rsid w:val="000250E8"/>
    <w:rsid w:val="00043954"/>
    <w:rsid w:val="0005682F"/>
    <w:rsid w:val="00061380"/>
    <w:rsid w:val="000866FC"/>
    <w:rsid w:val="000926F5"/>
    <w:rsid w:val="00092AC5"/>
    <w:rsid w:val="00092F0D"/>
    <w:rsid w:val="000A1AF8"/>
    <w:rsid w:val="000A2AC1"/>
    <w:rsid w:val="000A3572"/>
    <w:rsid w:val="000B38C0"/>
    <w:rsid w:val="000C2BA6"/>
    <w:rsid w:val="000C4CC0"/>
    <w:rsid w:val="000C4D68"/>
    <w:rsid w:val="000D0A3C"/>
    <w:rsid w:val="000E2153"/>
    <w:rsid w:val="000E381A"/>
    <w:rsid w:val="000E78B6"/>
    <w:rsid w:val="000E7B58"/>
    <w:rsid w:val="000F7BE2"/>
    <w:rsid w:val="00114CD2"/>
    <w:rsid w:val="00133529"/>
    <w:rsid w:val="00140705"/>
    <w:rsid w:val="001529ED"/>
    <w:rsid w:val="00152D5E"/>
    <w:rsid w:val="00160E27"/>
    <w:rsid w:val="00172227"/>
    <w:rsid w:val="00183A02"/>
    <w:rsid w:val="0019690A"/>
    <w:rsid w:val="001A0F2E"/>
    <w:rsid w:val="001B689B"/>
    <w:rsid w:val="001C0356"/>
    <w:rsid w:val="001D14A5"/>
    <w:rsid w:val="002348AB"/>
    <w:rsid w:val="00255835"/>
    <w:rsid w:val="00266153"/>
    <w:rsid w:val="00266CAD"/>
    <w:rsid w:val="00284948"/>
    <w:rsid w:val="00295B37"/>
    <w:rsid w:val="002A0662"/>
    <w:rsid w:val="002A2CCF"/>
    <w:rsid w:val="002B21BF"/>
    <w:rsid w:val="002B2D42"/>
    <w:rsid w:val="002B5D5E"/>
    <w:rsid w:val="002C401A"/>
    <w:rsid w:val="002D1211"/>
    <w:rsid w:val="002D59D3"/>
    <w:rsid w:val="002E0566"/>
    <w:rsid w:val="002E40E2"/>
    <w:rsid w:val="002F167A"/>
    <w:rsid w:val="002F2A52"/>
    <w:rsid w:val="00316070"/>
    <w:rsid w:val="00337417"/>
    <w:rsid w:val="0036392C"/>
    <w:rsid w:val="00363DBA"/>
    <w:rsid w:val="00364142"/>
    <w:rsid w:val="00373CB0"/>
    <w:rsid w:val="003877E7"/>
    <w:rsid w:val="00392676"/>
    <w:rsid w:val="003A5667"/>
    <w:rsid w:val="003C2016"/>
    <w:rsid w:val="003D4290"/>
    <w:rsid w:val="003D4DA5"/>
    <w:rsid w:val="003D6FF2"/>
    <w:rsid w:val="003E3F33"/>
    <w:rsid w:val="003F0284"/>
    <w:rsid w:val="003F0916"/>
    <w:rsid w:val="003F7BDA"/>
    <w:rsid w:val="00405082"/>
    <w:rsid w:val="0040701A"/>
    <w:rsid w:val="004236F3"/>
    <w:rsid w:val="00431702"/>
    <w:rsid w:val="00436DC8"/>
    <w:rsid w:val="00442B2F"/>
    <w:rsid w:val="00446581"/>
    <w:rsid w:val="0044692C"/>
    <w:rsid w:val="00446BED"/>
    <w:rsid w:val="00447C44"/>
    <w:rsid w:val="0045028D"/>
    <w:rsid w:val="00454668"/>
    <w:rsid w:val="00463765"/>
    <w:rsid w:val="00472F8D"/>
    <w:rsid w:val="00474C4D"/>
    <w:rsid w:val="00487B75"/>
    <w:rsid w:val="00495363"/>
    <w:rsid w:val="004B000A"/>
    <w:rsid w:val="004D109E"/>
    <w:rsid w:val="004D1DAB"/>
    <w:rsid w:val="004D4CA4"/>
    <w:rsid w:val="004E16E5"/>
    <w:rsid w:val="004E22E7"/>
    <w:rsid w:val="004E3457"/>
    <w:rsid w:val="004E4A00"/>
    <w:rsid w:val="004E5195"/>
    <w:rsid w:val="004F14B8"/>
    <w:rsid w:val="004F1A56"/>
    <w:rsid w:val="004F25F8"/>
    <w:rsid w:val="00503F64"/>
    <w:rsid w:val="00507056"/>
    <w:rsid w:val="00510ED4"/>
    <w:rsid w:val="00515814"/>
    <w:rsid w:val="00515D49"/>
    <w:rsid w:val="00517383"/>
    <w:rsid w:val="0052568E"/>
    <w:rsid w:val="00535DF9"/>
    <w:rsid w:val="00536D83"/>
    <w:rsid w:val="00544CC1"/>
    <w:rsid w:val="00547333"/>
    <w:rsid w:val="0055553F"/>
    <w:rsid w:val="005660D3"/>
    <w:rsid w:val="0056747C"/>
    <w:rsid w:val="005679A6"/>
    <w:rsid w:val="005A3464"/>
    <w:rsid w:val="005A44EE"/>
    <w:rsid w:val="005B54C8"/>
    <w:rsid w:val="005C2ABC"/>
    <w:rsid w:val="005D1789"/>
    <w:rsid w:val="005E35E8"/>
    <w:rsid w:val="005F5C5F"/>
    <w:rsid w:val="00600D3B"/>
    <w:rsid w:val="00605881"/>
    <w:rsid w:val="00606070"/>
    <w:rsid w:val="006142AE"/>
    <w:rsid w:val="006153AC"/>
    <w:rsid w:val="00616710"/>
    <w:rsid w:val="0061695B"/>
    <w:rsid w:val="00617C70"/>
    <w:rsid w:val="00617F41"/>
    <w:rsid w:val="006511E6"/>
    <w:rsid w:val="00652411"/>
    <w:rsid w:val="006524DF"/>
    <w:rsid w:val="006669E8"/>
    <w:rsid w:val="00675C9E"/>
    <w:rsid w:val="00682617"/>
    <w:rsid w:val="0069210C"/>
    <w:rsid w:val="0069314A"/>
    <w:rsid w:val="006C3056"/>
    <w:rsid w:val="006C33ED"/>
    <w:rsid w:val="006C40BA"/>
    <w:rsid w:val="006D74FB"/>
    <w:rsid w:val="006E3235"/>
    <w:rsid w:val="006E3FAF"/>
    <w:rsid w:val="006E700F"/>
    <w:rsid w:val="00731B17"/>
    <w:rsid w:val="0074336B"/>
    <w:rsid w:val="007542EB"/>
    <w:rsid w:val="007653D5"/>
    <w:rsid w:val="00765689"/>
    <w:rsid w:val="00777100"/>
    <w:rsid w:val="0078087D"/>
    <w:rsid w:val="00785AC1"/>
    <w:rsid w:val="00791AC4"/>
    <w:rsid w:val="0079323E"/>
    <w:rsid w:val="007934FC"/>
    <w:rsid w:val="0079509D"/>
    <w:rsid w:val="007A7867"/>
    <w:rsid w:val="007B1F8A"/>
    <w:rsid w:val="007B29B9"/>
    <w:rsid w:val="007B636E"/>
    <w:rsid w:val="007C3BF8"/>
    <w:rsid w:val="007C7F69"/>
    <w:rsid w:val="007E1BD6"/>
    <w:rsid w:val="007F1257"/>
    <w:rsid w:val="007F3196"/>
    <w:rsid w:val="007F7799"/>
    <w:rsid w:val="00805B80"/>
    <w:rsid w:val="00814BF3"/>
    <w:rsid w:val="008208D9"/>
    <w:rsid w:val="008273D7"/>
    <w:rsid w:val="00843DF2"/>
    <w:rsid w:val="008964E7"/>
    <w:rsid w:val="008A31DD"/>
    <w:rsid w:val="008A688E"/>
    <w:rsid w:val="008B47A2"/>
    <w:rsid w:val="008E6B90"/>
    <w:rsid w:val="008F6949"/>
    <w:rsid w:val="00902C27"/>
    <w:rsid w:val="009051B3"/>
    <w:rsid w:val="00914919"/>
    <w:rsid w:val="009218D1"/>
    <w:rsid w:val="009317DD"/>
    <w:rsid w:val="00935796"/>
    <w:rsid w:val="0094026C"/>
    <w:rsid w:val="00940985"/>
    <w:rsid w:val="009453FF"/>
    <w:rsid w:val="00962790"/>
    <w:rsid w:val="00963209"/>
    <w:rsid w:val="00963A85"/>
    <w:rsid w:val="00992566"/>
    <w:rsid w:val="00993EB3"/>
    <w:rsid w:val="009B00DD"/>
    <w:rsid w:val="009B0A67"/>
    <w:rsid w:val="009D1818"/>
    <w:rsid w:val="009D3B06"/>
    <w:rsid w:val="009D3CFB"/>
    <w:rsid w:val="009D3F94"/>
    <w:rsid w:val="009F25ED"/>
    <w:rsid w:val="009F4F54"/>
    <w:rsid w:val="00A04949"/>
    <w:rsid w:val="00A067B6"/>
    <w:rsid w:val="00A12C66"/>
    <w:rsid w:val="00A179A8"/>
    <w:rsid w:val="00A27ADD"/>
    <w:rsid w:val="00A528C1"/>
    <w:rsid w:val="00A52ADC"/>
    <w:rsid w:val="00A73B57"/>
    <w:rsid w:val="00A745FE"/>
    <w:rsid w:val="00A80547"/>
    <w:rsid w:val="00A91FB1"/>
    <w:rsid w:val="00AA645D"/>
    <w:rsid w:val="00AB4CC1"/>
    <w:rsid w:val="00AC4C12"/>
    <w:rsid w:val="00AE3F16"/>
    <w:rsid w:val="00AE4879"/>
    <w:rsid w:val="00B02C15"/>
    <w:rsid w:val="00B05F6D"/>
    <w:rsid w:val="00B26B4B"/>
    <w:rsid w:val="00B31F8C"/>
    <w:rsid w:val="00B3769F"/>
    <w:rsid w:val="00B50157"/>
    <w:rsid w:val="00B55310"/>
    <w:rsid w:val="00B55ECF"/>
    <w:rsid w:val="00B67495"/>
    <w:rsid w:val="00B919E5"/>
    <w:rsid w:val="00BB058D"/>
    <w:rsid w:val="00BD165F"/>
    <w:rsid w:val="00BE7438"/>
    <w:rsid w:val="00C358F0"/>
    <w:rsid w:val="00C50DC4"/>
    <w:rsid w:val="00C5136D"/>
    <w:rsid w:val="00C56D47"/>
    <w:rsid w:val="00C57611"/>
    <w:rsid w:val="00C60AC5"/>
    <w:rsid w:val="00C624B9"/>
    <w:rsid w:val="00C666D3"/>
    <w:rsid w:val="00C70622"/>
    <w:rsid w:val="00C75BAA"/>
    <w:rsid w:val="00C80299"/>
    <w:rsid w:val="00C87E0B"/>
    <w:rsid w:val="00C919CD"/>
    <w:rsid w:val="00CB5AF6"/>
    <w:rsid w:val="00CB752B"/>
    <w:rsid w:val="00CC6A26"/>
    <w:rsid w:val="00CF190A"/>
    <w:rsid w:val="00CF7806"/>
    <w:rsid w:val="00D0297F"/>
    <w:rsid w:val="00D04584"/>
    <w:rsid w:val="00D055AD"/>
    <w:rsid w:val="00D1544D"/>
    <w:rsid w:val="00D32050"/>
    <w:rsid w:val="00D63B31"/>
    <w:rsid w:val="00D674EF"/>
    <w:rsid w:val="00D70217"/>
    <w:rsid w:val="00D74E17"/>
    <w:rsid w:val="00D75803"/>
    <w:rsid w:val="00D766C3"/>
    <w:rsid w:val="00D90026"/>
    <w:rsid w:val="00D913EC"/>
    <w:rsid w:val="00D92AA1"/>
    <w:rsid w:val="00D97168"/>
    <w:rsid w:val="00DA3087"/>
    <w:rsid w:val="00DB3246"/>
    <w:rsid w:val="00DD1179"/>
    <w:rsid w:val="00DD41F7"/>
    <w:rsid w:val="00DE1676"/>
    <w:rsid w:val="00DE2B83"/>
    <w:rsid w:val="00DE6C81"/>
    <w:rsid w:val="00DF17B9"/>
    <w:rsid w:val="00DF26C1"/>
    <w:rsid w:val="00DF4185"/>
    <w:rsid w:val="00DF6091"/>
    <w:rsid w:val="00E16EE5"/>
    <w:rsid w:val="00E2546B"/>
    <w:rsid w:val="00E31F0E"/>
    <w:rsid w:val="00E44787"/>
    <w:rsid w:val="00E53CB5"/>
    <w:rsid w:val="00E61335"/>
    <w:rsid w:val="00E74CE1"/>
    <w:rsid w:val="00E90B32"/>
    <w:rsid w:val="00EA5A74"/>
    <w:rsid w:val="00EA7068"/>
    <w:rsid w:val="00EB259A"/>
    <w:rsid w:val="00EC3651"/>
    <w:rsid w:val="00EC43C5"/>
    <w:rsid w:val="00EC6184"/>
    <w:rsid w:val="00ED0688"/>
    <w:rsid w:val="00ED14DB"/>
    <w:rsid w:val="00ED1EFC"/>
    <w:rsid w:val="00EE4E88"/>
    <w:rsid w:val="00F068AE"/>
    <w:rsid w:val="00F12195"/>
    <w:rsid w:val="00F122CA"/>
    <w:rsid w:val="00F20695"/>
    <w:rsid w:val="00F307B6"/>
    <w:rsid w:val="00F4026D"/>
    <w:rsid w:val="00F46FAD"/>
    <w:rsid w:val="00F514E9"/>
    <w:rsid w:val="00F549D5"/>
    <w:rsid w:val="00F56958"/>
    <w:rsid w:val="00F57CBB"/>
    <w:rsid w:val="00F72C07"/>
    <w:rsid w:val="00F8021C"/>
    <w:rsid w:val="00F85A7E"/>
    <w:rsid w:val="00FA20FA"/>
    <w:rsid w:val="00FA2CD3"/>
    <w:rsid w:val="00FB2C50"/>
    <w:rsid w:val="00FD1B91"/>
    <w:rsid w:val="00FE7486"/>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7F7799"/>
    <w:pPr>
      <w:numPr>
        <w:numId w:val="39"/>
      </w:numPr>
      <w:spacing w:before="120" w:after="60"/>
      <w:outlineLvl w:val="5"/>
    </w:pPr>
    <w:rPr>
      <w:rFonts w:asciiTheme="minorHAnsi" w:hAnsiTheme="minorHAnsi"/>
      <w:b/>
      <w:bCs/>
      <w:sz w:val="20"/>
      <w:szCs w:val="22"/>
      <w:lang w:eastAsia="en-US"/>
    </w:rPr>
  </w:style>
  <w:style w:type="paragraph" w:styleId="Heading7">
    <w:name w:val="heading 7"/>
    <w:basedOn w:val="Normal"/>
    <w:next w:val="Normal"/>
    <w:link w:val="Heading7Char"/>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link w:val="Heading8Char"/>
    <w:qFormat/>
    <w:rsid w:val="00D0297F"/>
    <w:pPr>
      <w:numPr>
        <w:numId w:val="27"/>
      </w:numPr>
      <w:spacing w:before="240" w:after="60"/>
      <w:outlineLvl w:val="7"/>
    </w:pPr>
    <w:rPr>
      <w:rFonts w:ascii="Trebuchet MS" w:hAnsi="Trebuchet MS"/>
      <w:b/>
      <w:iCs/>
      <w:sz w:val="20"/>
      <w:lang w:eastAsia="en-US"/>
    </w:rPr>
  </w:style>
  <w:style w:type="paragraph" w:styleId="Heading9">
    <w:name w:val="heading 9"/>
    <w:aliases w:val="Chart"/>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link w:val="EndnoteTextChar2"/>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731B17"/>
    <w:pPr>
      <w:ind w:left="720"/>
    </w:pPr>
    <w:rPr>
      <w:rFonts w:asciiTheme="minorHAnsi" w:hAnsiTheme="minorHAnsi"/>
    </w:rPr>
  </w:style>
  <w:style w:type="table" w:styleId="TableGrid">
    <w:name w:val="Table Grid"/>
    <w:basedOn w:val="TableNormal"/>
    <w:uiPriority w:val="59"/>
    <w:rsid w:val="00731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rsid w:val="00731B17"/>
    <w:rPr>
      <w:vertAlign w:val="superscript"/>
    </w:rPr>
  </w:style>
  <w:style w:type="character" w:customStyle="1" w:styleId="EndnoteTextChar2">
    <w:name w:val="Endnote Text Char2"/>
    <w:aliases w:val="Endnote Text Char Char,Endnote Text Char1 Char Char,Endnote Text Char Char Char Char1 Char Char,Endnote Text Char Char Char Char Char Char Char,Endnote Text Char Char Char Char Char Char Char Char Char Char,Endnote Text Char1 Char1"/>
    <w:basedOn w:val="DefaultParagraphFont"/>
    <w:link w:val="EndnoteText"/>
    <w:rsid w:val="00731B17"/>
  </w:style>
  <w:style w:type="character" w:customStyle="1" w:styleId="Heading2Char">
    <w:name w:val="Heading 2 Char"/>
    <w:basedOn w:val="DefaultParagraphFont"/>
    <w:link w:val="Heading2"/>
    <w:rsid w:val="00731B17"/>
    <w:rPr>
      <w:rFonts w:ascii="Trebuchet MS" w:hAnsi="Trebuchet MS" w:cs="Arial"/>
      <w:b/>
      <w:bCs/>
      <w:iCs/>
      <w:sz w:val="22"/>
      <w:szCs w:val="28"/>
      <w:lang w:eastAsia="en-US"/>
    </w:rPr>
  </w:style>
  <w:style w:type="character" w:customStyle="1" w:styleId="Heading3Char">
    <w:name w:val="Heading 3 Char"/>
    <w:aliases w:val="H3 Char"/>
    <w:basedOn w:val="DefaultParagraphFont"/>
    <w:link w:val="Heading3"/>
    <w:rsid w:val="00731B17"/>
    <w:rPr>
      <w:rFonts w:ascii="Trebuchet MS" w:hAnsi="Trebuchet MS" w:cs="Arial"/>
      <w:b/>
      <w:bCs/>
      <w:szCs w:val="26"/>
      <w:lang w:eastAsia="en-US"/>
    </w:rPr>
  </w:style>
  <w:style w:type="paragraph" w:customStyle="1" w:styleId="PSIbullet">
    <w:name w:val="PSI_bullet"/>
    <w:basedOn w:val="Normal"/>
    <w:uiPriority w:val="99"/>
    <w:rsid w:val="00731B17"/>
    <w:pPr>
      <w:numPr>
        <w:numId w:val="35"/>
      </w:numPr>
    </w:pPr>
    <w:rPr>
      <w:szCs w:val="22"/>
    </w:rPr>
  </w:style>
  <w:style w:type="character" w:customStyle="1" w:styleId="Heading8Char">
    <w:name w:val="Heading 8 Char"/>
    <w:link w:val="Heading8"/>
    <w:rsid w:val="00731B17"/>
    <w:rPr>
      <w:rFonts w:ascii="Trebuchet MS" w:hAnsi="Trebuchet MS"/>
      <w:b/>
      <w:iCs/>
      <w:szCs w:val="24"/>
      <w:lang w:eastAsia="en-US"/>
    </w:rPr>
  </w:style>
  <w:style w:type="character" w:customStyle="1" w:styleId="addmd">
    <w:name w:val="addmd"/>
    <w:basedOn w:val="DefaultParagraphFont"/>
    <w:rsid w:val="00731B17"/>
  </w:style>
  <w:style w:type="character" w:customStyle="1" w:styleId="Heading7Char">
    <w:name w:val="Heading 7 Char"/>
    <w:link w:val="Heading7"/>
    <w:rsid w:val="00D055AD"/>
    <w:rPr>
      <w:rFonts w:ascii="Trebuchet MS" w:hAnsi="Trebuchet MS"/>
      <w:b/>
      <w:szCs w:val="24"/>
      <w:lang w:eastAsia="en-US"/>
    </w:rPr>
  </w:style>
  <w:style w:type="character" w:customStyle="1" w:styleId="hit">
    <w:name w:val="hit"/>
    <w:basedOn w:val="DefaultParagraphFont"/>
    <w:rsid w:val="00015021"/>
  </w:style>
  <w:style w:type="character" w:customStyle="1" w:styleId="ssl0">
    <w:name w:val="ss_l0"/>
    <w:basedOn w:val="DefaultParagraphFont"/>
    <w:rsid w:val="00015021"/>
  </w:style>
  <w:style w:type="paragraph" w:customStyle="1" w:styleId="authors">
    <w:name w:val="authors"/>
    <w:basedOn w:val="Normal"/>
    <w:rsid w:val="00F56958"/>
    <w:pPr>
      <w:spacing w:before="100" w:beforeAutospacing="1" w:after="100" w:afterAutospacing="1"/>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3235"/>
    <w:rPr>
      <w:sz w:val="22"/>
      <w:szCs w:val="24"/>
    </w:rPr>
  </w:style>
  <w:style w:type="paragraph" w:styleId="Heading1">
    <w:name w:val="heading 1"/>
    <w:basedOn w:val="Normal"/>
    <w:next w:val="Normal"/>
    <w:qFormat/>
    <w:rsid w:val="00515D49"/>
    <w:pPr>
      <w:keepNext/>
      <w:numPr>
        <w:numId w:val="29"/>
      </w:numPr>
      <w:spacing w:before="240" w:after="120"/>
      <w:outlineLvl w:val="0"/>
    </w:pPr>
    <w:rPr>
      <w:rFonts w:ascii="Trebuchet MS" w:hAnsi="Trebuchet MS" w:cs="Arial"/>
      <w:b/>
      <w:bCs/>
      <w:kern w:val="32"/>
      <w:sz w:val="24"/>
      <w:szCs w:val="32"/>
      <w:lang w:eastAsia="en-US"/>
    </w:rPr>
  </w:style>
  <w:style w:type="paragraph" w:styleId="Heading2">
    <w:name w:val="heading 2"/>
    <w:basedOn w:val="Normal"/>
    <w:next w:val="Normal"/>
    <w:link w:val="Heading2Char"/>
    <w:qFormat/>
    <w:rsid w:val="00515D49"/>
    <w:pPr>
      <w:keepNext/>
      <w:numPr>
        <w:ilvl w:val="1"/>
        <w:numId w:val="29"/>
      </w:numPr>
      <w:spacing w:before="240" w:after="60"/>
      <w:outlineLvl w:val="1"/>
    </w:pPr>
    <w:rPr>
      <w:rFonts w:ascii="Trebuchet MS" w:hAnsi="Trebuchet MS" w:cs="Arial"/>
      <w:b/>
      <w:bCs/>
      <w:iCs/>
      <w:szCs w:val="28"/>
      <w:lang w:eastAsia="en-US"/>
    </w:rPr>
  </w:style>
  <w:style w:type="paragraph" w:styleId="Heading3">
    <w:name w:val="heading 3"/>
    <w:aliases w:val="H3"/>
    <w:basedOn w:val="Normal"/>
    <w:next w:val="Normal"/>
    <w:link w:val="Heading3Char"/>
    <w:qFormat/>
    <w:rsid w:val="00515D49"/>
    <w:pPr>
      <w:keepNext/>
      <w:numPr>
        <w:ilvl w:val="2"/>
        <w:numId w:val="29"/>
      </w:numPr>
      <w:spacing w:before="120" w:after="60"/>
      <w:outlineLvl w:val="2"/>
    </w:pPr>
    <w:rPr>
      <w:rFonts w:ascii="Trebuchet MS" w:hAnsi="Trebuchet MS" w:cs="Arial"/>
      <w:b/>
      <w:bCs/>
      <w:sz w:val="20"/>
      <w:szCs w:val="26"/>
      <w:lang w:eastAsia="en-US"/>
    </w:rPr>
  </w:style>
  <w:style w:type="paragraph" w:styleId="Heading4">
    <w:name w:val="heading 4"/>
    <w:basedOn w:val="Normal"/>
    <w:next w:val="Normal"/>
    <w:qFormat/>
    <w:rsid w:val="00043954"/>
    <w:pPr>
      <w:keepNext/>
      <w:numPr>
        <w:ilvl w:val="3"/>
        <w:numId w:val="1"/>
      </w:numPr>
      <w:spacing w:before="60" w:after="60"/>
      <w:ind w:left="0" w:firstLine="0"/>
      <w:outlineLvl w:val="3"/>
    </w:pPr>
    <w:rPr>
      <w:rFonts w:ascii="Trebuchet MS" w:hAnsi="Trebuchet MS"/>
      <w:b/>
      <w:bCs/>
      <w:sz w:val="20"/>
      <w:szCs w:val="28"/>
      <w:lang w:eastAsia="en-US"/>
    </w:rPr>
  </w:style>
  <w:style w:type="paragraph" w:styleId="Heading5">
    <w:name w:val="heading 5"/>
    <w:basedOn w:val="Normal"/>
    <w:next w:val="Normal"/>
    <w:qFormat/>
    <w:rsid w:val="00043954"/>
    <w:pPr>
      <w:numPr>
        <w:ilvl w:val="4"/>
        <w:numId w:val="1"/>
      </w:numPr>
      <w:spacing w:before="240" w:after="60"/>
      <w:outlineLvl w:val="4"/>
    </w:pPr>
    <w:rPr>
      <w:rFonts w:ascii="Trebuchet MS" w:hAnsi="Trebuchet MS"/>
      <w:b/>
      <w:bCs/>
      <w:iCs/>
      <w:sz w:val="20"/>
      <w:szCs w:val="26"/>
      <w:lang w:eastAsia="en-US"/>
    </w:rPr>
  </w:style>
  <w:style w:type="paragraph" w:styleId="Heading6">
    <w:name w:val="heading 6"/>
    <w:basedOn w:val="Normal"/>
    <w:next w:val="Normal"/>
    <w:qFormat/>
    <w:rsid w:val="007F7799"/>
    <w:pPr>
      <w:numPr>
        <w:numId w:val="39"/>
      </w:numPr>
      <w:spacing w:before="120" w:after="60"/>
      <w:outlineLvl w:val="5"/>
    </w:pPr>
    <w:rPr>
      <w:rFonts w:asciiTheme="minorHAnsi" w:hAnsiTheme="minorHAnsi"/>
      <w:b/>
      <w:bCs/>
      <w:sz w:val="20"/>
      <w:szCs w:val="22"/>
      <w:lang w:eastAsia="en-US"/>
    </w:rPr>
  </w:style>
  <w:style w:type="paragraph" w:styleId="Heading7">
    <w:name w:val="heading 7"/>
    <w:basedOn w:val="Normal"/>
    <w:next w:val="Normal"/>
    <w:link w:val="Heading7Char"/>
    <w:qFormat/>
    <w:rsid w:val="00D0297F"/>
    <w:pPr>
      <w:numPr>
        <w:numId w:val="28"/>
      </w:numPr>
      <w:spacing w:before="240" w:after="60"/>
      <w:outlineLvl w:val="6"/>
    </w:pPr>
    <w:rPr>
      <w:rFonts w:ascii="Trebuchet MS" w:hAnsi="Trebuchet MS"/>
      <w:b/>
      <w:sz w:val="20"/>
      <w:lang w:eastAsia="en-US"/>
    </w:rPr>
  </w:style>
  <w:style w:type="paragraph" w:styleId="Heading8">
    <w:name w:val="heading 8"/>
    <w:basedOn w:val="Normal"/>
    <w:next w:val="Normal"/>
    <w:link w:val="Heading8Char"/>
    <w:qFormat/>
    <w:rsid w:val="00D0297F"/>
    <w:pPr>
      <w:numPr>
        <w:numId w:val="27"/>
      </w:numPr>
      <w:spacing w:before="240" w:after="60"/>
      <w:outlineLvl w:val="7"/>
    </w:pPr>
    <w:rPr>
      <w:rFonts w:ascii="Trebuchet MS" w:hAnsi="Trebuchet MS"/>
      <w:b/>
      <w:iCs/>
      <w:sz w:val="20"/>
      <w:lang w:eastAsia="en-US"/>
    </w:rPr>
  </w:style>
  <w:style w:type="paragraph" w:styleId="Heading9">
    <w:name w:val="heading 9"/>
    <w:aliases w:val="Chart"/>
    <w:basedOn w:val="Normal"/>
    <w:next w:val="Normal"/>
    <w:qFormat/>
    <w:rsid w:val="00D0297F"/>
    <w:pPr>
      <w:numPr>
        <w:numId w:val="1"/>
      </w:numPr>
      <w:spacing w:before="240" w:after="60"/>
      <w:outlineLvl w:val="8"/>
    </w:pPr>
    <w:rPr>
      <w:rFonts w:ascii="Trebuchet MS" w:hAnsi="Trebuchet MS" w:cs="Arial"/>
      <w:b/>
      <w:sz w:val="20"/>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E3235"/>
    <w:pPr>
      <w:tabs>
        <w:tab w:val="center" w:pos="4153"/>
        <w:tab w:val="right" w:pos="8306"/>
      </w:tabs>
    </w:pPr>
    <w:rPr>
      <w:rFonts w:ascii="Lucida Sans Unicode" w:hAnsi="Lucida Sans Unicode"/>
      <w:sz w:val="18"/>
    </w:rPr>
  </w:style>
  <w:style w:type="paragraph" w:styleId="Footer">
    <w:name w:val="footer"/>
    <w:basedOn w:val="Normal"/>
    <w:rsid w:val="006E3235"/>
    <w:pPr>
      <w:tabs>
        <w:tab w:val="center" w:pos="4153"/>
        <w:tab w:val="right" w:pos="8306"/>
      </w:tabs>
    </w:pPr>
    <w:rPr>
      <w:rFonts w:ascii="Lucida Sans Unicode" w:hAnsi="Lucida Sans Unicode"/>
      <w:sz w:val="18"/>
    </w:rPr>
  </w:style>
  <w:style w:type="character" w:styleId="Hyperlink">
    <w:name w:val="Hyperlink"/>
    <w:basedOn w:val="DefaultParagraphFont"/>
    <w:uiPriority w:val="99"/>
    <w:rsid w:val="00814BF3"/>
    <w:rPr>
      <w:color w:val="0000FF"/>
      <w:u w:val="single"/>
    </w:rPr>
  </w:style>
  <w:style w:type="table" w:styleId="TableList6">
    <w:name w:val="Table List 6"/>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9002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9002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D9002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9002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9002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9002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9002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9002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900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D9002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9002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9002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styleId="111111">
    <w:name w:val="Outline List 2"/>
    <w:basedOn w:val="NoList"/>
    <w:semiHidden/>
    <w:rsid w:val="007B1F8A"/>
    <w:pPr>
      <w:numPr>
        <w:numId w:val="10"/>
      </w:numPr>
    </w:pPr>
  </w:style>
  <w:style w:type="numbering" w:styleId="1ai">
    <w:name w:val="Outline List 1"/>
    <w:basedOn w:val="NoList"/>
    <w:semiHidden/>
    <w:rsid w:val="007B1F8A"/>
    <w:pPr>
      <w:numPr>
        <w:numId w:val="11"/>
      </w:numPr>
    </w:pPr>
  </w:style>
  <w:style w:type="numbering" w:styleId="ArticleSection">
    <w:name w:val="Outline List 3"/>
    <w:basedOn w:val="NoList"/>
    <w:semiHidden/>
    <w:rsid w:val="007B1F8A"/>
    <w:pPr>
      <w:numPr>
        <w:numId w:val="12"/>
      </w:numPr>
    </w:pPr>
  </w:style>
  <w:style w:type="paragraph" w:styleId="BlockText">
    <w:name w:val="Block Text"/>
    <w:basedOn w:val="Normal"/>
    <w:semiHidden/>
    <w:rsid w:val="007B1F8A"/>
    <w:pPr>
      <w:spacing w:after="120"/>
      <w:ind w:left="1440" w:right="1440"/>
    </w:pPr>
  </w:style>
  <w:style w:type="paragraph" w:styleId="BodyText2">
    <w:name w:val="Body Text 2"/>
    <w:basedOn w:val="Normal"/>
    <w:semiHidden/>
    <w:rsid w:val="007B1F8A"/>
    <w:pPr>
      <w:spacing w:after="120" w:line="480" w:lineRule="auto"/>
    </w:pPr>
  </w:style>
  <w:style w:type="paragraph" w:styleId="BodyText3">
    <w:name w:val="Body Text 3"/>
    <w:basedOn w:val="Normal"/>
    <w:semiHidden/>
    <w:rsid w:val="007B1F8A"/>
    <w:pPr>
      <w:spacing w:after="120"/>
    </w:pPr>
    <w:rPr>
      <w:sz w:val="16"/>
      <w:szCs w:val="16"/>
    </w:rPr>
  </w:style>
  <w:style w:type="paragraph" w:styleId="BodyText">
    <w:name w:val="Body Text"/>
    <w:basedOn w:val="Normal"/>
    <w:rsid w:val="008964E7"/>
  </w:style>
  <w:style w:type="paragraph" w:styleId="BodyTextFirstIndent">
    <w:name w:val="Body Text First Indent"/>
    <w:basedOn w:val="BodyText"/>
    <w:semiHidden/>
    <w:rsid w:val="007B1F8A"/>
    <w:pPr>
      <w:ind w:firstLine="210"/>
    </w:pPr>
  </w:style>
  <w:style w:type="paragraph" w:styleId="BodyTextIndent">
    <w:name w:val="Body Text Indent"/>
    <w:basedOn w:val="Normal"/>
    <w:semiHidden/>
    <w:rsid w:val="007B1F8A"/>
    <w:pPr>
      <w:spacing w:after="120"/>
      <w:ind w:left="283"/>
    </w:pPr>
  </w:style>
  <w:style w:type="paragraph" w:styleId="BodyTextFirstIndent2">
    <w:name w:val="Body Text First Indent 2"/>
    <w:basedOn w:val="BodyTextIndent"/>
    <w:semiHidden/>
    <w:rsid w:val="007B1F8A"/>
    <w:pPr>
      <w:ind w:firstLine="210"/>
    </w:pPr>
  </w:style>
  <w:style w:type="paragraph" w:styleId="BodyTextIndent2">
    <w:name w:val="Body Text Indent 2"/>
    <w:basedOn w:val="Normal"/>
    <w:semiHidden/>
    <w:rsid w:val="007B1F8A"/>
    <w:pPr>
      <w:spacing w:after="120" w:line="480" w:lineRule="auto"/>
      <w:ind w:left="283"/>
    </w:pPr>
  </w:style>
  <w:style w:type="paragraph" w:styleId="BodyTextIndent3">
    <w:name w:val="Body Text Indent 3"/>
    <w:basedOn w:val="Normal"/>
    <w:semiHidden/>
    <w:rsid w:val="007B1F8A"/>
    <w:pPr>
      <w:spacing w:after="120"/>
      <w:ind w:left="283"/>
    </w:pPr>
    <w:rPr>
      <w:sz w:val="16"/>
      <w:szCs w:val="16"/>
    </w:rPr>
  </w:style>
  <w:style w:type="paragraph" w:styleId="Closing">
    <w:name w:val="Closing"/>
    <w:basedOn w:val="Normal"/>
    <w:semiHidden/>
    <w:rsid w:val="007B1F8A"/>
    <w:pPr>
      <w:ind w:left="4252"/>
    </w:pPr>
  </w:style>
  <w:style w:type="paragraph" w:styleId="Date">
    <w:name w:val="Date"/>
    <w:basedOn w:val="Normal"/>
    <w:next w:val="Normal"/>
    <w:semiHidden/>
    <w:rsid w:val="007B1F8A"/>
  </w:style>
  <w:style w:type="paragraph" w:styleId="E-mailSignature">
    <w:name w:val="E-mail Signature"/>
    <w:basedOn w:val="Normal"/>
    <w:semiHidden/>
    <w:rsid w:val="007B1F8A"/>
  </w:style>
  <w:style w:type="character" w:styleId="Emphasis">
    <w:name w:val="Emphasis"/>
    <w:basedOn w:val="DefaultParagraphFont"/>
    <w:qFormat/>
    <w:rsid w:val="007B1F8A"/>
    <w:rPr>
      <w:i/>
      <w:iCs/>
    </w:rPr>
  </w:style>
  <w:style w:type="paragraph" w:styleId="EndnoteText">
    <w:name w:val="endnote text"/>
    <w:aliases w:val="Endnote Text Char,Endnote Text Char1 Char,Endnote Text Char Char Char Char1 Char,Endnote Text Char Char Char Char Char Char,Endnote Text Char Char Char Char Char Char Char Char Char,Endnote Text Char1,Endnote Text Char Char Char Char1"/>
    <w:basedOn w:val="Normal"/>
    <w:link w:val="EndnoteTextChar2"/>
    <w:rsid w:val="007B1F8A"/>
    <w:rPr>
      <w:sz w:val="20"/>
      <w:szCs w:val="20"/>
    </w:rPr>
  </w:style>
  <w:style w:type="paragraph" w:styleId="EnvelopeAddress">
    <w:name w:val="envelope address"/>
    <w:basedOn w:val="Normal"/>
    <w:semiHidden/>
    <w:rsid w:val="007B1F8A"/>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semiHidden/>
    <w:rsid w:val="007B1F8A"/>
    <w:rPr>
      <w:rFonts w:ascii="Arial" w:hAnsi="Arial" w:cs="Arial"/>
      <w:sz w:val="20"/>
      <w:szCs w:val="20"/>
    </w:rPr>
  </w:style>
  <w:style w:type="character" w:styleId="FollowedHyperlink">
    <w:name w:val="FollowedHyperlink"/>
    <w:basedOn w:val="DefaultParagraphFont"/>
    <w:semiHidden/>
    <w:rsid w:val="007B1F8A"/>
    <w:rPr>
      <w:color w:val="800080"/>
      <w:u w:val="single"/>
    </w:rPr>
  </w:style>
  <w:style w:type="character" w:styleId="HTMLAcronym">
    <w:name w:val="HTML Acronym"/>
    <w:basedOn w:val="DefaultParagraphFont"/>
    <w:semiHidden/>
    <w:rsid w:val="007B1F8A"/>
  </w:style>
  <w:style w:type="paragraph" w:styleId="HTMLAddress">
    <w:name w:val="HTML Address"/>
    <w:basedOn w:val="Normal"/>
    <w:semiHidden/>
    <w:rsid w:val="007B1F8A"/>
    <w:rPr>
      <w:i/>
      <w:iCs/>
    </w:rPr>
  </w:style>
  <w:style w:type="character" w:styleId="HTMLCite">
    <w:name w:val="HTML Cite"/>
    <w:basedOn w:val="DefaultParagraphFont"/>
    <w:semiHidden/>
    <w:rsid w:val="007B1F8A"/>
    <w:rPr>
      <w:i/>
      <w:iCs/>
    </w:rPr>
  </w:style>
  <w:style w:type="character" w:styleId="HTMLCode">
    <w:name w:val="HTML Code"/>
    <w:basedOn w:val="DefaultParagraphFont"/>
    <w:semiHidden/>
    <w:rsid w:val="007B1F8A"/>
    <w:rPr>
      <w:rFonts w:ascii="Courier New" w:hAnsi="Courier New" w:cs="Courier New"/>
      <w:sz w:val="20"/>
      <w:szCs w:val="20"/>
    </w:rPr>
  </w:style>
  <w:style w:type="character" w:styleId="HTMLDefinition">
    <w:name w:val="HTML Definition"/>
    <w:basedOn w:val="DefaultParagraphFont"/>
    <w:semiHidden/>
    <w:rsid w:val="007B1F8A"/>
    <w:rPr>
      <w:i/>
      <w:iCs/>
    </w:rPr>
  </w:style>
  <w:style w:type="character" w:styleId="HTMLKeyboard">
    <w:name w:val="HTML Keyboard"/>
    <w:basedOn w:val="DefaultParagraphFont"/>
    <w:semiHidden/>
    <w:rsid w:val="007B1F8A"/>
    <w:rPr>
      <w:rFonts w:ascii="Courier New" w:hAnsi="Courier New" w:cs="Courier New"/>
      <w:sz w:val="20"/>
      <w:szCs w:val="20"/>
    </w:rPr>
  </w:style>
  <w:style w:type="paragraph" w:styleId="HTMLPreformatted">
    <w:name w:val="HTML Preformatted"/>
    <w:basedOn w:val="Normal"/>
    <w:semiHidden/>
    <w:rsid w:val="007B1F8A"/>
    <w:rPr>
      <w:rFonts w:ascii="Courier New" w:hAnsi="Courier New" w:cs="Courier New"/>
      <w:sz w:val="20"/>
      <w:szCs w:val="20"/>
    </w:rPr>
  </w:style>
  <w:style w:type="character" w:styleId="HTMLSample">
    <w:name w:val="HTML Sample"/>
    <w:basedOn w:val="DefaultParagraphFont"/>
    <w:semiHidden/>
    <w:rsid w:val="007B1F8A"/>
    <w:rPr>
      <w:rFonts w:ascii="Courier New" w:hAnsi="Courier New" w:cs="Courier New"/>
    </w:rPr>
  </w:style>
  <w:style w:type="character" w:styleId="HTMLTypewriter">
    <w:name w:val="HTML Typewriter"/>
    <w:basedOn w:val="DefaultParagraphFont"/>
    <w:semiHidden/>
    <w:rsid w:val="007B1F8A"/>
    <w:rPr>
      <w:rFonts w:ascii="Courier New" w:hAnsi="Courier New" w:cs="Courier New"/>
      <w:sz w:val="20"/>
      <w:szCs w:val="20"/>
    </w:rPr>
  </w:style>
  <w:style w:type="character" w:styleId="HTMLVariable">
    <w:name w:val="HTML Variable"/>
    <w:basedOn w:val="DefaultParagraphFont"/>
    <w:semiHidden/>
    <w:rsid w:val="007B1F8A"/>
    <w:rPr>
      <w:i/>
      <w:iCs/>
    </w:rPr>
  </w:style>
  <w:style w:type="character" w:styleId="LineNumber">
    <w:name w:val="line number"/>
    <w:basedOn w:val="DefaultParagraphFont"/>
    <w:semiHidden/>
    <w:rsid w:val="007B1F8A"/>
  </w:style>
  <w:style w:type="paragraph" w:styleId="List">
    <w:name w:val="List"/>
    <w:basedOn w:val="Normal"/>
    <w:semiHidden/>
    <w:rsid w:val="007B1F8A"/>
    <w:pPr>
      <w:ind w:left="283" w:hanging="283"/>
    </w:pPr>
  </w:style>
  <w:style w:type="paragraph" w:styleId="List2">
    <w:name w:val="List 2"/>
    <w:basedOn w:val="Normal"/>
    <w:semiHidden/>
    <w:rsid w:val="007B1F8A"/>
    <w:pPr>
      <w:ind w:left="566" w:hanging="283"/>
    </w:pPr>
  </w:style>
  <w:style w:type="paragraph" w:styleId="List3">
    <w:name w:val="List 3"/>
    <w:basedOn w:val="Normal"/>
    <w:semiHidden/>
    <w:rsid w:val="007B1F8A"/>
    <w:pPr>
      <w:ind w:left="849" w:hanging="283"/>
    </w:pPr>
  </w:style>
  <w:style w:type="paragraph" w:styleId="List4">
    <w:name w:val="List 4"/>
    <w:basedOn w:val="Normal"/>
    <w:semiHidden/>
    <w:rsid w:val="007B1F8A"/>
    <w:pPr>
      <w:ind w:left="1132" w:hanging="283"/>
    </w:pPr>
  </w:style>
  <w:style w:type="paragraph" w:styleId="List5">
    <w:name w:val="List 5"/>
    <w:basedOn w:val="Normal"/>
    <w:semiHidden/>
    <w:rsid w:val="007B1F8A"/>
    <w:pPr>
      <w:ind w:left="1415" w:hanging="283"/>
    </w:pPr>
  </w:style>
  <w:style w:type="paragraph" w:styleId="ListBullet2">
    <w:name w:val="List Bullet 2"/>
    <w:basedOn w:val="Normal"/>
    <w:autoRedefine/>
    <w:semiHidden/>
    <w:rsid w:val="007B1F8A"/>
    <w:pPr>
      <w:numPr>
        <w:numId w:val="13"/>
      </w:numPr>
    </w:pPr>
  </w:style>
  <w:style w:type="paragraph" w:styleId="ListBullet3">
    <w:name w:val="List Bullet 3"/>
    <w:basedOn w:val="Normal"/>
    <w:autoRedefine/>
    <w:semiHidden/>
    <w:rsid w:val="007B1F8A"/>
    <w:pPr>
      <w:numPr>
        <w:numId w:val="14"/>
      </w:numPr>
    </w:pPr>
  </w:style>
  <w:style w:type="paragraph" w:styleId="ListBullet4">
    <w:name w:val="List Bullet 4"/>
    <w:basedOn w:val="Normal"/>
    <w:autoRedefine/>
    <w:semiHidden/>
    <w:rsid w:val="007B1F8A"/>
    <w:pPr>
      <w:numPr>
        <w:numId w:val="15"/>
      </w:numPr>
    </w:pPr>
  </w:style>
  <w:style w:type="paragraph" w:styleId="ListBullet5">
    <w:name w:val="List Bullet 5"/>
    <w:basedOn w:val="Normal"/>
    <w:autoRedefine/>
    <w:semiHidden/>
    <w:rsid w:val="007B1F8A"/>
    <w:pPr>
      <w:numPr>
        <w:numId w:val="16"/>
      </w:numPr>
    </w:pPr>
  </w:style>
  <w:style w:type="paragraph" w:styleId="ListContinue">
    <w:name w:val="List Continue"/>
    <w:basedOn w:val="Normal"/>
    <w:semiHidden/>
    <w:rsid w:val="007B1F8A"/>
    <w:pPr>
      <w:spacing w:after="120"/>
      <w:ind w:left="283"/>
    </w:pPr>
  </w:style>
  <w:style w:type="paragraph" w:styleId="ListContinue2">
    <w:name w:val="List Continue 2"/>
    <w:basedOn w:val="Normal"/>
    <w:semiHidden/>
    <w:rsid w:val="007B1F8A"/>
    <w:pPr>
      <w:spacing w:after="120"/>
      <w:ind w:left="566"/>
    </w:pPr>
  </w:style>
  <w:style w:type="paragraph" w:styleId="ListContinue3">
    <w:name w:val="List Continue 3"/>
    <w:basedOn w:val="Normal"/>
    <w:semiHidden/>
    <w:rsid w:val="007B1F8A"/>
    <w:pPr>
      <w:spacing w:after="120"/>
      <w:ind w:left="849"/>
    </w:pPr>
  </w:style>
  <w:style w:type="paragraph" w:styleId="ListContinue4">
    <w:name w:val="List Continue 4"/>
    <w:basedOn w:val="Normal"/>
    <w:semiHidden/>
    <w:rsid w:val="007B1F8A"/>
    <w:pPr>
      <w:spacing w:after="120"/>
      <w:ind w:left="1132"/>
    </w:pPr>
  </w:style>
  <w:style w:type="paragraph" w:styleId="ListContinue5">
    <w:name w:val="List Continue 5"/>
    <w:basedOn w:val="Normal"/>
    <w:semiHidden/>
    <w:rsid w:val="007B1F8A"/>
    <w:pPr>
      <w:spacing w:after="120"/>
      <w:ind w:left="1415"/>
    </w:pPr>
  </w:style>
  <w:style w:type="paragraph" w:styleId="ListNumber">
    <w:name w:val="List Number"/>
    <w:basedOn w:val="Normal"/>
    <w:semiHidden/>
    <w:rsid w:val="007B1F8A"/>
    <w:pPr>
      <w:numPr>
        <w:numId w:val="17"/>
      </w:numPr>
    </w:pPr>
  </w:style>
  <w:style w:type="paragraph" w:styleId="ListNumber2">
    <w:name w:val="List Number 2"/>
    <w:basedOn w:val="Normal"/>
    <w:semiHidden/>
    <w:rsid w:val="007B1F8A"/>
    <w:pPr>
      <w:numPr>
        <w:numId w:val="18"/>
      </w:numPr>
    </w:pPr>
  </w:style>
  <w:style w:type="paragraph" w:styleId="ListNumber3">
    <w:name w:val="List Number 3"/>
    <w:basedOn w:val="Normal"/>
    <w:semiHidden/>
    <w:rsid w:val="007B1F8A"/>
    <w:pPr>
      <w:numPr>
        <w:numId w:val="19"/>
      </w:numPr>
    </w:pPr>
  </w:style>
  <w:style w:type="paragraph" w:styleId="ListNumber4">
    <w:name w:val="List Number 4"/>
    <w:basedOn w:val="Normal"/>
    <w:semiHidden/>
    <w:rsid w:val="007B1F8A"/>
    <w:pPr>
      <w:numPr>
        <w:numId w:val="20"/>
      </w:numPr>
    </w:pPr>
  </w:style>
  <w:style w:type="paragraph" w:styleId="ListNumber5">
    <w:name w:val="List Number 5"/>
    <w:basedOn w:val="Normal"/>
    <w:semiHidden/>
    <w:rsid w:val="007B1F8A"/>
    <w:pPr>
      <w:numPr>
        <w:numId w:val="21"/>
      </w:numPr>
    </w:pPr>
  </w:style>
  <w:style w:type="paragraph" w:styleId="MessageHeader">
    <w:name w:val="Message Header"/>
    <w:basedOn w:val="Normal"/>
    <w:semiHidden/>
    <w:rsid w:val="007B1F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NormalWeb">
    <w:name w:val="Normal (Web)"/>
    <w:basedOn w:val="Normal"/>
    <w:uiPriority w:val="99"/>
    <w:rsid w:val="007B1F8A"/>
    <w:rPr>
      <w:sz w:val="24"/>
    </w:rPr>
  </w:style>
  <w:style w:type="paragraph" w:styleId="NormalIndent">
    <w:name w:val="Normal Indent"/>
    <w:basedOn w:val="Normal"/>
    <w:semiHidden/>
    <w:rsid w:val="007B1F8A"/>
    <w:pPr>
      <w:ind w:left="720"/>
    </w:pPr>
  </w:style>
  <w:style w:type="paragraph" w:styleId="NoteHeading">
    <w:name w:val="Note Heading"/>
    <w:basedOn w:val="Normal"/>
    <w:next w:val="Normal"/>
    <w:semiHidden/>
    <w:rsid w:val="007B1F8A"/>
  </w:style>
  <w:style w:type="character" w:styleId="PageNumber">
    <w:name w:val="page number"/>
    <w:basedOn w:val="DefaultParagraphFont"/>
    <w:semiHidden/>
    <w:rsid w:val="007B1F8A"/>
  </w:style>
  <w:style w:type="paragraph" w:styleId="PlainText">
    <w:name w:val="Plain Text"/>
    <w:basedOn w:val="Normal"/>
    <w:semiHidden/>
    <w:rsid w:val="007B1F8A"/>
    <w:rPr>
      <w:rFonts w:ascii="Courier New" w:hAnsi="Courier New" w:cs="Courier New"/>
      <w:sz w:val="20"/>
      <w:szCs w:val="20"/>
    </w:rPr>
  </w:style>
  <w:style w:type="paragraph" w:styleId="Salutation">
    <w:name w:val="Salutation"/>
    <w:basedOn w:val="Normal"/>
    <w:next w:val="Normal"/>
    <w:semiHidden/>
    <w:rsid w:val="007B1F8A"/>
  </w:style>
  <w:style w:type="paragraph" w:styleId="Signature">
    <w:name w:val="Signature"/>
    <w:basedOn w:val="Normal"/>
    <w:semiHidden/>
    <w:rsid w:val="007B1F8A"/>
    <w:pPr>
      <w:ind w:left="4252"/>
    </w:pPr>
  </w:style>
  <w:style w:type="character" w:styleId="Strong">
    <w:name w:val="Strong"/>
    <w:basedOn w:val="DefaultParagraphFont"/>
    <w:uiPriority w:val="22"/>
    <w:qFormat/>
    <w:rsid w:val="007B1F8A"/>
    <w:rPr>
      <w:b/>
      <w:bCs/>
    </w:rPr>
  </w:style>
  <w:style w:type="paragraph" w:styleId="Subtitle">
    <w:name w:val="Subtitle"/>
    <w:basedOn w:val="Normal"/>
    <w:qFormat/>
    <w:rsid w:val="00515D49"/>
    <w:pPr>
      <w:spacing w:after="60"/>
      <w:jc w:val="center"/>
      <w:outlineLvl w:val="1"/>
    </w:pPr>
    <w:rPr>
      <w:rFonts w:ascii="Lucida Sans Unicode" w:hAnsi="Lucida Sans Unicode" w:cs="Arial"/>
      <w:b/>
      <w:color w:val="FF0000"/>
      <w:sz w:val="24"/>
    </w:rPr>
  </w:style>
  <w:style w:type="table" w:styleId="Table3Deffects1">
    <w:name w:val="Table 3D effects 1"/>
    <w:basedOn w:val="TableNormal"/>
    <w:semiHidden/>
    <w:rsid w:val="007B1F8A"/>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1F8A"/>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1F8A"/>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1F8A"/>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1F8A"/>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1F8A"/>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semiHidden/>
    <w:rsid w:val="007B1F8A"/>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1F8A"/>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7B1F8A"/>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1F8A"/>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1F8A"/>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1F8A"/>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1F8A"/>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1F8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1F8A"/>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1F8A"/>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1F8A"/>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1F8A"/>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1F8A"/>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1F8A"/>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1F8A"/>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1F8A"/>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1F8A"/>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1F8A"/>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styleId="TOC1">
    <w:name w:val="toc 1"/>
    <w:basedOn w:val="Normal"/>
    <w:next w:val="Normal"/>
    <w:autoRedefine/>
    <w:uiPriority w:val="39"/>
    <w:rsid w:val="007B1F8A"/>
    <w:pPr>
      <w:spacing w:before="120" w:after="120"/>
    </w:pPr>
    <w:rPr>
      <w:b/>
      <w:bCs/>
      <w:caps/>
      <w:sz w:val="20"/>
      <w:szCs w:val="20"/>
    </w:rPr>
  </w:style>
  <w:style w:type="paragraph" w:styleId="Title">
    <w:name w:val="Title"/>
    <w:basedOn w:val="Normal"/>
    <w:qFormat/>
    <w:rsid w:val="007B1F8A"/>
    <w:pPr>
      <w:spacing w:before="240" w:after="60"/>
      <w:jc w:val="center"/>
      <w:outlineLvl w:val="0"/>
    </w:pPr>
    <w:rPr>
      <w:rFonts w:ascii="Lucida Sans Unicode" w:hAnsi="Lucida Sans Unicode" w:cs="Arial"/>
      <w:b/>
      <w:bCs/>
      <w:color w:val="FF0000"/>
      <w:kern w:val="28"/>
      <w:sz w:val="36"/>
      <w:szCs w:val="32"/>
    </w:rPr>
  </w:style>
  <w:style w:type="paragraph" w:styleId="TOC2">
    <w:name w:val="toc 2"/>
    <w:basedOn w:val="Normal"/>
    <w:next w:val="Normal"/>
    <w:autoRedefine/>
    <w:uiPriority w:val="39"/>
    <w:rsid w:val="007B1F8A"/>
    <w:pPr>
      <w:ind w:left="220"/>
    </w:pPr>
    <w:rPr>
      <w:smallCaps/>
      <w:sz w:val="20"/>
      <w:szCs w:val="20"/>
    </w:rPr>
  </w:style>
  <w:style w:type="paragraph" w:styleId="TOC3">
    <w:name w:val="toc 3"/>
    <w:basedOn w:val="Normal"/>
    <w:next w:val="Normal"/>
    <w:autoRedefine/>
    <w:uiPriority w:val="39"/>
    <w:rsid w:val="007B1F8A"/>
    <w:pPr>
      <w:ind w:left="440"/>
    </w:pPr>
    <w:rPr>
      <w:i/>
      <w:iCs/>
      <w:sz w:val="20"/>
      <w:szCs w:val="20"/>
    </w:rPr>
  </w:style>
  <w:style w:type="paragraph" w:styleId="TOC4">
    <w:name w:val="toc 4"/>
    <w:basedOn w:val="Normal"/>
    <w:next w:val="Normal"/>
    <w:autoRedefine/>
    <w:uiPriority w:val="39"/>
    <w:rsid w:val="007B1F8A"/>
    <w:pPr>
      <w:ind w:left="660"/>
    </w:pPr>
    <w:rPr>
      <w:sz w:val="18"/>
      <w:szCs w:val="18"/>
    </w:rPr>
  </w:style>
  <w:style w:type="paragraph" w:styleId="TOC5">
    <w:name w:val="toc 5"/>
    <w:basedOn w:val="Normal"/>
    <w:next w:val="Normal"/>
    <w:autoRedefine/>
    <w:semiHidden/>
    <w:rsid w:val="007B1F8A"/>
    <w:pPr>
      <w:ind w:left="880"/>
    </w:pPr>
    <w:rPr>
      <w:sz w:val="18"/>
      <w:szCs w:val="18"/>
    </w:rPr>
  </w:style>
  <w:style w:type="paragraph" w:styleId="TOC6">
    <w:name w:val="toc 6"/>
    <w:basedOn w:val="Normal"/>
    <w:next w:val="Normal"/>
    <w:autoRedefine/>
    <w:semiHidden/>
    <w:rsid w:val="007B1F8A"/>
    <w:pPr>
      <w:ind w:left="1100"/>
    </w:pPr>
    <w:rPr>
      <w:sz w:val="18"/>
      <w:szCs w:val="18"/>
    </w:rPr>
  </w:style>
  <w:style w:type="paragraph" w:styleId="TOC7">
    <w:name w:val="toc 7"/>
    <w:basedOn w:val="Normal"/>
    <w:next w:val="Normal"/>
    <w:autoRedefine/>
    <w:semiHidden/>
    <w:rsid w:val="007B1F8A"/>
    <w:pPr>
      <w:ind w:left="1320"/>
    </w:pPr>
    <w:rPr>
      <w:sz w:val="18"/>
      <w:szCs w:val="18"/>
    </w:rPr>
  </w:style>
  <w:style w:type="paragraph" w:styleId="TOC8">
    <w:name w:val="toc 8"/>
    <w:basedOn w:val="Normal"/>
    <w:next w:val="Normal"/>
    <w:autoRedefine/>
    <w:semiHidden/>
    <w:rsid w:val="007B1F8A"/>
    <w:pPr>
      <w:ind w:left="1540"/>
    </w:pPr>
    <w:rPr>
      <w:sz w:val="18"/>
      <w:szCs w:val="18"/>
    </w:rPr>
  </w:style>
  <w:style w:type="paragraph" w:styleId="TOC9">
    <w:name w:val="toc 9"/>
    <w:basedOn w:val="Normal"/>
    <w:next w:val="Normal"/>
    <w:autoRedefine/>
    <w:semiHidden/>
    <w:rsid w:val="007B1F8A"/>
    <w:pPr>
      <w:ind w:left="1760"/>
    </w:pPr>
    <w:rPr>
      <w:sz w:val="18"/>
      <w:szCs w:val="18"/>
    </w:rPr>
  </w:style>
  <w:style w:type="paragraph" w:styleId="DocumentMap">
    <w:name w:val="Document Map"/>
    <w:basedOn w:val="Normal"/>
    <w:rsid w:val="00515D49"/>
    <w:pPr>
      <w:shd w:val="clear" w:color="auto" w:fill="000080"/>
    </w:pPr>
    <w:rPr>
      <w:rFonts w:ascii="Browallia New" w:hAnsi="Browallia New" w:cs="Tahoma"/>
      <w:sz w:val="16"/>
    </w:rPr>
  </w:style>
  <w:style w:type="paragraph" w:styleId="BalloonText">
    <w:name w:val="Balloon Text"/>
    <w:basedOn w:val="Normal"/>
    <w:link w:val="BalloonTextChar"/>
    <w:uiPriority w:val="99"/>
    <w:semiHidden/>
    <w:unhideWhenUsed/>
    <w:rsid w:val="00ED0688"/>
    <w:rPr>
      <w:rFonts w:ascii="Tahoma" w:hAnsi="Tahoma" w:cs="Tahoma"/>
      <w:sz w:val="16"/>
      <w:szCs w:val="16"/>
    </w:rPr>
  </w:style>
  <w:style w:type="character" w:customStyle="1" w:styleId="BalloonTextChar">
    <w:name w:val="Balloon Text Char"/>
    <w:basedOn w:val="DefaultParagraphFont"/>
    <w:link w:val="BalloonText"/>
    <w:uiPriority w:val="99"/>
    <w:semiHidden/>
    <w:rsid w:val="00ED0688"/>
    <w:rPr>
      <w:rFonts w:ascii="Tahoma" w:hAnsi="Tahoma" w:cs="Tahoma"/>
      <w:sz w:val="16"/>
      <w:szCs w:val="16"/>
    </w:rPr>
  </w:style>
  <w:style w:type="paragraph" w:styleId="ListParagraph">
    <w:name w:val="List Paragraph"/>
    <w:basedOn w:val="Normal"/>
    <w:uiPriority w:val="34"/>
    <w:qFormat/>
    <w:rsid w:val="00731B17"/>
    <w:pPr>
      <w:ind w:left="720"/>
    </w:pPr>
    <w:rPr>
      <w:rFonts w:asciiTheme="minorHAnsi" w:hAnsiTheme="minorHAnsi"/>
    </w:rPr>
  </w:style>
  <w:style w:type="table" w:styleId="TableGrid">
    <w:name w:val="Table Grid"/>
    <w:basedOn w:val="TableNormal"/>
    <w:uiPriority w:val="59"/>
    <w:rsid w:val="00731B1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rsid w:val="00731B17"/>
    <w:rPr>
      <w:vertAlign w:val="superscript"/>
    </w:rPr>
  </w:style>
  <w:style w:type="character" w:customStyle="1" w:styleId="EndnoteTextChar2">
    <w:name w:val="Endnote Text Char2"/>
    <w:aliases w:val="Endnote Text Char Char,Endnote Text Char1 Char Char,Endnote Text Char Char Char Char1 Char Char,Endnote Text Char Char Char Char Char Char Char,Endnote Text Char Char Char Char Char Char Char Char Char Char,Endnote Text Char1 Char1"/>
    <w:basedOn w:val="DefaultParagraphFont"/>
    <w:link w:val="EndnoteText"/>
    <w:rsid w:val="00731B17"/>
  </w:style>
  <w:style w:type="character" w:customStyle="1" w:styleId="Heading2Char">
    <w:name w:val="Heading 2 Char"/>
    <w:basedOn w:val="DefaultParagraphFont"/>
    <w:link w:val="Heading2"/>
    <w:rsid w:val="00731B17"/>
    <w:rPr>
      <w:rFonts w:ascii="Trebuchet MS" w:hAnsi="Trebuchet MS" w:cs="Arial"/>
      <w:b/>
      <w:bCs/>
      <w:iCs/>
      <w:sz w:val="22"/>
      <w:szCs w:val="28"/>
      <w:lang w:eastAsia="en-US"/>
    </w:rPr>
  </w:style>
  <w:style w:type="character" w:customStyle="1" w:styleId="Heading3Char">
    <w:name w:val="Heading 3 Char"/>
    <w:aliases w:val="H3 Char"/>
    <w:basedOn w:val="DefaultParagraphFont"/>
    <w:link w:val="Heading3"/>
    <w:rsid w:val="00731B17"/>
    <w:rPr>
      <w:rFonts w:ascii="Trebuchet MS" w:hAnsi="Trebuchet MS" w:cs="Arial"/>
      <w:b/>
      <w:bCs/>
      <w:szCs w:val="26"/>
      <w:lang w:eastAsia="en-US"/>
    </w:rPr>
  </w:style>
  <w:style w:type="paragraph" w:customStyle="1" w:styleId="PSIbullet">
    <w:name w:val="PSI_bullet"/>
    <w:basedOn w:val="Normal"/>
    <w:uiPriority w:val="99"/>
    <w:rsid w:val="00731B17"/>
    <w:pPr>
      <w:numPr>
        <w:numId w:val="35"/>
      </w:numPr>
    </w:pPr>
    <w:rPr>
      <w:szCs w:val="22"/>
    </w:rPr>
  </w:style>
  <w:style w:type="character" w:customStyle="1" w:styleId="Heading8Char">
    <w:name w:val="Heading 8 Char"/>
    <w:link w:val="Heading8"/>
    <w:rsid w:val="00731B17"/>
    <w:rPr>
      <w:rFonts w:ascii="Trebuchet MS" w:hAnsi="Trebuchet MS"/>
      <w:b/>
      <w:iCs/>
      <w:szCs w:val="24"/>
      <w:lang w:eastAsia="en-US"/>
    </w:rPr>
  </w:style>
  <w:style w:type="character" w:customStyle="1" w:styleId="addmd">
    <w:name w:val="addmd"/>
    <w:basedOn w:val="DefaultParagraphFont"/>
    <w:rsid w:val="00731B17"/>
  </w:style>
  <w:style w:type="character" w:customStyle="1" w:styleId="Heading7Char">
    <w:name w:val="Heading 7 Char"/>
    <w:link w:val="Heading7"/>
    <w:rsid w:val="00D055AD"/>
    <w:rPr>
      <w:rFonts w:ascii="Trebuchet MS" w:hAnsi="Trebuchet MS"/>
      <w:b/>
      <w:szCs w:val="24"/>
      <w:lang w:eastAsia="en-US"/>
    </w:rPr>
  </w:style>
  <w:style w:type="character" w:customStyle="1" w:styleId="hit">
    <w:name w:val="hit"/>
    <w:basedOn w:val="DefaultParagraphFont"/>
    <w:rsid w:val="00015021"/>
  </w:style>
  <w:style w:type="character" w:customStyle="1" w:styleId="ssl0">
    <w:name w:val="ss_l0"/>
    <w:basedOn w:val="DefaultParagraphFont"/>
    <w:rsid w:val="00015021"/>
  </w:style>
  <w:style w:type="paragraph" w:customStyle="1" w:styleId="authors">
    <w:name w:val="authors"/>
    <w:basedOn w:val="Normal"/>
    <w:rsid w:val="00F56958"/>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3884">
      <w:bodyDiv w:val="1"/>
      <w:marLeft w:val="0"/>
      <w:marRight w:val="0"/>
      <w:marTop w:val="0"/>
      <w:marBottom w:val="0"/>
      <w:divBdr>
        <w:top w:val="none" w:sz="0" w:space="0" w:color="auto"/>
        <w:left w:val="none" w:sz="0" w:space="0" w:color="auto"/>
        <w:bottom w:val="none" w:sz="0" w:space="0" w:color="auto"/>
        <w:right w:val="none" w:sz="0" w:space="0" w:color="auto"/>
      </w:divBdr>
      <w:divsChild>
        <w:div w:id="1942371414">
          <w:marLeft w:val="0"/>
          <w:marRight w:val="0"/>
          <w:marTop w:val="0"/>
          <w:marBottom w:val="0"/>
          <w:divBdr>
            <w:top w:val="none" w:sz="0" w:space="0" w:color="auto"/>
            <w:left w:val="none" w:sz="0" w:space="0" w:color="auto"/>
            <w:bottom w:val="none" w:sz="0" w:space="0" w:color="auto"/>
            <w:right w:val="none" w:sz="0" w:space="0" w:color="auto"/>
          </w:divBdr>
        </w:div>
        <w:div w:id="1043750862">
          <w:marLeft w:val="0"/>
          <w:marRight w:val="0"/>
          <w:marTop w:val="0"/>
          <w:marBottom w:val="0"/>
          <w:divBdr>
            <w:top w:val="none" w:sz="0" w:space="0" w:color="auto"/>
            <w:left w:val="none" w:sz="0" w:space="0" w:color="auto"/>
            <w:bottom w:val="none" w:sz="0" w:space="0" w:color="auto"/>
            <w:right w:val="none" w:sz="0" w:space="0" w:color="auto"/>
          </w:divBdr>
        </w:div>
      </w:divsChild>
    </w:div>
    <w:div w:id="51468488">
      <w:bodyDiv w:val="1"/>
      <w:marLeft w:val="0"/>
      <w:marRight w:val="0"/>
      <w:marTop w:val="0"/>
      <w:marBottom w:val="0"/>
      <w:divBdr>
        <w:top w:val="none" w:sz="0" w:space="0" w:color="auto"/>
        <w:left w:val="none" w:sz="0" w:space="0" w:color="auto"/>
        <w:bottom w:val="none" w:sz="0" w:space="0" w:color="auto"/>
        <w:right w:val="none" w:sz="0" w:space="0" w:color="auto"/>
      </w:divBdr>
    </w:div>
    <w:div w:id="56517617">
      <w:bodyDiv w:val="1"/>
      <w:marLeft w:val="0"/>
      <w:marRight w:val="0"/>
      <w:marTop w:val="0"/>
      <w:marBottom w:val="0"/>
      <w:divBdr>
        <w:top w:val="none" w:sz="0" w:space="0" w:color="auto"/>
        <w:left w:val="none" w:sz="0" w:space="0" w:color="auto"/>
        <w:bottom w:val="none" w:sz="0" w:space="0" w:color="auto"/>
        <w:right w:val="none" w:sz="0" w:space="0" w:color="auto"/>
      </w:divBdr>
      <w:divsChild>
        <w:div w:id="1074089723">
          <w:marLeft w:val="0"/>
          <w:marRight w:val="0"/>
          <w:marTop w:val="0"/>
          <w:marBottom w:val="0"/>
          <w:divBdr>
            <w:top w:val="none" w:sz="0" w:space="0" w:color="auto"/>
            <w:left w:val="none" w:sz="0" w:space="0" w:color="auto"/>
            <w:bottom w:val="none" w:sz="0" w:space="0" w:color="auto"/>
            <w:right w:val="none" w:sz="0" w:space="0" w:color="auto"/>
          </w:divBdr>
          <w:divsChild>
            <w:div w:id="15024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6101">
      <w:bodyDiv w:val="1"/>
      <w:marLeft w:val="0"/>
      <w:marRight w:val="0"/>
      <w:marTop w:val="0"/>
      <w:marBottom w:val="0"/>
      <w:divBdr>
        <w:top w:val="none" w:sz="0" w:space="0" w:color="auto"/>
        <w:left w:val="none" w:sz="0" w:space="0" w:color="auto"/>
        <w:bottom w:val="none" w:sz="0" w:space="0" w:color="auto"/>
        <w:right w:val="none" w:sz="0" w:space="0" w:color="auto"/>
      </w:divBdr>
      <w:divsChild>
        <w:div w:id="1050885130">
          <w:marLeft w:val="0"/>
          <w:marRight w:val="0"/>
          <w:marTop w:val="0"/>
          <w:marBottom w:val="0"/>
          <w:divBdr>
            <w:top w:val="none" w:sz="0" w:space="0" w:color="auto"/>
            <w:left w:val="none" w:sz="0" w:space="0" w:color="auto"/>
            <w:bottom w:val="none" w:sz="0" w:space="0" w:color="auto"/>
            <w:right w:val="none" w:sz="0" w:space="0" w:color="auto"/>
          </w:divBdr>
        </w:div>
        <w:div w:id="1630353620">
          <w:marLeft w:val="0"/>
          <w:marRight w:val="0"/>
          <w:marTop w:val="0"/>
          <w:marBottom w:val="0"/>
          <w:divBdr>
            <w:top w:val="none" w:sz="0" w:space="0" w:color="auto"/>
            <w:left w:val="none" w:sz="0" w:space="0" w:color="auto"/>
            <w:bottom w:val="none" w:sz="0" w:space="0" w:color="auto"/>
            <w:right w:val="none" w:sz="0" w:space="0" w:color="auto"/>
          </w:divBdr>
        </w:div>
        <w:div w:id="678234050">
          <w:marLeft w:val="0"/>
          <w:marRight w:val="0"/>
          <w:marTop w:val="0"/>
          <w:marBottom w:val="0"/>
          <w:divBdr>
            <w:top w:val="none" w:sz="0" w:space="0" w:color="auto"/>
            <w:left w:val="none" w:sz="0" w:space="0" w:color="auto"/>
            <w:bottom w:val="none" w:sz="0" w:space="0" w:color="auto"/>
            <w:right w:val="none" w:sz="0" w:space="0" w:color="auto"/>
          </w:divBdr>
        </w:div>
        <w:div w:id="590092047">
          <w:marLeft w:val="0"/>
          <w:marRight w:val="0"/>
          <w:marTop w:val="0"/>
          <w:marBottom w:val="0"/>
          <w:divBdr>
            <w:top w:val="none" w:sz="0" w:space="0" w:color="auto"/>
            <w:left w:val="none" w:sz="0" w:space="0" w:color="auto"/>
            <w:bottom w:val="none" w:sz="0" w:space="0" w:color="auto"/>
            <w:right w:val="none" w:sz="0" w:space="0" w:color="auto"/>
          </w:divBdr>
        </w:div>
        <w:div w:id="883760854">
          <w:marLeft w:val="0"/>
          <w:marRight w:val="0"/>
          <w:marTop w:val="0"/>
          <w:marBottom w:val="0"/>
          <w:divBdr>
            <w:top w:val="none" w:sz="0" w:space="0" w:color="auto"/>
            <w:left w:val="none" w:sz="0" w:space="0" w:color="auto"/>
            <w:bottom w:val="none" w:sz="0" w:space="0" w:color="auto"/>
            <w:right w:val="none" w:sz="0" w:space="0" w:color="auto"/>
          </w:divBdr>
        </w:div>
      </w:divsChild>
    </w:div>
    <w:div w:id="80496473">
      <w:bodyDiv w:val="1"/>
      <w:marLeft w:val="0"/>
      <w:marRight w:val="0"/>
      <w:marTop w:val="0"/>
      <w:marBottom w:val="0"/>
      <w:divBdr>
        <w:top w:val="none" w:sz="0" w:space="0" w:color="auto"/>
        <w:left w:val="none" w:sz="0" w:space="0" w:color="auto"/>
        <w:bottom w:val="none" w:sz="0" w:space="0" w:color="auto"/>
        <w:right w:val="none" w:sz="0" w:space="0" w:color="auto"/>
      </w:divBdr>
    </w:div>
    <w:div w:id="89665432">
      <w:bodyDiv w:val="1"/>
      <w:marLeft w:val="0"/>
      <w:marRight w:val="0"/>
      <w:marTop w:val="0"/>
      <w:marBottom w:val="0"/>
      <w:divBdr>
        <w:top w:val="none" w:sz="0" w:space="0" w:color="auto"/>
        <w:left w:val="none" w:sz="0" w:space="0" w:color="auto"/>
        <w:bottom w:val="none" w:sz="0" w:space="0" w:color="auto"/>
        <w:right w:val="none" w:sz="0" w:space="0" w:color="auto"/>
      </w:divBdr>
      <w:divsChild>
        <w:div w:id="1162812641">
          <w:marLeft w:val="0"/>
          <w:marRight w:val="0"/>
          <w:marTop w:val="0"/>
          <w:marBottom w:val="0"/>
          <w:divBdr>
            <w:top w:val="none" w:sz="0" w:space="0" w:color="auto"/>
            <w:left w:val="none" w:sz="0" w:space="0" w:color="auto"/>
            <w:bottom w:val="none" w:sz="0" w:space="0" w:color="auto"/>
            <w:right w:val="none" w:sz="0" w:space="0" w:color="auto"/>
          </w:divBdr>
          <w:divsChild>
            <w:div w:id="6557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4101">
      <w:bodyDiv w:val="1"/>
      <w:marLeft w:val="0"/>
      <w:marRight w:val="0"/>
      <w:marTop w:val="0"/>
      <w:marBottom w:val="0"/>
      <w:divBdr>
        <w:top w:val="none" w:sz="0" w:space="0" w:color="auto"/>
        <w:left w:val="none" w:sz="0" w:space="0" w:color="auto"/>
        <w:bottom w:val="none" w:sz="0" w:space="0" w:color="auto"/>
        <w:right w:val="none" w:sz="0" w:space="0" w:color="auto"/>
      </w:divBdr>
      <w:divsChild>
        <w:div w:id="1354916224">
          <w:marLeft w:val="0"/>
          <w:marRight w:val="0"/>
          <w:marTop w:val="0"/>
          <w:marBottom w:val="0"/>
          <w:divBdr>
            <w:top w:val="none" w:sz="0" w:space="0" w:color="auto"/>
            <w:left w:val="none" w:sz="0" w:space="0" w:color="auto"/>
            <w:bottom w:val="none" w:sz="0" w:space="0" w:color="auto"/>
            <w:right w:val="none" w:sz="0" w:space="0" w:color="auto"/>
          </w:divBdr>
        </w:div>
        <w:div w:id="441263793">
          <w:marLeft w:val="0"/>
          <w:marRight w:val="0"/>
          <w:marTop w:val="0"/>
          <w:marBottom w:val="0"/>
          <w:divBdr>
            <w:top w:val="none" w:sz="0" w:space="0" w:color="auto"/>
            <w:left w:val="none" w:sz="0" w:space="0" w:color="auto"/>
            <w:bottom w:val="none" w:sz="0" w:space="0" w:color="auto"/>
            <w:right w:val="none" w:sz="0" w:space="0" w:color="auto"/>
          </w:divBdr>
        </w:div>
        <w:div w:id="1723747966">
          <w:marLeft w:val="0"/>
          <w:marRight w:val="0"/>
          <w:marTop w:val="0"/>
          <w:marBottom w:val="0"/>
          <w:divBdr>
            <w:top w:val="none" w:sz="0" w:space="0" w:color="auto"/>
            <w:left w:val="none" w:sz="0" w:space="0" w:color="auto"/>
            <w:bottom w:val="none" w:sz="0" w:space="0" w:color="auto"/>
            <w:right w:val="none" w:sz="0" w:space="0" w:color="auto"/>
          </w:divBdr>
        </w:div>
        <w:div w:id="1362589350">
          <w:marLeft w:val="0"/>
          <w:marRight w:val="0"/>
          <w:marTop w:val="0"/>
          <w:marBottom w:val="0"/>
          <w:divBdr>
            <w:top w:val="none" w:sz="0" w:space="0" w:color="auto"/>
            <w:left w:val="none" w:sz="0" w:space="0" w:color="auto"/>
            <w:bottom w:val="none" w:sz="0" w:space="0" w:color="auto"/>
            <w:right w:val="none" w:sz="0" w:space="0" w:color="auto"/>
          </w:divBdr>
        </w:div>
        <w:div w:id="1843741106">
          <w:marLeft w:val="0"/>
          <w:marRight w:val="0"/>
          <w:marTop w:val="0"/>
          <w:marBottom w:val="0"/>
          <w:divBdr>
            <w:top w:val="none" w:sz="0" w:space="0" w:color="auto"/>
            <w:left w:val="none" w:sz="0" w:space="0" w:color="auto"/>
            <w:bottom w:val="none" w:sz="0" w:space="0" w:color="auto"/>
            <w:right w:val="none" w:sz="0" w:space="0" w:color="auto"/>
          </w:divBdr>
        </w:div>
        <w:div w:id="1921257395">
          <w:marLeft w:val="0"/>
          <w:marRight w:val="0"/>
          <w:marTop w:val="0"/>
          <w:marBottom w:val="0"/>
          <w:divBdr>
            <w:top w:val="none" w:sz="0" w:space="0" w:color="auto"/>
            <w:left w:val="none" w:sz="0" w:space="0" w:color="auto"/>
            <w:bottom w:val="none" w:sz="0" w:space="0" w:color="auto"/>
            <w:right w:val="none" w:sz="0" w:space="0" w:color="auto"/>
          </w:divBdr>
        </w:div>
        <w:div w:id="1255866918">
          <w:marLeft w:val="0"/>
          <w:marRight w:val="0"/>
          <w:marTop w:val="0"/>
          <w:marBottom w:val="0"/>
          <w:divBdr>
            <w:top w:val="none" w:sz="0" w:space="0" w:color="auto"/>
            <w:left w:val="none" w:sz="0" w:space="0" w:color="auto"/>
            <w:bottom w:val="none" w:sz="0" w:space="0" w:color="auto"/>
            <w:right w:val="none" w:sz="0" w:space="0" w:color="auto"/>
          </w:divBdr>
        </w:div>
      </w:divsChild>
    </w:div>
    <w:div w:id="126705176">
      <w:bodyDiv w:val="1"/>
      <w:marLeft w:val="0"/>
      <w:marRight w:val="0"/>
      <w:marTop w:val="0"/>
      <w:marBottom w:val="0"/>
      <w:divBdr>
        <w:top w:val="none" w:sz="0" w:space="0" w:color="auto"/>
        <w:left w:val="none" w:sz="0" w:space="0" w:color="auto"/>
        <w:bottom w:val="none" w:sz="0" w:space="0" w:color="auto"/>
        <w:right w:val="none" w:sz="0" w:space="0" w:color="auto"/>
      </w:divBdr>
      <w:divsChild>
        <w:div w:id="1513034286">
          <w:marLeft w:val="0"/>
          <w:marRight w:val="0"/>
          <w:marTop w:val="0"/>
          <w:marBottom w:val="0"/>
          <w:divBdr>
            <w:top w:val="none" w:sz="0" w:space="0" w:color="auto"/>
            <w:left w:val="none" w:sz="0" w:space="0" w:color="auto"/>
            <w:bottom w:val="none" w:sz="0" w:space="0" w:color="auto"/>
            <w:right w:val="none" w:sz="0" w:space="0" w:color="auto"/>
          </w:divBdr>
          <w:divsChild>
            <w:div w:id="90584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5724">
      <w:bodyDiv w:val="1"/>
      <w:marLeft w:val="0"/>
      <w:marRight w:val="0"/>
      <w:marTop w:val="0"/>
      <w:marBottom w:val="0"/>
      <w:divBdr>
        <w:top w:val="none" w:sz="0" w:space="0" w:color="auto"/>
        <w:left w:val="none" w:sz="0" w:space="0" w:color="auto"/>
        <w:bottom w:val="none" w:sz="0" w:space="0" w:color="auto"/>
        <w:right w:val="none" w:sz="0" w:space="0" w:color="auto"/>
      </w:divBdr>
    </w:div>
    <w:div w:id="215702257">
      <w:bodyDiv w:val="1"/>
      <w:marLeft w:val="0"/>
      <w:marRight w:val="0"/>
      <w:marTop w:val="0"/>
      <w:marBottom w:val="0"/>
      <w:divBdr>
        <w:top w:val="none" w:sz="0" w:space="0" w:color="auto"/>
        <w:left w:val="none" w:sz="0" w:space="0" w:color="auto"/>
        <w:bottom w:val="none" w:sz="0" w:space="0" w:color="auto"/>
        <w:right w:val="none" w:sz="0" w:space="0" w:color="auto"/>
      </w:divBdr>
      <w:divsChild>
        <w:div w:id="932513536">
          <w:marLeft w:val="0"/>
          <w:marRight w:val="0"/>
          <w:marTop w:val="0"/>
          <w:marBottom w:val="0"/>
          <w:divBdr>
            <w:top w:val="none" w:sz="0" w:space="0" w:color="auto"/>
            <w:left w:val="none" w:sz="0" w:space="0" w:color="auto"/>
            <w:bottom w:val="none" w:sz="0" w:space="0" w:color="auto"/>
            <w:right w:val="none" w:sz="0" w:space="0" w:color="auto"/>
          </w:divBdr>
          <w:divsChild>
            <w:div w:id="104590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39842">
      <w:bodyDiv w:val="1"/>
      <w:marLeft w:val="0"/>
      <w:marRight w:val="0"/>
      <w:marTop w:val="0"/>
      <w:marBottom w:val="0"/>
      <w:divBdr>
        <w:top w:val="none" w:sz="0" w:space="0" w:color="auto"/>
        <w:left w:val="none" w:sz="0" w:space="0" w:color="auto"/>
        <w:bottom w:val="none" w:sz="0" w:space="0" w:color="auto"/>
        <w:right w:val="none" w:sz="0" w:space="0" w:color="auto"/>
      </w:divBdr>
    </w:div>
    <w:div w:id="278029932">
      <w:bodyDiv w:val="1"/>
      <w:marLeft w:val="0"/>
      <w:marRight w:val="0"/>
      <w:marTop w:val="0"/>
      <w:marBottom w:val="0"/>
      <w:divBdr>
        <w:top w:val="none" w:sz="0" w:space="0" w:color="auto"/>
        <w:left w:val="none" w:sz="0" w:space="0" w:color="auto"/>
        <w:bottom w:val="none" w:sz="0" w:space="0" w:color="auto"/>
        <w:right w:val="none" w:sz="0" w:space="0" w:color="auto"/>
      </w:divBdr>
      <w:divsChild>
        <w:div w:id="1225793328">
          <w:marLeft w:val="0"/>
          <w:marRight w:val="0"/>
          <w:marTop w:val="0"/>
          <w:marBottom w:val="0"/>
          <w:divBdr>
            <w:top w:val="none" w:sz="0" w:space="0" w:color="auto"/>
            <w:left w:val="none" w:sz="0" w:space="0" w:color="auto"/>
            <w:bottom w:val="none" w:sz="0" w:space="0" w:color="auto"/>
            <w:right w:val="none" w:sz="0" w:space="0" w:color="auto"/>
          </w:divBdr>
          <w:divsChild>
            <w:div w:id="81063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612624">
      <w:bodyDiv w:val="1"/>
      <w:marLeft w:val="0"/>
      <w:marRight w:val="0"/>
      <w:marTop w:val="0"/>
      <w:marBottom w:val="0"/>
      <w:divBdr>
        <w:top w:val="none" w:sz="0" w:space="0" w:color="auto"/>
        <w:left w:val="none" w:sz="0" w:space="0" w:color="auto"/>
        <w:bottom w:val="none" w:sz="0" w:space="0" w:color="auto"/>
        <w:right w:val="none" w:sz="0" w:space="0" w:color="auto"/>
      </w:divBdr>
      <w:divsChild>
        <w:div w:id="302857819">
          <w:marLeft w:val="0"/>
          <w:marRight w:val="0"/>
          <w:marTop w:val="0"/>
          <w:marBottom w:val="0"/>
          <w:divBdr>
            <w:top w:val="none" w:sz="0" w:space="0" w:color="auto"/>
            <w:left w:val="none" w:sz="0" w:space="0" w:color="auto"/>
            <w:bottom w:val="none" w:sz="0" w:space="0" w:color="auto"/>
            <w:right w:val="none" w:sz="0" w:space="0" w:color="auto"/>
          </w:divBdr>
        </w:div>
        <w:div w:id="1108961571">
          <w:marLeft w:val="0"/>
          <w:marRight w:val="0"/>
          <w:marTop w:val="0"/>
          <w:marBottom w:val="0"/>
          <w:divBdr>
            <w:top w:val="none" w:sz="0" w:space="0" w:color="auto"/>
            <w:left w:val="none" w:sz="0" w:space="0" w:color="auto"/>
            <w:bottom w:val="none" w:sz="0" w:space="0" w:color="auto"/>
            <w:right w:val="none" w:sz="0" w:space="0" w:color="auto"/>
          </w:divBdr>
        </w:div>
        <w:div w:id="417142823">
          <w:marLeft w:val="0"/>
          <w:marRight w:val="0"/>
          <w:marTop w:val="0"/>
          <w:marBottom w:val="0"/>
          <w:divBdr>
            <w:top w:val="none" w:sz="0" w:space="0" w:color="auto"/>
            <w:left w:val="none" w:sz="0" w:space="0" w:color="auto"/>
            <w:bottom w:val="none" w:sz="0" w:space="0" w:color="auto"/>
            <w:right w:val="none" w:sz="0" w:space="0" w:color="auto"/>
          </w:divBdr>
        </w:div>
      </w:divsChild>
    </w:div>
    <w:div w:id="319968258">
      <w:bodyDiv w:val="1"/>
      <w:marLeft w:val="0"/>
      <w:marRight w:val="0"/>
      <w:marTop w:val="0"/>
      <w:marBottom w:val="0"/>
      <w:divBdr>
        <w:top w:val="none" w:sz="0" w:space="0" w:color="auto"/>
        <w:left w:val="none" w:sz="0" w:space="0" w:color="auto"/>
        <w:bottom w:val="none" w:sz="0" w:space="0" w:color="auto"/>
        <w:right w:val="none" w:sz="0" w:space="0" w:color="auto"/>
      </w:divBdr>
      <w:divsChild>
        <w:div w:id="1236358324">
          <w:marLeft w:val="0"/>
          <w:marRight w:val="0"/>
          <w:marTop w:val="0"/>
          <w:marBottom w:val="0"/>
          <w:divBdr>
            <w:top w:val="none" w:sz="0" w:space="0" w:color="auto"/>
            <w:left w:val="none" w:sz="0" w:space="0" w:color="auto"/>
            <w:bottom w:val="none" w:sz="0" w:space="0" w:color="auto"/>
            <w:right w:val="none" w:sz="0" w:space="0" w:color="auto"/>
          </w:divBdr>
          <w:divsChild>
            <w:div w:id="204000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62804">
      <w:bodyDiv w:val="1"/>
      <w:marLeft w:val="0"/>
      <w:marRight w:val="0"/>
      <w:marTop w:val="0"/>
      <w:marBottom w:val="0"/>
      <w:divBdr>
        <w:top w:val="none" w:sz="0" w:space="0" w:color="auto"/>
        <w:left w:val="none" w:sz="0" w:space="0" w:color="auto"/>
        <w:bottom w:val="none" w:sz="0" w:space="0" w:color="auto"/>
        <w:right w:val="none" w:sz="0" w:space="0" w:color="auto"/>
      </w:divBdr>
      <w:divsChild>
        <w:div w:id="670185378">
          <w:marLeft w:val="0"/>
          <w:marRight w:val="0"/>
          <w:marTop w:val="0"/>
          <w:marBottom w:val="0"/>
          <w:divBdr>
            <w:top w:val="none" w:sz="0" w:space="0" w:color="auto"/>
            <w:left w:val="none" w:sz="0" w:space="0" w:color="auto"/>
            <w:bottom w:val="none" w:sz="0" w:space="0" w:color="auto"/>
            <w:right w:val="none" w:sz="0" w:space="0" w:color="auto"/>
          </w:divBdr>
        </w:div>
        <w:div w:id="1707213837">
          <w:marLeft w:val="0"/>
          <w:marRight w:val="0"/>
          <w:marTop w:val="0"/>
          <w:marBottom w:val="0"/>
          <w:divBdr>
            <w:top w:val="none" w:sz="0" w:space="0" w:color="auto"/>
            <w:left w:val="none" w:sz="0" w:space="0" w:color="auto"/>
            <w:bottom w:val="none" w:sz="0" w:space="0" w:color="auto"/>
            <w:right w:val="none" w:sz="0" w:space="0" w:color="auto"/>
          </w:divBdr>
        </w:div>
        <w:div w:id="1915433298">
          <w:marLeft w:val="0"/>
          <w:marRight w:val="0"/>
          <w:marTop w:val="0"/>
          <w:marBottom w:val="0"/>
          <w:divBdr>
            <w:top w:val="none" w:sz="0" w:space="0" w:color="auto"/>
            <w:left w:val="none" w:sz="0" w:space="0" w:color="auto"/>
            <w:bottom w:val="none" w:sz="0" w:space="0" w:color="auto"/>
            <w:right w:val="none" w:sz="0" w:space="0" w:color="auto"/>
          </w:divBdr>
        </w:div>
        <w:div w:id="562957021">
          <w:marLeft w:val="0"/>
          <w:marRight w:val="0"/>
          <w:marTop w:val="0"/>
          <w:marBottom w:val="0"/>
          <w:divBdr>
            <w:top w:val="none" w:sz="0" w:space="0" w:color="auto"/>
            <w:left w:val="none" w:sz="0" w:space="0" w:color="auto"/>
            <w:bottom w:val="none" w:sz="0" w:space="0" w:color="auto"/>
            <w:right w:val="none" w:sz="0" w:space="0" w:color="auto"/>
          </w:divBdr>
        </w:div>
        <w:div w:id="1109206899">
          <w:marLeft w:val="0"/>
          <w:marRight w:val="0"/>
          <w:marTop w:val="0"/>
          <w:marBottom w:val="0"/>
          <w:divBdr>
            <w:top w:val="none" w:sz="0" w:space="0" w:color="auto"/>
            <w:left w:val="none" w:sz="0" w:space="0" w:color="auto"/>
            <w:bottom w:val="none" w:sz="0" w:space="0" w:color="auto"/>
            <w:right w:val="none" w:sz="0" w:space="0" w:color="auto"/>
          </w:divBdr>
        </w:div>
        <w:div w:id="1863593241">
          <w:marLeft w:val="0"/>
          <w:marRight w:val="0"/>
          <w:marTop w:val="0"/>
          <w:marBottom w:val="0"/>
          <w:divBdr>
            <w:top w:val="none" w:sz="0" w:space="0" w:color="auto"/>
            <w:left w:val="none" w:sz="0" w:space="0" w:color="auto"/>
            <w:bottom w:val="none" w:sz="0" w:space="0" w:color="auto"/>
            <w:right w:val="none" w:sz="0" w:space="0" w:color="auto"/>
          </w:divBdr>
        </w:div>
        <w:div w:id="871261558">
          <w:marLeft w:val="0"/>
          <w:marRight w:val="0"/>
          <w:marTop w:val="0"/>
          <w:marBottom w:val="0"/>
          <w:divBdr>
            <w:top w:val="none" w:sz="0" w:space="0" w:color="auto"/>
            <w:left w:val="none" w:sz="0" w:space="0" w:color="auto"/>
            <w:bottom w:val="none" w:sz="0" w:space="0" w:color="auto"/>
            <w:right w:val="none" w:sz="0" w:space="0" w:color="auto"/>
          </w:divBdr>
        </w:div>
      </w:divsChild>
    </w:div>
    <w:div w:id="457987638">
      <w:bodyDiv w:val="1"/>
      <w:marLeft w:val="0"/>
      <w:marRight w:val="0"/>
      <w:marTop w:val="0"/>
      <w:marBottom w:val="0"/>
      <w:divBdr>
        <w:top w:val="none" w:sz="0" w:space="0" w:color="auto"/>
        <w:left w:val="none" w:sz="0" w:space="0" w:color="auto"/>
        <w:bottom w:val="none" w:sz="0" w:space="0" w:color="auto"/>
        <w:right w:val="none" w:sz="0" w:space="0" w:color="auto"/>
      </w:divBdr>
      <w:divsChild>
        <w:div w:id="1533691289">
          <w:marLeft w:val="0"/>
          <w:marRight w:val="0"/>
          <w:marTop w:val="0"/>
          <w:marBottom w:val="0"/>
          <w:divBdr>
            <w:top w:val="none" w:sz="0" w:space="0" w:color="auto"/>
            <w:left w:val="none" w:sz="0" w:space="0" w:color="auto"/>
            <w:bottom w:val="none" w:sz="0" w:space="0" w:color="auto"/>
            <w:right w:val="none" w:sz="0" w:space="0" w:color="auto"/>
          </w:divBdr>
        </w:div>
        <w:div w:id="358895167">
          <w:marLeft w:val="0"/>
          <w:marRight w:val="0"/>
          <w:marTop w:val="0"/>
          <w:marBottom w:val="0"/>
          <w:divBdr>
            <w:top w:val="none" w:sz="0" w:space="0" w:color="auto"/>
            <w:left w:val="none" w:sz="0" w:space="0" w:color="auto"/>
            <w:bottom w:val="none" w:sz="0" w:space="0" w:color="auto"/>
            <w:right w:val="none" w:sz="0" w:space="0" w:color="auto"/>
          </w:divBdr>
        </w:div>
        <w:div w:id="1922982409">
          <w:marLeft w:val="0"/>
          <w:marRight w:val="0"/>
          <w:marTop w:val="0"/>
          <w:marBottom w:val="0"/>
          <w:divBdr>
            <w:top w:val="none" w:sz="0" w:space="0" w:color="auto"/>
            <w:left w:val="none" w:sz="0" w:space="0" w:color="auto"/>
            <w:bottom w:val="none" w:sz="0" w:space="0" w:color="auto"/>
            <w:right w:val="none" w:sz="0" w:space="0" w:color="auto"/>
          </w:divBdr>
        </w:div>
        <w:div w:id="624387869">
          <w:marLeft w:val="0"/>
          <w:marRight w:val="0"/>
          <w:marTop w:val="0"/>
          <w:marBottom w:val="0"/>
          <w:divBdr>
            <w:top w:val="none" w:sz="0" w:space="0" w:color="auto"/>
            <w:left w:val="none" w:sz="0" w:space="0" w:color="auto"/>
            <w:bottom w:val="none" w:sz="0" w:space="0" w:color="auto"/>
            <w:right w:val="none" w:sz="0" w:space="0" w:color="auto"/>
          </w:divBdr>
        </w:div>
        <w:div w:id="1584216952">
          <w:marLeft w:val="0"/>
          <w:marRight w:val="0"/>
          <w:marTop w:val="0"/>
          <w:marBottom w:val="0"/>
          <w:divBdr>
            <w:top w:val="none" w:sz="0" w:space="0" w:color="auto"/>
            <w:left w:val="none" w:sz="0" w:space="0" w:color="auto"/>
            <w:bottom w:val="none" w:sz="0" w:space="0" w:color="auto"/>
            <w:right w:val="none" w:sz="0" w:space="0" w:color="auto"/>
          </w:divBdr>
        </w:div>
        <w:div w:id="237633797">
          <w:marLeft w:val="0"/>
          <w:marRight w:val="0"/>
          <w:marTop w:val="0"/>
          <w:marBottom w:val="0"/>
          <w:divBdr>
            <w:top w:val="none" w:sz="0" w:space="0" w:color="auto"/>
            <w:left w:val="none" w:sz="0" w:space="0" w:color="auto"/>
            <w:bottom w:val="none" w:sz="0" w:space="0" w:color="auto"/>
            <w:right w:val="none" w:sz="0" w:space="0" w:color="auto"/>
          </w:divBdr>
        </w:div>
      </w:divsChild>
    </w:div>
    <w:div w:id="471411342">
      <w:bodyDiv w:val="1"/>
      <w:marLeft w:val="0"/>
      <w:marRight w:val="0"/>
      <w:marTop w:val="0"/>
      <w:marBottom w:val="0"/>
      <w:divBdr>
        <w:top w:val="none" w:sz="0" w:space="0" w:color="auto"/>
        <w:left w:val="none" w:sz="0" w:space="0" w:color="auto"/>
        <w:bottom w:val="none" w:sz="0" w:space="0" w:color="auto"/>
        <w:right w:val="none" w:sz="0" w:space="0" w:color="auto"/>
      </w:divBdr>
      <w:divsChild>
        <w:div w:id="1370494993">
          <w:marLeft w:val="0"/>
          <w:marRight w:val="0"/>
          <w:marTop w:val="0"/>
          <w:marBottom w:val="0"/>
          <w:divBdr>
            <w:top w:val="none" w:sz="0" w:space="0" w:color="auto"/>
            <w:left w:val="none" w:sz="0" w:space="0" w:color="auto"/>
            <w:bottom w:val="none" w:sz="0" w:space="0" w:color="auto"/>
            <w:right w:val="none" w:sz="0" w:space="0" w:color="auto"/>
          </w:divBdr>
        </w:div>
        <w:div w:id="1370717801">
          <w:marLeft w:val="0"/>
          <w:marRight w:val="0"/>
          <w:marTop w:val="0"/>
          <w:marBottom w:val="0"/>
          <w:divBdr>
            <w:top w:val="none" w:sz="0" w:space="0" w:color="auto"/>
            <w:left w:val="none" w:sz="0" w:space="0" w:color="auto"/>
            <w:bottom w:val="none" w:sz="0" w:space="0" w:color="auto"/>
            <w:right w:val="none" w:sz="0" w:space="0" w:color="auto"/>
          </w:divBdr>
        </w:div>
        <w:div w:id="502670820">
          <w:marLeft w:val="0"/>
          <w:marRight w:val="0"/>
          <w:marTop w:val="0"/>
          <w:marBottom w:val="0"/>
          <w:divBdr>
            <w:top w:val="none" w:sz="0" w:space="0" w:color="auto"/>
            <w:left w:val="none" w:sz="0" w:space="0" w:color="auto"/>
            <w:bottom w:val="none" w:sz="0" w:space="0" w:color="auto"/>
            <w:right w:val="none" w:sz="0" w:space="0" w:color="auto"/>
          </w:divBdr>
        </w:div>
      </w:divsChild>
    </w:div>
    <w:div w:id="472212825">
      <w:bodyDiv w:val="1"/>
      <w:marLeft w:val="0"/>
      <w:marRight w:val="0"/>
      <w:marTop w:val="0"/>
      <w:marBottom w:val="0"/>
      <w:divBdr>
        <w:top w:val="none" w:sz="0" w:space="0" w:color="auto"/>
        <w:left w:val="none" w:sz="0" w:space="0" w:color="auto"/>
        <w:bottom w:val="none" w:sz="0" w:space="0" w:color="auto"/>
        <w:right w:val="none" w:sz="0" w:space="0" w:color="auto"/>
      </w:divBdr>
      <w:divsChild>
        <w:div w:id="1520004384">
          <w:marLeft w:val="0"/>
          <w:marRight w:val="0"/>
          <w:marTop w:val="0"/>
          <w:marBottom w:val="0"/>
          <w:divBdr>
            <w:top w:val="none" w:sz="0" w:space="0" w:color="auto"/>
            <w:left w:val="none" w:sz="0" w:space="0" w:color="auto"/>
            <w:bottom w:val="none" w:sz="0" w:space="0" w:color="auto"/>
            <w:right w:val="none" w:sz="0" w:space="0" w:color="auto"/>
          </w:divBdr>
          <w:divsChild>
            <w:div w:id="58584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795766">
      <w:bodyDiv w:val="1"/>
      <w:marLeft w:val="0"/>
      <w:marRight w:val="0"/>
      <w:marTop w:val="0"/>
      <w:marBottom w:val="0"/>
      <w:divBdr>
        <w:top w:val="none" w:sz="0" w:space="0" w:color="auto"/>
        <w:left w:val="none" w:sz="0" w:space="0" w:color="auto"/>
        <w:bottom w:val="none" w:sz="0" w:space="0" w:color="auto"/>
        <w:right w:val="none" w:sz="0" w:space="0" w:color="auto"/>
      </w:divBdr>
    </w:div>
    <w:div w:id="504126197">
      <w:bodyDiv w:val="1"/>
      <w:marLeft w:val="0"/>
      <w:marRight w:val="0"/>
      <w:marTop w:val="0"/>
      <w:marBottom w:val="0"/>
      <w:divBdr>
        <w:top w:val="none" w:sz="0" w:space="0" w:color="auto"/>
        <w:left w:val="none" w:sz="0" w:space="0" w:color="auto"/>
        <w:bottom w:val="none" w:sz="0" w:space="0" w:color="auto"/>
        <w:right w:val="none" w:sz="0" w:space="0" w:color="auto"/>
      </w:divBdr>
      <w:divsChild>
        <w:div w:id="79568662">
          <w:marLeft w:val="0"/>
          <w:marRight w:val="0"/>
          <w:marTop w:val="0"/>
          <w:marBottom w:val="0"/>
          <w:divBdr>
            <w:top w:val="none" w:sz="0" w:space="0" w:color="auto"/>
            <w:left w:val="none" w:sz="0" w:space="0" w:color="auto"/>
            <w:bottom w:val="none" w:sz="0" w:space="0" w:color="auto"/>
            <w:right w:val="none" w:sz="0" w:space="0" w:color="auto"/>
          </w:divBdr>
        </w:div>
        <w:div w:id="363024951">
          <w:marLeft w:val="0"/>
          <w:marRight w:val="0"/>
          <w:marTop w:val="0"/>
          <w:marBottom w:val="0"/>
          <w:divBdr>
            <w:top w:val="none" w:sz="0" w:space="0" w:color="auto"/>
            <w:left w:val="none" w:sz="0" w:space="0" w:color="auto"/>
            <w:bottom w:val="none" w:sz="0" w:space="0" w:color="auto"/>
            <w:right w:val="none" w:sz="0" w:space="0" w:color="auto"/>
          </w:divBdr>
        </w:div>
      </w:divsChild>
    </w:div>
    <w:div w:id="520243946">
      <w:bodyDiv w:val="1"/>
      <w:marLeft w:val="0"/>
      <w:marRight w:val="0"/>
      <w:marTop w:val="0"/>
      <w:marBottom w:val="0"/>
      <w:divBdr>
        <w:top w:val="none" w:sz="0" w:space="0" w:color="auto"/>
        <w:left w:val="none" w:sz="0" w:space="0" w:color="auto"/>
        <w:bottom w:val="none" w:sz="0" w:space="0" w:color="auto"/>
        <w:right w:val="none" w:sz="0" w:space="0" w:color="auto"/>
      </w:divBdr>
    </w:div>
    <w:div w:id="539829293">
      <w:bodyDiv w:val="1"/>
      <w:marLeft w:val="0"/>
      <w:marRight w:val="0"/>
      <w:marTop w:val="0"/>
      <w:marBottom w:val="0"/>
      <w:divBdr>
        <w:top w:val="none" w:sz="0" w:space="0" w:color="auto"/>
        <w:left w:val="none" w:sz="0" w:space="0" w:color="auto"/>
        <w:bottom w:val="none" w:sz="0" w:space="0" w:color="auto"/>
        <w:right w:val="none" w:sz="0" w:space="0" w:color="auto"/>
      </w:divBdr>
      <w:divsChild>
        <w:div w:id="1289048106">
          <w:marLeft w:val="0"/>
          <w:marRight w:val="0"/>
          <w:marTop w:val="0"/>
          <w:marBottom w:val="0"/>
          <w:divBdr>
            <w:top w:val="none" w:sz="0" w:space="0" w:color="auto"/>
            <w:left w:val="none" w:sz="0" w:space="0" w:color="auto"/>
            <w:bottom w:val="none" w:sz="0" w:space="0" w:color="auto"/>
            <w:right w:val="none" w:sz="0" w:space="0" w:color="auto"/>
          </w:divBdr>
        </w:div>
        <w:div w:id="1791317153">
          <w:marLeft w:val="0"/>
          <w:marRight w:val="0"/>
          <w:marTop w:val="0"/>
          <w:marBottom w:val="0"/>
          <w:divBdr>
            <w:top w:val="none" w:sz="0" w:space="0" w:color="auto"/>
            <w:left w:val="none" w:sz="0" w:space="0" w:color="auto"/>
            <w:bottom w:val="none" w:sz="0" w:space="0" w:color="auto"/>
            <w:right w:val="none" w:sz="0" w:space="0" w:color="auto"/>
          </w:divBdr>
        </w:div>
        <w:div w:id="1196580512">
          <w:marLeft w:val="0"/>
          <w:marRight w:val="0"/>
          <w:marTop w:val="0"/>
          <w:marBottom w:val="0"/>
          <w:divBdr>
            <w:top w:val="none" w:sz="0" w:space="0" w:color="auto"/>
            <w:left w:val="none" w:sz="0" w:space="0" w:color="auto"/>
            <w:bottom w:val="none" w:sz="0" w:space="0" w:color="auto"/>
            <w:right w:val="none" w:sz="0" w:space="0" w:color="auto"/>
          </w:divBdr>
        </w:div>
        <w:div w:id="1202093372">
          <w:marLeft w:val="0"/>
          <w:marRight w:val="0"/>
          <w:marTop w:val="0"/>
          <w:marBottom w:val="0"/>
          <w:divBdr>
            <w:top w:val="none" w:sz="0" w:space="0" w:color="auto"/>
            <w:left w:val="none" w:sz="0" w:space="0" w:color="auto"/>
            <w:bottom w:val="none" w:sz="0" w:space="0" w:color="auto"/>
            <w:right w:val="none" w:sz="0" w:space="0" w:color="auto"/>
          </w:divBdr>
        </w:div>
      </w:divsChild>
    </w:div>
    <w:div w:id="546453312">
      <w:bodyDiv w:val="1"/>
      <w:marLeft w:val="0"/>
      <w:marRight w:val="0"/>
      <w:marTop w:val="0"/>
      <w:marBottom w:val="0"/>
      <w:divBdr>
        <w:top w:val="none" w:sz="0" w:space="0" w:color="auto"/>
        <w:left w:val="none" w:sz="0" w:space="0" w:color="auto"/>
        <w:bottom w:val="none" w:sz="0" w:space="0" w:color="auto"/>
        <w:right w:val="none" w:sz="0" w:space="0" w:color="auto"/>
      </w:divBdr>
      <w:divsChild>
        <w:div w:id="971834099">
          <w:marLeft w:val="0"/>
          <w:marRight w:val="0"/>
          <w:marTop w:val="0"/>
          <w:marBottom w:val="0"/>
          <w:divBdr>
            <w:top w:val="none" w:sz="0" w:space="0" w:color="auto"/>
            <w:left w:val="none" w:sz="0" w:space="0" w:color="auto"/>
            <w:bottom w:val="none" w:sz="0" w:space="0" w:color="auto"/>
            <w:right w:val="none" w:sz="0" w:space="0" w:color="auto"/>
          </w:divBdr>
        </w:div>
        <w:div w:id="534931304">
          <w:marLeft w:val="0"/>
          <w:marRight w:val="0"/>
          <w:marTop w:val="0"/>
          <w:marBottom w:val="0"/>
          <w:divBdr>
            <w:top w:val="none" w:sz="0" w:space="0" w:color="auto"/>
            <w:left w:val="none" w:sz="0" w:space="0" w:color="auto"/>
            <w:bottom w:val="none" w:sz="0" w:space="0" w:color="auto"/>
            <w:right w:val="none" w:sz="0" w:space="0" w:color="auto"/>
          </w:divBdr>
        </w:div>
        <w:div w:id="984360973">
          <w:marLeft w:val="0"/>
          <w:marRight w:val="0"/>
          <w:marTop w:val="0"/>
          <w:marBottom w:val="0"/>
          <w:divBdr>
            <w:top w:val="none" w:sz="0" w:space="0" w:color="auto"/>
            <w:left w:val="none" w:sz="0" w:space="0" w:color="auto"/>
            <w:bottom w:val="none" w:sz="0" w:space="0" w:color="auto"/>
            <w:right w:val="none" w:sz="0" w:space="0" w:color="auto"/>
          </w:divBdr>
        </w:div>
      </w:divsChild>
    </w:div>
    <w:div w:id="580872489">
      <w:bodyDiv w:val="1"/>
      <w:marLeft w:val="0"/>
      <w:marRight w:val="0"/>
      <w:marTop w:val="0"/>
      <w:marBottom w:val="0"/>
      <w:divBdr>
        <w:top w:val="none" w:sz="0" w:space="0" w:color="auto"/>
        <w:left w:val="none" w:sz="0" w:space="0" w:color="auto"/>
        <w:bottom w:val="none" w:sz="0" w:space="0" w:color="auto"/>
        <w:right w:val="none" w:sz="0" w:space="0" w:color="auto"/>
      </w:divBdr>
      <w:divsChild>
        <w:div w:id="194320220">
          <w:marLeft w:val="0"/>
          <w:marRight w:val="0"/>
          <w:marTop w:val="0"/>
          <w:marBottom w:val="0"/>
          <w:divBdr>
            <w:top w:val="none" w:sz="0" w:space="0" w:color="auto"/>
            <w:left w:val="none" w:sz="0" w:space="0" w:color="auto"/>
            <w:bottom w:val="none" w:sz="0" w:space="0" w:color="auto"/>
            <w:right w:val="none" w:sz="0" w:space="0" w:color="auto"/>
          </w:divBdr>
          <w:divsChild>
            <w:div w:id="65858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0788">
      <w:bodyDiv w:val="1"/>
      <w:marLeft w:val="0"/>
      <w:marRight w:val="0"/>
      <w:marTop w:val="0"/>
      <w:marBottom w:val="0"/>
      <w:divBdr>
        <w:top w:val="none" w:sz="0" w:space="0" w:color="auto"/>
        <w:left w:val="none" w:sz="0" w:space="0" w:color="auto"/>
        <w:bottom w:val="none" w:sz="0" w:space="0" w:color="auto"/>
        <w:right w:val="none" w:sz="0" w:space="0" w:color="auto"/>
      </w:divBdr>
      <w:divsChild>
        <w:div w:id="247539450">
          <w:marLeft w:val="0"/>
          <w:marRight w:val="0"/>
          <w:marTop w:val="0"/>
          <w:marBottom w:val="0"/>
          <w:divBdr>
            <w:top w:val="none" w:sz="0" w:space="0" w:color="auto"/>
            <w:left w:val="none" w:sz="0" w:space="0" w:color="auto"/>
            <w:bottom w:val="none" w:sz="0" w:space="0" w:color="auto"/>
            <w:right w:val="none" w:sz="0" w:space="0" w:color="auto"/>
          </w:divBdr>
        </w:div>
        <w:div w:id="1374889784">
          <w:marLeft w:val="0"/>
          <w:marRight w:val="0"/>
          <w:marTop w:val="0"/>
          <w:marBottom w:val="0"/>
          <w:divBdr>
            <w:top w:val="none" w:sz="0" w:space="0" w:color="auto"/>
            <w:left w:val="none" w:sz="0" w:space="0" w:color="auto"/>
            <w:bottom w:val="none" w:sz="0" w:space="0" w:color="auto"/>
            <w:right w:val="none" w:sz="0" w:space="0" w:color="auto"/>
          </w:divBdr>
        </w:div>
        <w:div w:id="505677133">
          <w:marLeft w:val="0"/>
          <w:marRight w:val="0"/>
          <w:marTop w:val="0"/>
          <w:marBottom w:val="0"/>
          <w:divBdr>
            <w:top w:val="none" w:sz="0" w:space="0" w:color="auto"/>
            <w:left w:val="none" w:sz="0" w:space="0" w:color="auto"/>
            <w:bottom w:val="none" w:sz="0" w:space="0" w:color="auto"/>
            <w:right w:val="none" w:sz="0" w:space="0" w:color="auto"/>
          </w:divBdr>
        </w:div>
        <w:div w:id="1598907430">
          <w:marLeft w:val="0"/>
          <w:marRight w:val="0"/>
          <w:marTop w:val="0"/>
          <w:marBottom w:val="0"/>
          <w:divBdr>
            <w:top w:val="none" w:sz="0" w:space="0" w:color="auto"/>
            <w:left w:val="none" w:sz="0" w:space="0" w:color="auto"/>
            <w:bottom w:val="none" w:sz="0" w:space="0" w:color="auto"/>
            <w:right w:val="none" w:sz="0" w:space="0" w:color="auto"/>
          </w:divBdr>
        </w:div>
        <w:div w:id="887423677">
          <w:marLeft w:val="0"/>
          <w:marRight w:val="0"/>
          <w:marTop w:val="0"/>
          <w:marBottom w:val="0"/>
          <w:divBdr>
            <w:top w:val="none" w:sz="0" w:space="0" w:color="auto"/>
            <w:left w:val="none" w:sz="0" w:space="0" w:color="auto"/>
            <w:bottom w:val="none" w:sz="0" w:space="0" w:color="auto"/>
            <w:right w:val="none" w:sz="0" w:space="0" w:color="auto"/>
          </w:divBdr>
        </w:div>
        <w:div w:id="173962352">
          <w:marLeft w:val="0"/>
          <w:marRight w:val="0"/>
          <w:marTop w:val="0"/>
          <w:marBottom w:val="0"/>
          <w:divBdr>
            <w:top w:val="none" w:sz="0" w:space="0" w:color="auto"/>
            <w:left w:val="none" w:sz="0" w:space="0" w:color="auto"/>
            <w:bottom w:val="none" w:sz="0" w:space="0" w:color="auto"/>
            <w:right w:val="none" w:sz="0" w:space="0" w:color="auto"/>
          </w:divBdr>
        </w:div>
        <w:div w:id="640959923">
          <w:marLeft w:val="0"/>
          <w:marRight w:val="0"/>
          <w:marTop w:val="0"/>
          <w:marBottom w:val="0"/>
          <w:divBdr>
            <w:top w:val="none" w:sz="0" w:space="0" w:color="auto"/>
            <w:left w:val="none" w:sz="0" w:space="0" w:color="auto"/>
            <w:bottom w:val="none" w:sz="0" w:space="0" w:color="auto"/>
            <w:right w:val="none" w:sz="0" w:space="0" w:color="auto"/>
          </w:divBdr>
        </w:div>
        <w:div w:id="1998072843">
          <w:marLeft w:val="0"/>
          <w:marRight w:val="0"/>
          <w:marTop w:val="0"/>
          <w:marBottom w:val="0"/>
          <w:divBdr>
            <w:top w:val="none" w:sz="0" w:space="0" w:color="auto"/>
            <w:left w:val="none" w:sz="0" w:space="0" w:color="auto"/>
            <w:bottom w:val="none" w:sz="0" w:space="0" w:color="auto"/>
            <w:right w:val="none" w:sz="0" w:space="0" w:color="auto"/>
          </w:divBdr>
        </w:div>
        <w:div w:id="648091965">
          <w:marLeft w:val="0"/>
          <w:marRight w:val="0"/>
          <w:marTop w:val="0"/>
          <w:marBottom w:val="0"/>
          <w:divBdr>
            <w:top w:val="none" w:sz="0" w:space="0" w:color="auto"/>
            <w:left w:val="none" w:sz="0" w:space="0" w:color="auto"/>
            <w:bottom w:val="none" w:sz="0" w:space="0" w:color="auto"/>
            <w:right w:val="none" w:sz="0" w:space="0" w:color="auto"/>
          </w:divBdr>
        </w:div>
        <w:div w:id="1183476253">
          <w:marLeft w:val="0"/>
          <w:marRight w:val="0"/>
          <w:marTop w:val="0"/>
          <w:marBottom w:val="0"/>
          <w:divBdr>
            <w:top w:val="none" w:sz="0" w:space="0" w:color="auto"/>
            <w:left w:val="none" w:sz="0" w:space="0" w:color="auto"/>
            <w:bottom w:val="none" w:sz="0" w:space="0" w:color="auto"/>
            <w:right w:val="none" w:sz="0" w:space="0" w:color="auto"/>
          </w:divBdr>
        </w:div>
        <w:div w:id="21632514">
          <w:marLeft w:val="0"/>
          <w:marRight w:val="0"/>
          <w:marTop w:val="0"/>
          <w:marBottom w:val="0"/>
          <w:divBdr>
            <w:top w:val="none" w:sz="0" w:space="0" w:color="auto"/>
            <w:left w:val="none" w:sz="0" w:space="0" w:color="auto"/>
            <w:bottom w:val="none" w:sz="0" w:space="0" w:color="auto"/>
            <w:right w:val="none" w:sz="0" w:space="0" w:color="auto"/>
          </w:divBdr>
        </w:div>
        <w:div w:id="1683433872">
          <w:marLeft w:val="0"/>
          <w:marRight w:val="0"/>
          <w:marTop w:val="0"/>
          <w:marBottom w:val="0"/>
          <w:divBdr>
            <w:top w:val="none" w:sz="0" w:space="0" w:color="auto"/>
            <w:left w:val="none" w:sz="0" w:space="0" w:color="auto"/>
            <w:bottom w:val="none" w:sz="0" w:space="0" w:color="auto"/>
            <w:right w:val="none" w:sz="0" w:space="0" w:color="auto"/>
          </w:divBdr>
        </w:div>
        <w:div w:id="421294241">
          <w:marLeft w:val="0"/>
          <w:marRight w:val="0"/>
          <w:marTop w:val="0"/>
          <w:marBottom w:val="0"/>
          <w:divBdr>
            <w:top w:val="none" w:sz="0" w:space="0" w:color="auto"/>
            <w:left w:val="none" w:sz="0" w:space="0" w:color="auto"/>
            <w:bottom w:val="none" w:sz="0" w:space="0" w:color="auto"/>
            <w:right w:val="none" w:sz="0" w:space="0" w:color="auto"/>
          </w:divBdr>
        </w:div>
        <w:div w:id="62412124">
          <w:marLeft w:val="0"/>
          <w:marRight w:val="0"/>
          <w:marTop w:val="0"/>
          <w:marBottom w:val="0"/>
          <w:divBdr>
            <w:top w:val="none" w:sz="0" w:space="0" w:color="auto"/>
            <w:left w:val="none" w:sz="0" w:space="0" w:color="auto"/>
            <w:bottom w:val="none" w:sz="0" w:space="0" w:color="auto"/>
            <w:right w:val="none" w:sz="0" w:space="0" w:color="auto"/>
          </w:divBdr>
        </w:div>
        <w:div w:id="1462453326">
          <w:marLeft w:val="0"/>
          <w:marRight w:val="0"/>
          <w:marTop w:val="0"/>
          <w:marBottom w:val="0"/>
          <w:divBdr>
            <w:top w:val="none" w:sz="0" w:space="0" w:color="auto"/>
            <w:left w:val="none" w:sz="0" w:space="0" w:color="auto"/>
            <w:bottom w:val="none" w:sz="0" w:space="0" w:color="auto"/>
            <w:right w:val="none" w:sz="0" w:space="0" w:color="auto"/>
          </w:divBdr>
        </w:div>
        <w:div w:id="112556932">
          <w:marLeft w:val="0"/>
          <w:marRight w:val="0"/>
          <w:marTop w:val="0"/>
          <w:marBottom w:val="0"/>
          <w:divBdr>
            <w:top w:val="none" w:sz="0" w:space="0" w:color="auto"/>
            <w:left w:val="none" w:sz="0" w:space="0" w:color="auto"/>
            <w:bottom w:val="none" w:sz="0" w:space="0" w:color="auto"/>
            <w:right w:val="none" w:sz="0" w:space="0" w:color="auto"/>
          </w:divBdr>
        </w:div>
      </w:divsChild>
    </w:div>
    <w:div w:id="719211397">
      <w:bodyDiv w:val="1"/>
      <w:marLeft w:val="0"/>
      <w:marRight w:val="0"/>
      <w:marTop w:val="0"/>
      <w:marBottom w:val="0"/>
      <w:divBdr>
        <w:top w:val="none" w:sz="0" w:space="0" w:color="auto"/>
        <w:left w:val="none" w:sz="0" w:space="0" w:color="auto"/>
        <w:bottom w:val="none" w:sz="0" w:space="0" w:color="auto"/>
        <w:right w:val="none" w:sz="0" w:space="0" w:color="auto"/>
      </w:divBdr>
      <w:divsChild>
        <w:div w:id="289827922">
          <w:marLeft w:val="0"/>
          <w:marRight w:val="0"/>
          <w:marTop w:val="0"/>
          <w:marBottom w:val="0"/>
          <w:divBdr>
            <w:top w:val="none" w:sz="0" w:space="0" w:color="auto"/>
            <w:left w:val="none" w:sz="0" w:space="0" w:color="auto"/>
            <w:bottom w:val="none" w:sz="0" w:space="0" w:color="auto"/>
            <w:right w:val="none" w:sz="0" w:space="0" w:color="auto"/>
          </w:divBdr>
          <w:divsChild>
            <w:div w:id="538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018074">
      <w:bodyDiv w:val="1"/>
      <w:marLeft w:val="0"/>
      <w:marRight w:val="0"/>
      <w:marTop w:val="0"/>
      <w:marBottom w:val="0"/>
      <w:divBdr>
        <w:top w:val="none" w:sz="0" w:space="0" w:color="auto"/>
        <w:left w:val="none" w:sz="0" w:space="0" w:color="auto"/>
        <w:bottom w:val="none" w:sz="0" w:space="0" w:color="auto"/>
        <w:right w:val="none" w:sz="0" w:space="0" w:color="auto"/>
      </w:divBdr>
      <w:divsChild>
        <w:div w:id="1061978002">
          <w:marLeft w:val="0"/>
          <w:marRight w:val="0"/>
          <w:marTop w:val="0"/>
          <w:marBottom w:val="0"/>
          <w:divBdr>
            <w:top w:val="none" w:sz="0" w:space="0" w:color="auto"/>
            <w:left w:val="none" w:sz="0" w:space="0" w:color="auto"/>
            <w:bottom w:val="none" w:sz="0" w:space="0" w:color="auto"/>
            <w:right w:val="none" w:sz="0" w:space="0" w:color="auto"/>
          </w:divBdr>
          <w:divsChild>
            <w:div w:id="120910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833">
      <w:bodyDiv w:val="1"/>
      <w:marLeft w:val="0"/>
      <w:marRight w:val="0"/>
      <w:marTop w:val="0"/>
      <w:marBottom w:val="0"/>
      <w:divBdr>
        <w:top w:val="none" w:sz="0" w:space="0" w:color="auto"/>
        <w:left w:val="none" w:sz="0" w:space="0" w:color="auto"/>
        <w:bottom w:val="none" w:sz="0" w:space="0" w:color="auto"/>
        <w:right w:val="none" w:sz="0" w:space="0" w:color="auto"/>
      </w:divBdr>
      <w:divsChild>
        <w:div w:id="862786158">
          <w:marLeft w:val="0"/>
          <w:marRight w:val="0"/>
          <w:marTop w:val="0"/>
          <w:marBottom w:val="0"/>
          <w:divBdr>
            <w:top w:val="none" w:sz="0" w:space="0" w:color="auto"/>
            <w:left w:val="none" w:sz="0" w:space="0" w:color="auto"/>
            <w:bottom w:val="none" w:sz="0" w:space="0" w:color="auto"/>
            <w:right w:val="none" w:sz="0" w:space="0" w:color="auto"/>
          </w:divBdr>
        </w:div>
        <w:div w:id="267396393">
          <w:marLeft w:val="0"/>
          <w:marRight w:val="0"/>
          <w:marTop w:val="0"/>
          <w:marBottom w:val="0"/>
          <w:divBdr>
            <w:top w:val="none" w:sz="0" w:space="0" w:color="auto"/>
            <w:left w:val="none" w:sz="0" w:space="0" w:color="auto"/>
            <w:bottom w:val="none" w:sz="0" w:space="0" w:color="auto"/>
            <w:right w:val="none" w:sz="0" w:space="0" w:color="auto"/>
          </w:divBdr>
        </w:div>
        <w:div w:id="500848983">
          <w:marLeft w:val="0"/>
          <w:marRight w:val="0"/>
          <w:marTop w:val="0"/>
          <w:marBottom w:val="0"/>
          <w:divBdr>
            <w:top w:val="none" w:sz="0" w:space="0" w:color="auto"/>
            <w:left w:val="none" w:sz="0" w:space="0" w:color="auto"/>
            <w:bottom w:val="none" w:sz="0" w:space="0" w:color="auto"/>
            <w:right w:val="none" w:sz="0" w:space="0" w:color="auto"/>
          </w:divBdr>
        </w:div>
        <w:div w:id="262811432">
          <w:marLeft w:val="0"/>
          <w:marRight w:val="0"/>
          <w:marTop w:val="0"/>
          <w:marBottom w:val="0"/>
          <w:divBdr>
            <w:top w:val="none" w:sz="0" w:space="0" w:color="auto"/>
            <w:left w:val="none" w:sz="0" w:space="0" w:color="auto"/>
            <w:bottom w:val="none" w:sz="0" w:space="0" w:color="auto"/>
            <w:right w:val="none" w:sz="0" w:space="0" w:color="auto"/>
          </w:divBdr>
        </w:div>
      </w:divsChild>
    </w:div>
    <w:div w:id="836843857">
      <w:bodyDiv w:val="1"/>
      <w:marLeft w:val="0"/>
      <w:marRight w:val="0"/>
      <w:marTop w:val="0"/>
      <w:marBottom w:val="0"/>
      <w:divBdr>
        <w:top w:val="none" w:sz="0" w:space="0" w:color="auto"/>
        <w:left w:val="none" w:sz="0" w:space="0" w:color="auto"/>
        <w:bottom w:val="none" w:sz="0" w:space="0" w:color="auto"/>
        <w:right w:val="none" w:sz="0" w:space="0" w:color="auto"/>
      </w:divBdr>
      <w:divsChild>
        <w:div w:id="832913056">
          <w:marLeft w:val="0"/>
          <w:marRight w:val="0"/>
          <w:marTop w:val="0"/>
          <w:marBottom w:val="0"/>
          <w:divBdr>
            <w:top w:val="none" w:sz="0" w:space="0" w:color="auto"/>
            <w:left w:val="none" w:sz="0" w:space="0" w:color="auto"/>
            <w:bottom w:val="none" w:sz="0" w:space="0" w:color="auto"/>
            <w:right w:val="none" w:sz="0" w:space="0" w:color="auto"/>
          </w:divBdr>
        </w:div>
        <w:div w:id="472873298">
          <w:marLeft w:val="0"/>
          <w:marRight w:val="0"/>
          <w:marTop w:val="0"/>
          <w:marBottom w:val="0"/>
          <w:divBdr>
            <w:top w:val="none" w:sz="0" w:space="0" w:color="auto"/>
            <w:left w:val="none" w:sz="0" w:space="0" w:color="auto"/>
            <w:bottom w:val="none" w:sz="0" w:space="0" w:color="auto"/>
            <w:right w:val="none" w:sz="0" w:space="0" w:color="auto"/>
          </w:divBdr>
        </w:div>
        <w:div w:id="1615094493">
          <w:marLeft w:val="0"/>
          <w:marRight w:val="0"/>
          <w:marTop w:val="0"/>
          <w:marBottom w:val="0"/>
          <w:divBdr>
            <w:top w:val="none" w:sz="0" w:space="0" w:color="auto"/>
            <w:left w:val="none" w:sz="0" w:space="0" w:color="auto"/>
            <w:bottom w:val="none" w:sz="0" w:space="0" w:color="auto"/>
            <w:right w:val="none" w:sz="0" w:space="0" w:color="auto"/>
          </w:divBdr>
        </w:div>
        <w:div w:id="1556506271">
          <w:marLeft w:val="0"/>
          <w:marRight w:val="0"/>
          <w:marTop w:val="0"/>
          <w:marBottom w:val="0"/>
          <w:divBdr>
            <w:top w:val="none" w:sz="0" w:space="0" w:color="auto"/>
            <w:left w:val="none" w:sz="0" w:space="0" w:color="auto"/>
            <w:bottom w:val="none" w:sz="0" w:space="0" w:color="auto"/>
            <w:right w:val="none" w:sz="0" w:space="0" w:color="auto"/>
          </w:divBdr>
        </w:div>
        <w:div w:id="210267019">
          <w:marLeft w:val="0"/>
          <w:marRight w:val="0"/>
          <w:marTop w:val="0"/>
          <w:marBottom w:val="0"/>
          <w:divBdr>
            <w:top w:val="none" w:sz="0" w:space="0" w:color="auto"/>
            <w:left w:val="none" w:sz="0" w:space="0" w:color="auto"/>
            <w:bottom w:val="none" w:sz="0" w:space="0" w:color="auto"/>
            <w:right w:val="none" w:sz="0" w:space="0" w:color="auto"/>
          </w:divBdr>
        </w:div>
        <w:div w:id="1461918626">
          <w:marLeft w:val="0"/>
          <w:marRight w:val="0"/>
          <w:marTop w:val="0"/>
          <w:marBottom w:val="0"/>
          <w:divBdr>
            <w:top w:val="none" w:sz="0" w:space="0" w:color="auto"/>
            <w:left w:val="none" w:sz="0" w:space="0" w:color="auto"/>
            <w:bottom w:val="none" w:sz="0" w:space="0" w:color="auto"/>
            <w:right w:val="none" w:sz="0" w:space="0" w:color="auto"/>
          </w:divBdr>
        </w:div>
      </w:divsChild>
    </w:div>
    <w:div w:id="855731235">
      <w:bodyDiv w:val="1"/>
      <w:marLeft w:val="0"/>
      <w:marRight w:val="0"/>
      <w:marTop w:val="0"/>
      <w:marBottom w:val="0"/>
      <w:divBdr>
        <w:top w:val="none" w:sz="0" w:space="0" w:color="auto"/>
        <w:left w:val="none" w:sz="0" w:space="0" w:color="auto"/>
        <w:bottom w:val="none" w:sz="0" w:space="0" w:color="auto"/>
        <w:right w:val="none" w:sz="0" w:space="0" w:color="auto"/>
      </w:divBdr>
      <w:divsChild>
        <w:div w:id="963541733">
          <w:marLeft w:val="0"/>
          <w:marRight w:val="0"/>
          <w:marTop w:val="0"/>
          <w:marBottom w:val="0"/>
          <w:divBdr>
            <w:top w:val="none" w:sz="0" w:space="0" w:color="auto"/>
            <w:left w:val="none" w:sz="0" w:space="0" w:color="auto"/>
            <w:bottom w:val="none" w:sz="0" w:space="0" w:color="auto"/>
            <w:right w:val="none" w:sz="0" w:space="0" w:color="auto"/>
          </w:divBdr>
        </w:div>
        <w:div w:id="1366561918">
          <w:marLeft w:val="0"/>
          <w:marRight w:val="0"/>
          <w:marTop w:val="0"/>
          <w:marBottom w:val="0"/>
          <w:divBdr>
            <w:top w:val="none" w:sz="0" w:space="0" w:color="auto"/>
            <w:left w:val="none" w:sz="0" w:space="0" w:color="auto"/>
            <w:bottom w:val="none" w:sz="0" w:space="0" w:color="auto"/>
            <w:right w:val="none" w:sz="0" w:space="0" w:color="auto"/>
          </w:divBdr>
        </w:div>
      </w:divsChild>
    </w:div>
    <w:div w:id="860707575">
      <w:bodyDiv w:val="1"/>
      <w:marLeft w:val="0"/>
      <w:marRight w:val="0"/>
      <w:marTop w:val="0"/>
      <w:marBottom w:val="0"/>
      <w:divBdr>
        <w:top w:val="none" w:sz="0" w:space="0" w:color="auto"/>
        <w:left w:val="none" w:sz="0" w:space="0" w:color="auto"/>
        <w:bottom w:val="none" w:sz="0" w:space="0" w:color="auto"/>
        <w:right w:val="none" w:sz="0" w:space="0" w:color="auto"/>
      </w:divBdr>
      <w:divsChild>
        <w:div w:id="1770853794">
          <w:marLeft w:val="0"/>
          <w:marRight w:val="0"/>
          <w:marTop w:val="0"/>
          <w:marBottom w:val="0"/>
          <w:divBdr>
            <w:top w:val="none" w:sz="0" w:space="0" w:color="auto"/>
            <w:left w:val="none" w:sz="0" w:space="0" w:color="auto"/>
            <w:bottom w:val="none" w:sz="0" w:space="0" w:color="auto"/>
            <w:right w:val="none" w:sz="0" w:space="0" w:color="auto"/>
          </w:divBdr>
        </w:div>
        <w:div w:id="2113669502">
          <w:marLeft w:val="0"/>
          <w:marRight w:val="0"/>
          <w:marTop w:val="0"/>
          <w:marBottom w:val="0"/>
          <w:divBdr>
            <w:top w:val="none" w:sz="0" w:space="0" w:color="auto"/>
            <w:left w:val="none" w:sz="0" w:space="0" w:color="auto"/>
            <w:bottom w:val="none" w:sz="0" w:space="0" w:color="auto"/>
            <w:right w:val="none" w:sz="0" w:space="0" w:color="auto"/>
          </w:divBdr>
        </w:div>
        <w:div w:id="1056929376">
          <w:marLeft w:val="0"/>
          <w:marRight w:val="0"/>
          <w:marTop w:val="0"/>
          <w:marBottom w:val="0"/>
          <w:divBdr>
            <w:top w:val="none" w:sz="0" w:space="0" w:color="auto"/>
            <w:left w:val="none" w:sz="0" w:space="0" w:color="auto"/>
            <w:bottom w:val="none" w:sz="0" w:space="0" w:color="auto"/>
            <w:right w:val="none" w:sz="0" w:space="0" w:color="auto"/>
          </w:divBdr>
        </w:div>
        <w:div w:id="2091000212">
          <w:marLeft w:val="0"/>
          <w:marRight w:val="0"/>
          <w:marTop w:val="0"/>
          <w:marBottom w:val="0"/>
          <w:divBdr>
            <w:top w:val="none" w:sz="0" w:space="0" w:color="auto"/>
            <w:left w:val="none" w:sz="0" w:space="0" w:color="auto"/>
            <w:bottom w:val="none" w:sz="0" w:space="0" w:color="auto"/>
            <w:right w:val="none" w:sz="0" w:space="0" w:color="auto"/>
          </w:divBdr>
        </w:div>
        <w:div w:id="707608188">
          <w:marLeft w:val="0"/>
          <w:marRight w:val="0"/>
          <w:marTop w:val="0"/>
          <w:marBottom w:val="0"/>
          <w:divBdr>
            <w:top w:val="none" w:sz="0" w:space="0" w:color="auto"/>
            <w:left w:val="none" w:sz="0" w:space="0" w:color="auto"/>
            <w:bottom w:val="none" w:sz="0" w:space="0" w:color="auto"/>
            <w:right w:val="none" w:sz="0" w:space="0" w:color="auto"/>
          </w:divBdr>
        </w:div>
      </w:divsChild>
    </w:div>
    <w:div w:id="901866948">
      <w:bodyDiv w:val="1"/>
      <w:marLeft w:val="0"/>
      <w:marRight w:val="0"/>
      <w:marTop w:val="0"/>
      <w:marBottom w:val="0"/>
      <w:divBdr>
        <w:top w:val="none" w:sz="0" w:space="0" w:color="auto"/>
        <w:left w:val="none" w:sz="0" w:space="0" w:color="auto"/>
        <w:bottom w:val="none" w:sz="0" w:space="0" w:color="auto"/>
        <w:right w:val="none" w:sz="0" w:space="0" w:color="auto"/>
      </w:divBdr>
      <w:divsChild>
        <w:div w:id="215824747">
          <w:marLeft w:val="0"/>
          <w:marRight w:val="0"/>
          <w:marTop w:val="0"/>
          <w:marBottom w:val="0"/>
          <w:divBdr>
            <w:top w:val="none" w:sz="0" w:space="0" w:color="auto"/>
            <w:left w:val="none" w:sz="0" w:space="0" w:color="auto"/>
            <w:bottom w:val="none" w:sz="0" w:space="0" w:color="auto"/>
            <w:right w:val="none" w:sz="0" w:space="0" w:color="auto"/>
          </w:divBdr>
        </w:div>
        <w:div w:id="1506167110">
          <w:marLeft w:val="0"/>
          <w:marRight w:val="0"/>
          <w:marTop w:val="0"/>
          <w:marBottom w:val="0"/>
          <w:divBdr>
            <w:top w:val="none" w:sz="0" w:space="0" w:color="auto"/>
            <w:left w:val="none" w:sz="0" w:space="0" w:color="auto"/>
            <w:bottom w:val="none" w:sz="0" w:space="0" w:color="auto"/>
            <w:right w:val="none" w:sz="0" w:space="0" w:color="auto"/>
          </w:divBdr>
        </w:div>
        <w:div w:id="531964695">
          <w:marLeft w:val="0"/>
          <w:marRight w:val="0"/>
          <w:marTop w:val="0"/>
          <w:marBottom w:val="0"/>
          <w:divBdr>
            <w:top w:val="none" w:sz="0" w:space="0" w:color="auto"/>
            <w:left w:val="none" w:sz="0" w:space="0" w:color="auto"/>
            <w:bottom w:val="none" w:sz="0" w:space="0" w:color="auto"/>
            <w:right w:val="none" w:sz="0" w:space="0" w:color="auto"/>
          </w:divBdr>
        </w:div>
      </w:divsChild>
    </w:div>
    <w:div w:id="971250076">
      <w:bodyDiv w:val="1"/>
      <w:marLeft w:val="0"/>
      <w:marRight w:val="0"/>
      <w:marTop w:val="0"/>
      <w:marBottom w:val="0"/>
      <w:divBdr>
        <w:top w:val="none" w:sz="0" w:space="0" w:color="auto"/>
        <w:left w:val="none" w:sz="0" w:space="0" w:color="auto"/>
        <w:bottom w:val="none" w:sz="0" w:space="0" w:color="auto"/>
        <w:right w:val="none" w:sz="0" w:space="0" w:color="auto"/>
      </w:divBdr>
      <w:divsChild>
        <w:div w:id="729154678">
          <w:marLeft w:val="0"/>
          <w:marRight w:val="0"/>
          <w:marTop w:val="0"/>
          <w:marBottom w:val="0"/>
          <w:divBdr>
            <w:top w:val="none" w:sz="0" w:space="0" w:color="auto"/>
            <w:left w:val="none" w:sz="0" w:space="0" w:color="auto"/>
            <w:bottom w:val="none" w:sz="0" w:space="0" w:color="auto"/>
            <w:right w:val="none" w:sz="0" w:space="0" w:color="auto"/>
          </w:divBdr>
          <w:divsChild>
            <w:div w:id="114296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162941">
      <w:bodyDiv w:val="1"/>
      <w:marLeft w:val="0"/>
      <w:marRight w:val="0"/>
      <w:marTop w:val="0"/>
      <w:marBottom w:val="0"/>
      <w:divBdr>
        <w:top w:val="none" w:sz="0" w:space="0" w:color="auto"/>
        <w:left w:val="none" w:sz="0" w:space="0" w:color="auto"/>
        <w:bottom w:val="none" w:sz="0" w:space="0" w:color="auto"/>
        <w:right w:val="none" w:sz="0" w:space="0" w:color="auto"/>
      </w:divBdr>
      <w:divsChild>
        <w:div w:id="2022852431">
          <w:marLeft w:val="0"/>
          <w:marRight w:val="0"/>
          <w:marTop w:val="0"/>
          <w:marBottom w:val="0"/>
          <w:divBdr>
            <w:top w:val="none" w:sz="0" w:space="0" w:color="auto"/>
            <w:left w:val="none" w:sz="0" w:space="0" w:color="auto"/>
            <w:bottom w:val="none" w:sz="0" w:space="0" w:color="auto"/>
            <w:right w:val="none" w:sz="0" w:space="0" w:color="auto"/>
          </w:divBdr>
        </w:div>
        <w:div w:id="1016662313">
          <w:marLeft w:val="0"/>
          <w:marRight w:val="0"/>
          <w:marTop w:val="0"/>
          <w:marBottom w:val="0"/>
          <w:divBdr>
            <w:top w:val="none" w:sz="0" w:space="0" w:color="auto"/>
            <w:left w:val="none" w:sz="0" w:space="0" w:color="auto"/>
            <w:bottom w:val="none" w:sz="0" w:space="0" w:color="auto"/>
            <w:right w:val="none" w:sz="0" w:space="0" w:color="auto"/>
          </w:divBdr>
        </w:div>
        <w:div w:id="123811273">
          <w:marLeft w:val="0"/>
          <w:marRight w:val="0"/>
          <w:marTop w:val="0"/>
          <w:marBottom w:val="0"/>
          <w:divBdr>
            <w:top w:val="none" w:sz="0" w:space="0" w:color="auto"/>
            <w:left w:val="none" w:sz="0" w:space="0" w:color="auto"/>
            <w:bottom w:val="none" w:sz="0" w:space="0" w:color="auto"/>
            <w:right w:val="none" w:sz="0" w:space="0" w:color="auto"/>
          </w:divBdr>
        </w:div>
        <w:div w:id="94597999">
          <w:marLeft w:val="0"/>
          <w:marRight w:val="0"/>
          <w:marTop w:val="0"/>
          <w:marBottom w:val="0"/>
          <w:divBdr>
            <w:top w:val="none" w:sz="0" w:space="0" w:color="auto"/>
            <w:left w:val="none" w:sz="0" w:space="0" w:color="auto"/>
            <w:bottom w:val="none" w:sz="0" w:space="0" w:color="auto"/>
            <w:right w:val="none" w:sz="0" w:space="0" w:color="auto"/>
          </w:divBdr>
        </w:div>
        <w:div w:id="471215868">
          <w:marLeft w:val="0"/>
          <w:marRight w:val="0"/>
          <w:marTop w:val="0"/>
          <w:marBottom w:val="0"/>
          <w:divBdr>
            <w:top w:val="none" w:sz="0" w:space="0" w:color="auto"/>
            <w:left w:val="none" w:sz="0" w:space="0" w:color="auto"/>
            <w:bottom w:val="none" w:sz="0" w:space="0" w:color="auto"/>
            <w:right w:val="none" w:sz="0" w:space="0" w:color="auto"/>
          </w:divBdr>
        </w:div>
        <w:div w:id="547952901">
          <w:marLeft w:val="0"/>
          <w:marRight w:val="0"/>
          <w:marTop w:val="0"/>
          <w:marBottom w:val="0"/>
          <w:divBdr>
            <w:top w:val="none" w:sz="0" w:space="0" w:color="auto"/>
            <w:left w:val="none" w:sz="0" w:space="0" w:color="auto"/>
            <w:bottom w:val="none" w:sz="0" w:space="0" w:color="auto"/>
            <w:right w:val="none" w:sz="0" w:space="0" w:color="auto"/>
          </w:divBdr>
        </w:div>
        <w:div w:id="1965959969">
          <w:marLeft w:val="0"/>
          <w:marRight w:val="0"/>
          <w:marTop w:val="0"/>
          <w:marBottom w:val="0"/>
          <w:divBdr>
            <w:top w:val="none" w:sz="0" w:space="0" w:color="auto"/>
            <w:left w:val="none" w:sz="0" w:space="0" w:color="auto"/>
            <w:bottom w:val="none" w:sz="0" w:space="0" w:color="auto"/>
            <w:right w:val="none" w:sz="0" w:space="0" w:color="auto"/>
          </w:divBdr>
        </w:div>
        <w:div w:id="724723811">
          <w:marLeft w:val="0"/>
          <w:marRight w:val="0"/>
          <w:marTop w:val="0"/>
          <w:marBottom w:val="0"/>
          <w:divBdr>
            <w:top w:val="none" w:sz="0" w:space="0" w:color="auto"/>
            <w:left w:val="none" w:sz="0" w:space="0" w:color="auto"/>
            <w:bottom w:val="none" w:sz="0" w:space="0" w:color="auto"/>
            <w:right w:val="none" w:sz="0" w:space="0" w:color="auto"/>
          </w:divBdr>
        </w:div>
        <w:div w:id="1285111014">
          <w:marLeft w:val="0"/>
          <w:marRight w:val="0"/>
          <w:marTop w:val="0"/>
          <w:marBottom w:val="0"/>
          <w:divBdr>
            <w:top w:val="none" w:sz="0" w:space="0" w:color="auto"/>
            <w:left w:val="none" w:sz="0" w:space="0" w:color="auto"/>
            <w:bottom w:val="none" w:sz="0" w:space="0" w:color="auto"/>
            <w:right w:val="none" w:sz="0" w:space="0" w:color="auto"/>
          </w:divBdr>
        </w:div>
        <w:div w:id="1655793734">
          <w:marLeft w:val="0"/>
          <w:marRight w:val="0"/>
          <w:marTop w:val="0"/>
          <w:marBottom w:val="0"/>
          <w:divBdr>
            <w:top w:val="none" w:sz="0" w:space="0" w:color="auto"/>
            <w:left w:val="none" w:sz="0" w:space="0" w:color="auto"/>
            <w:bottom w:val="none" w:sz="0" w:space="0" w:color="auto"/>
            <w:right w:val="none" w:sz="0" w:space="0" w:color="auto"/>
          </w:divBdr>
        </w:div>
        <w:div w:id="1586915013">
          <w:marLeft w:val="0"/>
          <w:marRight w:val="0"/>
          <w:marTop w:val="0"/>
          <w:marBottom w:val="0"/>
          <w:divBdr>
            <w:top w:val="none" w:sz="0" w:space="0" w:color="auto"/>
            <w:left w:val="none" w:sz="0" w:space="0" w:color="auto"/>
            <w:bottom w:val="none" w:sz="0" w:space="0" w:color="auto"/>
            <w:right w:val="none" w:sz="0" w:space="0" w:color="auto"/>
          </w:divBdr>
        </w:div>
        <w:div w:id="959536505">
          <w:marLeft w:val="0"/>
          <w:marRight w:val="0"/>
          <w:marTop w:val="0"/>
          <w:marBottom w:val="0"/>
          <w:divBdr>
            <w:top w:val="none" w:sz="0" w:space="0" w:color="auto"/>
            <w:left w:val="none" w:sz="0" w:space="0" w:color="auto"/>
            <w:bottom w:val="none" w:sz="0" w:space="0" w:color="auto"/>
            <w:right w:val="none" w:sz="0" w:space="0" w:color="auto"/>
          </w:divBdr>
        </w:div>
        <w:div w:id="217323643">
          <w:marLeft w:val="0"/>
          <w:marRight w:val="0"/>
          <w:marTop w:val="0"/>
          <w:marBottom w:val="0"/>
          <w:divBdr>
            <w:top w:val="none" w:sz="0" w:space="0" w:color="auto"/>
            <w:left w:val="none" w:sz="0" w:space="0" w:color="auto"/>
            <w:bottom w:val="none" w:sz="0" w:space="0" w:color="auto"/>
            <w:right w:val="none" w:sz="0" w:space="0" w:color="auto"/>
          </w:divBdr>
        </w:div>
        <w:div w:id="1127161224">
          <w:marLeft w:val="0"/>
          <w:marRight w:val="0"/>
          <w:marTop w:val="0"/>
          <w:marBottom w:val="0"/>
          <w:divBdr>
            <w:top w:val="none" w:sz="0" w:space="0" w:color="auto"/>
            <w:left w:val="none" w:sz="0" w:space="0" w:color="auto"/>
            <w:bottom w:val="none" w:sz="0" w:space="0" w:color="auto"/>
            <w:right w:val="none" w:sz="0" w:space="0" w:color="auto"/>
          </w:divBdr>
        </w:div>
        <w:div w:id="1956214041">
          <w:marLeft w:val="0"/>
          <w:marRight w:val="0"/>
          <w:marTop w:val="0"/>
          <w:marBottom w:val="0"/>
          <w:divBdr>
            <w:top w:val="none" w:sz="0" w:space="0" w:color="auto"/>
            <w:left w:val="none" w:sz="0" w:space="0" w:color="auto"/>
            <w:bottom w:val="none" w:sz="0" w:space="0" w:color="auto"/>
            <w:right w:val="none" w:sz="0" w:space="0" w:color="auto"/>
          </w:divBdr>
        </w:div>
        <w:div w:id="1688752292">
          <w:marLeft w:val="0"/>
          <w:marRight w:val="0"/>
          <w:marTop w:val="0"/>
          <w:marBottom w:val="0"/>
          <w:divBdr>
            <w:top w:val="none" w:sz="0" w:space="0" w:color="auto"/>
            <w:left w:val="none" w:sz="0" w:space="0" w:color="auto"/>
            <w:bottom w:val="none" w:sz="0" w:space="0" w:color="auto"/>
            <w:right w:val="none" w:sz="0" w:space="0" w:color="auto"/>
          </w:divBdr>
        </w:div>
        <w:div w:id="1386564824">
          <w:marLeft w:val="0"/>
          <w:marRight w:val="0"/>
          <w:marTop w:val="0"/>
          <w:marBottom w:val="0"/>
          <w:divBdr>
            <w:top w:val="none" w:sz="0" w:space="0" w:color="auto"/>
            <w:left w:val="none" w:sz="0" w:space="0" w:color="auto"/>
            <w:bottom w:val="none" w:sz="0" w:space="0" w:color="auto"/>
            <w:right w:val="none" w:sz="0" w:space="0" w:color="auto"/>
          </w:divBdr>
        </w:div>
        <w:div w:id="312757291">
          <w:marLeft w:val="0"/>
          <w:marRight w:val="0"/>
          <w:marTop w:val="0"/>
          <w:marBottom w:val="0"/>
          <w:divBdr>
            <w:top w:val="none" w:sz="0" w:space="0" w:color="auto"/>
            <w:left w:val="none" w:sz="0" w:space="0" w:color="auto"/>
            <w:bottom w:val="none" w:sz="0" w:space="0" w:color="auto"/>
            <w:right w:val="none" w:sz="0" w:space="0" w:color="auto"/>
          </w:divBdr>
        </w:div>
        <w:div w:id="629166255">
          <w:marLeft w:val="0"/>
          <w:marRight w:val="0"/>
          <w:marTop w:val="0"/>
          <w:marBottom w:val="0"/>
          <w:divBdr>
            <w:top w:val="none" w:sz="0" w:space="0" w:color="auto"/>
            <w:left w:val="none" w:sz="0" w:space="0" w:color="auto"/>
            <w:bottom w:val="none" w:sz="0" w:space="0" w:color="auto"/>
            <w:right w:val="none" w:sz="0" w:space="0" w:color="auto"/>
          </w:divBdr>
        </w:div>
        <w:div w:id="1688363259">
          <w:marLeft w:val="0"/>
          <w:marRight w:val="0"/>
          <w:marTop w:val="0"/>
          <w:marBottom w:val="0"/>
          <w:divBdr>
            <w:top w:val="none" w:sz="0" w:space="0" w:color="auto"/>
            <w:left w:val="none" w:sz="0" w:space="0" w:color="auto"/>
            <w:bottom w:val="none" w:sz="0" w:space="0" w:color="auto"/>
            <w:right w:val="none" w:sz="0" w:space="0" w:color="auto"/>
          </w:divBdr>
        </w:div>
        <w:div w:id="308630820">
          <w:marLeft w:val="0"/>
          <w:marRight w:val="0"/>
          <w:marTop w:val="0"/>
          <w:marBottom w:val="0"/>
          <w:divBdr>
            <w:top w:val="none" w:sz="0" w:space="0" w:color="auto"/>
            <w:left w:val="none" w:sz="0" w:space="0" w:color="auto"/>
            <w:bottom w:val="none" w:sz="0" w:space="0" w:color="auto"/>
            <w:right w:val="none" w:sz="0" w:space="0" w:color="auto"/>
          </w:divBdr>
        </w:div>
        <w:div w:id="1467357696">
          <w:marLeft w:val="0"/>
          <w:marRight w:val="0"/>
          <w:marTop w:val="0"/>
          <w:marBottom w:val="0"/>
          <w:divBdr>
            <w:top w:val="none" w:sz="0" w:space="0" w:color="auto"/>
            <w:left w:val="none" w:sz="0" w:space="0" w:color="auto"/>
            <w:bottom w:val="none" w:sz="0" w:space="0" w:color="auto"/>
            <w:right w:val="none" w:sz="0" w:space="0" w:color="auto"/>
          </w:divBdr>
        </w:div>
        <w:div w:id="339939147">
          <w:marLeft w:val="0"/>
          <w:marRight w:val="0"/>
          <w:marTop w:val="0"/>
          <w:marBottom w:val="0"/>
          <w:divBdr>
            <w:top w:val="none" w:sz="0" w:space="0" w:color="auto"/>
            <w:left w:val="none" w:sz="0" w:space="0" w:color="auto"/>
            <w:bottom w:val="none" w:sz="0" w:space="0" w:color="auto"/>
            <w:right w:val="none" w:sz="0" w:space="0" w:color="auto"/>
          </w:divBdr>
        </w:div>
        <w:div w:id="1002779946">
          <w:marLeft w:val="0"/>
          <w:marRight w:val="0"/>
          <w:marTop w:val="0"/>
          <w:marBottom w:val="0"/>
          <w:divBdr>
            <w:top w:val="none" w:sz="0" w:space="0" w:color="auto"/>
            <w:left w:val="none" w:sz="0" w:space="0" w:color="auto"/>
            <w:bottom w:val="none" w:sz="0" w:space="0" w:color="auto"/>
            <w:right w:val="none" w:sz="0" w:space="0" w:color="auto"/>
          </w:divBdr>
        </w:div>
        <w:div w:id="904022793">
          <w:marLeft w:val="0"/>
          <w:marRight w:val="0"/>
          <w:marTop w:val="0"/>
          <w:marBottom w:val="0"/>
          <w:divBdr>
            <w:top w:val="none" w:sz="0" w:space="0" w:color="auto"/>
            <w:left w:val="none" w:sz="0" w:space="0" w:color="auto"/>
            <w:bottom w:val="none" w:sz="0" w:space="0" w:color="auto"/>
            <w:right w:val="none" w:sz="0" w:space="0" w:color="auto"/>
          </w:divBdr>
        </w:div>
        <w:div w:id="1208302006">
          <w:marLeft w:val="0"/>
          <w:marRight w:val="0"/>
          <w:marTop w:val="0"/>
          <w:marBottom w:val="0"/>
          <w:divBdr>
            <w:top w:val="none" w:sz="0" w:space="0" w:color="auto"/>
            <w:left w:val="none" w:sz="0" w:space="0" w:color="auto"/>
            <w:bottom w:val="none" w:sz="0" w:space="0" w:color="auto"/>
            <w:right w:val="none" w:sz="0" w:space="0" w:color="auto"/>
          </w:divBdr>
        </w:div>
        <w:div w:id="514267946">
          <w:marLeft w:val="0"/>
          <w:marRight w:val="0"/>
          <w:marTop w:val="0"/>
          <w:marBottom w:val="0"/>
          <w:divBdr>
            <w:top w:val="none" w:sz="0" w:space="0" w:color="auto"/>
            <w:left w:val="none" w:sz="0" w:space="0" w:color="auto"/>
            <w:bottom w:val="none" w:sz="0" w:space="0" w:color="auto"/>
            <w:right w:val="none" w:sz="0" w:space="0" w:color="auto"/>
          </w:divBdr>
        </w:div>
        <w:div w:id="734206642">
          <w:marLeft w:val="0"/>
          <w:marRight w:val="0"/>
          <w:marTop w:val="0"/>
          <w:marBottom w:val="0"/>
          <w:divBdr>
            <w:top w:val="none" w:sz="0" w:space="0" w:color="auto"/>
            <w:left w:val="none" w:sz="0" w:space="0" w:color="auto"/>
            <w:bottom w:val="none" w:sz="0" w:space="0" w:color="auto"/>
            <w:right w:val="none" w:sz="0" w:space="0" w:color="auto"/>
          </w:divBdr>
        </w:div>
        <w:div w:id="826436780">
          <w:marLeft w:val="0"/>
          <w:marRight w:val="0"/>
          <w:marTop w:val="0"/>
          <w:marBottom w:val="0"/>
          <w:divBdr>
            <w:top w:val="none" w:sz="0" w:space="0" w:color="auto"/>
            <w:left w:val="none" w:sz="0" w:space="0" w:color="auto"/>
            <w:bottom w:val="none" w:sz="0" w:space="0" w:color="auto"/>
            <w:right w:val="none" w:sz="0" w:space="0" w:color="auto"/>
          </w:divBdr>
        </w:div>
        <w:div w:id="687945684">
          <w:marLeft w:val="0"/>
          <w:marRight w:val="0"/>
          <w:marTop w:val="0"/>
          <w:marBottom w:val="0"/>
          <w:divBdr>
            <w:top w:val="none" w:sz="0" w:space="0" w:color="auto"/>
            <w:left w:val="none" w:sz="0" w:space="0" w:color="auto"/>
            <w:bottom w:val="none" w:sz="0" w:space="0" w:color="auto"/>
            <w:right w:val="none" w:sz="0" w:space="0" w:color="auto"/>
          </w:divBdr>
        </w:div>
        <w:div w:id="1805854156">
          <w:marLeft w:val="0"/>
          <w:marRight w:val="0"/>
          <w:marTop w:val="0"/>
          <w:marBottom w:val="0"/>
          <w:divBdr>
            <w:top w:val="none" w:sz="0" w:space="0" w:color="auto"/>
            <w:left w:val="none" w:sz="0" w:space="0" w:color="auto"/>
            <w:bottom w:val="none" w:sz="0" w:space="0" w:color="auto"/>
            <w:right w:val="none" w:sz="0" w:space="0" w:color="auto"/>
          </w:divBdr>
        </w:div>
        <w:div w:id="507525608">
          <w:marLeft w:val="0"/>
          <w:marRight w:val="0"/>
          <w:marTop w:val="0"/>
          <w:marBottom w:val="0"/>
          <w:divBdr>
            <w:top w:val="none" w:sz="0" w:space="0" w:color="auto"/>
            <w:left w:val="none" w:sz="0" w:space="0" w:color="auto"/>
            <w:bottom w:val="none" w:sz="0" w:space="0" w:color="auto"/>
            <w:right w:val="none" w:sz="0" w:space="0" w:color="auto"/>
          </w:divBdr>
        </w:div>
        <w:div w:id="278755458">
          <w:marLeft w:val="0"/>
          <w:marRight w:val="0"/>
          <w:marTop w:val="0"/>
          <w:marBottom w:val="0"/>
          <w:divBdr>
            <w:top w:val="none" w:sz="0" w:space="0" w:color="auto"/>
            <w:left w:val="none" w:sz="0" w:space="0" w:color="auto"/>
            <w:bottom w:val="none" w:sz="0" w:space="0" w:color="auto"/>
            <w:right w:val="none" w:sz="0" w:space="0" w:color="auto"/>
          </w:divBdr>
        </w:div>
        <w:div w:id="1240671599">
          <w:marLeft w:val="0"/>
          <w:marRight w:val="0"/>
          <w:marTop w:val="0"/>
          <w:marBottom w:val="0"/>
          <w:divBdr>
            <w:top w:val="none" w:sz="0" w:space="0" w:color="auto"/>
            <w:left w:val="none" w:sz="0" w:space="0" w:color="auto"/>
            <w:bottom w:val="none" w:sz="0" w:space="0" w:color="auto"/>
            <w:right w:val="none" w:sz="0" w:space="0" w:color="auto"/>
          </w:divBdr>
        </w:div>
        <w:div w:id="419521916">
          <w:marLeft w:val="0"/>
          <w:marRight w:val="0"/>
          <w:marTop w:val="0"/>
          <w:marBottom w:val="0"/>
          <w:divBdr>
            <w:top w:val="none" w:sz="0" w:space="0" w:color="auto"/>
            <w:left w:val="none" w:sz="0" w:space="0" w:color="auto"/>
            <w:bottom w:val="none" w:sz="0" w:space="0" w:color="auto"/>
            <w:right w:val="none" w:sz="0" w:space="0" w:color="auto"/>
          </w:divBdr>
        </w:div>
        <w:div w:id="1616250094">
          <w:marLeft w:val="0"/>
          <w:marRight w:val="0"/>
          <w:marTop w:val="0"/>
          <w:marBottom w:val="0"/>
          <w:divBdr>
            <w:top w:val="none" w:sz="0" w:space="0" w:color="auto"/>
            <w:left w:val="none" w:sz="0" w:space="0" w:color="auto"/>
            <w:bottom w:val="none" w:sz="0" w:space="0" w:color="auto"/>
            <w:right w:val="none" w:sz="0" w:space="0" w:color="auto"/>
          </w:divBdr>
        </w:div>
        <w:div w:id="526411289">
          <w:marLeft w:val="0"/>
          <w:marRight w:val="0"/>
          <w:marTop w:val="0"/>
          <w:marBottom w:val="0"/>
          <w:divBdr>
            <w:top w:val="none" w:sz="0" w:space="0" w:color="auto"/>
            <w:left w:val="none" w:sz="0" w:space="0" w:color="auto"/>
            <w:bottom w:val="none" w:sz="0" w:space="0" w:color="auto"/>
            <w:right w:val="none" w:sz="0" w:space="0" w:color="auto"/>
          </w:divBdr>
        </w:div>
        <w:div w:id="1875772509">
          <w:marLeft w:val="0"/>
          <w:marRight w:val="0"/>
          <w:marTop w:val="0"/>
          <w:marBottom w:val="0"/>
          <w:divBdr>
            <w:top w:val="none" w:sz="0" w:space="0" w:color="auto"/>
            <w:left w:val="none" w:sz="0" w:space="0" w:color="auto"/>
            <w:bottom w:val="none" w:sz="0" w:space="0" w:color="auto"/>
            <w:right w:val="none" w:sz="0" w:space="0" w:color="auto"/>
          </w:divBdr>
        </w:div>
        <w:div w:id="1894385748">
          <w:marLeft w:val="0"/>
          <w:marRight w:val="0"/>
          <w:marTop w:val="0"/>
          <w:marBottom w:val="0"/>
          <w:divBdr>
            <w:top w:val="none" w:sz="0" w:space="0" w:color="auto"/>
            <w:left w:val="none" w:sz="0" w:space="0" w:color="auto"/>
            <w:bottom w:val="none" w:sz="0" w:space="0" w:color="auto"/>
            <w:right w:val="none" w:sz="0" w:space="0" w:color="auto"/>
          </w:divBdr>
        </w:div>
        <w:div w:id="1976906543">
          <w:marLeft w:val="0"/>
          <w:marRight w:val="0"/>
          <w:marTop w:val="0"/>
          <w:marBottom w:val="0"/>
          <w:divBdr>
            <w:top w:val="none" w:sz="0" w:space="0" w:color="auto"/>
            <w:left w:val="none" w:sz="0" w:space="0" w:color="auto"/>
            <w:bottom w:val="none" w:sz="0" w:space="0" w:color="auto"/>
            <w:right w:val="none" w:sz="0" w:space="0" w:color="auto"/>
          </w:divBdr>
        </w:div>
        <w:div w:id="628047881">
          <w:marLeft w:val="0"/>
          <w:marRight w:val="0"/>
          <w:marTop w:val="0"/>
          <w:marBottom w:val="0"/>
          <w:divBdr>
            <w:top w:val="none" w:sz="0" w:space="0" w:color="auto"/>
            <w:left w:val="none" w:sz="0" w:space="0" w:color="auto"/>
            <w:bottom w:val="none" w:sz="0" w:space="0" w:color="auto"/>
            <w:right w:val="none" w:sz="0" w:space="0" w:color="auto"/>
          </w:divBdr>
        </w:div>
        <w:div w:id="751048441">
          <w:marLeft w:val="0"/>
          <w:marRight w:val="0"/>
          <w:marTop w:val="0"/>
          <w:marBottom w:val="0"/>
          <w:divBdr>
            <w:top w:val="none" w:sz="0" w:space="0" w:color="auto"/>
            <w:left w:val="none" w:sz="0" w:space="0" w:color="auto"/>
            <w:bottom w:val="none" w:sz="0" w:space="0" w:color="auto"/>
            <w:right w:val="none" w:sz="0" w:space="0" w:color="auto"/>
          </w:divBdr>
        </w:div>
        <w:div w:id="1426270119">
          <w:marLeft w:val="0"/>
          <w:marRight w:val="0"/>
          <w:marTop w:val="0"/>
          <w:marBottom w:val="0"/>
          <w:divBdr>
            <w:top w:val="none" w:sz="0" w:space="0" w:color="auto"/>
            <w:left w:val="none" w:sz="0" w:space="0" w:color="auto"/>
            <w:bottom w:val="none" w:sz="0" w:space="0" w:color="auto"/>
            <w:right w:val="none" w:sz="0" w:space="0" w:color="auto"/>
          </w:divBdr>
        </w:div>
        <w:div w:id="880216128">
          <w:marLeft w:val="0"/>
          <w:marRight w:val="0"/>
          <w:marTop w:val="0"/>
          <w:marBottom w:val="0"/>
          <w:divBdr>
            <w:top w:val="none" w:sz="0" w:space="0" w:color="auto"/>
            <w:left w:val="none" w:sz="0" w:space="0" w:color="auto"/>
            <w:bottom w:val="none" w:sz="0" w:space="0" w:color="auto"/>
            <w:right w:val="none" w:sz="0" w:space="0" w:color="auto"/>
          </w:divBdr>
        </w:div>
        <w:div w:id="267278256">
          <w:marLeft w:val="0"/>
          <w:marRight w:val="0"/>
          <w:marTop w:val="0"/>
          <w:marBottom w:val="0"/>
          <w:divBdr>
            <w:top w:val="none" w:sz="0" w:space="0" w:color="auto"/>
            <w:left w:val="none" w:sz="0" w:space="0" w:color="auto"/>
            <w:bottom w:val="none" w:sz="0" w:space="0" w:color="auto"/>
            <w:right w:val="none" w:sz="0" w:space="0" w:color="auto"/>
          </w:divBdr>
        </w:div>
        <w:div w:id="515467104">
          <w:marLeft w:val="0"/>
          <w:marRight w:val="0"/>
          <w:marTop w:val="0"/>
          <w:marBottom w:val="0"/>
          <w:divBdr>
            <w:top w:val="none" w:sz="0" w:space="0" w:color="auto"/>
            <w:left w:val="none" w:sz="0" w:space="0" w:color="auto"/>
            <w:bottom w:val="none" w:sz="0" w:space="0" w:color="auto"/>
            <w:right w:val="none" w:sz="0" w:space="0" w:color="auto"/>
          </w:divBdr>
        </w:div>
        <w:div w:id="2086875501">
          <w:marLeft w:val="0"/>
          <w:marRight w:val="0"/>
          <w:marTop w:val="0"/>
          <w:marBottom w:val="0"/>
          <w:divBdr>
            <w:top w:val="none" w:sz="0" w:space="0" w:color="auto"/>
            <w:left w:val="none" w:sz="0" w:space="0" w:color="auto"/>
            <w:bottom w:val="none" w:sz="0" w:space="0" w:color="auto"/>
            <w:right w:val="none" w:sz="0" w:space="0" w:color="auto"/>
          </w:divBdr>
        </w:div>
        <w:div w:id="1257055750">
          <w:marLeft w:val="0"/>
          <w:marRight w:val="0"/>
          <w:marTop w:val="0"/>
          <w:marBottom w:val="0"/>
          <w:divBdr>
            <w:top w:val="none" w:sz="0" w:space="0" w:color="auto"/>
            <w:left w:val="none" w:sz="0" w:space="0" w:color="auto"/>
            <w:bottom w:val="none" w:sz="0" w:space="0" w:color="auto"/>
            <w:right w:val="none" w:sz="0" w:space="0" w:color="auto"/>
          </w:divBdr>
        </w:div>
        <w:div w:id="1358627401">
          <w:marLeft w:val="0"/>
          <w:marRight w:val="0"/>
          <w:marTop w:val="0"/>
          <w:marBottom w:val="0"/>
          <w:divBdr>
            <w:top w:val="none" w:sz="0" w:space="0" w:color="auto"/>
            <w:left w:val="none" w:sz="0" w:space="0" w:color="auto"/>
            <w:bottom w:val="none" w:sz="0" w:space="0" w:color="auto"/>
            <w:right w:val="none" w:sz="0" w:space="0" w:color="auto"/>
          </w:divBdr>
        </w:div>
        <w:div w:id="687875756">
          <w:marLeft w:val="0"/>
          <w:marRight w:val="0"/>
          <w:marTop w:val="0"/>
          <w:marBottom w:val="0"/>
          <w:divBdr>
            <w:top w:val="none" w:sz="0" w:space="0" w:color="auto"/>
            <w:left w:val="none" w:sz="0" w:space="0" w:color="auto"/>
            <w:bottom w:val="none" w:sz="0" w:space="0" w:color="auto"/>
            <w:right w:val="none" w:sz="0" w:space="0" w:color="auto"/>
          </w:divBdr>
        </w:div>
        <w:div w:id="832911295">
          <w:marLeft w:val="0"/>
          <w:marRight w:val="0"/>
          <w:marTop w:val="0"/>
          <w:marBottom w:val="0"/>
          <w:divBdr>
            <w:top w:val="none" w:sz="0" w:space="0" w:color="auto"/>
            <w:left w:val="none" w:sz="0" w:space="0" w:color="auto"/>
            <w:bottom w:val="none" w:sz="0" w:space="0" w:color="auto"/>
            <w:right w:val="none" w:sz="0" w:space="0" w:color="auto"/>
          </w:divBdr>
        </w:div>
      </w:divsChild>
    </w:div>
    <w:div w:id="1072966920">
      <w:bodyDiv w:val="1"/>
      <w:marLeft w:val="0"/>
      <w:marRight w:val="0"/>
      <w:marTop w:val="0"/>
      <w:marBottom w:val="0"/>
      <w:divBdr>
        <w:top w:val="none" w:sz="0" w:space="0" w:color="auto"/>
        <w:left w:val="none" w:sz="0" w:space="0" w:color="auto"/>
        <w:bottom w:val="none" w:sz="0" w:space="0" w:color="auto"/>
        <w:right w:val="none" w:sz="0" w:space="0" w:color="auto"/>
      </w:divBdr>
    </w:div>
    <w:div w:id="1099639974">
      <w:bodyDiv w:val="1"/>
      <w:marLeft w:val="0"/>
      <w:marRight w:val="0"/>
      <w:marTop w:val="0"/>
      <w:marBottom w:val="0"/>
      <w:divBdr>
        <w:top w:val="none" w:sz="0" w:space="0" w:color="auto"/>
        <w:left w:val="none" w:sz="0" w:space="0" w:color="auto"/>
        <w:bottom w:val="none" w:sz="0" w:space="0" w:color="auto"/>
        <w:right w:val="none" w:sz="0" w:space="0" w:color="auto"/>
      </w:divBdr>
      <w:divsChild>
        <w:div w:id="206337790">
          <w:marLeft w:val="0"/>
          <w:marRight w:val="0"/>
          <w:marTop w:val="0"/>
          <w:marBottom w:val="0"/>
          <w:divBdr>
            <w:top w:val="none" w:sz="0" w:space="0" w:color="auto"/>
            <w:left w:val="none" w:sz="0" w:space="0" w:color="auto"/>
            <w:bottom w:val="none" w:sz="0" w:space="0" w:color="auto"/>
            <w:right w:val="none" w:sz="0" w:space="0" w:color="auto"/>
          </w:divBdr>
        </w:div>
        <w:div w:id="529489400">
          <w:marLeft w:val="0"/>
          <w:marRight w:val="0"/>
          <w:marTop w:val="0"/>
          <w:marBottom w:val="0"/>
          <w:divBdr>
            <w:top w:val="none" w:sz="0" w:space="0" w:color="auto"/>
            <w:left w:val="none" w:sz="0" w:space="0" w:color="auto"/>
            <w:bottom w:val="none" w:sz="0" w:space="0" w:color="auto"/>
            <w:right w:val="none" w:sz="0" w:space="0" w:color="auto"/>
          </w:divBdr>
        </w:div>
        <w:div w:id="600331938">
          <w:marLeft w:val="0"/>
          <w:marRight w:val="0"/>
          <w:marTop w:val="0"/>
          <w:marBottom w:val="0"/>
          <w:divBdr>
            <w:top w:val="none" w:sz="0" w:space="0" w:color="auto"/>
            <w:left w:val="none" w:sz="0" w:space="0" w:color="auto"/>
            <w:bottom w:val="none" w:sz="0" w:space="0" w:color="auto"/>
            <w:right w:val="none" w:sz="0" w:space="0" w:color="auto"/>
          </w:divBdr>
        </w:div>
        <w:div w:id="962002994">
          <w:marLeft w:val="0"/>
          <w:marRight w:val="0"/>
          <w:marTop w:val="0"/>
          <w:marBottom w:val="0"/>
          <w:divBdr>
            <w:top w:val="none" w:sz="0" w:space="0" w:color="auto"/>
            <w:left w:val="none" w:sz="0" w:space="0" w:color="auto"/>
            <w:bottom w:val="none" w:sz="0" w:space="0" w:color="auto"/>
            <w:right w:val="none" w:sz="0" w:space="0" w:color="auto"/>
          </w:divBdr>
        </w:div>
        <w:div w:id="308755151">
          <w:marLeft w:val="0"/>
          <w:marRight w:val="0"/>
          <w:marTop w:val="0"/>
          <w:marBottom w:val="0"/>
          <w:divBdr>
            <w:top w:val="none" w:sz="0" w:space="0" w:color="auto"/>
            <w:left w:val="none" w:sz="0" w:space="0" w:color="auto"/>
            <w:bottom w:val="none" w:sz="0" w:space="0" w:color="auto"/>
            <w:right w:val="none" w:sz="0" w:space="0" w:color="auto"/>
          </w:divBdr>
        </w:div>
      </w:divsChild>
    </w:div>
    <w:div w:id="1160534628">
      <w:bodyDiv w:val="1"/>
      <w:marLeft w:val="0"/>
      <w:marRight w:val="0"/>
      <w:marTop w:val="0"/>
      <w:marBottom w:val="0"/>
      <w:divBdr>
        <w:top w:val="none" w:sz="0" w:space="0" w:color="auto"/>
        <w:left w:val="none" w:sz="0" w:space="0" w:color="auto"/>
        <w:bottom w:val="none" w:sz="0" w:space="0" w:color="auto"/>
        <w:right w:val="none" w:sz="0" w:space="0" w:color="auto"/>
      </w:divBdr>
      <w:divsChild>
        <w:div w:id="1656060778">
          <w:marLeft w:val="0"/>
          <w:marRight w:val="0"/>
          <w:marTop w:val="0"/>
          <w:marBottom w:val="0"/>
          <w:divBdr>
            <w:top w:val="none" w:sz="0" w:space="0" w:color="auto"/>
            <w:left w:val="none" w:sz="0" w:space="0" w:color="auto"/>
            <w:bottom w:val="none" w:sz="0" w:space="0" w:color="auto"/>
            <w:right w:val="none" w:sz="0" w:space="0" w:color="auto"/>
          </w:divBdr>
        </w:div>
        <w:div w:id="948858332">
          <w:marLeft w:val="0"/>
          <w:marRight w:val="0"/>
          <w:marTop w:val="0"/>
          <w:marBottom w:val="0"/>
          <w:divBdr>
            <w:top w:val="none" w:sz="0" w:space="0" w:color="auto"/>
            <w:left w:val="none" w:sz="0" w:space="0" w:color="auto"/>
            <w:bottom w:val="none" w:sz="0" w:space="0" w:color="auto"/>
            <w:right w:val="none" w:sz="0" w:space="0" w:color="auto"/>
          </w:divBdr>
        </w:div>
        <w:div w:id="996224481">
          <w:marLeft w:val="0"/>
          <w:marRight w:val="0"/>
          <w:marTop w:val="0"/>
          <w:marBottom w:val="0"/>
          <w:divBdr>
            <w:top w:val="none" w:sz="0" w:space="0" w:color="auto"/>
            <w:left w:val="none" w:sz="0" w:space="0" w:color="auto"/>
            <w:bottom w:val="none" w:sz="0" w:space="0" w:color="auto"/>
            <w:right w:val="none" w:sz="0" w:space="0" w:color="auto"/>
          </w:divBdr>
        </w:div>
        <w:div w:id="391074769">
          <w:marLeft w:val="0"/>
          <w:marRight w:val="0"/>
          <w:marTop w:val="0"/>
          <w:marBottom w:val="0"/>
          <w:divBdr>
            <w:top w:val="none" w:sz="0" w:space="0" w:color="auto"/>
            <w:left w:val="none" w:sz="0" w:space="0" w:color="auto"/>
            <w:bottom w:val="none" w:sz="0" w:space="0" w:color="auto"/>
            <w:right w:val="none" w:sz="0" w:space="0" w:color="auto"/>
          </w:divBdr>
        </w:div>
        <w:div w:id="215050737">
          <w:marLeft w:val="0"/>
          <w:marRight w:val="0"/>
          <w:marTop w:val="0"/>
          <w:marBottom w:val="0"/>
          <w:divBdr>
            <w:top w:val="none" w:sz="0" w:space="0" w:color="auto"/>
            <w:left w:val="none" w:sz="0" w:space="0" w:color="auto"/>
            <w:bottom w:val="none" w:sz="0" w:space="0" w:color="auto"/>
            <w:right w:val="none" w:sz="0" w:space="0" w:color="auto"/>
          </w:divBdr>
        </w:div>
        <w:div w:id="2055618695">
          <w:marLeft w:val="0"/>
          <w:marRight w:val="0"/>
          <w:marTop w:val="0"/>
          <w:marBottom w:val="0"/>
          <w:divBdr>
            <w:top w:val="none" w:sz="0" w:space="0" w:color="auto"/>
            <w:left w:val="none" w:sz="0" w:space="0" w:color="auto"/>
            <w:bottom w:val="none" w:sz="0" w:space="0" w:color="auto"/>
            <w:right w:val="none" w:sz="0" w:space="0" w:color="auto"/>
          </w:divBdr>
        </w:div>
        <w:div w:id="462818174">
          <w:marLeft w:val="0"/>
          <w:marRight w:val="0"/>
          <w:marTop w:val="0"/>
          <w:marBottom w:val="0"/>
          <w:divBdr>
            <w:top w:val="none" w:sz="0" w:space="0" w:color="auto"/>
            <w:left w:val="none" w:sz="0" w:space="0" w:color="auto"/>
            <w:bottom w:val="none" w:sz="0" w:space="0" w:color="auto"/>
            <w:right w:val="none" w:sz="0" w:space="0" w:color="auto"/>
          </w:divBdr>
        </w:div>
        <w:div w:id="1666207741">
          <w:marLeft w:val="0"/>
          <w:marRight w:val="0"/>
          <w:marTop w:val="0"/>
          <w:marBottom w:val="0"/>
          <w:divBdr>
            <w:top w:val="none" w:sz="0" w:space="0" w:color="auto"/>
            <w:left w:val="none" w:sz="0" w:space="0" w:color="auto"/>
            <w:bottom w:val="none" w:sz="0" w:space="0" w:color="auto"/>
            <w:right w:val="none" w:sz="0" w:space="0" w:color="auto"/>
          </w:divBdr>
        </w:div>
        <w:div w:id="1141313522">
          <w:marLeft w:val="0"/>
          <w:marRight w:val="0"/>
          <w:marTop w:val="0"/>
          <w:marBottom w:val="0"/>
          <w:divBdr>
            <w:top w:val="none" w:sz="0" w:space="0" w:color="auto"/>
            <w:left w:val="none" w:sz="0" w:space="0" w:color="auto"/>
            <w:bottom w:val="none" w:sz="0" w:space="0" w:color="auto"/>
            <w:right w:val="none" w:sz="0" w:space="0" w:color="auto"/>
          </w:divBdr>
        </w:div>
        <w:div w:id="994145914">
          <w:marLeft w:val="0"/>
          <w:marRight w:val="0"/>
          <w:marTop w:val="0"/>
          <w:marBottom w:val="0"/>
          <w:divBdr>
            <w:top w:val="none" w:sz="0" w:space="0" w:color="auto"/>
            <w:left w:val="none" w:sz="0" w:space="0" w:color="auto"/>
            <w:bottom w:val="none" w:sz="0" w:space="0" w:color="auto"/>
            <w:right w:val="none" w:sz="0" w:space="0" w:color="auto"/>
          </w:divBdr>
        </w:div>
        <w:div w:id="1060396137">
          <w:marLeft w:val="0"/>
          <w:marRight w:val="0"/>
          <w:marTop w:val="0"/>
          <w:marBottom w:val="0"/>
          <w:divBdr>
            <w:top w:val="none" w:sz="0" w:space="0" w:color="auto"/>
            <w:left w:val="none" w:sz="0" w:space="0" w:color="auto"/>
            <w:bottom w:val="none" w:sz="0" w:space="0" w:color="auto"/>
            <w:right w:val="none" w:sz="0" w:space="0" w:color="auto"/>
          </w:divBdr>
        </w:div>
        <w:div w:id="1072390533">
          <w:marLeft w:val="0"/>
          <w:marRight w:val="0"/>
          <w:marTop w:val="0"/>
          <w:marBottom w:val="0"/>
          <w:divBdr>
            <w:top w:val="none" w:sz="0" w:space="0" w:color="auto"/>
            <w:left w:val="none" w:sz="0" w:space="0" w:color="auto"/>
            <w:bottom w:val="none" w:sz="0" w:space="0" w:color="auto"/>
            <w:right w:val="none" w:sz="0" w:space="0" w:color="auto"/>
          </w:divBdr>
        </w:div>
        <w:div w:id="1253856681">
          <w:marLeft w:val="0"/>
          <w:marRight w:val="0"/>
          <w:marTop w:val="0"/>
          <w:marBottom w:val="0"/>
          <w:divBdr>
            <w:top w:val="none" w:sz="0" w:space="0" w:color="auto"/>
            <w:left w:val="none" w:sz="0" w:space="0" w:color="auto"/>
            <w:bottom w:val="none" w:sz="0" w:space="0" w:color="auto"/>
            <w:right w:val="none" w:sz="0" w:space="0" w:color="auto"/>
          </w:divBdr>
        </w:div>
        <w:div w:id="1385252684">
          <w:marLeft w:val="0"/>
          <w:marRight w:val="0"/>
          <w:marTop w:val="0"/>
          <w:marBottom w:val="0"/>
          <w:divBdr>
            <w:top w:val="none" w:sz="0" w:space="0" w:color="auto"/>
            <w:left w:val="none" w:sz="0" w:space="0" w:color="auto"/>
            <w:bottom w:val="none" w:sz="0" w:space="0" w:color="auto"/>
            <w:right w:val="none" w:sz="0" w:space="0" w:color="auto"/>
          </w:divBdr>
        </w:div>
        <w:div w:id="1002392628">
          <w:marLeft w:val="0"/>
          <w:marRight w:val="0"/>
          <w:marTop w:val="0"/>
          <w:marBottom w:val="0"/>
          <w:divBdr>
            <w:top w:val="none" w:sz="0" w:space="0" w:color="auto"/>
            <w:left w:val="none" w:sz="0" w:space="0" w:color="auto"/>
            <w:bottom w:val="none" w:sz="0" w:space="0" w:color="auto"/>
            <w:right w:val="none" w:sz="0" w:space="0" w:color="auto"/>
          </w:divBdr>
        </w:div>
        <w:div w:id="1967006470">
          <w:marLeft w:val="0"/>
          <w:marRight w:val="0"/>
          <w:marTop w:val="0"/>
          <w:marBottom w:val="0"/>
          <w:divBdr>
            <w:top w:val="none" w:sz="0" w:space="0" w:color="auto"/>
            <w:left w:val="none" w:sz="0" w:space="0" w:color="auto"/>
            <w:bottom w:val="none" w:sz="0" w:space="0" w:color="auto"/>
            <w:right w:val="none" w:sz="0" w:space="0" w:color="auto"/>
          </w:divBdr>
        </w:div>
        <w:div w:id="608053490">
          <w:marLeft w:val="0"/>
          <w:marRight w:val="0"/>
          <w:marTop w:val="0"/>
          <w:marBottom w:val="0"/>
          <w:divBdr>
            <w:top w:val="none" w:sz="0" w:space="0" w:color="auto"/>
            <w:left w:val="none" w:sz="0" w:space="0" w:color="auto"/>
            <w:bottom w:val="none" w:sz="0" w:space="0" w:color="auto"/>
            <w:right w:val="none" w:sz="0" w:space="0" w:color="auto"/>
          </w:divBdr>
        </w:div>
        <w:div w:id="1341082157">
          <w:marLeft w:val="0"/>
          <w:marRight w:val="0"/>
          <w:marTop w:val="0"/>
          <w:marBottom w:val="0"/>
          <w:divBdr>
            <w:top w:val="none" w:sz="0" w:space="0" w:color="auto"/>
            <w:left w:val="none" w:sz="0" w:space="0" w:color="auto"/>
            <w:bottom w:val="none" w:sz="0" w:space="0" w:color="auto"/>
            <w:right w:val="none" w:sz="0" w:space="0" w:color="auto"/>
          </w:divBdr>
        </w:div>
        <w:div w:id="921329266">
          <w:marLeft w:val="0"/>
          <w:marRight w:val="0"/>
          <w:marTop w:val="0"/>
          <w:marBottom w:val="0"/>
          <w:divBdr>
            <w:top w:val="none" w:sz="0" w:space="0" w:color="auto"/>
            <w:left w:val="none" w:sz="0" w:space="0" w:color="auto"/>
            <w:bottom w:val="none" w:sz="0" w:space="0" w:color="auto"/>
            <w:right w:val="none" w:sz="0" w:space="0" w:color="auto"/>
          </w:divBdr>
        </w:div>
        <w:div w:id="1861316236">
          <w:marLeft w:val="0"/>
          <w:marRight w:val="0"/>
          <w:marTop w:val="0"/>
          <w:marBottom w:val="0"/>
          <w:divBdr>
            <w:top w:val="none" w:sz="0" w:space="0" w:color="auto"/>
            <w:left w:val="none" w:sz="0" w:space="0" w:color="auto"/>
            <w:bottom w:val="none" w:sz="0" w:space="0" w:color="auto"/>
            <w:right w:val="none" w:sz="0" w:space="0" w:color="auto"/>
          </w:divBdr>
        </w:div>
        <w:div w:id="135025651">
          <w:marLeft w:val="0"/>
          <w:marRight w:val="0"/>
          <w:marTop w:val="0"/>
          <w:marBottom w:val="0"/>
          <w:divBdr>
            <w:top w:val="none" w:sz="0" w:space="0" w:color="auto"/>
            <w:left w:val="none" w:sz="0" w:space="0" w:color="auto"/>
            <w:bottom w:val="none" w:sz="0" w:space="0" w:color="auto"/>
            <w:right w:val="none" w:sz="0" w:space="0" w:color="auto"/>
          </w:divBdr>
        </w:div>
        <w:div w:id="1012875688">
          <w:marLeft w:val="0"/>
          <w:marRight w:val="0"/>
          <w:marTop w:val="0"/>
          <w:marBottom w:val="0"/>
          <w:divBdr>
            <w:top w:val="none" w:sz="0" w:space="0" w:color="auto"/>
            <w:left w:val="none" w:sz="0" w:space="0" w:color="auto"/>
            <w:bottom w:val="none" w:sz="0" w:space="0" w:color="auto"/>
            <w:right w:val="none" w:sz="0" w:space="0" w:color="auto"/>
          </w:divBdr>
        </w:div>
        <w:div w:id="1516383644">
          <w:marLeft w:val="0"/>
          <w:marRight w:val="0"/>
          <w:marTop w:val="0"/>
          <w:marBottom w:val="0"/>
          <w:divBdr>
            <w:top w:val="none" w:sz="0" w:space="0" w:color="auto"/>
            <w:left w:val="none" w:sz="0" w:space="0" w:color="auto"/>
            <w:bottom w:val="none" w:sz="0" w:space="0" w:color="auto"/>
            <w:right w:val="none" w:sz="0" w:space="0" w:color="auto"/>
          </w:divBdr>
        </w:div>
        <w:div w:id="1283922844">
          <w:marLeft w:val="0"/>
          <w:marRight w:val="0"/>
          <w:marTop w:val="0"/>
          <w:marBottom w:val="0"/>
          <w:divBdr>
            <w:top w:val="none" w:sz="0" w:space="0" w:color="auto"/>
            <w:left w:val="none" w:sz="0" w:space="0" w:color="auto"/>
            <w:bottom w:val="none" w:sz="0" w:space="0" w:color="auto"/>
            <w:right w:val="none" w:sz="0" w:space="0" w:color="auto"/>
          </w:divBdr>
        </w:div>
        <w:div w:id="937106115">
          <w:marLeft w:val="0"/>
          <w:marRight w:val="0"/>
          <w:marTop w:val="0"/>
          <w:marBottom w:val="0"/>
          <w:divBdr>
            <w:top w:val="none" w:sz="0" w:space="0" w:color="auto"/>
            <w:left w:val="none" w:sz="0" w:space="0" w:color="auto"/>
            <w:bottom w:val="none" w:sz="0" w:space="0" w:color="auto"/>
            <w:right w:val="none" w:sz="0" w:space="0" w:color="auto"/>
          </w:divBdr>
        </w:div>
        <w:div w:id="685980427">
          <w:marLeft w:val="0"/>
          <w:marRight w:val="0"/>
          <w:marTop w:val="0"/>
          <w:marBottom w:val="0"/>
          <w:divBdr>
            <w:top w:val="none" w:sz="0" w:space="0" w:color="auto"/>
            <w:left w:val="none" w:sz="0" w:space="0" w:color="auto"/>
            <w:bottom w:val="none" w:sz="0" w:space="0" w:color="auto"/>
            <w:right w:val="none" w:sz="0" w:space="0" w:color="auto"/>
          </w:divBdr>
        </w:div>
        <w:div w:id="1047069249">
          <w:marLeft w:val="0"/>
          <w:marRight w:val="0"/>
          <w:marTop w:val="0"/>
          <w:marBottom w:val="0"/>
          <w:divBdr>
            <w:top w:val="none" w:sz="0" w:space="0" w:color="auto"/>
            <w:left w:val="none" w:sz="0" w:space="0" w:color="auto"/>
            <w:bottom w:val="none" w:sz="0" w:space="0" w:color="auto"/>
            <w:right w:val="none" w:sz="0" w:space="0" w:color="auto"/>
          </w:divBdr>
        </w:div>
        <w:div w:id="2033142465">
          <w:marLeft w:val="0"/>
          <w:marRight w:val="0"/>
          <w:marTop w:val="0"/>
          <w:marBottom w:val="0"/>
          <w:divBdr>
            <w:top w:val="none" w:sz="0" w:space="0" w:color="auto"/>
            <w:left w:val="none" w:sz="0" w:space="0" w:color="auto"/>
            <w:bottom w:val="none" w:sz="0" w:space="0" w:color="auto"/>
            <w:right w:val="none" w:sz="0" w:space="0" w:color="auto"/>
          </w:divBdr>
        </w:div>
        <w:div w:id="1611467912">
          <w:marLeft w:val="0"/>
          <w:marRight w:val="0"/>
          <w:marTop w:val="0"/>
          <w:marBottom w:val="0"/>
          <w:divBdr>
            <w:top w:val="none" w:sz="0" w:space="0" w:color="auto"/>
            <w:left w:val="none" w:sz="0" w:space="0" w:color="auto"/>
            <w:bottom w:val="none" w:sz="0" w:space="0" w:color="auto"/>
            <w:right w:val="none" w:sz="0" w:space="0" w:color="auto"/>
          </w:divBdr>
        </w:div>
        <w:div w:id="1468662417">
          <w:marLeft w:val="0"/>
          <w:marRight w:val="0"/>
          <w:marTop w:val="0"/>
          <w:marBottom w:val="0"/>
          <w:divBdr>
            <w:top w:val="none" w:sz="0" w:space="0" w:color="auto"/>
            <w:left w:val="none" w:sz="0" w:space="0" w:color="auto"/>
            <w:bottom w:val="none" w:sz="0" w:space="0" w:color="auto"/>
            <w:right w:val="none" w:sz="0" w:space="0" w:color="auto"/>
          </w:divBdr>
        </w:div>
        <w:div w:id="9533291">
          <w:marLeft w:val="0"/>
          <w:marRight w:val="0"/>
          <w:marTop w:val="0"/>
          <w:marBottom w:val="0"/>
          <w:divBdr>
            <w:top w:val="none" w:sz="0" w:space="0" w:color="auto"/>
            <w:left w:val="none" w:sz="0" w:space="0" w:color="auto"/>
            <w:bottom w:val="none" w:sz="0" w:space="0" w:color="auto"/>
            <w:right w:val="none" w:sz="0" w:space="0" w:color="auto"/>
          </w:divBdr>
        </w:div>
        <w:div w:id="1711487691">
          <w:marLeft w:val="0"/>
          <w:marRight w:val="0"/>
          <w:marTop w:val="0"/>
          <w:marBottom w:val="0"/>
          <w:divBdr>
            <w:top w:val="none" w:sz="0" w:space="0" w:color="auto"/>
            <w:left w:val="none" w:sz="0" w:space="0" w:color="auto"/>
            <w:bottom w:val="none" w:sz="0" w:space="0" w:color="auto"/>
            <w:right w:val="none" w:sz="0" w:space="0" w:color="auto"/>
          </w:divBdr>
        </w:div>
        <w:div w:id="546332127">
          <w:marLeft w:val="0"/>
          <w:marRight w:val="0"/>
          <w:marTop w:val="0"/>
          <w:marBottom w:val="0"/>
          <w:divBdr>
            <w:top w:val="none" w:sz="0" w:space="0" w:color="auto"/>
            <w:left w:val="none" w:sz="0" w:space="0" w:color="auto"/>
            <w:bottom w:val="none" w:sz="0" w:space="0" w:color="auto"/>
            <w:right w:val="none" w:sz="0" w:space="0" w:color="auto"/>
          </w:divBdr>
        </w:div>
        <w:div w:id="1523593645">
          <w:marLeft w:val="0"/>
          <w:marRight w:val="0"/>
          <w:marTop w:val="0"/>
          <w:marBottom w:val="0"/>
          <w:divBdr>
            <w:top w:val="none" w:sz="0" w:space="0" w:color="auto"/>
            <w:left w:val="none" w:sz="0" w:space="0" w:color="auto"/>
            <w:bottom w:val="none" w:sz="0" w:space="0" w:color="auto"/>
            <w:right w:val="none" w:sz="0" w:space="0" w:color="auto"/>
          </w:divBdr>
        </w:div>
        <w:div w:id="1184057045">
          <w:marLeft w:val="0"/>
          <w:marRight w:val="0"/>
          <w:marTop w:val="0"/>
          <w:marBottom w:val="0"/>
          <w:divBdr>
            <w:top w:val="none" w:sz="0" w:space="0" w:color="auto"/>
            <w:left w:val="none" w:sz="0" w:space="0" w:color="auto"/>
            <w:bottom w:val="none" w:sz="0" w:space="0" w:color="auto"/>
            <w:right w:val="none" w:sz="0" w:space="0" w:color="auto"/>
          </w:divBdr>
        </w:div>
        <w:div w:id="138036002">
          <w:marLeft w:val="0"/>
          <w:marRight w:val="0"/>
          <w:marTop w:val="0"/>
          <w:marBottom w:val="0"/>
          <w:divBdr>
            <w:top w:val="none" w:sz="0" w:space="0" w:color="auto"/>
            <w:left w:val="none" w:sz="0" w:space="0" w:color="auto"/>
            <w:bottom w:val="none" w:sz="0" w:space="0" w:color="auto"/>
            <w:right w:val="none" w:sz="0" w:space="0" w:color="auto"/>
          </w:divBdr>
        </w:div>
        <w:div w:id="475803482">
          <w:marLeft w:val="0"/>
          <w:marRight w:val="0"/>
          <w:marTop w:val="0"/>
          <w:marBottom w:val="0"/>
          <w:divBdr>
            <w:top w:val="none" w:sz="0" w:space="0" w:color="auto"/>
            <w:left w:val="none" w:sz="0" w:space="0" w:color="auto"/>
            <w:bottom w:val="none" w:sz="0" w:space="0" w:color="auto"/>
            <w:right w:val="none" w:sz="0" w:space="0" w:color="auto"/>
          </w:divBdr>
        </w:div>
        <w:div w:id="362051117">
          <w:marLeft w:val="0"/>
          <w:marRight w:val="0"/>
          <w:marTop w:val="0"/>
          <w:marBottom w:val="0"/>
          <w:divBdr>
            <w:top w:val="none" w:sz="0" w:space="0" w:color="auto"/>
            <w:left w:val="none" w:sz="0" w:space="0" w:color="auto"/>
            <w:bottom w:val="none" w:sz="0" w:space="0" w:color="auto"/>
            <w:right w:val="none" w:sz="0" w:space="0" w:color="auto"/>
          </w:divBdr>
        </w:div>
        <w:div w:id="1315794449">
          <w:marLeft w:val="0"/>
          <w:marRight w:val="0"/>
          <w:marTop w:val="0"/>
          <w:marBottom w:val="0"/>
          <w:divBdr>
            <w:top w:val="none" w:sz="0" w:space="0" w:color="auto"/>
            <w:left w:val="none" w:sz="0" w:space="0" w:color="auto"/>
            <w:bottom w:val="none" w:sz="0" w:space="0" w:color="auto"/>
            <w:right w:val="none" w:sz="0" w:space="0" w:color="auto"/>
          </w:divBdr>
        </w:div>
        <w:div w:id="633214658">
          <w:marLeft w:val="0"/>
          <w:marRight w:val="0"/>
          <w:marTop w:val="0"/>
          <w:marBottom w:val="0"/>
          <w:divBdr>
            <w:top w:val="none" w:sz="0" w:space="0" w:color="auto"/>
            <w:left w:val="none" w:sz="0" w:space="0" w:color="auto"/>
            <w:bottom w:val="none" w:sz="0" w:space="0" w:color="auto"/>
            <w:right w:val="none" w:sz="0" w:space="0" w:color="auto"/>
          </w:divBdr>
        </w:div>
        <w:div w:id="744690463">
          <w:marLeft w:val="0"/>
          <w:marRight w:val="0"/>
          <w:marTop w:val="0"/>
          <w:marBottom w:val="0"/>
          <w:divBdr>
            <w:top w:val="none" w:sz="0" w:space="0" w:color="auto"/>
            <w:left w:val="none" w:sz="0" w:space="0" w:color="auto"/>
            <w:bottom w:val="none" w:sz="0" w:space="0" w:color="auto"/>
            <w:right w:val="none" w:sz="0" w:space="0" w:color="auto"/>
          </w:divBdr>
        </w:div>
        <w:div w:id="533733694">
          <w:marLeft w:val="0"/>
          <w:marRight w:val="0"/>
          <w:marTop w:val="0"/>
          <w:marBottom w:val="0"/>
          <w:divBdr>
            <w:top w:val="none" w:sz="0" w:space="0" w:color="auto"/>
            <w:left w:val="none" w:sz="0" w:space="0" w:color="auto"/>
            <w:bottom w:val="none" w:sz="0" w:space="0" w:color="auto"/>
            <w:right w:val="none" w:sz="0" w:space="0" w:color="auto"/>
          </w:divBdr>
        </w:div>
        <w:div w:id="1548100893">
          <w:marLeft w:val="0"/>
          <w:marRight w:val="0"/>
          <w:marTop w:val="0"/>
          <w:marBottom w:val="0"/>
          <w:divBdr>
            <w:top w:val="none" w:sz="0" w:space="0" w:color="auto"/>
            <w:left w:val="none" w:sz="0" w:space="0" w:color="auto"/>
            <w:bottom w:val="none" w:sz="0" w:space="0" w:color="auto"/>
            <w:right w:val="none" w:sz="0" w:space="0" w:color="auto"/>
          </w:divBdr>
        </w:div>
        <w:div w:id="1237130530">
          <w:marLeft w:val="0"/>
          <w:marRight w:val="0"/>
          <w:marTop w:val="0"/>
          <w:marBottom w:val="0"/>
          <w:divBdr>
            <w:top w:val="none" w:sz="0" w:space="0" w:color="auto"/>
            <w:left w:val="none" w:sz="0" w:space="0" w:color="auto"/>
            <w:bottom w:val="none" w:sz="0" w:space="0" w:color="auto"/>
            <w:right w:val="none" w:sz="0" w:space="0" w:color="auto"/>
          </w:divBdr>
        </w:div>
        <w:div w:id="591932635">
          <w:marLeft w:val="0"/>
          <w:marRight w:val="0"/>
          <w:marTop w:val="0"/>
          <w:marBottom w:val="0"/>
          <w:divBdr>
            <w:top w:val="none" w:sz="0" w:space="0" w:color="auto"/>
            <w:left w:val="none" w:sz="0" w:space="0" w:color="auto"/>
            <w:bottom w:val="none" w:sz="0" w:space="0" w:color="auto"/>
            <w:right w:val="none" w:sz="0" w:space="0" w:color="auto"/>
          </w:divBdr>
        </w:div>
        <w:div w:id="1346207698">
          <w:marLeft w:val="0"/>
          <w:marRight w:val="0"/>
          <w:marTop w:val="0"/>
          <w:marBottom w:val="0"/>
          <w:divBdr>
            <w:top w:val="none" w:sz="0" w:space="0" w:color="auto"/>
            <w:left w:val="none" w:sz="0" w:space="0" w:color="auto"/>
            <w:bottom w:val="none" w:sz="0" w:space="0" w:color="auto"/>
            <w:right w:val="none" w:sz="0" w:space="0" w:color="auto"/>
          </w:divBdr>
        </w:div>
        <w:div w:id="1095444603">
          <w:marLeft w:val="0"/>
          <w:marRight w:val="0"/>
          <w:marTop w:val="0"/>
          <w:marBottom w:val="0"/>
          <w:divBdr>
            <w:top w:val="none" w:sz="0" w:space="0" w:color="auto"/>
            <w:left w:val="none" w:sz="0" w:space="0" w:color="auto"/>
            <w:bottom w:val="none" w:sz="0" w:space="0" w:color="auto"/>
            <w:right w:val="none" w:sz="0" w:space="0" w:color="auto"/>
          </w:divBdr>
        </w:div>
        <w:div w:id="132913748">
          <w:marLeft w:val="0"/>
          <w:marRight w:val="0"/>
          <w:marTop w:val="0"/>
          <w:marBottom w:val="0"/>
          <w:divBdr>
            <w:top w:val="none" w:sz="0" w:space="0" w:color="auto"/>
            <w:left w:val="none" w:sz="0" w:space="0" w:color="auto"/>
            <w:bottom w:val="none" w:sz="0" w:space="0" w:color="auto"/>
            <w:right w:val="none" w:sz="0" w:space="0" w:color="auto"/>
          </w:divBdr>
        </w:div>
        <w:div w:id="708604321">
          <w:marLeft w:val="0"/>
          <w:marRight w:val="0"/>
          <w:marTop w:val="0"/>
          <w:marBottom w:val="0"/>
          <w:divBdr>
            <w:top w:val="none" w:sz="0" w:space="0" w:color="auto"/>
            <w:left w:val="none" w:sz="0" w:space="0" w:color="auto"/>
            <w:bottom w:val="none" w:sz="0" w:space="0" w:color="auto"/>
            <w:right w:val="none" w:sz="0" w:space="0" w:color="auto"/>
          </w:divBdr>
        </w:div>
        <w:div w:id="1177622784">
          <w:marLeft w:val="0"/>
          <w:marRight w:val="0"/>
          <w:marTop w:val="0"/>
          <w:marBottom w:val="0"/>
          <w:divBdr>
            <w:top w:val="none" w:sz="0" w:space="0" w:color="auto"/>
            <w:left w:val="none" w:sz="0" w:space="0" w:color="auto"/>
            <w:bottom w:val="none" w:sz="0" w:space="0" w:color="auto"/>
            <w:right w:val="none" w:sz="0" w:space="0" w:color="auto"/>
          </w:divBdr>
        </w:div>
        <w:div w:id="667713426">
          <w:marLeft w:val="0"/>
          <w:marRight w:val="0"/>
          <w:marTop w:val="0"/>
          <w:marBottom w:val="0"/>
          <w:divBdr>
            <w:top w:val="none" w:sz="0" w:space="0" w:color="auto"/>
            <w:left w:val="none" w:sz="0" w:space="0" w:color="auto"/>
            <w:bottom w:val="none" w:sz="0" w:space="0" w:color="auto"/>
            <w:right w:val="none" w:sz="0" w:space="0" w:color="auto"/>
          </w:divBdr>
        </w:div>
      </w:divsChild>
    </w:div>
    <w:div w:id="1192182842">
      <w:bodyDiv w:val="1"/>
      <w:marLeft w:val="0"/>
      <w:marRight w:val="0"/>
      <w:marTop w:val="0"/>
      <w:marBottom w:val="0"/>
      <w:divBdr>
        <w:top w:val="none" w:sz="0" w:space="0" w:color="auto"/>
        <w:left w:val="none" w:sz="0" w:space="0" w:color="auto"/>
        <w:bottom w:val="none" w:sz="0" w:space="0" w:color="auto"/>
        <w:right w:val="none" w:sz="0" w:space="0" w:color="auto"/>
      </w:divBdr>
      <w:divsChild>
        <w:div w:id="23945328">
          <w:marLeft w:val="0"/>
          <w:marRight w:val="0"/>
          <w:marTop w:val="0"/>
          <w:marBottom w:val="0"/>
          <w:divBdr>
            <w:top w:val="none" w:sz="0" w:space="0" w:color="auto"/>
            <w:left w:val="none" w:sz="0" w:space="0" w:color="auto"/>
            <w:bottom w:val="none" w:sz="0" w:space="0" w:color="auto"/>
            <w:right w:val="none" w:sz="0" w:space="0" w:color="auto"/>
          </w:divBdr>
          <w:divsChild>
            <w:div w:id="124113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112677">
      <w:bodyDiv w:val="1"/>
      <w:marLeft w:val="0"/>
      <w:marRight w:val="0"/>
      <w:marTop w:val="0"/>
      <w:marBottom w:val="0"/>
      <w:divBdr>
        <w:top w:val="none" w:sz="0" w:space="0" w:color="auto"/>
        <w:left w:val="none" w:sz="0" w:space="0" w:color="auto"/>
        <w:bottom w:val="none" w:sz="0" w:space="0" w:color="auto"/>
        <w:right w:val="none" w:sz="0" w:space="0" w:color="auto"/>
      </w:divBdr>
      <w:divsChild>
        <w:div w:id="1968587289">
          <w:marLeft w:val="0"/>
          <w:marRight w:val="0"/>
          <w:marTop w:val="0"/>
          <w:marBottom w:val="0"/>
          <w:divBdr>
            <w:top w:val="none" w:sz="0" w:space="0" w:color="auto"/>
            <w:left w:val="none" w:sz="0" w:space="0" w:color="auto"/>
            <w:bottom w:val="none" w:sz="0" w:space="0" w:color="auto"/>
            <w:right w:val="none" w:sz="0" w:space="0" w:color="auto"/>
          </w:divBdr>
          <w:divsChild>
            <w:div w:id="3370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51946">
      <w:bodyDiv w:val="1"/>
      <w:marLeft w:val="0"/>
      <w:marRight w:val="0"/>
      <w:marTop w:val="0"/>
      <w:marBottom w:val="0"/>
      <w:divBdr>
        <w:top w:val="none" w:sz="0" w:space="0" w:color="auto"/>
        <w:left w:val="none" w:sz="0" w:space="0" w:color="auto"/>
        <w:bottom w:val="none" w:sz="0" w:space="0" w:color="auto"/>
        <w:right w:val="none" w:sz="0" w:space="0" w:color="auto"/>
      </w:divBdr>
      <w:divsChild>
        <w:div w:id="1296793082">
          <w:marLeft w:val="0"/>
          <w:marRight w:val="0"/>
          <w:marTop w:val="0"/>
          <w:marBottom w:val="0"/>
          <w:divBdr>
            <w:top w:val="none" w:sz="0" w:space="0" w:color="auto"/>
            <w:left w:val="none" w:sz="0" w:space="0" w:color="auto"/>
            <w:bottom w:val="none" w:sz="0" w:space="0" w:color="auto"/>
            <w:right w:val="none" w:sz="0" w:space="0" w:color="auto"/>
          </w:divBdr>
        </w:div>
        <w:div w:id="540410511">
          <w:marLeft w:val="0"/>
          <w:marRight w:val="0"/>
          <w:marTop w:val="0"/>
          <w:marBottom w:val="0"/>
          <w:divBdr>
            <w:top w:val="none" w:sz="0" w:space="0" w:color="auto"/>
            <w:left w:val="none" w:sz="0" w:space="0" w:color="auto"/>
            <w:bottom w:val="none" w:sz="0" w:space="0" w:color="auto"/>
            <w:right w:val="none" w:sz="0" w:space="0" w:color="auto"/>
          </w:divBdr>
        </w:div>
        <w:div w:id="830635526">
          <w:marLeft w:val="0"/>
          <w:marRight w:val="0"/>
          <w:marTop w:val="0"/>
          <w:marBottom w:val="0"/>
          <w:divBdr>
            <w:top w:val="none" w:sz="0" w:space="0" w:color="auto"/>
            <w:left w:val="none" w:sz="0" w:space="0" w:color="auto"/>
            <w:bottom w:val="none" w:sz="0" w:space="0" w:color="auto"/>
            <w:right w:val="none" w:sz="0" w:space="0" w:color="auto"/>
          </w:divBdr>
        </w:div>
      </w:divsChild>
    </w:div>
    <w:div w:id="1278022037">
      <w:bodyDiv w:val="1"/>
      <w:marLeft w:val="0"/>
      <w:marRight w:val="0"/>
      <w:marTop w:val="0"/>
      <w:marBottom w:val="0"/>
      <w:divBdr>
        <w:top w:val="none" w:sz="0" w:space="0" w:color="auto"/>
        <w:left w:val="none" w:sz="0" w:space="0" w:color="auto"/>
        <w:bottom w:val="none" w:sz="0" w:space="0" w:color="auto"/>
        <w:right w:val="none" w:sz="0" w:space="0" w:color="auto"/>
      </w:divBdr>
      <w:divsChild>
        <w:div w:id="351154893">
          <w:marLeft w:val="0"/>
          <w:marRight w:val="0"/>
          <w:marTop w:val="0"/>
          <w:marBottom w:val="0"/>
          <w:divBdr>
            <w:top w:val="none" w:sz="0" w:space="0" w:color="auto"/>
            <w:left w:val="none" w:sz="0" w:space="0" w:color="auto"/>
            <w:bottom w:val="none" w:sz="0" w:space="0" w:color="auto"/>
            <w:right w:val="none" w:sz="0" w:space="0" w:color="auto"/>
          </w:divBdr>
        </w:div>
        <w:div w:id="1921793217">
          <w:marLeft w:val="0"/>
          <w:marRight w:val="0"/>
          <w:marTop w:val="0"/>
          <w:marBottom w:val="0"/>
          <w:divBdr>
            <w:top w:val="none" w:sz="0" w:space="0" w:color="auto"/>
            <w:left w:val="none" w:sz="0" w:space="0" w:color="auto"/>
            <w:bottom w:val="none" w:sz="0" w:space="0" w:color="auto"/>
            <w:right w:val="none" w:sz="0" w:space="0" w:color="auto"/>
          </w:divBdr>
        </w:div>
        <w:div w:id="1264800001">
          <w:marLeft w:val="0"/>
          <w:marRight w:val="0"/>
          <w:marTop w:val="0"/>
          <w:marBottom w:val="0"/>
          <w:divBdr>
            <w:top w:val="none" w:sz="0" w:space="0" w:color="auto"/>
            <w:left w:val="none" w:sz="0" w:space="0" w:color="auto"/>
            <w:bottom w:val="none" w:sz="0" w:space="0" w:color="auto"/>
            <w:right w:val="none" w:sz="0" w:space="0" w:color="auto"/>
          </w:divBdr>
        </w:div>
        <w:div w:id="833641849">
          <w:marLeft w:val="0"/>
          <w:marRight w:val="0"/>
          <w:marTop w:val="0"/>
          <w:marBottom w:val="0"/>
          <w:divBdr>
            <w:top w:val="none" w:sz="0" w:space="0" w:color="auto"/>
            <w:left w:val="none" w:sz="0" w:space="0" w:color="auto"/>
            <w:bottom w:val="none" w:sz="0" w:space="0" w:color="auto"/>
            <w:right w:val="none" w:sz="0" w:space="0" w:color="auto"/>
          </w:divBdr>
        </w:div>
        <w:div w:id="430395104">
          <w:marLeft w:val="0"/>
          <w:marRight w:val="0"/>
          <w:marTop w:val="0"/>
          <w:marBottom w:val="0"/>
          <w:divBdr>
            <w:top w:val="none" w:sz="0" w:space="0" w:color="auto"/>
            <w:left w:val="none" w:sz="0" w:space="0" w:color="auto"/>
            <w:bottom w:val="none" w:sz="0" w:space="0" w:color="auto"/>
            <w:right w:val="none" w:sz="0" w:space="0" w:color="auto"/>
          </w:divBdr>
        </w:div>
        <w:div w:id="359628319">
          <w:marLeft w:val="0"/>
          <w:marRight w:val="0"/>
          <w:marTop w:val="0"/>
          <w:marBottom w:val="0"/>
          <w:divBdr>
            <w:top w:val="none" w:sz="0" w:space="0" w:color="auto"/>
            <w:left w:val="none" w:sz="0" w:space="0" w:color="auto"/>
            <w:bottom w:val="none" w:sz="0" w:space="0" w:color="auto"/>
            <w:right w:val="none" w:sz="0" w:space="0" w:color="auto"/>
          </w:divBdr>
        </w:div>
        <w:div w:id="261258935">
          <w:marLeft w:val="0"/>
          <w:marRight w:val="0"/>
          <w:marTop w:val="0"/>
          <w:marBottom w:val="0"/>
          <w:divBdr>
            <w:top w:val="none" w:sz="0" w:space="0" w:color="auto"/>
            <w:left w:val="none" w:sz="0" w:space="0" w:color="auto"/>
            <w:bottom w:val="none" w:sz="0" w:space="0" w:color="auto"/>
            <w:right w:val="none" w:sz="0" w:space="0" w:color="auto"/>
          </w:divBdr>
        </w:div>
        <w:div w:id="1816334669">
          <w:marLeft w:val="0"/>
          <w:marRight w:val="0"/>
          <w:marTop w:val="0"/>
          <w:marBottom w:val="0"/>
          <w:divBdr>
            <w:top w:val="none" w:sz="0" w:space="0" w:color="auto"/>
            <w:left w:val="none" w:sz="0" w:space="0" w:color="auto"/>
            <w:bottom w:val="none" w:sz="0" w:space="0" w:color="auto"/>
            <w:right w:val="none" w:sz="0" w:space="0" w:color="auto"/>
          </w:divBdr>
        </w:div>
        <w:div w:id="1168397868">
          <w:marLeft w:val="0"/>
          <w:marRight w:val="0"/>
          <w:marTop w:val="0"/>
          <w:marBottom w:val="0"/>
          <w:divBdr>
            <w:top w:val="none" w:sz="0" w:space="0" w:color="auto"/>
            <w:left w:val="none" w:sz="0" w:space="0" w:color="auto"/>
            <w:bottom w:val="none" w:sz="0" w:space="0" w:color="auto"/>
            <w:right w:val="none" w:sz="0" w:space="0" w:color="auto"/>
          </w:divBdr>
        </w:div>
        <w:div w:id="2059697999">
          <w:marLeft w:val="0"/>
          <w:marRight w:val="0"/>
          <w:marTop w:val="0"/>
          <w:marBottom w:val="0"/>
          <w:divBdr>
            <w:top w:val="none" w:sz="0" w:space="0" w:color="auto"/>
            <w:left w:val="none" w:sz="0" w:space="0" w:color="auto"/>
            <w:bottom w:val="none" w:sz="0" w:space="0" w:color="auto"/>
            <w:right w:val="none" w:sz="0" w:space="0" w:color="auto"/>
          </w:divBdr>
        </w:div>
        <w:div w:id="902524381">
          <w:marLeft w:val="0"/>
          <w:marRight w:val="0"/>
          <w:marTop w:val="0"/>
          <w:marBottom w:val="0"/>
          <w:divBdr>
            <w:top w:val="none" w:sz="0" w:space="0" w:color="auto"/>
            <w:left w:val="none" w:sz="0" w:space="0" w:color="auto"/>
            <w:bottom w:val="none" w:sz="0" w:space="0" w:color="auto"/>
            <w:right w:val="none" w:sz="0" w:space="0" w:color="auto"/>
          </w:divBdr>
        </w:div>
        <w:div w:id="1674839827">
          <w:marLeft w:val="0"/>
          <w:marRight w:val="0"/>
          <w:marTop w:val="0"/>
          <w:marBottom w:val="0"/>
          <w:divBdr>
            <w:top w:val="none" w:sz="0" w:space="0" w:color="auto"/>
            <w:left w:val="none" w:sz="0" w:space="0" w:color="auto"/>
            <w:bottom w:val="none" w:sz="0" w:space="0" w:color="auto"/>
            <w:right w:val="none" w:sz="0" w:space="0" w:color="auto"/>
          </w:divBdr>
        </w:div>
        <w:div w:id="1692876526">
          <w:marLeft w:val="0"/>
          <w:marRight w:val="0"/>
          <w:marTop w:val="0"/>
          <w:marBottom w:val="0"/>
          <w:divBdr>
            <w:top w:val="none" w:sz="0" w:space="0" w:color="auto"/>
            <w:left w:val="none" w:sz="0" w:space="0" w:color="auto"/>
            <w:bottom w:val="none" w:sz="0" w:space="0" w:color="auto"/>
            <w:right w:val="none" w:sz="0" w:space="0" w:color="auto"/>
          </w:divBdr>
        </w:div>
        <w:div w:id="1043411379">
          <w:marLeft w:val="0"/>
          <w:marRight w:val="0"/>
          <w:marTop w:val="0"/>
          <w:marBottom w:val="0"/>
          <w:divBdr>
            <w:top w:val="none" w:sz="0" w:space="0" w:color="auto"/>
            <w:left w:val="none" w:sz="0" w:space="0" w:color="auto"/>
            <w:bottom w:val="none" w:sz="0" w:space="0" w:color="auto"/>
            <w:right w:val="none" w:sz="0" w:space="0" w:color="auto"/>
          </w:divBdr>
        </w:div>
        <w:div w:id="1038966323">
          <w:marLeft w:val="0"/>
          <w:marRight w:val="0"/>
          <w:marTop w:val="0"/>
          <w:marBottom w:val="0"/>
          <w:divBdr>
            <w:top w:val="none" w:sz="0" w:space="0" w:color="auto"/>
            <w:left w:val="none" w:sz="0" w:space="0" w:color="auto"/>
            <w:bottom w:val="none" w:sz="0" w:space="0" w:color="auto"/>
            <w:right w:val="none" w:sz="0" w:space="0" w:color="auto"/>
          </w:divBdr>
        </w:div>
        <w:div w:id="2022781293">
          <w:marLeft w:val="0"/>
          <w:marRight w:val="0"/>
          <w:marTop w:val="0"/>
          <w:marBottom w:val="0"/>
          <w:divBdr>
            <w:top w:val="none" w:sz="0" w:space="0" w:color="auto"/>
            <w:left w:val="none" w:sz="0" w:space="0" w:color="auto"/>
            <w:bottom w:val="none" w:sz="0" w:space="0" w:color="auto"/>
            <w:right w:val="none" w:sz="0" w:space="0" w:color="auto"/>
          </w:divBdr>
        </w:div>
      </w:divsChild>
    </w:div>
    <w:div w:id="1279070822">
      <w:bodyDiv w:val="1"/>
      <w:marLeft w:val="0"/>
      <w:marRight w:val="0"/>
      <w:marTop w:val="0"/>
      <w:marBottom w:val="0"/>
      <w:divBdr>
        <w:top w:val="none" w:sz="0" w:space="0" w:color="auto"/>
        <w:left w:val="none" w:sz="0" w:space="0" w:color="auto"/>
        <w:bottom w:val="none" w:sz="0" w:space="0" w:color="auto"/>
        <w:right w:val="none" w:sz="0" w:space="0" w:color="auto"/>
      </w:divBdr>
      <w:divsChild>
        <w:div w:id="375935260">
          <w:marLeft w:val="0"/>
          <w:marRight w:val="0"/>
          <w:marTop w:val="0"/>
          <w:marBottom w:val="0"/>
          <w:divBdr>
            <w:top w:val="none" w:sz="0" w:space="0" w:color="auto"/>
            <w:left w:val="none" w:sz="0" w:space="0" w:color="auto"/>
            <w:bottom w:val="none" w:sz="0" w:space="0" w:color="auto"/>
            <w:right w:val="none" w:sz="0" w:space="0" w:color="auto"/>
          </w:divBdr>
        </w:div>
        <w:div w:id="935409286">
          <w:marLeft w:val="0"/>
          <w:marRight w:val="0"/>
          <w:marTop w:val="0"/>
          <w:marBottom w:val="0"/>
          <w:divBdr>
            <w:top w:val="none" w:sz="0" w:space="0" w:color="auto"/>
            <w:left w:val="none" w:sz="0" w:space="0" w:color="auto"/>
            <w:bottom w:val="none" w:sz="0" w:space="0" w:color="auto"/>
            <w:right w:val="none" w:sz="0" w:space="0" w:color="auto"/>
          </w:divBdr>
        </w:div>
      </w:divsChild>
    </w:div>
    <w:div w:id="1375620760">
      <w:bodyDiv w:val="1"/>
      <w:marLeft w:val="0"/>
      <w:marRight w:val="0"/>
      <w:marTop w:val="0"/>
      <w:marBottom w:val="0"/>
      <w:divBdr>
        <w:top w:val="none" w:sz="0" w:space="0" w:color="auto"/>
        <w:left w:val="none" w:sz="0" w:space="0" w:color="auto"/>
        <w:bottom w:val="none" w:sz="0" w:space="0" w:color="auto"/>
        <w:right w:val="none" w:sz="0" w:space="0" w:color="auto"/>
      </w:divBdr>
      <w:divsChild>
        <w:div w:id="1282109850">
          <w:marLeft w:val="0"/>
          <w:marRight w:val="0"/>
          <w:marTop w:val="0"/>
          <w:marBottom w:val="0"/>
          <w:divBdr>
            <w:top w:val="none" w:sz="0" w:space="0" w:color="auto"/>
            <w:left w:val="none" w:sz="0" w:space="0" w:color="auto"/>
            <w:bottom w:val="none" w:sz="0" w:space="0" w:color="auto"/>
            <w:right w:val="none" w:sz="0" w:space="0" w:color="auto"/>
          </w:divBdr>
        </w:div>
      </w:divsChild>
    </w:div>
    <w:div w:id="1392312794">
      <w:bodyDiv w:val="1"/>
      <w:marLeft w:val="0"/>
      <w:marRight w:val="0"/>
      <w:marTop w:val="0"/>
      <w:marBottom w:val="0"/>
      <w:divBdr>
        <w:top w:val="none" w:sz="0" w:space="0" w:color="auto"/>
        <w:left w:val="none" w:sz="0" w:space="0" w:color="auto"/>
        <w:bottom w:val="none" w:sz="0" w:space="0" w:color="auto"/>
        <w:right w:val="none" w:sz="0" w:space="0" w:color="auto"/>
      </w:divBdr>
      <w:divsChild>
        <w:div w:id="1727408141">
          <w:marLeft w:val="0"/>
          <w:marRight w:val="0"/>
          <w:marTop w:val="0"/>
          <w:marBottom w:val="0"/>
          <w:divBdr>
            <w:top w:val="none" w:sz="0" w:space="0" w:color="auto"/>
            <w:left w:val="none" w:sz="0" w:space="0" w:color="auto"/>
            <w:bottom w:val="none" w:sz="0" w:space="0" w:color="auto"/>
            <w:right w:val="none" w:sz="0" w:space="0" w:color="auto"/>
          </w:divBdr>
        </w:div>
        <w:div w:id="300422314">
          <w:marLeft w:val="0"/>
          <w:marRight w:val="0"/>
          <w:marTop w:val="0"/>
          <w:marBottom w:val="0"/>
          <w:divBdr>
            <w:top w:val="none" w:sz="0" w:space="0" w:color="auto"/>
            <w:left w:val="none" w:sz="0" w:space="0" w:color="auto"/>
            <w:bottom w:val="none" w:sz="0" w:space="0" w:color="auto"/>
            <w:right w:val="none" w:sz="0" w:space="0" w:color="auto"/>
          </w:divBdr>
        </w:div>
      </w:divsChild>
    </w:div>
    <w:div w:id="1418941658">
      <w:bodyDiv w:val="1"/>
      <w:marLeft w:val="0"/>
      <w:marRight w:val="0"/>
      <w:marTop w:val="0"/>
      <w:marBottom w:val="0"/>
      <w:divBdr>
        <w:top w:val="none" w:sz="0" w:space="0" w:color="auto"/>
        <w:left w:val="none" w:sz="0" w:space="0" w:color="auto"/>
        <w:bottom w:val="none" w:sz="0" w:space="0" w:color="auto"/>
        <w:right w:val="none" w:sz="0" w:space="0" w:color="auto"/>
      </w:divBdr>
      <w:divsChild>
        <w:div w:id="238835946">
          <w:marLeft w:val="0"/>
          <w:marRight w:val="0"/>
          <w:marTop w:val="0"/>
          <w:marBottom w:val="0"/>
          <w:divBdr>
            <w:top w:val="none" w:sz="0" w:space="0" w:color="auto"/>
            <w:left w:val="none" w:sz="0" w:space="0" w:color="auto"/>
            <w:bottom w:val="none" w:sz="0" w:space="0" w:color="auto"/>
            <w:right w:val="none" w:sz="0" w:space="0" w:color="auto"/>
          </w:divBdr>
        </w:div>
        <w:div w:id="846872828">
          <w:marLeft w:val="0"/>
          <w:marRight w:val="0"/>
          <w:marTop w:val="0"/>
          <w:marBottom w:val="0"/>
          <w:divBdr>
            <w:top w:val="none" w:sz="0" w:space="0" w:color="auto"/>
            <w:left w:val="none" w:sz="0" w:space="0" w:color="auto"/>
            <w:bottom w:val="none" w:sz="0" w:space="0" w:color="auto"/>
            <w:right w:val="none" w:sz="0" w:space="0" w:color="auto"/>
          </w:divBdr>
        </w:div>
        <w:div w:id="765613851">
          <w:marLeft w:val="0"/>
          <w:marRight w:val="0"/>
          <w:marTop w:val="0"/>
          <w:marBottom w:val="0"/>
          <w:divBdr>
            <w:top w:val="none" w:sz="0" w:space="0" w:color="auto"/>
            <w:left w:val="none" w:sz="0" w:space="0" w:color="auto"/>
            <w:bottom w:val="none" w:sz="0" w:space="0" w:color="auto"/>
            <w:right w:val="none" w:sz="0" w:space="0" w:color="auto"/>
          </w:divBdr>
        </w:div>
      </w:divsChild>
    </w:div>
    <w:div w:id="1420716177">
      <w:bodyDiv w:val="1"/>
      <w:marLeft w:val="0"/>
      <w:marRight w:val="0"/>
      <w:marTop w:val="0"/>
      <w:marBottom w:val="0"/>
      <w:divBdr>
        <w:top w:val="none" w:sz="0" w:space="0" w:color="auto"/>
        <w:left w:val="none" w:sz="0" w:space="0" w:color="auto"/>
        <w:bottom w:val="none" w:sz="0" w:space="0" w:color="auto"/>
        <w:right w:val="none" w:sz="0" w:space="0" w:color="auto"/>
      </w:divBdr>
      <w:divsChild>
        <w:div w:id="1204949275">
          <w:marLeft w:val="0"/>
          <w:marRight w:val="0"/>
          <w:marTop w:val="0"/>
          <w:marBottom w:val="0"/>
          <w:divBdr>
            <w:top w:val="none" w:sz="0" w:space="0" w:color="auto"/>
            <w:left w:val="none" w:sz="0" w:space="0" w:color="auto"/>
            <w:bottom w:val="none" w:sz="0" w:space="0" w:color="auto"/>
            <w:right w:val="none" w:sz="0" w:space="0" w:color="auto"/>
          </w:divBdr>
          <w:divsChild>
            <w:div w:id="21157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25031">
      <w:bodyDiv w:val="1"/>
      <w:marLeft w:val="0"/>
      <w:marRight w:val="0"/>
      <w:marTop w:val="0"/>
      <w:marBottom w:val="0"/>
      <w:divBdr>
        <w:top w:val="none" w:sz="0" w:space="0" w:color="auto"/>
        <w:left w:val="none" w:sz="0" w:space="0" w:color="auto"/>
        <w:bottom w:val="none" w:sz="0" w:space="0" w:color="auto"/>
        <w:right w:val="none" w:sz="0" w:space="0" w:color="auto"/>
      </w:divBdr>
      <w:divsChild>
        <w:div w:id="458688978">
          <w:marLeft w:val="0"/>
          <w:marRight w:val="0"/>
          <w:marTop w:val="0"/>
          <w:marBottom w:val="0"/>
          <w:divBdr>
            <w:top w:val="none" w:sz="0" w:space="0" w:color="auto"/>
            <w:left w:val="none" w:sz="0" w:space="0" w:color="auto"/>
            <w:bottom w:val="none" w:sz="0" w:space="0" w:color="auto"/>
            <w:right w:val="none" w:sz="0" w:space="0" w:color="auto"/>
          </w:divBdr>
          <w:divsChild>
            <w:div w:id="135803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7875">
      <w:bodyDiv w:val="1"/>
      <w:marLeft w:val="0"/>
      <w:marRight w:val="0"/>
      <w:marTop w:val="0"/>
      <w:marBottom w:val="0"/>
      <w:divBdr>
        <w:top w:val="none" w:sz="0" w:space="0" w:color="auto"/>
        <w:left w:val="none" w:sz="0" w:space="0" w:color="auto"/>
        <w:bottom w:val="none" w:sz="0" w:space="0" w:color="auto"/>
        <w:right w:val="none" w:sz="0" w:space="0" w:color="auto"/>
      </w:divBdr>
      <w:divsChild>
        <w:div w:id="243614811">
          <w:marLeft w:val="0"/>
          <w:marRight w:val="0"/>
          <w:marTop w:val="0"/>
          <w:marBottom w:val="0"/>
          <w:divBdr>
            <w:top w:val="none" w:sz="0" w:space="0" w:color="auto"/>
            <w:left w:val="none" w:sz="0" w:space="0" w:color="auto"/>
            <w:bottom w:val="none" w:sz="0" w:space="0" w:color="auto"/>
            <w:right w:val="none" w:sz="0" w:space="0" w:color="auto"/>
          </w:divBdr>
        </w:div>
        <w:div w:id="2065251894">
          <w:marLeft w:val="0"/>
          <w:marRight w:val="0"/>
          <w:marTop w:val="0"/>
          <w:marBottom w:val="0"/>
          <w:divBdr>
            <w:top w:val="none" w:sz="0" w:space="0" w:color="auto"/>
            <w:left w:val="none" w:sz="0" w:space="0" w:color="auto"/>
            <w:bottom w:val="none" w:sz="0" w:space="0" w:color="auto"/>
            <w:right w:val="none" w:sz="0" w:space="0" w:color="auto"/>
          </w:divBdr>
        </w:div>
        <w:div w:id="1246457566">
          <w:marLeft w:val="0"/>
          <w:marRight w:val="0"/>
          <w:marTop w:val="0"/>
          <w:marBottom w:val="0"/>
          <w:divBdr>
            <w:top w:val="none" w:sz="0" w:space="0" w:color="auto"/>
            <w:left w:val="none" w:sz="0" w:space="0" w:color="auto"/>
            <w:bottom w:val="none" w:sz="0" w:space="0" w:color="auto"/>
            <w:right w:val="none" w:sz="0" w:space="0" w:color="auto"/>
          </w:divBdr>
        </w:div>
      </w:divsChild>
    </w:div>
    <w:div w:id="1489711750">
      <w:bodyDiv w:val="1"/>
      <w:marLeft w:val="0"/>
      <w:marRight w:val="0"/>
      <w:marTop w:val="0"/>
      <w:marBottom w:val="0"/>
      <w:divBdr>
        <w:top w:val="none" w:sz="0" w:space="0" w:color="auto"/>
        <w:left w:val="none" w:sz="0" w:space="0" w:color="auto"/>
        <w:bottom w:val="none" w:sz="0" w:space="0" w:color="auto"/>
        <w:right w:val="none" w:sz="0" w:space="0" w:color="auto"/>
      </w:divBdr>
      <w:divsChild>
        <w:div w:id="836071931">
          <w:marLeft w:val="0"/>
          <w:marRight w:val="0"/>
          <w:marTop w:val="0"/>
          <w:marBottom w:val="0"/>
          <w:divBdr>
            <w:top w:val="none" w:sz="0" w:space="0" w:color="auto"/>
            <w:left w:val="none" w:sz="0" w:space="0" w:color="auto"/>
            <w:bottom w:val="none" w:sz="0" w:space="0" w:color="auto"/>
            <w:right w:val="none" w:sz="0" w:space="0" w:color="auto"/>
          </w:divBdr>
          <w:divsChild>
            <w:div w:id="52725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24554">
      <w:bodyDiv w:val="1"/>
      <w:marLeft w:val="0"/>
      <w:marRight w:val="0"/>
      <w:marTop w:val="0"/>
      <w:marBottom w:val="0"/>
      <w:divBdr>
        <w:top w:val="none" w:sz="0" w:space="0" w:color="auto"/>
        <w:left w:val="none" w:sz="0" w:space="0" w:color="auto"/>
        <w:bottom w:val="none" w:sz="0" w:space="0" w:color="auto"/>
        <w:right w:val="none" w:sz="0" w:space="0" w:color="auto"/>
      </w:divBdr>
      <w:divsChild>
        <w:div w:id="735055025">
          <w:marLeft w:val="0"/>
          <w:marRight w:val="0"/>
          <w:marTop w:val="0"/>
          <w:marBottom w:val="0"/>
          <w:divBdr>
            <w:top w:val="none" w:sz="0" w:space="0" w:color="auto"/>
            <w:left w:val="none" w:sz="0" w:space="0" w:color="auto"/>
            <w:bottom w:val="none" w:sz="0" w:space="0" w:color="auto"/>
            <w:right w:val="none" w:sz="0" w:space="0" w:color="auto"/>
          </w:divBdr>
          <w:divsChild>
            <w:div w:id="54390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88855">
      <w:bodyDiv w:val="1"/>
      <w:marLeft w:val="0"/>
      <w:marRight w:val="0"/>
      <w:marTop w:val="0"/>
      <w:marBottom w:val="0"/>
      <w:divBdr>
        <w:top w:val="none" w:sz="0" w:space="0" w:color="auto"/>
        <w:left w:val="none" w:sz="0" w:space="0" w:color="auto"/>
        <w:bottom w:val="none" w:sz="0" w:space="0" w:color="auto"/>
        <w:right w:val="none" w:sz="0" w:space="0" w:color="auto"/>
      </w:divBdr>
      <w:divsChild>
        <w:div w:id="702172578">
          <w:marLeft w:val="0"/>
          <w:marRight w:val="0"/>
          <w:marTop w:val="0"/>
          <w:marBottom w:val="0"/>
          <w:divBdr>
            <w:top w:val="none" w:sz="0" w:space="0" w:color="auto"/>
            <w:left w:val="none" w:sz="0" w:space="0" w:color="auto"/>
            <w:bottom w:val="none" w:sz="0" w:space="0" w:color="auto"/>
            <w:right w:val="none" w:sz="0" w:space="0" w:color="auto"/>
          </w:divBdr>
          <w:divsChild>
            <w:div w:id="2206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358458">
      <w:bodyDiv w:val="1"/>
      <w:marLeft w:val="0"/>
      <w:marRight w:val="0"/>
      <w:marTop w:val="0"/>
      <w:marBottom w:val="0"/>
      <w:divBdr>
        <w:top w:val="none" w:sz="0" w:space="0" w:color="auto"/>
        <w:left w:val="none" w:sz="0" w:space="0" w:color="auto"/>
        <w:bottom w:val="none" w:sz="0" w:space="0" w:color="auto"/>
        <w:right w:val="none" w:sz="0" w:space="0" w:color="auto"/>
      </w:divBdr>
    </w:div>
    <w:div w:id="1692804714">
      <w:bodyDiv w:val="1"/>
      <w:marLeft w:val="0"/>
      <w:marRight w:val="0"/>
      <w:marTop w:val="0"/>
      <w:marBottom w:val="0"/>
      <w:divBdr>
        <w:top w:val="none" w:sz="0" w:space="0" w:color="auto"/>
        <w:left w:val="none" w:sz="0" w:space="0" w:color="auto"/>
        <w:bottom w:val="none" w:sz="0" w:space="0" w:color="auto"/>
        <w:right w:val="none" w:sz="0" w:space="0" w:color="auto"/>
      </w:divBdr>
      <w:divsChild>
        <w:div w:id="1530026096">
          <w:marLeft w:val="0"/>
          <w:marRight w:val="0"/>
          <w:marTop w:val="0"/>
          <w:marBottom w:val="0"/>
          <w:divBdr>
            <w:top w:val="none" w:sz="0" w:space="0" w:color="auto"/>
            <w:left w:val="none" w:sz="0" w:space="0" w:color="auto"/>
            <w:bottom w:val="none" w:sz="0" w:space="0" w:color="auto"/>
            <w:right w:val="none" w:sz="0" w:space="0" w:color="auto"/>
          </w:divBdr>
          <w:divsChild>
            <w:div w:id="147371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362068">
      <w:bodyDiv w:val="1"/>
      <w:marLeft w:val="0"/>
      <w:marRight w:val="0"/>
      <w:marTop w:val="0"/>
      <w:marBottom w:val="0"/>
      <w:divBdr>
        <w:top w:val="none" w:sz="0" w:space="0" w:color="auto"/>
        <w:left w:val="none" w:sz="0" w:space="0" w:color="auto"/>
        <w:bottom w:val="none" w:sz="0" w:space="0" w:color="auto"/>
        <w:right w:val="none" w:sz="0" w:space="0" w:color="auto"/>
      </w:divBdr>
      <w:divsChild>
        <w:div w:id="2003385722">
          <w:marLeft w:val="0"/>
          <w:marRight w:val="0"/>
          <w:marTop w:val="0"/>
          <w:marBottom w:val="0"/>
          <w:divBdr>
            <w:top w:val="none" w:sz="0" w:space="0" w:color="auto"/>
            <w:left w:val="none" w:sz="0" w:space="0" w:color="auto"/>
            <w:bottom w:val="none" w:sz="0" w:space="0" w:color="auto"/>
            <w:right w:val="none" w:sz="0" w:space="0" w:color="auto"/>
          </w:divBdr>
        </w:div>
        <w:div w:id="434131902">
          <w:marLeft w:val="0"/>
          <w:marRight w:val="0"/>
          <w:marTop w:val="0"/>
          <w:marBottom w:val="0"/>
          <w:divBdr>
            <w:top w:val="none" w:sz="0" w:space="0" w:color="auto"/>
            <w:left w:val="none" w:sz="0" w:space="0" w:color="auto"/>
            <w:bottom w:val="none" w:sz="0" w:space="0" w:color="auto"/>
            <w:right w:val="none" w:sz="0" w:space="0" w:color="auto"/>
          </w:divBdr>
        </w:div>
        <w:div w:id="1005863242">
          <w:marLeft w:val="0"/>
          <w:marRight w:val="0"/>
          <w:marTop w:val="0"/>
          <w:marBottom w:val="0"/>
          <w:divBdr>
            <w:top w:val="none" w:sz="0" w:space="0" w:color="auto"/>
            <w:left w:val="none" w:sz="0" w:space="0" w:color="auto"/>
            <w:bottom w:val="none" w:sz="0" w:space="0" w:color="auto"/>
            <w:right w:val="none" w:sz="0" w:space="0" w:color="auto"/>
          </w:divBdr>
        </w:div>
        <w:div w:id="1502770563">
          <w:marLeft w:val="0"/>
          <w:marRight w:val="0"/>
          <w:marTop w:val="0"/>
          <w:marBottom w:val="0"/>
          <w:divBdr>
            <w:top w:val="none" w:sz="0" w:space="0" w:color="auto"/>
            <w:left w:val="none" w:sz="0" w:space="0" w:color="auto"/>
            <w:bottom w:val="none" w:sz="0" w:space="0" w:color="auto"/>
            <w:right w:val="none" w:sz="0" w:space="0" w:color="auto"/>
          </w:divBdr>
        </w:div>
        <w:div w:id="1413090111">
          <w:marLeft w:val="0"/>
          <w:marRight w:val="0"/>
          <w:marTop w:val="0"/>
          <w:marBottom w:val="0"/>
          <w:divBdr>
            <w:top w:val="none" w:sz="0" w:space="0" w:color="auto"/>
            <w:left w:val="none" w:sz="0" w:space="0" w:color="auto"/>
            <w:bottom w:val="none" w:sz="0" w:space="0" w:color="auto"/>
            <w:right w:val="none" w:sz="0" w:space="0" w:color="auto"/>
          </w:divBdr>
        </w:div>
        <w:div w:id="2007976862">
          <w:marLeft w:val="0"/>
          <w:marRight w:val="0"/>
          <w:marTop w:val="0"/>
          <w:marBottom w:val="0"/>
          <w:divBdr>
            <w:top w:val="none" w:sz="0" w:space="0" w:color="auto"/>
            <w:left w:val="none" w:sz="0" w:space="0" w:color="auto"/>
            <w:bottom w:val="none" w:sz="0" w:space="0" w:color="auto"/>
            <w:right w:val="none" w:sz="0" w:space="0" w:color="auto"/>
          </w:divBdr>
        </w:div>
        <w:div w:id="2092003559">
          <w:marLeft w:val="0"/>
          <w:marRight w:val="0"/>
          <w:marTop w:val="0"/>
          <w:marBottom w:val="0"/>
          <w:divBdr>
            <w:top w:val="none" w:sz="0" w:space="0" w:color="auto"/>
            <w:left w:val="none" w:sz="0" w:space="0" w:color="auto"/>
            <w:bottom w:val="none" w:sz="0" w:space="0" w:color="auto"/>
            <w:right w:val="none" w:sz="0" w:space="0" w:color="auto"/>
          </w:divBdr>
        </w:div>
      </w:divsChild>
    </w:div>
    <w:div w:id="1743870621">
      <w:bodyDiv w:val="1"/>
      <w:marLeft w:val="0"/>
      <w:marRight w:val="0"/>
      <w:marTop w:val="0"/>
      <w:marBottom w:val="0"/>
      <w:divBdr>
        <w:top w:val="none" w:sz="0" w:space="0" w:color="auto"/>
        <w:left w:val="none" w:sz="0" w:space="0" w:color="auto"/>
        <w:bottom w:val="none" w:sz="0" w:space="0" w:color="auto"/>
        <w:right w:val="none" w:sz="0" w:space="0" w:color="auto"/>
      </w:divBdr>
      <w:divsChild>
        <w:div w:id="710306015">
          <w:marLeft w:val="0"/>
          <w:marRight w:val="0"/>
          <w:marTop w:val="0"/>
          <w:marBottom w:val="0"/>
          <w:divBdr>
            <w:top w:val="none" w:sz="0" w:space="0" w:color="auto"/>
            <w:left w:val="none" w:sz="0" w:space="0" w:color="auto"/>
            <w:bottom w:val="none" w:sz="0" w:space="0" w:color="auto"/>
            <w:right w:val="none" w:sz="0" w:space="0" w:color="auto"/>
          </w:divBdr>
          <w:divsChild>
            <w:div w:id="18552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32641">
      <w:bodyDiv w:val="1"/>
      <w:marLeft w:val="0"/>
      <w:marRight w:val="0"/>
      <w:marTop w:val="0"/>
      <w:marBottom w:val="0"/>
      <w:divBdr>
        <w:top w:val="none" w:sz="0" w:space="0" w:color="auto"/>
        <w:left w:val="none" w:sz="0" w:space="0" w:color="auto"/>
        <w:bottom w:val="none" w:sz="0" w:space="0" w:color="auto"/>
        <w:right w:val="none" w:sz="0" w:space="0" w:color="auto"/>
      </w:divBdr>
      <w:divsChild>
        <w:div w:id="768506443">
          <w:marLeft w:val="0"/>
          <w:marRight w:val="0"/>
          <w:marTop w:val="0"/>
          <w:marBottom w:val="0"/>
          <w:divBdr>
            <w:top w:val="none" w:sz="0" w:space="0" w:color="auto"/>
            <w:left w:val="none" w:sz="0" w:space="0" w:color="auto"/>
            <w:bottom w:val="none" w:sz="0" w:space="0" w:color="auto"/>
            <w:right w:val="none" w:sz="0" w:space="0" w:color="auto"/>
          </w:divBdr>
        </w:div>
        <w:div w:id="851719419">
          <w:marLeft w:val="0"/>
          <w:marRight w:val="0"/>
          <w:marTop w:val="0"/>
          <w:marBottom w:val="0"/>
          <w:divBdr>
            <w:top w:val="none" w:sz="0" w:space="0" w:color="auto"/>
            <w:left w:val="none" w:sz="0" w:space="0" w:color="auto"/>
            <w:bottom w:val="none" w:sz="0" w:space="0" w:color="auto"/>
            <w:right w:val="none" w:sz="0" w:space="0" w:color="auto"/>
          </w:divBdr>
        </w:div>
        <w:div w:id="370806495">
          <w:marLeft w:val="0"/>
          <w:marRight w:val="0"/>
          <w:marTop w:val="0"/>
          <w:marBottom w:val="0"/>
          <w:divBdr>
            <w:top w:val="none" w:sz="0" w:space="0" w:color="auto"/>
            <w:left w:val="none" w:sz="0" w:space="0" w:color="auto"/>
            <w:bottom w:val="none" w:sz="0" w:space="0" w:color="auto"/>
            <w:right w:val="none" w:sz="0" w:space="0" w:color="auto"/>
          </w:divBdr>
        </w:div>
        <w:div w:id="190076588">
          <w:marLeft w:val="0"/>
          <w:marRight w:val="0"/>
          <w:marTop w:val="0"/>
          <w:marBottom w:val="0"/>
          <w:divBdr>
            <w:top w:val="none" w:sz="0" w:space="0" w:color="auto"/>
            <w:left w:val="none" w:sz="0" w:space="0" w:color="auto"/>
            <w:bottom w:val="none" w:sz="0" w:space="0" w:color="auto"/>
            <w:right w:val="none" w:sz="0" w:space="0" w:color="auto"/>
          </w:divBdr>
        </w:div>
        <w:div w:id="327906797">
          <w:marLeft w:val="0"/>
          <w:marRight w:val="0"/>
          <w:marTop w:val="0"/>
          <w:marBottom w:val="0"/>
          <w:divBdr>
            <w:top w:val="none" w:sz="0" w:space="0" w:color="auto"/>
            <w:left w:val="none" w:sz="0" w:space="0" w:color="auto"/>
            <w:bottom w:val="none" w:sz="0" w:space="0" w:color="auto"/>
            <w:right w:val="none" w:sz="0" w:space="0" w:color="auto"/>
          </w:divBdr>
        </w:div>
        <w:div w:id="785001193">
          <w:marLeft w:val="0"/>
          <w:marRight w:val="0"/>
          <w:marTop w:val="0"/>
          <w:marBottom w:val="0"/>
          <w:divBdr>
            <w:top w:val="none" w:sz="0" w:space="0" w:color="auto"/>
            <w:left w:val="none" w:sz="0" w:space="0" w:color="auto"/>
            <w:bottom w:val="none" w:sz="0" w:space="0" w:color="auto"/>
            <w:right w:val="none" w:sz="0" w:space="0" w:color="auto"/>
          </w:divBdr>
        </w:div>
        <w:div w:id="1065252218">
          <w:marLeft w:val="0"/>
          <w:marRight w:val="0"/>
          <w:marTop w:val="0"/>
          <w:marBottom w:val="0"/>
          <w:divBdr>
            <w:top w:val="none" w:sz="0" w:space="0" w:color="auto"/>
            <w:left w:val="none" w:sz="0" w:space="0" w:color="auto"/>
            <w:bottom w:val="none" w:sz="0" w:space="0" w:color="auto"/>
            <w:right w:val="none" w:sz="0" w:space="0" w:color="auto"/>
          </w:divBdr>
        </w:div>
      </w:divsChild>
    </w:div>
    <w:div w:id="1804544246">
      <w:bodyDiv w:val="1"/>
      <w:marLeft w:val="0"/>
      <w:marRight w:val="0"/>
      <w:marTop w:val="0"/>
      <w:marBottom w:val="0"/>
      <w:divBdr>
        <w:top w:val="none" w:sz="0" w:space="0" w:color="auto"/>
        <w:left w:val="none" w:sz="0" w:space="0" w:color="auto"/>
        <w:bottom w:val="none" w:sz="0" w:space="0" w:color="auto"/>
        <w:right w:val="none" w:sz="0" w:space="0" w:color="auto"/>
      </w:divBdr>
      <w:divsChild>
        <w:div w:id="1520240403">
          <w:marLeft w:val="0"/>
          <w:marRight w:val="0"/>
          <w:marTop w:val="0"/>
          <w:marBottom w:val="0"/>
          <w:divBdr>
            <w:top w:val="none" w:sz="0" w:space="0" w:color="auto"/>
            <w:left w:val="none" w:sz="0" w:space="0" w:color="auto"/>
            <w:bottom w:val="none" w:sz="0" w:space="0" w:color="auto"/>
            <w:right w:val="none" w:sz="0" w:space="0" w:color="auto"/>
          </w:divBdr>
        </w:div>
      </w:divsChild>
    </w:div>
    <w:div w:id="1811508769">
      <w:bodyDiv w:val="1"/>
      <w:marLeft w:val="0"/>
      <w:marRight w:val="0"/>
      <w:marTop w:val="0"/>
      <w:marBottom w:val="0"/>
      <w:divBdr>
        <w:top w:val="none" w:sz="0" w:space="0" w:color="auto"/>
        <w:left w:val="none" w:sz="0" w:space="0" w:color="auto"/>
        <w:bottom w:val="none" w:sz="0" w:space="0" w:color="auto"/>
        <w:right w:val="none" w:sz="0" w:space="0" w:color="auto"/>
      </w:divBdr>
      <w:divsChild>
        <w:div w:id="239797581">
          <w:marLeft w:val="0"/>
          <w:marRight w:val="0"/>
          <w:marTop w:val="0"/>
          <w:marBottom w:val="0"/>
          <w:divBdr>
            <w:top w:val="none" w:sz="0" w:space="0" w:color="auto"/>
            <w:left w:val="none" w:sz="0" w:space="0" w:color="auto"/>
            <w:bottom w:val="none" w:sz="0" w:space="0" w:color="auto"/>
            <w:right w:val="none" w:sz="0" w:space="0" w:color="auto"/>
          </w:divBdr>
          <w:divsChild>
            <w:div w:id="27748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1382">
      <w:bodyDiv w:val="1"/>
      <w:marLeft w:val="0"/>
      <w:marRight w:val="0"/>
      <w:marTop w:val="0"/>
      <w:marBottom w:val="0"/>
      <w:divBdr>
        <w:top w:val="none" w:sz="0" w:space="0" w:color="auto"/>
        <w:left w:val="none" w:sz="0" w:space="0" w:color="auto"/>
        <w:bottom w:val="none" w:sz="0" w:space="0" w:color="auto"/>
        <w:right w:val="none" w:sz="0" w:space="0" w:color="auto"/>
      </w:divBdr>
      <w:divsChild>
        <w:div w:id="884102253">
          <w:marLeft w:val="0"/>
          <w:marRight w:val="0"/>
          <w:marTop w:val="0"/>
          <w:marBottom w:val="0"/>
          <w:divBdr>
            <w:top w:val="none" w:sz="0" w:space="0" w:color="auto"/>
            <w:left w:val="none" w:sz="0" w:space="0" w:color="auto"/>
            <w:bottom w:val="none" w:sz="0" w:space="0" w:color="auto"/>
            <w:right w:val="none" w:sz="0" w:space="0" w:color="auto"/>
          </w:divBdr>
          <w:divsChild>
            <w:div w:id="133611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45103">
      <w:bodyDiv w:val="1"/>
      <w:marLeft w:val="0"/>
      <w:marRight w:val="0"/>
      <w:marTop w:val="0"/>
      <w:marBottom w:val="0"/>
      <w:divBdr>
        <w:top w:val="none" w:sz="0" w:space="0" w:color="auto"/>
        <w:left w:val="none" w:sz="0" w:space="0" w:color="auto"/>
        <w:bottom w:val="none" w:sz="0" w:space="0" w:color="auto"/>
        <w:right w:val="none" w:sz="0" w:space="0" w:color="auto"/>
      </w:divBdr>
      <w:divsChild>
        <w:div w:id="946430397">
          <w:marLeft w:val="0"/>
          <w:marRight w:val="0"/>
          <w:marTop w:val="0"/>
          <w:marBottom w:val="0"/>
          <w:divBdr>
            <w:top w:val="none" w:sz="0" w:space="0" w:color="auto"/>
            <w:left w:val="none" w:sz="0" w:space="0" w:color="auto"/>
            <w:bottom w:val="none" w:sz="0" w:space="0" w:color="auto"/>
            <w:right w:val="none" w:sz="0" w:space="0" w:color="auto"/>
          </w:divBdr>
        </w:div>
        <w:div w:id="1205488558">
          <w:marLeft w:val="0"/>
          <w:marRight w:val="0"/>
          <w:marTop w:val="0"/>
          <w:marBottom w:val="0"/>
          <w:divBdr>
            <w:top w:val="none" w:sz="0" w:space="0" w:color="auto"/>
            <w:left w:val="none" w:sz="0" w:space="0" w:color="auto"/>
            <w:bottom w:val="none" w:sz="0" w:space="0" w:color="auto"/>
            <w:right w:val="none" w:sz="0" w:space="0" w:color="auto"/>
          </w:divBdr>
        </w:div>
      </w:divsChild>
    </w:div>
    <w:div w:id="1873879073">
      <w:bodyDiv w:val="1"/>
      <w:marLeft w:val="0"/>
      <w:marRight w:val="0"/>
      <w:marTop w:val="0"/>
      <w:marBottom w:val="0"/>
      <w:divBdr>
        <w:top w:val="none" w:sz="0" w:space="0" w:color="auto"/>
        <w:left w:val="none" w:sz="0" w:space="0" w:color="auto"/>
        <w:bottom w:val="none" w:sz="0" w:space="0" w:color="auto"/>
        <w:right w:val="none" w:sz="0" w:space="0" w:color="auto"/>
      </w:divBdr>
      <w:divsChild>
        <w:div w:id="1249116867">
          <w:marLeft w:val="0"/>
          <w:marRight w:val="0"/>
          <w:marTop w:val="0"/>
          <w:marBottom w:val="0"/>
          <w:divBdr>
            <w:top w:val="none" w:sz="0" w:space="0" w:color="auto"/>
            <w:left w:val="none" w:sz="0" w:space="0" w:color="auto"/>
            <w:bottom w:val="none" w:sz="0" w:space="0" w:color="auto"/>
            <w:right w:val="none" w:sz="0" w:space="0" w:color="auto"/>
          </w:divBdr>
        </w:div>
        <w:div w:id="156311913">
          <w:marLeft w:val="0"/>
          <w:marRight w:val="0"/>
          <w:marTop w:val="0"/>
          <w:marBottom w:val="0"/>
          <w:divBdr>
            <w:top w:val="none" w:sz="0" w:space="0" w:color="auto"/>
            <w:left w:val="none" w:sz="0" w:space="0" w:color="auto"/>
            <w:bottom w:val="none" w:sz="0" w:space="0" w:color="auto"/>
            <w:right w:val="none" w:sz="0" w:space="0" w:color="auto"/>
          </w:divBdr>
        </w:div>
        <w:div w:id="1030688420">
          <w:marLeft w:val="0"/>
          <w:marRight w:val="0"/>
          <w:marTop w:val="0"/>
          <w:marBottom w:val="0"/>
          <w:divBdr>
            <w:top w:val="none" w:sz="0" w:space="0" w:color="auto"/>
            <w:left w:val="none" w:sz="0" w:space="0" w:color="auto"/>
            <w:bottom w:val="none" w:sz="0" w:space="0" w:color="auto"/>
            <w:right w:val="none" w:sz="0" w:space="0" w:color="auto"/>
          </w:divBdr>
        </w:div>
        <w:div w:id="631177675">
          <w:marLeft w:val="0"/>
          <w:marRight w:val="0"/>
          <w:marTop w:val="0"/>
          <w:marBottom w:val="0"/>
          <w:divBdr>
            <w:top w:val="none" w:sz="0" w:space="0" w:color="auto"/>
            <w:left w:val="none" w:sz="0" w:space="0" w:color="auto"/>
            <w:bottom w:val="none" w:sz="0" w:space="0" w:color="auto"/>
            <w:right w:val="none" w:sz="0" w:space="0" w:color="auto"/>
          </w:divBdr>
        </w:div>
        <w:div w:id="1535844881">
          <w:marLeft w:val="0"/>
          <w:marRight w:val="0"/>
          <w:marTop w:val="0"/>
          <w:marBottom w:val="0"/>
          <w:divBdr>
            <w:top w:val="none" w:sz="0" w:space="0" w:color="auto"/>
            <w:left w:val="none" w:sz="0" w:space="0" w:color="auto"/>
            <w:bottom w:val="none" w:sz="0" w:space="0" w:color="auto"/>
            <w:right w:val="none" w:sz="0" w:space="0" w:color="auto"/>
          </w:divBdr>
        </w:div>
      </w:divsChild>
    </w:div>
    <w:div w:id="1897810298">
      <w:bodyDiv w:val="1"/>
      <w:marLeft w:val="0"/>
      <w:marRight w:val="0"/>
      <w:marTop w:val="0"/>
      <w:marBottom w:val="0"/>
      <w:divBdr>
        <w:top w:val="none" w:sz="0" w:space="0" w:color="auto"/>
        <w:left w:val="none" w:sz="0" w:space="0" w:color="auto"/>
        <w:bottom w:val="none" w:sz="0" w:space="0" w:color="auto"/>
        <w:right w:val="none" w:sz="0" w:space="0" w:color="auto"/>
      </w:divBdr>
      <w:divsChild>
        <w:div w:id="1644038304">
          <w:marLeft w:val="0"/>
          <w:marRight w:val="0"/>
          <w:marTop w:val="0"/>
          <w:marBottom w:val="0"/>
          <w:divBdr>
            <w:top w:val="none" w:sz="0" w:space="0" w:color="auto"/>
            <w:left w:val="none" w:sz="0" w:space="0" w:color="auto"/>
            <w:bottom w:val="none" w:sz="0" w:space="0" w:color="auto"/>
            <w:right w:val="none" w:sz="0" w:space="0" w:color="auto"/>
          </w:divBdr>
          <w:divsChild>
            <w:div w:id="10350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68249">
      <w:bodyDiv w:val="1"/>
      <w:marLeft w:val="0"/>
      <w:marRight w:val="0"/>
      <w:marTop w:val="0"/>
      <w:marBottom w:val="0"/>
      <w:divBdr>
        <w:top w:val="none" w:sz="0" w:space="0" w:color="auto"/>
        <w:left w:val="none" w:sz="0" w:space="0" w:color="auto"/>
        <w:bottom w:val="none" w:sz="0" w:space="0" w:color="auto"/>
        <w:right w:val="none" w:sz="0" w:space="0" w:color="auto"/>
      </w:divBdr>
    </w:div>
    <w:div w:id="2051296457">
      <w:bodyDiv w:val="1"/>
      <w:marLeft w:val="0"/>
      <w:marRight w:val="0"/>
      <w:marTop w:val="0"/>
      <w:marBottom w:val="0"/>
      <w:divBdr>
        <w:top w:val="none" w:sz="0" w:space="0" w:color="auto"/>
        <w:left w:val="none" w:sz="0" w:space="0" w:color="auto"/>
        <w:bottom w:val="none" w:sz="0" w:space="0" w:color="auto"/>
        <w:right w:val="none" w:sz="0" w:space="0" w:color="auto"/>
      </w:divBdr>
      <w:divsChild>
        <w:div w:id="1441603184">
          <w:marLeft w:val="0"/>
          <w:marRight w:val="0"/>
          <w:marTop w:val="0"/>
          <w:marBottom w:val="0"/>
          <w:divBdr>
            <w:top w:val="none" w:sz="0" w:space="0" w:color="auto"/>
            <w:left w:val="none" w:sz="0" w:space="0" w:color="auto"/>
            <w:bottom w:val="none" w:sz="0" w:space="0" w:color="auto"/>
            <w:right w:val="none" w:sz="0" w:space="0" w:color="auto"/>
          </w:divBdr>
        </w:div>
        <w:div w:id="1018851346">
          <w:marLeft w:val="0"/>
          <w:marRight w:val="0"/>
          <w:marTop w:val="0"/>
          <w:marBottom w:val="0"/>
          <w:divBdr>
            <w:top w:val="none" w:sz="0" w:space="0" w:color="auto"/>
            <w:left w:val="none" w:sz="0" w:space="0" w:color="auto"/>
            <w:bottom w:val="none" w:sz="0" w:space="0" w:color="auto"/>
            <w:right w:val="none" w:sz="0" w:space="0" w:color="auto"/>
          </w:divBdr>
        </w:div>
      </w:divsChild>
    </w:div>
    <w:div w:id="2057730837">
      <w:bodyDiv w:val="1"/>
      <w:marLeft w:val="0"/>
      <w:marRight w:val="0"/>
      <w:marTop w:val="0"/>
      <w:marBottom w:val="0"/>
      <w:divBdr>
        <w:top w:val="none" w:sz="0" w:space="0" w:color="auto"/>
        <w:left w:val="none" w:sz="0" w:space="0" w:color="auto"/>
        <w:bottom w:val="none" w:sz="0" w:space="0" w:color="auto"/>
        <w:right w:val="none" w:sz="0" w:space="0" w:color="auto"/>
      </w:divBdr>
      <w:divsChild>
        <w:div w:id="84805876">
          <w:marLeft w:val="0"/>
          <w:marRight w:val="0"/>
          <w:marTop w:val="0"/>
          <w:marBottom w:val="0"/>
          <w:divBdr>
            <w:top w:val="none" w:sz="0" w:space="0" w:color="auto"/>
            <w:left w:val="none" w:sz="0" w:space="0" w:color="auto"/>
            <w:bottom w:val="none" w:sz="0" w:space="0" w:color="auto"/>
            <w:right w:val="none" w:sz="0" w:space="0" w:color="auto"/>
          </w:divBdr>
        </w:div>
      </w:divsChild>
    </w:div>
    <w:div w:id="2111774547">
      <w:bodyDiv w:val="1"/>
      <w:marLeft w:val="0"/>
      <w:marRight w:val="0"/>
      <w:marTop w:val="0"/>
      <w:marBottom w:val="0"/>
      <w:divBdr>
        <w:top w:val="none" w:sz="0" w:space="0" w:color="auto"/>
        <w:left w:val="none" w:sz="0" w:space="0" w:color="auto"/>
        <w:bottom w:val="none" w:sz="0" w:space="0" w:color="auto"/>
        <w:right w:val="none" w:sz="0" w:space="0" w:color="auto"/>
      </w:divBdr>
      <w:divsChild>
        <w:div w:id="2051220617">
          <w:marLeft w:val="0"/>
          <w:marRight w:val="0"/>
          <w:marTop w:val="0"/>
          <w:marBottom w:val="0"/>
          <w:divBdr>
            <w:top w:val="none" w:sz="0" w:space="0" w:color="auto"/>
            <w:left w:val="none" w:sz="0" w:space="0" w:color="auto"/>
            <w:bottom w:val="none" w:sz="0" w:space="0" w:color="auto"/>
            <w:right w:val="none" w:sz="0" w:space="0" w:color="auto"/>
          </w:divBdr>
        </w:div>
        <w:div w:id="4980348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caf.com/attach/19/default/taxes-social-spending-inequality-poverty-argentina-bolivia-brazil-mexico-peru-synthesis-results.pdf" TargetMode="External"/><Relationship Id="rId21" Type="http://schemas.openxmlformats.org/officeDocument/2006/relationships/chart" Target="charts/chart3.xml"/><Relationship Id="rId42" Type="http://schemas.openxmlformats.org/officeDocument/2006/relationships/hyperlink" Target="http://onlinelibrary.wiley.com/doi/10.2202/1944-2858.1055/abstract" TargetMode="External"/><Relationship Id="rId47" Type="http://schemas.openxmlformats.org/officeDocument/2006/relationships/hyperlink" Target="http://www.jstor.org/stable/41260626" TargetMode="External"/><Relationship Id="rId63" Type="http://schemas.openxmlformats.org/officeDocument/2006/relationships/hyperlink" Target="http://www.sciencedirect.com/science/journal/09275371/18/supp/S1" TargetMode="External"/><Relationship Id="rId68" Type="http://schemas.openxmlformats.org/officeDocument/2006/relationships/hyperlink" Target="http://gala.gre.ac.uk/9767/" TargetMode="External"/><Relationship Id="rId84" Type="http://schemas.openxmlformats.org/officeDocument/2006/relationships/hyperlink" Target="http://www.tandfonline.com/toc/raec20/45/22" TargetMode="External"/><Relationship Id="rId89" Type="http://schemas.openxmlformats.org/officeDocument/2006/relationships/hyperlink" Target="http://unesdoc.unesco.org/images/0021/002184/218450e.pdf" TargetMode="External"/><Relationship Id="rId7" Type="http://schemas.openxmlformats.org/officeDocument/2006/relationships/footnotes" Target="footnotes.xml"/><Relationship Id="rId71" Type="http://schemas.openxmlformats.org/officeDocument/2006/relationships/hyperlink" Target="http://www.hup.harvard.edu/catalog.php?isbn=9780674430006" TargetMode="External"/><Relationship Id="rId92" Type="http://schemas.openxmlformats.org/officeDocument/2006/relationships/hyperlink" Target="http://www.imf.org/external/pubs/ft/wp/2013/wp13195.pdf" TargetMode="External"/><Relationship Id="rId2" Type="http://schemas.openxmlformats.org/officeDocument/2006/relationships/numbering" Target="numbering.xml"/><Relationship Id="rId16" Type="http://schemas.openxmlformats.org/officeDocument/2006/relationships/hyperlink" Target="http://dx.doi.org/10.1787/5k9h363c5szq-en" TargetMode="External"/><Relationship Id="rId29" Type="http://schemas.openxmlformats.org/officeDocument/2006/relationships/chart" Target="charts/chart6.xml"/><Relationship Id="rId11" Type="http://schemas.openxmlformats.org/officeDocument/2006/relationships/image" Target="media/image2.png"/><Relationship Id="rId24" Type="http://schemas.openxmlformats.org/officeDocument/2006/relationships/chart" Target="charts/chart5.xml"/><Relationship Id="rId32" Type="http://schemas.openxmlformats.org/officeDocument/2006/relationships/hyperlink" Target="http://www.imf.org/external/pubs/ft/wp/2013/wp13152.pdf" TargetMode="External"/><Relationship Id="rId37" Type="http://schemas.openxmlformats.org/officeDocument/2006/relationships/hyperlink" Target="http://dx.doi.org/10.2139/ssrn.2202817" TargetMode="External"/><Relationship Id="rId40" Type="http://schemas.openxmlformats.org/officeDocument/2006/relationships/hyperlink" Target="http://ineteconomics.org/research_note/inequality-and-household-finance-during-consumer-age" TargetMode="External"/><Relationship Id="rId45" Type="http://schemas.openxmlformats.org/officeDocument/2006/relationships/hyperlink" Target="http://www.who.int/social_determinants/resources/csdh_media/hskn_final_2007_en.pdf" TargetMode="External"/><Relationship Id="rId53" Type="http://schemas.openxmlformats.org/officeDocument/2006/relationships/hyperlink" Target="http://www.iom.edu/Reports/2012/Best-Care-at-Lower-Cost-The-Path-to-Continuously-Learning-Health-Care-in-America.aspx" TargetMode="External"/><Relationship Id="rId58" Type="http://schemas.openxmlformats.org/officeDocument/2006/relationships/hyperlink" Target="http://www.caf.com/attach/19/default/taxes-social-spending-inequality-poverty-argentina-bolivia-brazil-mexico-peru-synthesis-results.pdf" TargetMode="External"/><Relationship Id="rId66" Type="http://schemas.openxmlformats.org/officeDocument/2006/relationships/hyperlink" Target="http://wber.oxfordjournals.org/content/21/1/93" TargetMode="External"/><Relationship Id="rId74" Type="http://schemas.openxmlformats.org/officeDocument/2006/relationships/hyperlink" Target="http://papers.ssrn.com/abstract=1416947" TargetMode="External"/><Relationship Id="rId79" Type="http://schemas.openxmlformats.org/officeDocument/2006/relationships/hyperlink" Target="http://www.ilo.org/wcmsp5/groups/public/---ed_protect/---protrav/---travail/documents/publication/wcms_202352.pdf" TargetMode="External"/><Relationship Id="rId87" Type="http://schemas.openxmlformats.org/officeDocument/2006/relationships/hyperlink" Target="http://www.polity.co.uk/book.asp?ref=9780745662589" TargetMode="External"/><Relationship Id="rId102"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www.sciencedirect.com/science/article/pii/S0140673606698991" TargetMode="External"/><Relationship Id="rId82" Type="http://schemas.openxmlformats.org/officeDocument/2006/relationships/hyperlink" Target="http://www.ceistorvergata.it/repec/rpaper/RP146.pdf" TargetMode="External"/><Relationship Id="rId90" Type="http://schemas.openxmlformats.org/officeDocument/2006/relationships/hyperlink" Target="http://www.ccsenet.org/journal/index.php/ijbm/article/viewFile/7174/6337" TargetMode="External"/><Relationship Id="rId95" Type="http://schemas.openxmlformats.org/officeDocument/2006/relationships/hyperlink" Target="http://uhcforward.org/sites/uhcforward.org/files/TheLancet_Universal_health_care_and_the_removal_of_user_fees.pdf" TargetMode="External"/><Relationship Id="rId19" Type="http://schemas.openxmlformats.org/officeDocument/2006/relationships/chart" Target="charts/chart2.xml"/><Relationship Id="rId14" Type="http://schemas.openxmlformats.org/officeDocument/2006/relationships/image" Target="media/image4.png"/><Relationship Id="rId22" Type="http://schemas.openxmlformats.org/officeDocument/2006/relationships/chart" Target="charts/chart4.xml"/><Relationship Id="rId27" Type="http://schemas.openxmlformats.org/officeDocument/2006/relationships/image" Target="media/image6.emf"/><Relationship Id="rId30" Type="http://schemas.openxmlformats.org/officeDocument/2006/relationships/hyperlink" Target="http://heapol.oxfordjournals.org/content/27/suppl_1/i13" TargetMode="External"/><Relationship Id="rId35" Type="http://schemas.openxmlformats.org/officeDocument/2006/relationships/hyperlink" Target="http://www.cpps.org.my/upload/CPPS%201Care%20Policy%20Paper.pdf" TargetMode="External"/><Relationship Id="rId43" Type="http://schemas.openxmlformats.org/officeDocument/2006/relationships/hyperlink" Target="http://www.taxjustice.net/cms/upload/pdf/Inequality_120722_You_dont_know_the_half_of_it.pdf" TargetMode="External"/><Relationship Id="rId48" Type="http://schemas.openxmlformats.org/officeDocument/2006/relationships/hyperlink" Target="http://www1.ifc.org/wps/wcm/connect/industry_ext_content/ifc_external_corporate_site/industries/health+and+education/news/features_health_healthypartnerships" TargetMode="External"/><Relationship Id="rId56" Type="http://schemas.openxmlformats.org/officeDocument/2006/relationships/hyperlink" Target="http://siteresources.worldbank.org/EXTPOVERTY/Resources/InequalityInFocusJuly2012FINAL.pdf" TargetMode="External"/><Relationship Id="rId64" Type="http://schemas.openxmlformats.org/officeDocument/2006/relationships/hyperlink" Target="http://economia.unipv.it/biblio/nayyar.pdf" TargetMode="External"/><Relationship Id="rId69" Type="http://schemas.openxmlformats.org/officeDocument/2006/relationships/hyperlink" Target="http://www.ons.gov.uk/ons/rel/household-income/the-effects-of-taxes-and-benefits-on-household-income/2010-11/index.html%20%20%20" TargetMode="External"/><Relationship Id="rId77" Type="http://schemas.openxmlformats.org/officeDocument/2006/relationships/hyperlink" Target="http://jech.bmj.com/content/65/Suppl_1/A325.2.short" TargetMode="External"/><Relationship Id="rId100"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www.ilo.org/global/research/global-reports/global-wage-report/2012/charts/WCMS_193311/lang--en/index.htm" TargetMode="External"/><Relationship Id="rId72" Type="http://schemas.openxmlformats.org/officeDocument/2006/relationships/hyperlink" Target="http://jech.bmj.com/content/early/2013/04/30/jech-2012-201426" TargetMode="External"/><Relationship Id="rId80" Type="http://schemas.openxmlformats.org/officeDocument/2006/relationships/hyperlink" Target="http://papers.ssrn.com/sol3/papers.cfm?abstract_id=1909381" TargetMode="External"/><Relationship Id="rId85" Type="http://schemas.openxmlformats.org/officeDocument/2006/relationships/hyperlink" Target="http://papers.ssrn.com/sol3/papers.cfm?abstract_id=1879136" TargetMode="External"/><Relationship Id="rId93" Type="http://schemas.openxmlformats.org/officeDocument/2006/relationships/hyperlink" Target="http://www.nap.edu/catalog.php?record_id=13497" TargetMode="External"/><Relationship Id="rId98"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www.ilo.org/global/research/global-reports/global-wage-report/2012/charts/WCMS_193311/lang--en/index.htm" TargetMode="External"/><Relationship Id="rId17" Type="http://schemas.openxmlformats.org/officeDocument/2006/relationships/image" Target="media/image5.emf"/><Relationship Id="rId25" Type="http://schemas.openxmlformats.org/officeDocument/2006/relationships/hyperlink" Target="http://www.caf.com/attach/19/default/taxes-social-spending-inequality-poverty-argentina-bolivia-brazil-mexico-peru-synthesis-results.pdf" TargetMode="External"/><Relationship Id="rId33" Type="http://schemas.openxmlformats.org/officeDocument/2006/relationships/hyperlink" Target="http://dx.doi.org/10.1371/journal.pmed.1001244" TargetMode="External"/><Relationship Id="rId38" Type="http://schemas.openxmlformats.org/officeDocument/2006/relationships/hyperlink" Target="http://www.izajoels.com/content/2/1/15" TargetMode="External"/><Relationship Id="rId46" Type="http://schemas.openxmlformats.org/officeDocument/2006/relationships/hyperlink" Target="http://www.psiru.org/reports/2010-10-QPS-pubspend.pdf" TargetMode="External"/><Relationship Id="rId59" Type="http://schemas.openxmlformats.org/officeDocument/2006/relationships/hyperlink" Target="http://www.ief.es/documentos/recursos/publicaciones/revistas/hac_pub/200_Art4.pdf" TargetMode="External"/><Relationship Id="rId67" Type="http://schemas.openxmlformats.org/officeDocument/2006/relationships/hyperlink" Target="http://www.usc.es/~economet/reviews/aeid1111.pdf" TargetMode="External"/><Relationship Id="rId103" Type="http://schemas.openxmlformats.org/officeDocument/2006/relationships/theme" Target="theme/theme1.xml"/><Relationship Id="rId20" Type="http://schemas.openxmlformats.org/officeDocument/2006/relationships/hyperlink" Target="http://dx.doi.org/10.1787/5k9h363c5szq-en" TargetMode="External"/><Relationship Id="rId41" Type="http://schemas.openxmlformats.org/officeDocument/2006/relationships/hyperlink" Target="http://www.healtheconomicsreview.com/content/2/1/13" TargetMode="External"/><Relationship Id="rId54" Type="http://schemas.openxmlformats.org/officeDocument/2006/relationships/hyperlink" Target="http://ir2.nul.nagoya-u.ac.jp/jspui/handle/2237/14053" TargetMode="External"/><Relationship Id="rId62" Type="http://schemas.openxmlformats.org/officeDocument/2006/relationships/hyperlink" Target="http://www.sciencedirect.com/science/journal/09275371" TargetMode="External"/><Relationship Id="rId70" Type="http://schemas.openxmlformats.org/officeDocument/2006/relationships/hyperlink" Target="http://www.unicef.org/socialpolicy/files/Global_Inequality.pdf" TargetMode="External"/><Relationship Id="rId75" Type="http://schemas.openxmlformats.org/officeDocument/2006/relationships/hyperlink" Target="http://www.thelancet.com" TargetMode="External"/><Relationship Id="rId83" Type="http://schemas.openxmlformats.org/officeDocument/2006/relationships/hyperlink" Target="http://www.tandfonline.com/doi/abs/10.1080/00036846.2012.705429" TargetMode="External"/><Relationship Id="rId88" Type="http://schemas.openxmlformats.org/officeDocument/2006/relationships/hyperlink" Target="http://www.un.org/esa/socdev/documents/reports/InequalityMatters.pdf" TargetMode="External"/><Relationship Id="rId91" Type="http://schemas.openxmlformats.org/officeDocument/2006/relationships/hyperlink" Target="http://dx.doi.org/10.1787/5k9h363c5szq-en" TargetMode="External"/><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hyperlink" Target="http://www.ons.gov.uk/ons/rel/household-income/the-effects-of-taxes-and-benefits-on-household-income/2010-11/index.html" TargetMode="External"/><Relationship Id="rId28" Type="http://schemas.openxmlformats.org/officeDocument/2006/relationships/image" Target="media/image7.emf"/><Relationship Id="rId36" Type="http://schemas.openxmlformats.org/officeDocument/2006/relationships/hyperlink" Target="http://www.nber.org/papers/w17069" TargetMode="External"/><Relationship Id="rId49" Type="http://schemas.openxmlformats.org/officeDocument/2006/relationships/hyperlink" Target="https://www.wbginvestmentclimate.org/toolkits/upload/Guide_for_Investors_in_Private_Health_Care_in_Emerging_Markets_RESIZED.pdf" TargetMode="External"/><Relationship Id="rId57" Type="http://schemas.openxmlformats.org/officeDocument/2006/relationships/hyperlink" Target="http://econ.tulane.edu/RePEc/pdf/tul1124.pdf" TargetMode="External"/><Relationship Id="rId10" Type="http://schemas.openxmlformats.org/officeDocument/2006/relationships/image" Target="media/image1.png"/><Relationship Id="rId31" Type="http://schemas.openxmlformats.org/officeDocument/2006/relationships/hyperlink" Target="http://www.columbia.edu/~hs2166/Kondo_Shigeoka_Oct4_2011.pdf" TargetMode="External"/><Relationship Id="rId44" Type="http://schemas.openxmlformats.org/officeDocument/2006/relationships/hyperlink" Target="http://link.springer.com/chapter/10.1007/978-81-322-0981-2_11" TargetMode="External"/><Relationship Id="rId52" Type="http://schemas.openxmlformats.org/officeDocument/2006/relationships/hyperlink" Target="http://www.imf.org/external/pubs/ft/books/2012/health/healthcare.pdf" TargetMode="External"/><Relationship Id="rId60" Type="http://schemas.openxmlformats.org/officeDocument/2006/relationships/hyperlink" Target="http://onlinelibrary.wiley.com/doi/10.1111/j.1477-8947.2004.00099.x/abstract" TargetMode="External"/><Relationship Id="rId65" Type="http://schemas.openxmlformats.org/officeDocument/2006/relationships/hyperlink" Target="http://link.springer.com/chapter/10.1007/978-3-662-11592-3_8" TargetMode="External"/><Relationship Id="rId73" Type="http://schemas.openxmlformats.org/officeDocument/2006/relationships/hyperlink" Target="http://siteresources.worldbank.org/INTHSD/Resources/376278-1202320704235/GoodPracticesHealthFinancing.pdf" TargetMode="External"/><Relationship Id="rId78" Type="http://schemas.openxmlformats.org/officeDocument/2006/relationships/hyperlink" Target="http://www.tandfonline.com/doi/abs/10.1080/10875549.2012.667059" TargetMode="External"/><Relationship Id="rId81" Type="http://schemas.openxmlformats.org/officeDocument/2006/relationships/hyperlink" Target="http://people.ds.cam.ac.uk/ds450/details/P496%20Inequity%20in%20South%20Africa.pdf" TargetMode="External"/><Relationship Id="rId86" Type="http://schemas.openxmlformats.org/officeDocument/2006/relationships/hyperlink" Target="http://bmb.oxfordjournals.org/content/91/1/29" TargetMode="External"/><Relationship Id="rId94" Type="http://schemas.openxmlformats.org/officeDocument/2006/relationships/hyperlink" Target="http://data.worldbank.org/topic/health" TargetMode="External"/><Relationship Id="rId99" Type="http://schemas.openxmlformats.org/officeDocument/2006/relationships/footer" Target="footer2.xml"/><Relationship Id="rId101"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d.j.hall@gre.ac.uk" TargetMode="External"/><Relationship Id="rId13" Type="http://schemas.openxmlformats.org/officeDocument/2006/relationships/image" Target="media/image3.emf"/><Relationship Id="rId18" Type="http://schemas.openxmlformats.org/officeDocument/2006/relationships/hyperlink" Target="http://dx.doi.org/10.1787/5k9h363c5szq-en" TargetMode="External"/><Relationship Id="rId39" Type="http://schemas.openxmlformats.org/officeDocument/2006/relationships/hyperlink" Target="http://www.oxfordscholarship.com/view/10.1093/0199271410.001.0001/acprof-9780199271412-chapter-10?rskey=S5UdbM&amp;result=1&amp;q=transition%20countries" TargetMode="External"/><Relationship Id="rId34" Type="http://schemas.openxmlformats.org/officeDocument/2006/relationships/hyperlink" Target="http://onlinelibrary.wiley.com/doi/10.1111/1468-4446.12005/abstract" TargetMode="External"/><Relationship Id="rId50" Type="http://schemas.openxmlformats.org/officeDocument/2006/relationships/hyperlink" Target="http://www.ilo.org/wcmsp5/groups/public/@ed_norm/@normes/documents/publication/wcms_099699.pdf" TargetMode="External"/><Relationship Id="rId55" Type="http://schemas.openxmlformats.org/officeDocument/2006/relationships/hyperlink" Target="http://onlinelibrary.wiley.com/doi/10.1111/j.1475-4991.2006.00175.x/abstract;jsessionid=1525004D7C3EF76E9660282AA842E37D.f01t03?deniedAccessCustomisedMessage=&amp;userIsAuthenticated=false" TargetMode="External"/><Relationship Id="rId76" Type="http://schemas.openxmlformats.org/officeDocument/2006/relationships/hyperlink" Target="http://elsa.berkeley.edu/~saez/saez-UStopincomes-2012.pdf" TargetMode="External"/><Relationship Id="rId97" Type="http://schemas.openxmlformats.org/officeDocument/2006/relationships/header" Target="header2.xml"/></Relationships>
</file>

<file path=word/_rels/endnotes.xml.rels><?xml version="1.0" encoding="UTF-8" standalone="yes"?>
<Relationships xmlns="http://schemas.openxmlformats.org/package/2006/relationships"><Relationship Id="rId8" Type="http://schemas.openxmlformats.org/officeDocument/2006/relationships/hyperlink" Target="http://econ.tulane.edu/RePEc/pdf/tul1124.pdf" TargetMode="External"/><Relationship Id="rId13" Type="http://schemas.openxmlformats.org/officeDocument/2006/relationships/hyperlink" Target="http://econ.tulane.edu/RePEc/pdf/tul1124.pdf" TargetMode="External"/><Relationship Id="rId18" Type="http://schemas.openxmlformats.org/officeDocument/2006/relationships/hyperlink" Target="http://www.infrastructureafrica.org/aicd/system/files/AIATT_Consolidated_smaller.pdf" TargetMode="External"/><Relationship Id="rId26" Type="http://schemas.openxmlformats.org/officeDocument/2006/relationships/hyperlink" Target="http://www.sciencedirect.com/science/article/pii/S0305750X01000341" TargetMode="External"/><Relationship Id="rId3" Type="http://schemas.openxmlformats.org/officeDocument/2006/relationships/hyperlink" Target="http://www.unicef.org/socialpolicy/files/Global_Inequality.pdf" TargetMode="External"/><Relationship Id="rId21" Type="http://schemas.openxmlformats.org/officeDocument/2006/relationships/hyperlink" Target="https://openknowledge.worldbank.org/handle/10986/12180" TargetMode="External"/><Relationship Id="rId7" Type="http://schemas.openxmlformats.org/officeDocument/2006/relationships/hyperlink" Target="http://www.caf.com/attach/19/default/taxes-social-spending-inequality-poverty-argentina-bolivia-brazil-mexico-peru-synthesis-results.pdf" TargetMode="External"/><Relationship Id="rId12" Type="http://schemas.openxmlformats.org/officeDocument/2006/relationships/hyperlink" Target="http://documents.worldbank.org/curated/en/2000/01/16867190/declining-inequality-latin-america-2000s-cases-argentina-brazil-mexico-declining-inequality-latin-america-2000s-cases-argentina-brazil-mexico" TargetMode="External"/><Relationship Id="rId17" Type="http://schemas.openxmlformats.org/officeDocument/2006/relationships/hyperlink" Target="http://www.soc-geogr.net/7/23/2012/sg-7-23-2012.pdf" TargetMode="External"/><Relationship Id="rId25" Type="http://schemas.openxmlformats.org/officeDocument/2006/relationships/hyperlink" Target="http://www.caf.com.ec/attach/19/default/201103LipscombMobarakBarham32711%282%29.pdf" TargetMode="External"/><Relationship Id="rId2" Type="http://schemas.openxmlformats.org/officeDocument/2006/relationships/hyperlink" Target="http://gala.gre.ac.uk/9767/" TargetMode="External"/><Relationship Id="rId16" Type="http://schemas.openxmlformats.org/officeDocument/2006/relationships/hyperlink" Target="http://onlinelibrary.wiley.com/doi/10.2202/1944-2858.1055/abstract" TargetMode="External"/><Relationship Id="rId20" Type="http://schemas.openxmlformats.org/officeDocument/2006/relationships/hyperlink" Target="http://hdl.handle.net/10986/3907" TargetMode="External"/><Relationship Id="rId29" Type="http://schemas.openxmlformats.org/officeDocument/2006/relationships/hyperlink" Target="http://www.ophi.org.uk/wp-content/uploads/MPI-post-2015-MDGs-FINAL.pdf?cda6c1" TargetMode="External"/><Relationship Id="rId1" Type="http://schemas.openxmlformats.org/officeDocument/2006/relationships/hyperlink" Target="http://www.unicef.org/socialpolicy/files/Global_Inequality.pdf" TargetMode="External"/><Relationship Id="rId6" Type="http://schemas.openxmlformats.org/officeDocument/2006/relationships/hyperlink" Target="http://www.ipc-undp.org/pub/IPCWorkingPaper115.pdf" TargetMode="External"/><Relationship Id="rId11" Type="http://schemas.openxmlformats.org/officeDocument/2006/relationships/hyperlink" Target="http://siteresources.worldbank.org/EXTPOVERTY/Resources/InequalityInFocusJuly2012FINAL.pdf" TargetMode="External"/><Relationship Id="rId24" Type="http://schemas.openxmlformats.org/officeDocument/2006/relationships/hyperlink" Target="http://www.eskom.co.za/annreport06/chiefexecutivesreport.htm" TargetMode="External"/><Relationship Id="rId5" Type="http://schemas.openxmlformats.org/officeDocument/2006/relationships/hyperlink" Target="http://www.unicef.org/socialpolicy/files/Global_Inequality.pdf" TargetMode="External"/><Relationship Id="rId15" Type="http://schemas.openxmlformats.org/officeDocument/2006/relationships/hyperlink" Target="http://siteresources.worldbank.org/EXTPOVERTY/Resources/InequalityInFocusJuly2012FINAL.pdf" TargetMode="External"/><Relationship Id="rId23" Type="http://schemas.openxmlformats.org/officeDocument/2006/relationships/hyperlink" Target="http://faculty.ucr.edu/~jorgea/econ261/electricity.pdf" TargetMode="External"/><Relationship Id="rId28" Type="http://schemas.openxmlformats.org/officeDocument/2006/relationships/hyperlink" Target="http://www.ophi.org.uk/wp-content/uploads/MPI-post-2015-MDGs-FINAL.pdf?cda6c1" TargetMode="External"/><Relationship Id="rId10" Type="http://schemas.openxmlformats.org/officeDocument/2006/relationships/hyperlink" Target="http://www.caf.com/attach/19/default/taxes-social-spending-inequality-poverty-argentina-bolivia-brazil-mexico-peru-synthesis-results.pdf" TargetMode="External"/><Relationship Id="rId19" Type="http://schemas.openxmlformats.org/officeDocument/2006/relationships/hyperlink" Target="http://ec.europa.eu/bepa/pdf/cef_brochure.pdf" TargetMode="External"/><Relationship Id="rId31" Type="http://schemas.openxmlformats.org/officeDocument/2006/relationships/hyperlink" Target="http://www.ophi.org.uk/wp-content/uploads/Multidimensional-Poverty-Reduction-in-India-1999-2006.pdf?cc8bca" TargetMode="External"/><Relationship Id="rId4" Type="http://schemas.openxmlformats.org/officeDocument/2006/relationships/hyperlink" Target="http://www.ft.com/cms/s/0/b3462520-805b-11e3-853f-00144feab7de.html" TargetMode="External"/><Relationship Id="rId9" Type="http://schemas.openxmlformats.org/officeDocument/2006/relationships/hyperlink" Target="http://econ.tulane.edu/RePEc/pdf/tul1216.pdf" TargetMode="External"/><Relationship Id="rId14" Type="http://schemas.openxmlformats.org/officeDocument/2006/relationships/hyperlink" Target="http://siteresources.worldbank.org/EXTPOVERTY/Resources/InequalityInFocusJuly2012FINAL.pdf" TargetMode="External"/><Relationship Id="rId22" Type="http://schemas.openxmlformats.org/officeDocument/2006/relationships/hyperlink" Target="http://www.eskom.co.za/annreport06/chiefexecutivesreport.htm" TargetMode="External"/><Relationship Id="rId27" Type="http://schemas.openxmlformats.org/officeDocument/2006/relationships/hyperlink" Target="http://www.worldwewant2015.org/millionvoices" TargetMode="External"/><Relationship Id="rId30" Type="http://schemas.openxmlformats.org/officeDocument/2006/relationships/hyperlink" Target="http://www.ophi.org.uk/multidimensional-poverty-index/mpi-2013/"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d.j.hall@gre.ac.uk" TargetMode="External"/><Relationship Id="rId1" Type="http://schemas.openxmlformats.org/officeDocument/2006/relationships/hyperlink" Target="http://www.psiru.org"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psiru.org"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gre.ac.uk/index.html" TargetMode="External"/><Relationship Id="rId2" Type="http://schemas.openxmlformats.org/officeDocument/2006/relationships/hyperlink" Target="http://www.psiru.org" TargetMode="External"/><Relationship Id="rId1" Type="http://schemas.openxmlformats.org/officeDocument/2006/relationships/hyperlink" Target="http://www.psiru.org" TargetMode="External"/><Relationship Id="rId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2011\psiru-basic-2013.dot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3.60.77.220\psiru\Working\Projects\Oxfam-2012-equality\charts-equalit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3.60.77.220\psiru\Working\Projects\Oxfam-2012-equality\charts-equalit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Work\Oxfam-2012-equality\charts-equality.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Work\Oxfam-2012-equality\charts-equality.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0"/>
            <c:showCatName val="0"/>
            <c:showSerName val="0"/>
            <c:showPercent val="1"/>
            <c:showBubbleSize val="0"/>
            <c:showLeaderLines val="0"/>
          </c:dLbls>
          <c:cat>
            <c:strRef>
              <c:f>Sheet1!$D$4:$D$8</c:f>
              <c:strCache>
                <c:ptCount val="5"/>
                <c:pt idx="0">
                  <c:v>Q5 (highest incomes)</c:v>
                </c:pt>
                <c:pt idx="1">
                  <c:v>Q4</c:v>
                </c:pt>
                <c:pt idx="2">
                  <c:v>Q3</c:v>
                </c:pt>
                <c:pt idx="3">
                  <c:v>Q2</c:v>
                </c:pt>
                <c:pt idx="4">
                  <c:v>Q1 (lowest incomes)</c:v>
                </c:pt>
              </c:strCache>
            </c:strRef>
          </c:cat>
          <c:val>
            <c:numRef>
              <c:f>Sheet1!$E$4:$E$8</c:f>
              <c:numCache>
                <c:formatCode>General</c:formatCode>
                <c:ptCount val="5"/>
                <c:pt idx="0">
                  <c:v>18</c:v>
                </c:pt>
                <c:pt idx="1">
                  <c:v>20</c:v>
                </c:pt>
                <c:pt idx="2">
                  <c:v>20</c:v>
                </c:pt>
                <c:pt idx="3">
                  <c:v>21</c:v>
                </c:pt>
                <c:pt idx="4">
                  <c:v>21</c:v>
                </c:pt>
              </c:numCache>
            </c:numRef>
          </c:val>
        </c:ser>
        <c:dLbls>
          <c:showLegendKey val="0"/>
          <c:showVal val="0"/>
          <c:showCatName val="0"/>
          <c:showSerName val="0"/>
          <c:showPercent val="0"/>
          <c:showBubbleSize val="0"/>
          <c:showLeaderLines val="0"/>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'[charts-equality.xlsx]Sheet1'!$B$4</c:f>
              <c:strCache>
                <c:ptCount val="1"/>
                <c:pt idx="0">
                  <c:v>Education</c:v>
                </c:pt>
              </c:strCache>
            </c:strRef>
          </c:tx>
          <c:invertIfNegative val="0"/>
          <c:dLbls>
            <c:showLegendKey val="0"/>
            <c:showVal val="1"/>
            <c:showCatName val="0"/>
            <c:showSerName val="0"/>
            <c:showPercent val="0"/>
            <c:showBubbleSize val="0"/>
            <c:showLeaderLines val="0"/>
          </c:dLbls>
          <c:cat>
            <c:strRef>
              <c:f>'[charts-equality.xlsx]Sheet1'!$C$3:$G$3</c:f>
              <c:strCache>
                <c:ptCount val="5"/>
                <c:pt idx="0">
                  <c:v>Q1 (poorest)</c:v>
                </c:pt>
                <c:pt idx="1">
                  <c:v>Q2</c:v>
                </c:pt>
                <c:pt idx="2">
                  <c:v>Q3</c:v>
                </c:pt>
                <c:pt idx="3">
                  <c:v>Q4</c:v>
                </c:pt>
                <c:pt idx="4">
                  <c:v>Q5 (richest</c:v>
                </c:pt>
              </c:strCache>
            </c:strRef>
          </c:cat>
          <c:val>
            <c:numRef>
              <c:f>'[charts-equality.xlsx]Sheet1'!$C$4:$G$4</c:f>
              <c:numCache>
                <c:formatCode>General</c:formatCode>
                <c:ptCount val="5"/>
                <c:pt idx="0">
                  <c:v>30.6</c:v>
                </c:pt>
                <c:pt idx="1">
                  <c:v>18.5</c:v>
                </c:pt>
                <c:pt idx="2">
                  <c:v>14.2</c:v>
                </c:pt>
                <c:pt idx="3">
                  <c:v>10.4</c:v>
                </c:pt>
                <c:pt idx="4">
                  <c:v>5.6</c:v>
                </c:pt>
              </c:numCache>
            </c:numRef>
          </c:val>
        </c:ser>
        <c:ser>
          <c:idx val="1"/>
          <c:order val="1"/>
          <c:tx>
            <c:strRef>
              <c:f>'[charts-equality.xlsx]Sheet1'!$B$5</c:f>
              <c:strCache>
                <c:ptCount val="1"/>
                <c:pt idx="0">
                  <c:v>Health care</c:v>
                </c:pt>
              </c:strCache>
            </c:strRef>
          </c:tx>
          <c:invertIfNegative val="0"/>
          <c:dLbls>
            <c:showLegendKey val="0"/>
            <c:showVal val="1"/>
            <c:showCatName val="0"/>
            <c:showSerName val="0"/>
            <c:showPercent val="0"/>
            <c:showBubbleSize val="0"/>
            <c:showLeaderLines val="0"/>
          </c:dLbls>
          <c:cat>
            <c:strRef>
              <c:f>'[charts-equality.xlsx]Sheet1'!$C$3:$G$3</c:f>
              <c:strCache>
                <c:ptCount val="5"/>
                <c:pt idx="0">
                  <c:v>Q1 (poorest)</c:v>
                </c:pt>
                <c:pt idx="1">
                  <c:v>Q2</c:v>
                </c:pt>
                <c:pt idx="2">
                  <c:v>Q3</c:v>
                </c:pt>
                <c:pt idx="3">
                  <c:v>Q4</c:v>
                </c:pt>
                <c:pt idx="4">
                  <c:v>Q5 (richest</c:v>
                </c:pt>
              </c:strCache>
            </c:strRef>
          </c:cat>
          <c:val>
            <c:numRef>
              <c:f>'[charts-equality.xlsx]Sheet1'!$C$5:$G$5</c:f>
              <c:numCache>
                <c:formatCode>General</c:formatCode>
                <c:ptCount val="5"/>
                <c:pt idx="0">
                  <c:v>34.9</c:v>
                </c:pt>
                <c:pt idx="1">
                  <c:v>22.2</c:v>
                </c:pt>
                <c:pt idx="2">
                  <c:v>15.8</c:v>
                </c:pt>
                <c:pt idx="3">
                  <c:v>11.8</c:v>
                </c:pt>
                <c:pt idx="4">
                  <c:v>7.2</c:v>
                </c:pt>
              </c:numCache>
            </c:numRef>
          </c:val>
        </c:ser>
        <c:ser>
          <c:idx val="2"/>
          <c:order val="2"/>
          <c:tx>
            <c:strRef>
              <c:f>'[charts-equality.xlsx]Sheet1'!$B$6</c:f>
              <c:strCache>
                <c:ptCount val="1"/>
                <c:pt idx="0">
                  <c:v>Social housing</c:v>
                </c:pt>
              </c:strCache>
            </c:strRef>
          </c:tx>
          <c:invertIfNegative val="0"/>
          <c:cat>
            <c:strRef>
              <c:f>'[charts-equality.xlsx]Sheet1'!$C$3:$G$3</c:f>
              <c:strCache>
                <c:ptCount val="5"/>
                <c:pt idx="0">
                  <c:v>Q1 (poorest)</c:v>
                </c:pt>
                <c:pt idx="1">
                  <c:v>Q2</c:v>
                </c:pt>
                <c:pt idx="2">
                  <c:v>Q3</c:v>
                </c:pt>
                <c:pt idx="3">
                  <c:v>Q4</c:v>
                </c:pt>
                <c:pt idx="4">
                  <c:v>Q5 (richest</c:v>
                </c:pt>
              </c:strCache>
            </c:strRef>
          </c:cat>
          <c:val>
            <c:numRef>
              <c:f>'[charts-equality.xlsx]Sheet1'!$C$6:$G$6</c:f>
              <c:numCache>
                <c:formatCode>General</c:formatCode>
                <c:ptCount val="5"/>
                <c:pt idx="0">
                  <c:v>1.8</c:v>
                </c:pt>
                <c:pt idx="1">
                  <c:v>0.7</c:v>
                </c:pt>
                <c:pt idx="2">
                  <c:v>0.4</c:v>
                </c:pt>
                <c:pt idx="3">
                  <c:v>0.2</c:v>
                </c:pt>
                <c:pt idx="4">
                  <c:v>0.1</c:v>
                </c:pt>
              </c:numCache>
            </c:numRef>
          </c:val>
        </c:ser>
        <c:ser>
          <c:idx val="3"/>
          <c:order val="3"/>
          <c:tx>
            <c:strRef>
              <c:f>'[charts-equality.xlsx]Sheet1'!$B$7</c:f>
              <c:strCache>
                <c:ptCount val="1"/>
                <c:pt idx="0">
                  <c:v>ECEC (child care)</c:v>
                </c:pt>
              </c:strCache>
            </c:strRef>
          </c:tx>
          <c:invertIfNegative val="0"/>
          <c:dLbls>
            <c:showLegendKey val="0"/>
            <c:showVal val="1"/>
            <c:showCatName val="0"/>
            <c:showSerName val="0"/>
            <c:showPercent val="0"/>
            <c:showBubbleSize val="0"/>
            <c:showLeaderLines val="0"/>
          </c:dLbls>
          <c:cat>
            <c:strRef>
              <c:f>'[charts-equality.xlsx]Sheet1'!$C$3:$G$3</c:f>
              <c:strCache>
                <c:ptCount val="5"/>
                <c:pt idx="0">
                  <c:v>Q1 (poorest)</c:v>
                </c:pt>
                <c:pt idx="1">
                  <c:v>Q2</c:v>
                </c:pt>
                <c:pt idx="2">
                  <c:v>Q3</c:v>
                </c:pt>
                <c:pt idx="3">
                  <c:v>Q4</c:v>
                </c:pt>
                <c:pt idx="4">
                  <c:v>Q5 (richest</c:v>
                </c:pt>
              </c:strCache>
            </c:strRef>
          </c:cat>
          <c:val>
            <c:numRef>
              <c:f>'[charts-equality.xlsx]Sheet1'!$C$7:$G$7</c:f>
              <c:numCache>
                <c:formatCode>General</c:formatCode>
                <c:ptCount val="5"/>
                <c:pt idx="0">
                  <c:v>4.5</c:v>
                </c:pt>
                <c:pt idx="1">
                  <c:v>3</c:v>
                </c:pt>
                <c:pt idx="2">
                  <c:v>2.4</c:v>
                </c:pt>
                <c:pt idx="3">
                  <c:v>1.5</c:v>
                </c:pt>
                <c:pt idx="4">
                  <c:v>0.8</c:v>
                </c:pt>
              </c:numCache>
            </c:numRef>
          </c:val>
        </c:ser>
        <c:ser>
          <c:idx val="4"/>
          <c:order val="4"/>
          <c:tx>
            <c:strRef>
              <c:f>'[charts-equality.xlsx]Sheet1'!$B$8</c:f>
              <c:strCache>
                <c:ptCount val="1"/>
                <c:pt idx="0">
                  <c:v>Elderly care</c:v>
                </c:pt>
              </c:strCache>
            </c:strRef>
          </c:tx>
          <c:invertIfNegative val="0"/>
          <c:dLbls>
            <c:showLegendKey val="0"/>
            <c:showVal val="1"/>
            <c:showCatName val="0"/>
            <c:showSerName val="0"/>
            <c:showPercent val="0"/>
            <c:showBubbleSize val="0"/>
            <c:showLeaderLines val="0"/>
          </c:dLbls>
          <c:cat>
            <c:strRef>
              <c:f>'[charts-equality.xlsx]Sheet1'!$C$3:$G$3</c:f>
              <c:strCache>
                <c:ptCount val="5"/>
                <c:pt idx="0">
                  <c:v>Q1 (poorest)</c:v>
                </c:pt>
                <c:pt idx="1">
                  <c:v>Q2</c:v>
                </c:pt>
                <c:pt idx="2">
                  <c:v>Q3</c:v>
                </c:pt>
                <c:pt idx="3">
                  <c:v>Q4</c:v>
                </c:pt>
                <c:pt idx="4">
                  <c:v>Q5 (richest</c:v>
                </c:pt>
              </c:strCache>
            </c:strRef>
          </c:cat>
          <c:val>
            <c:numRef>
              <c:f>'[charts-equality.xlsx]Sheet1'!$C$8:$G$8</c:f>
              <c:numCache>
                <c:formatCode>General</c:formatCode>
                <c:ptCount val="5"/>
                <c:pt idx="0">
                  <c:v>4</c:v>
                </c:pt>
                <c:pt idx="1">
                  <c:v>1.9</c:v>
                </c:pt>
                <c:pt idx="2">
                  <c:v>0.7</c:v>
                </c:pt>
                <c:pt idx="3">
                  <c:v>0.4</c:v>
                </c:pt>
                <c:pt idx="4">
                  <c:v>0.2</c:v>
                </c:pt>
              </c:numCache>
            </c:numRef>
          </c:val>
        </c:ser>
        <c:dLbls>
          <c:showLegendKey val="0"/>
          <c:showVal val="0"/>
          <c:showCatName val="0"/>
          <c:showSerName val="0"/>
          <c:showPercent val="0"/>
          <c:showBubbleSize val="0"/>
        </c:dLbls>
        <c:gapWidth val="150"/>
        <c:overlap val="100"/>
        <c:axId val="23594880"/>
        <c:axId val="23596416"/>
      </c:barChart>
      <c:catAx>
        <c:axId val="23594880"/>
        <c:scaling>
          <c:orientation val="minMax"/>
        </c:scaling>
        <c:delete val="0"/>
        <c:axPos val="b"/>
        <c:majorTickMark val="out"/>
        <c:minorTickMark val="none"/>
        <c:tickLblPos val="nextTo"/>
        <c:crossAx val="23596416"/>
        <c:crosses val="autoZero"/>
        <c:auto val="1"/>
        <c:lblAlgn val="ctr"/>
        <c:lblOffset val="100"/>
        <c:noMultiLvlLbl val="0"/>
      </c:catAx>
      <c:valAx>
        <c:axId val="23596416"/>
        <c:scaling>
          <c:orientation val="minMax"/>
        </c:scaling>
        <c:delete val="0"/>
        <c:axPos val="l"/>
        <c:majorGridlines/>
        <c:numFmt formatCode="General" sourceLinked="1"/>
        <c:majorTickMark val="out"/>
        <c:minorTickMark val="none"/>
        <c:tickLblPos val="nextTo"/>
        <c:crossAx val="2359488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'[charts-equality.xlsx]Sheet4'!$J$30</c:f>
              <c:strCache>
                <c:ptCount val="1"/>
                <c:pt idx="0">
                  <c:v>Market income</c:v>
                </c:pt>
              </c:strCache>
            </c:strRef>
          </c:tx>
          <c:invertIfNegative val="0"/>
          <c:dLbls>
            <c:txPr>
              <a:bodyPr/>
              <a:lstStyle/>
              <a:p>
                <a:pPr>
                  <a:defRPr sz="900"/>
                </a:pPr>
                <a:endParaRPr lang="en-US"/>
              </a:p>
            </c:txPr>
            <c:showLegendKey val="0"/>
            <c:showVal val="1"/>
            <c:showCatName val="0"/>
            <c:showSerName val="0"/>
            <c:showPercent val="0"/>
            <c:showBubbleSize val="0"/>
            <c:showLeaderLines val="0"/>
          </c:dLbls>
          <c:cat>
            <c:strRef>
              <c:f>'[charts-equality.xlsx]Sheet4'!$K$29:$O$29</c:f>
              <c:strCache>
                <c:ptCount val="5"/>
                <c:pt idx="0">
                  <c:v>Bottom</c:v>
                </c:pt>
                <c:pt idx="1">
                  <c:v>     2nd</c:v>
                </c:pt>
                <c:pt idx="2">
                  <c:v>    3rd</c:v>
                </c:pt>
                <c:pt idx="3">
                  <c:v>    4th</c:v>
                </c:pt>
                <c:pt idx="4">
                  <c:v>   Top</c:v>
                </c:pt>
              </c:strCache>
            </c:strRef>
          </c:cat>
          <c:val>
            <c:numRef>
              <c:f>'[charts-equality.xlsx]Sheet4'!$K$30:$O$30</c:f>
              <c:numCache>
                <c:formatCode>General</c:formatCode>
                <c:ptCount val="5"/>
                <c:pt idx="0">
                  <c:v>5089</c:v>
                </c:pt>
                <c:pt idx="1">
                  <c:v>11764</c:v>
                </c:pt>
                <c:pt idx="2">
                  <c:v>22482</c:v>
                </c:pt>
                <c:pt idx="3">
                  <c:v>39642</c:v>
                </c:pt>
                <c:pt idx="4">
                  <c:v>81501</c:v>
                </c:pt>
              </c:numCache>
            </c:numRef>
          </c:val>
        </c:ser>
        <c:ser>
          <c:idx val="1"/>
          <c:order val="1"/>
          <c:tx>
            <c:strRef>
              <c:f>'[charts-equality.xlsx]Sheet4'!$J$31</c:f>
              <c:strCache>
                <c:ptCount val="1"/>
                <c:pt idx="0">
                  <c:v>Benefits</c:v>
                </c:pt>
              </c:strCache>
            </c:strRef>
          </c:tx>
          <c:invertIfNegative val="0"/>
          <c:dLbls>
            <c:txPr>
              <a:bodyPr/>
              <a:lstStyle/>
              <a:p>
                <a:pPr>
                  <a:defRPr sz="900"/>
                </a:pPr>
                <a:endParaRPr lang="en-US"/>
              </a:p>
            </c:txPr>
            <c:showLegendKey val="0"/>
            <c:showVal val="1"/>
            <c:showCatName val="0"/>
            <c:showSerName val="0"/>
            <c:showPercent val="0"/>
            <c:showBubbleSize val="0"/>
            <c:showLeaderLines val="0"/>
          </c:dLbls>
          <c:cat>
            <c:strRef>
              <c:f>'[charts-equality.xlsx]Sheet4'!$K$29:$O$29</c:f>
              <c:strCache>
                <c:ptCount val="5"/>
                <c:pt idx="0">
                  <c:v>Bottom</c:v>
                </c:pt>
                <c:pt idx="1">
                  <c:v>     2nd</c:v>
                </c:pt>
                <c:pt idx="2">
                  <c:v>    3rd</c:v>
                </c:pt>
                <c:pt idx="3">
                  <c:v>    4th</c:v>
                </c:pt>
                <c:pt idx="4">
                  <c:v>   Top</c:v>
                </c:pt>
              </c:strCache>
            </c:strRef>
          </c:cat>
          <c:val>
            <c:numRef>
              <c:f>'[charts-equality.xlsx]Sheet4'!$K$31:$O$31</c:f>
              <c:numCache>
                <c:formatCode>General</c:formatCode>
                <c:ptCount val="5"/>
                <c:pt idx="0">
                  <c:v>7040</c:v>
                </c:pt>
                <c:pt idx="1">
                  <c:v>8322</c:v>
                </c:pt>
                <c:pt idx="2">
                  <c:v>6655</c:v>
                </c:pt>
                <c:pt idx="3">
                  <c:v>4098</c:v>
                </c:pt>
                <c:pt idx="4">
                  <c:v>2115</c:v>
                </c:pt>
              </c:numCache>
            </c:numRef>
          </c:val>
        </c:ser>
        <c:ser>
          <c:idx val="2"/>
          <c:order val="2"/>
          <c:tx>
            <c:strRef>
              <c:f>'[charts-equality.xlsx]Sheet4'!$J$32</c:f>
              <c:strCache>
                <c:ptCount val="1"/>
                <c:pt idx="0">
                  <c:v> Public services</c:v>
                </c:pt>
              </c:strCache>
            </c:strRef>
          </c:tx>
          <c:invertIfNegative val="0"/>
          <c:dLbls>
            <c:txPr>
              <a:bodyPr/>
              <a:lstStyle/>
              <a:p>
                <a:pPr>
                  <a:defRPr sz="900"/>
                </a:pPr>
                <a:endParaRPr lang="en-US"/>
              </a:p>
            </c:txPr>
            <c:showLegendKey val="0"/>
            <c:showVal val="1"/>
            <c:showCatName val="0"/>
            <c:showSerName val="0"/>
            <c:showPercent val="0"/>
            <c:showBubbleSize val="0"/>
            <c:showLeaderLines val="0"/>
          </c:dLbls>
          <c:cat>
            <c:strRef>
              <c:f>'[charts-equality.xlsx]Sheet4'!$K$29:$O$29</c:f>
              <c:strCache>
                <c:ptCount val="5"/>
                <c:pt idx="0">
                  <c:v>Bottom</c:v>
                </c:pt>
                <c:pt idx="1">
                  <c:v>     2nd</c:v>
                </c:pt>
                <c:pt idx="2">
                  <c:v>    3rd</c:v>
                </c:pt>
                <c:pt idx="3">
                  <c:v>    4th</c:v>
                </c:pt>
                <c:pt idx="4">
                  <c:v>   Top</c:v>
                </c:pt>
              </c:strCache>
            </c:strRef>
          </c:cat>
          <c:val>
            <c:numRef>
              <c:f>'[charts-equality.xlsx]Sheet4'!$K$32:$O$32</c:f>
              <c:numCache>
                <c:formatCode>General</c:formatCode>
                <c:ptCount val="5"/>
                <c:pt idx="0">
                  <c:v>7749</c:v>
                </c:pt>
                <c:pt idx="1">
                  <c:v>7584</c:v>
                </c:pt>
                <c:pt idx="2">
                  <c:v>7459</c:v>
                </c:pt>
                <c:pt idx="3">
                  <c:v>6825</c:v>
                </c:pt>
                <c:pt idx="4">
                  <c:v>5826</c:v>
                </c:pt>
              </c:numCache>
            </c:numRef>
          </c:val>
        </c:ser>
        <c:dLbls>
          <c:showLegendKey val="0"/>
          <c:showVal val="0"/>
          <c:showCatName val="0"/>
          <c:showSerName val="0"/>
          <c:showPercent val="0"/>
          <c:showBubbleSize val="0"/>
        </c:dLbls>
        <c:gapWidth val="150"/>
        <c:overlap val="100"/>
        <c:axId val="27895680"/>
        <c:axId val="27897216"/>
      </c:barChart>
      <c:catAx>
        <c:axId val="27895680"/>
        <c:scaling>
          <c:orientation val="minMax"/>
        </c:scaling>
        <c:delete val="0"/>
        <c:axPos val="b"/>
        <c:majorTickMark val="out"/>
        <c:minorTickMark val="none"/>
        <c:tickLblPos val="nextTo"/>
        <c:crossAx val="27897216"/>
        <c:crosses val="autoZero"/>
        <c:auto val="1"/>
        <c:lblAlgn val="ctr"/>
        <c:lblOffset val="100"/>
        <c:noMultiLvlLbl val="0"/>
      </c:catAx>
      <c:valAx>
        <c:axId val="27897216"/>
        <c:scaling>
          <c:orientation val="minMax"/>
        </c:scaling>
        <c:delete val="0"/>
        <c:axPos val="l"/>
        <c:majorGridlines>
          <c:spPr>
            <a:ln>
              <a:noFill/>
            </a:ln>
          </c:spPr>
        </c:majorGridlines>
        <c:numFmt formatCode="General" sourceLinked="1"/>
        <c:majorTickMark val="out"/>
        <c:minorTickMark val="none"/>
        <c:tickLblPos val="nextTo"/>
        <c:crossAx val="27895680"/>
        <c:crosses val="autoZero"/>
        <c:crossBetween val="between"/>
      </c:valAx>
    </c:plotArea>
    <c:legend>
      <c:legendPos val="r"/>
      <c:overlay val="0"/>
    </c:legend>
    <c:plotVisOnly val="1"/>
    <c:dispBlanksAs val="gap"/>
    <c:showDLblsOverMax val="0"/>
  </c:chart>
  <c:spPr>
    <a:ln>
      <a:solidFill>
        <a:schemeClr val="tx1"/>
      </a:solid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Value of public services as % of post-tax money income (UK)</c:v>
          </c:tx>
          <c:invertIfNegative val="0"/>
          <c:dLbls>
            <c:showLegendKey val="0"/>
            <c:showVal val="1"/>
            <c:showCatName val="0"/>
            <c:showSerName val="0"/>
            <c:showPercent val="0"/>
            <c:showBubbleSize val="0"/>
            <c:showLeaderLines val="0"/>
          </c:dLbls>
          <c:cat>
            <c:strRef>
              <c:f>Sheet4!$B$2:$G$2</c:f>
              <c:strCache>
                <c:ptCount val="6"/>
                <c:pt idx="0">
                  <c:v>Bottom</c:v>
                </c:pt>
                <c:pt idx="1">
                  <c:v>     2nd</c:v>
                </c:pt>
                <c:pt idx="2">
                  <c:v>    3rd</c:v>
                </c:pt>
                <c:pt idx="3">
                  <c:v>    4th</c:v>
                </c:pt>
                <c:pt idx="4">
                  <c:v>   Top</c:v>
                </c:pt>
                <c:pt idx="5">
                  <c:v>All house-holds</c:v>
                </c:pt>
              </c:strCache>
            </c:strRef>
          </c:cat>
          <c:val>
            <c:numRef>
              <c:f>Sheet4!$B$16:$G$16</c:f>
              <c:numCache>
                <c:formatCode>0%</c:formatCode>
                <c:ptCount val="6"/>
                <c:pt idx="0">
                  <c:v>1.0341652208728147</c:v>
                </c:pt>
                <c:pt idx="1">
                  <c:v>0.54817491868449586</c:v>
                </c:pt>
                <c:pt idx="2">
                  <c:v>0.38032837038547829</c:v>
                </c:pt>
                <c:pt idx="3">
                  <c:v>0.23777173913043478</c:v>
                </c:pt>
                <c:pt idx="4">
                  <c:v>0.10487848784878488</c:v>
                </c:pt>
                <c:pt idx="5">
                  <c:v>0.283118335396781</c:v>
                </c:pt>
              </c:numCache>
            </c:numRef>
          </c:val>
        </c:ser>
        <c:dLbls>
          <c:showLegendKey val="0"/>
          <c:showVal val="0"/>
          <c:showCatName val="0"/>
          <c:showSerName val="0"/>
          <c:showPercent val="0"/>
          <c:showBubbleSize val="0"/>
        </c:dLbls>
        <c:gapWidth val="150"/>
        <c:axId val="50482560"/>
        <c:axId val="50914432"/>
      </c:barChart>
      <c:catAx>
        <c:axId val="50482560"/>
        <c:scaling>
          <c:orientation val="minMax"/>
        </c:scaling>
        <c:delete val="0"/>
        <c:axPos val="b"/>
        <c:majorTickMark val="out"/>
        <c:minorTickMark val="none"/>
        <c:tickLblPos val="nextTo"/>
        <c:crossAx val="50914432"/>
        <c:crosses val="autoZero"/>
        <c:auto val="1"/>
        <c:lblAlgn val="ctr"/>
        <c:lblOffset val="100"/>
        <c:noMultiLvlLbl val="0"/>
      </c:catAx>
      <c:valAx>
        <c:axId val="50914432"/>
        <c:scaling>
          <c:orientation val="minMax"/>
        </c:scaling>
        <c:delete val="0"/>
        <c:axPos val="l"/>
        <c:majorGridlines>
          <c:spPr>
            <a:ln>
              <a:noFill/>
            </a:ln>
          </c:spPr>
        </c:majorGridlines>
        <c:numFmt formatCode="0%" sourceLinked="1"/>
        <c:majorTickMark val="out"/>
        <c:minorTickMark val="none"/>
        <c:tickLblPos val="nextTo"/>
        <c:crossAx val="5048256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Sheet5!$B$18</c:f>
              <c:strCache>
                <c:ptCount val="1"/>
                <c:pt idx="0">
                  <c:v>Argentina</c:v>
                </c:pt>
              </c:strCache>
            </c:strRef>
          </c:tx>
          <c:dLbls>
            <c:dLbl>
              <c:idx val="0"/>
              <c:layout>
                <c:manualLayout>
                  <c:x val="-8.7647197256573717E-2"/>
                  <c:y val="2.1505380896067416E-2"/>
                </c:manualLayout>
              </c:layout>
              <c:showLegendKey val="0"/>
              <c:showVal val="1"/>
              <c:showCatName val="0"/>
              <c:showSerName val="0"/>
              <c:showPercent val="0"/>
              <c:showBubbleSize val="0"/>
            </c:dLbl>
            <c:dLbl>
              <c:idx val="1"/>
              <c:layout>
                <c:manualLayout>
                  <c:x val="-1.53382595199004E-2"/>
                  <c:y val="-1.07529021151685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Sheet5!$C$18:$E$18</c:f>
              <c:numCache>
                <c:formatCode>General</c:formatCode>
                <c:ptCount val="3"/>
                <c:pt idx="0">
                  <c:v>0.504</c:v>
                </c:pt>
                <c:pt idx="1">
                  <c:v>0.48</c:v>
                </c:pt>
                <c:pt idx="2">
                  <c:v>0.38800000000000001</c:v>
                </c:pt>
              </c:numCache>
            </c:numRef>
          </c:val>
          <c:smooth val="0"/>
        </c:ser>
        <c:ser>
          <c:idx val="1"/>
          <c:order val="1"/>
          <c:tx>
            <c:strRef>
              <c:f>Sheet5!$B$19</c:f>
              <c:strCache>
                <c:ptCount val="1"/>
                <c:pt idx="0">
                  <c:v>Bolivia</c:v>
                </c:pt>
              </c:strCache>
            </c:strRef>
          </c:tx>
          <c:dLbls>
            <c:dLbl>
              <c:idx val="1"/>
              <c:layout>
                <c:manualLayout>
                  <c:x val="6.5735397942430288E-3"/>
                  <c:y val="8.0645178360252805E-3"/>
                </c:manualLayout>
              </c:layout>
              <c:showLegendKey val="0"/>
              <c:showVal val="1"/>
              <c:showCatName val="0"/>
              <c:showSerName val="0"/>
              <c:showPercent val="0"/>
              <c:showBubbleSize val="0"/>
            </c:dLbl>
            <c:dLbl>
              <c:idx val="2"/>
              <c:layout>
                <c:manualLayout>
                  <c:x val="-2.1911799314142623E-3"/>
                  <c:y val="-3.4946243956109548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Sheet5!$C$19:$E$19</c:f>
              <c:numCache>
                <c:formatCode>General</c:formatCode>
                <c:ptCount val="3"/>
                <c:pt idx="0">
                  <c:v>0.47699999999999998</c:v>
                </c:pt>
                <c:pt idx="1">
                  <c:v>0.47499999999999998</c:v>
                </c:pt>
                <c:pt idx="2">
                  <c:v>0.40100000000000002</c:v>
                </c:pt>
              </c:numCache>
            </c:numRef>
          </c:val>
          <c:smooth val="0"/>
        </c:ser>
        <c:ser>
          <c:idx val="2"/>
          <c:order val="2"/>
          <c:tx>
            <c:strRef>
              <c:f>Sheet5!$B$20</c:f>
              <c:strCache>
                <c:ptCount val="1"/>
                <c:pt idx="0">
                  <c:v>Brazil</c:v>
                </c:pt>
              </c:strCache>
            </c:strRef>
          </c:tx>
          <c:dLbls>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Sheet5!$C$20:$E$20</c:f>
              <c:numCache>
                <c:formatCode>General</c:formatCode>
                <c:ptCount val="3"/>
                <c:pt idx="0">
                  <c:v>0.57299999999999995</c:v>
                </c:pt>
                <c:pt idx="1">
                  <c:v>0.53900000000000003</c:v>
                </c:pt>
                <c:pt idx="2">
                  <c:v>0.45900000000000002</c:v>
                </c:pt>
              </c:numCache>
            </c:numRef>
          </c:val>
          <c:smooth val="0"/>
        </c:ser>
        <c:ser>
          <c:idx val="3"/>
          <c:order val="3"/>
          <c:tx>
            <c:strRef>
              <c:f>Sheet5!$B$21</c:f>
              <c:strCache>
                <c:ptCount val="1"/>
                <c:pt idx="0">
                  <c:v>Mexico</c:v>
                </c:pt>
              </c:strCache>
            </c:strRef>
          </c:tx>
          <c:dLbls>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Sheet5!$C$21:$E$21</c:f>
              <c:numCache>
                <c:formatCode>General</c:formatCode>
                <c:ptCount val="3"/>
                <c:pt idx="0">
                  <c:v>0.52700000000000002</c:v>
                </c:pt>
                <c:pt idx="1">
                  <c:v>0.501</c:v>
                </c:pt>
                <c:pt idx="2">
                  <c:v>0.45</c:v>
                </c:pt>
              </c:numCache>
            </c:numRef>
          </c:val>
          <c:smooth val="0"/>
        </c:ser>
        <c:ser>
          <c:idx val="4"/>
          <c:order val="4"/>
          <c:tx>
            <c:strRef>
              <c:f>Sheet5!$B$22</c:f>
              <c:strCache>
                <c:ptCount val="1"/>
                <c:pt idx="0">
                  <c:v>Peru</c:v>
                </c:pt>
              </c:strCache>
            </c:strRef>
          </c:tx>
          <c:dLbls>
            <c:dLbl>
              <c:idx val="0"/>
              <c:layout>
                <c:manualLayout>
                  <c:x val="-8.3264837393745045E-2"/>
                  <c:y val="-2.9569898732092696E-2"/>
                </c:manualLayout>
              </c:layout>
              <c:showLegendKey val="0"/>
              <c:showVal val="1"/>
              <c:showCatName val="0"/>
              <c:showSerName val="0"/>
              <c:showPercent val="0"/>
              <c:showBubbleSize val="0"/>
            </c:dLbl>
            <c:dLbl>
              <c:idx val="1"/>
              <c:layout>
                <c:manualLayout>
                  <c:x val="-8.5456017325159367E-2"/>
                  <c:y val="-1.6129035672050561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Sheet5!$C$22:$E$22</c:f>
              <c:numCache>
                <c:formatCode>General</c:formatCode>
                <c:ptCount val="3"/>
                <c:pt idx="0">
                  <c:v>0.503</c:v>
                </c:pt>
                <c:pt idx="1">
                  <c:v>0.48899999999999999</c:v>
                </c:pt>
              </c:numCache>
            </c:numRef>
          </c:val>
          <c:smooth val="0"/>
        </c:ser>
        <c:ser>
          <c:idx val="5"/>
          <c:order val="5"/>
          <c:tx>
            <c:strRef>
              <c:f>Sheet5!$B$23</c:f>
              <c:strCache>
                <c:ptCount val="1"/>
                <c:pt idx="0">
                  <c:v>Uruguay</c:v>
                </c:pt>
              </c:strCache>
            </c:strRef>
          </c:tx>
          <c:dLbls>
            <c:dLbl>
              <c:idx val="1"/>
              <c:layout>
                <c:manualLayout>
                  <c:x val="-7.4500117668087659E-2"/>
                  <c:y val="3.2258071344101122E-2"/>
                </c:manualLayout>
              </c:layout>
              <c:showLegendKey val="0"/>
              <c:showVal val="1"/>
              <c:showCatName val="0"/>
              <c:showSerName val="0"/>
              <c:showPercent val="0"/>
              <c:showBubbleSize val="0"/>
            </c:dLbl>
            <c:dLbl>
              <c:idx val="2"/>
              <c:layout>
                <c:manualLayout>
                  <c:x val="8.034233603033754E-17"/>
                  <c:y val="2.688172612008427E-3"/>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Sheet5!$C$17:$E$17</c:f>
              <c:strCache>
                <c:ptCount val="3"/>
                <c:pt idx="0">
                  <c:v>Market income inequality</c:v>
                </c:pt>
                <c:pt idx="1">
                  <c:v>Inequality after tax and benefits</c:v>
                </c:pt>
                <c:pt idx="2">
                  <c:v>Inequality after public services</c:v>
                </c:pt>
              </c:strCache>
            </c:strRef>
          </c:cat>
          <c:val>
            <c:numRef>
              <c:f>Sheet5!$C$23:$E$23</c:f>
              <c:numCache>
                <c:formatCode>General</c:formatCode>
                <c:ptCount val="3"/>
                <c:pt idx="0">
                  <c:v>0.48899999999999999</c:v>
                </c:pt>
                <c:pt idx="1">
                  <c:v>0.46400000000000002</c:v>
                </c:pt>
                <c:pt idx="2">
                  <c:v>0.40100000000000002</c:v>
                </c:pt>
              </c:numCache>
            </c:numRef>
          </c:val>
          <c:smooth val="0"/>
        </c:ser>
        <c:dLbls>
          <c:showLegendKey val="0"/>
          <c:showVal val="0"/>
          <c:showCatName val="0"/>
          <c:showSerName val="0"/>
          <c:showPercent val="0"/>
          <c:showBubbleSize val="0"/>
        </c:dLbls>
        <c:marker val="1"/>
        <c:smooth val="0"/>
        <c:axId val="51128960"/>
        <c:axId val="51130752"/>
      </c:lineChart>
      <c:catAx>
        <c:axId val="51128960"/>
        <c:scaling>
          <c:orientation val="minMax"/>
        </c:scaling>
        <c:delete val="0"/>
        <c:axPos val="b"/>
        <c:majorTickMark val="out"/>
        <c:minorTickMark val="none"/>
        <c:tickLblPos val="nextTo"/>
        <c:crossAx val="51130752"/>
        <c:crosses val="autoZero"/>
        <c:auto val="1"/>
        <c:lblAlgn val="ctr"/>
        <c:lblOffset val="100"/>
        <c:noMultiLvlLbl val="0"/>
      </c:catAx>
      <c:valAx>
        <c:axId val="51130752"/>
        <c:scaling>
          <c:orientation val="minMax"/>
          <c:max val="0.60000000000000009"/>
          <c:min val="0.35000000000000003"/>
        </c:scaling>
        <c:delete val="0"/>
        <c:axPos val="l"/>
        <c:majorGridlines>
          <c:spPr>
            <a:ln>
              <a:noFill/>
            </a:ln>
          </c:spPr>
        </c:majorGridlines>
        <c:numFmt formatCode="General" sourceLinked="1"/>
        <c:majorTickMark val="out"/>
        <c:minorTickMark val="none"/>
        <c:tickLblPos val="nextTo"/>
        <c:crossAx val="51128960"/>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b="0"/>
            </a:pPr>
            <a:r>
              <a:rPr lang="en-GB" sz="1000" b="0"/>
              <a:t>Estimated marginal effects on inequality of taxes and spending</a:t>
            </a:r>
          </a:p>
          <a:p>
            <a:pPr>
              <a:defRPr b="0"/>
            </a:pPr>
            <a:r>
              <a:rPr lang="en-GB" sz="1000" b="0"/>
              <a:t>- left bars show reduction in inequality, right bars increase inequality</a:t>
            </a:r>
          </a:p>
        </c:rich>
      </c:tx>
      <c:layout>
        <c:manualLayout>
          <c:xMode val="edge"/>
          <c:yMode val="edge"/>
          <c:x val="0.52207268043551036"/>
          <c:y val="2.8497426773898406E-2"/>
        </c:manualLayout>
      </c:layout>
      <c:overlay val="0"/>
    </c:title>
    <c:autoTitleDeleted val="0"/>
    <c:plotArea>
      <c:layout>
        <c:manualLayout>
          <c:layoutTarget val="inner"/>
          <c:xMode val="edge"/>
          <c:yMode val="edge"/>
          <c:x val="3.2482545046274618E-2"/>
          <c:y val="0.13968372925171316"/>
          <c:w val="0.93806465802313543"/>
          <c:h val="0.78152076543752291"/>
        </c:manualLayout>
      </c:layout>
      <c:barChart>
        <c:barDir val="bar"/>
        <c:grouping val="clustered"/>
        <c:varyColors val="0"/>
        <c:ser>
          <c:idx val="0"/>
          <c:order val="0"/>
          <c:tx>
            <c:strRef>
              <c:f>Sheet2!$F$6</c:f>
              <c:strCache>
                <c:ptCount val="1"/>
                <c:pt idx="0">
                  <c:v>Effect on inequality</c:v>
                </c:pt>
              </c:strCache>
            </c:strRef>
          </c:tx>
          <c:spPr>
            <a:solidFill>
              <a:srgbClr val="0070C0"/>
            </a:solidFill>
          </c:spPr>
          <c:invertIfNegative val="1"/>
          <c:dLbls>
            <c:dLbl>
              <c:idx val="2"/>
              <c:layout>
                <c:manualLayout>
                  <c:x val="-4.7689887181712937E-2"/>
                  <c:y val="8.9289569826234927E-2"/>
                </c:manualLayout>
              </c:layout>
              <c:dLblPos val="outEnd"/>
              <c:showLegendKey val="0"/>
              <c:showVal val="0"/>
              <c:showCatName val="1"/>
              <c:showSerName val="0"/>
              <c:showPercent val="0"/>
              <c:showBubbleSize val="0"/>
            </c:dLbl>
            <c:dLbl>
              <c:idx val="3"/>
              <c:layout>
                <c:manualLayout>
                  <c:x val="-2.7733262788730874E-2"/>
                  <c:y val="-7.2342395244075708E-2"/>
                </c:manualLayout>
              </c:layout>
              <c:dLblPos val="outEnd"/>
              <c:showLegendKey val="0"/>
              <c:showVal val="0"/>
              <c:showCatName val="1"/>
              <c:showSerName val="0"/>
              <c:showPercent val="0"/>
              <c:showBubbleSize val="0"/>
            </c:dLbl>
            <c:txPr>
              <a:bodyPr/>
              <a:lstStyle/>
              <a:p>
                <a:pPr>
                  <a:defRPr b="1" i="0" cap="none" baseline="0">
                    <a:solidFill>
                      <a:schemeClr val="tx1"/>
                    </a:solidFill>
                  </a:defRPr>
                </a:pPr>
                <a:endParaRPr lang="en-US"/>
              </a:p>
            </c:txPr>
            <c:dLblPos val="outEnd"/>
            <c:showLegendKey val="0"/>
            <c:showVal val="0"/>
            <c:showCatName val="1"/>
            <c:showSerName val="0"/>
            <c:showPercent val="0"/>
            <c:showBubbleSize val="0"/>
            <c:showLeaderLines val="0"/>
          </c:dLbls>
          <c:cat>
            <c:strRef>
              <c:f>Sheet2!$E$7:$E$15</c:f>
              <c:strCache>
                <c:ptCount val="9"/>
                <c:pt idx="0">
                  <c:v>Tax on Personal Income</c:v>
                </c:pt>
                <c:pt idx="1">
                  <c:v>Tax on corporate profits</c:v>
                </c:pt>
                <c:pt idx="2">
                  <c:v>Taxes: social insurance/payroll tax</c:v>
                </c:pt>
                <c:pt idx="3">
                  <c:v>Taxes on Goods and services</c:v>
                </c:pt>
                <c:pt idx="5">
                  <c:v>Social security benefits</c:v>
                </c:pt>
                <c:pt idx="6">
                  <c:v>Education</c:v>
                </c:pt>
                <c:pt idx="7">
                  <c:v>Healthcare</c:v>
                </c:pt>
                <c:pt idx="8">
                  <c:v>Housing</c:v>
                </c:pt>
              </c:strCache>
            </c:strRef>
          </c:cat>
          <c:val>
            <c:numRef>
              <c:f>Sheet2!$F$7:$F$15</c:f>
              <c:numCache>
                <c:formatCode>0.00</c:formatCode>
                <c:ptCount val="9"/>
                <c:pt idx="0">
                  <c:v>-0.09</c:v>
                </c:pt>
                <c:pt idx="1">
                  <c:v>-0.7</c:v>
                </c:pt>
                <c:pt idx="2">
                  <c:v>0.72</c:v>
                </c:pt>
                <c:pt idx="3">
                  <c:v>0.49</c:v>
                </c:pt>
                <c:pt idx="5">
                  <c:v>-0.14000000000000001</c:v>
                </c:pt>
                <c:pt idx="6">
                  <c:v>-0.13</c:v>
                </c:pt>
                <c:pt idx="7">
                  <c:v>-0.7</c:v>
                </c:pt>
                <c:pt idx="8" formatCode="General">
                  <c:v>-0.77</c:v>
                </c:pt>
              </c:numCache>
            </c:numRef>
          </c:val>
          <c:extLst>
            <c:ext xmlns:c14="http://schemas.microsoft.com/office/drawing/2007/8/2/chart" uri="{6F2FDCE9-48DA-4B69-8628-5D25D57E5C99}">
              <c14:invertSolidFillFmt>
                <c14:spPr xmlns:c14="http://schemas.microsoft.com/office/drawing/2007/8/2/chart">
                  <a:solidFill>
                    <a:srgbClr val="C00000"/>
                  </a:solidFill>
                </c14:spPr>
              </c14:invertSolidFillFmt>
            </c:ext>
          </c:extLst>
        </c:ser>
        <c:dLbls>
          <c:showLegendKey val="0"/>
          <c:showVal val="0"/>
          <c:showCatName val="0"/>
          <c:showSerName val="0"/>
          <c:showPercent val="0"/>
          <c:showBubbleSize val="0"/>
        </c:dLbls>
        <c:gapWidth val="150"/>
        <c:axId val="51143040"/>
        <c:axId val="51144576"/>
      </c:barChart>
      <c:catAx>
        <c:axId val="51143040"/>
        <c:scaling>
          <c:orientation val="minMax"/>
        </c:scaling>
        <c:delete val="0"/>
        <c:axPos val="l"/>
        <c:majorTickMark val="none"/>
        <c:minorTickMark val="none"/>
        <c:tickLblPos val="none"/>
        <c:crossAx val="51144576"/>
        <c:crosses val="autoZero"/>
        <c:auto val="1"/>
        <c:lblAlgn val="ctr"/>
        <c:lblOffset val="100"/>
        <c:noMultiLvlLbl val="0"/>
      </c:catAx>
      <c:valAx>
        <c:axId val="51144576"/>
        <c:scaling>
          <c:orientation val="minMax"/>
        </c:scaling>
        <c:delete val="0"/>
        <c:axPos val="b"/>
        <c:majorGridlines>
          <c:spPr>
            <a:ln>
              <a:noFill/>
            </a:ln>
          </c:spPr>
        </c:majorGridlines>
        <c:numFmt formatCode="0.00" sourceLinked="1"/>
        <c:majorTickMark val="out"/>
        <c:minorTickMark val="none"/>
        <c:tickLblPos val="nextTo"/>
        <c:spPr>
          <a:ln>
            <a:solidFill>
              <a:schemeClr val="tx1"/>
            </a:solidFill>
          </a:ln>
        </c:spPr>
        <c:crossAx val="51143040"/>
        <c:crosses val="autoZero"/>
        <c:crossBetween val="between"/>
      </c:valAx>
      <c:spPr>
        <a:ln>
          <a:solidFill>
            <a:schemeClr val="tx1"/>
          </a:solidFill>
        </a:ln>
      </c:spPr>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71A32-0493-4098-AB14-B0ACC3615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psiru-basic-2013.dotx</Template>
  <TotalTime>1626</TotalTime>
  <Pages>24</Pages>
  <Words>11416</Words>
  <Characters>65076</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76340</CharactersWithSpaces>
  <SharedDoc>false</SharedDoc>
  <HLinks>
    <vt:vector size="48" baseType="variant">
      <vt:variant>
        <vt:i4>5111901</vt:i4>
      </vt:variant>
      <vt:variant>
        <vt:i4>30</vt:i4>
      </vt:variant>
      <vt:variant>
        <vt:i4>0</vt:i4>
      </vt:variant>
      <vt:variant>
        <vt:i4>5</vt:i4>
      </vt:variant>
      <vt:variant>
        <vt:lpwstr>http://www.epsu.org/</vt:lpwstr>
      </vt:variant>
      <vt:variant>
        <vt:lpwstr/>
      </vt:variant>
      <vt:variant>
        <vt:i4>5963857</vt:i4>
      </vt:variant>
      <vt:variant>
        <vt:i4>27</vt:i4>
      </vt:variant>
      <vt:variant>
        <vt:i4>0</vt:i4>
      </vt:variant>
      <vt:variant>
        <vt:i4>5</vt:i4>
      </vt:variant>
      <vt:variant>
        <vt:lpwstr>http://www.world-psi.org/</vt:lpwstr>
      </vt:variant>
      <vt:variant>
        <vt:lpwstr/>
      </vt:variant>
      <vt:variant>
        <vt:i4>851994</vt:i4>
      </vt:variant>
      <vt:variant>
        <vt:i4>24</vt:i4>
      </vt:variant>
      <vt:variant>
        <vt:i4>0</vt:i4>
      </vt:variant>
      <vt:variant>
        <vt:i4>5</vt:i4>
      </vt:variant>
      <vt:variant>
        <vt:lpwstr>http://www.gre.ac.uk/</vt:lpwstr>
      </vt:variant>
      <vt:variant>
        <vt:lpwstr/>
      </vt:variant>
      <vt:variant>
        <vt:i4>6946902</vt:i4>
      </vt:variant>
      <vt:variant>
        <vt:i4>21</vt:i4>
      </vt:variant>
      <vt:variant>
        <vt:i4>0</vt:i4>
      </vt:variant>
      <vt:variant>
        <vt:i4>5</vt:i4>
      </vt:variant>
      <vt:variant>
        <vt:lpwstr>mailto:psiru@psiru.org</vt:lpwstr>
      </vt:variant>
      <vt:variant>
        <vt:lpwstr/>
      </vt:variant>
      <vt:variant>
        <vt:i4>5177357</vt:i4>
      </vt:variant>
      <vt:variant>
        <vt:i4>18</vt:i4>
      </vt:variant>
      <vt:variant>
        <vt:i4>0</vt:i4>
      </vt:variant>
      <vt:variant>
        <vt:i4>5</vt:i4>
      </vt:variant>
      <vt:variant>
        <vt:lpwstr>http://www.psiru.org/</vt:lpwstr>
      </vt:variant>
      <vt:variant>
        <vt:lpwstr/>
      </vt:variant>
      <vt:variant>
        <vt:i4>8192100</vt:i4>
      </vt:variant>
      <vt:variant>
        <vt:i4>12</vt:i4>
      </vt:variant>
      <vt:variant>
        <vt:i4>0</vt:i4>
      </vt:variant>
      <vt:variant>
        <vt:i4>5</vt:i4>
      </vt:variant>
      <vt:variant>
        <vt:lpwstr>http://www.gre.ac.uk/index.html</vt:lpwstr>
      </vt:variant>
      <vt:variant>
        <vt:lpwstr/>
      </vt:variant>
      <vt:variant>
        <vt:i4>5177357</vt:i4>
      </vt:variant>
      <vt:variant>
        <vt:i4>0</vt:i4>
      </vt:variant>
      <vt:variant>
        <vt:i4>0</vt:i4>
      </vt:variant>
      <vt:variant>
        <vt:i4>5</vt:i4>
      </vt:variant>
      <vt:variant>
        <vt:lpwstr>http://www.psiru.org/</vt:lpwstr>
      </vt:variant>
      <vt:variant>
        <vt:lpwstr/>
      </vt:variant>
      <vt:variant>
        <vt:i4>5177357</vt:i4>
      </vt:variant>
      <vt:variant>
        <vt:i4>0</vt:i4>
      </vt:variant>
      <vt:variant>
        <vt:i4>0</vt:i4>
      </vt:variant>
      <vt:variant>
        <vt:i4>5</vt:i4>
      </vt:variant>
      <vt:variant>
        <vt:lpwstr>http://www.psiru.org/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3</cp:revision>
  <cp:lastPrinted>2014-01-21T10:41:00Z</cp:lastPrinted>
  <dcterms:created xsi:type="dcterms:W3CDTF">2014-05-18T17:07:00Z</dcterms:created>
  <dcterms:modified xsi:type="dcterms:W3CDTF">2014-05-19T21:11:00Z</dcterms:modified>
</cp:coreProperties>
</file>