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BAEE" w14:textId="255BAD1A" w:rsidR="0056284D" w:rsidRPr="00573D8D" w:rsidRDefault="0056284D" w:rsidP="00461832">
      <w:pPr>
        <w:pStyle w:val="Title"/>
      </w:pPr>
      <w:r>
        <w:t>NTF &amp; CATE scheme – Supporting statement</w:t>
      </w:r>
    </w:p>
    <w:p w14:paraId="7F9D63D5" w14:textId="1F4D5C5C" w:rsidR="0056284D" w:rsidRPr="00573D8D" w:rsidRDefault="0056284D" w:rsidP="00461832">
      <w:r>
        <w:t xml:space="preserve">This form is to be used by line managers or Heads of department/school to provide a supporting statement for colleagues wishing to submit an expression of interest </w:t>
      </w:r>
      <w:r w:rsidR="0028604F">
        <w:t>to</w:t>
      </w:r>
      <w:r w:rsidR="00463A39">
        <w:t xml:space="preserve"> apply to be a candidate </w:t>
      </w:r>
      <w:r>
        <w:t>for our NTF and CATE scheme.</w:t>
      </w:r>
    </w:p>
    <w:p w14:paraId="6C4EC866" w14:textId="7D547AE6" w:rsidR="00573D8D" w:rsidRPr="00573D8D" w:rsidRDefault="00573D8D" w:rsidP="00461832">
      <w:r>
        <w:t xml:space="preserve">National Teaching Fellowship (NTF) and </w:t>
      </w:r>
      <w:r w:rsidR="2F7C869A">
        <w:t xml:space="preserve">the </w:t>
      </w:r>
      <w:r>
        <w:t xml:space="preserve">Collaborative Award for Teaching Excellence (CATE) </w:t>
      </w:r>
      <w:r w:rsidR="5352EC56">
        <w:t xml:space="preserve">are </w:t>
      </w:r>
      <w:r w:rsidR="4AA85823">
        <w:t>awarded by Advance HE</w:t>
      </w:r>
      <w:r w:rsidR="77D7B204">
        <w:t>, and they</w:t>
      </w:r>
      <w:r w:rsidR="4AA85823">
        <w:t xml:space="preserve"> </w:t>
      </w:r>
      <w:r>
        <w:t>are recognised in the UK and internationally as a mark of the highest quality teaching</w:t>
      </w:r>
      <w:r w:rsidR="471F1A2F">
        <w:t xml:space="preserve"> and learning practice</w:t>
      </w:r>
      <w:r>
        <w:t xml:space="preserve">. </w:t>
      </w:r>
      <w:r w:rsidR="3DBA17D5">
        <w:t>Unlike other</w:t>
      </w:r>
      <w:r w:rsidR="079C62D3">
        <w:t xml:space="preserve"> Advance HE</w:t>
      </w:r>
      <w:r w:rsidR="40BBA858">
        <w:t xml:space="preserve"> categories of fellowship e.g. FHEA, SFHEA, NTF and CATE</w:t>
      </w:r>
      <w:r w:rsidR="1A176A84">
        <w:t xml:space="preserve"> </w:t>
      </w:r>
      <w:r w:rsidR="65A86884">
        <w:t xml:space="preserve">are competitive awards. </w:t>
      </w:r>
      <w:r w:rsidR="2CA6B8AD">
        <w:t xml:space="preserve">Only </w:t>
      </w:r>
      <w:r>
        <w:t>55 (NTF) candidates and 1</w:t>
      </w:r>
      <w:r w:rsidR="00356094">
        <w:t>8</w:t>
      </w:r>
      <w:r>
        <w:t xml:space="preserve"> (CATE) teams</w:t>
      </w:r>
      <w:r w:rsidR="2CA6B8AD">
        <w:t xml:space="preserve"> are awarded</w:t>
      </w:r>
      <w:r>
        <w:t xml:space="preserve"> each year. </w:t>
      </w:r>
      <w:r w:rsidR="5968C808">
        <w:t>As an institution, w</w:t>
      </w:r>
      <w:r>
        <w:t>e are</w:t>
      </w:r>
      <w:r w:rsidR="5968C808">
        <w:t xml:space="preserve"> only</w:t>
      </w:r>
      <w:r>
        <w:t xml:space="preserve"> eligible to nominate and submit the applications of 3 members of staff for NTF and 1 team for CATE for each year.</w:t>
      </w:r>
    </w:p>
    <w:p w14:paraId="710F3843" w14:textId="5E81372E" w:rsidR="006B778D" w:rsidRPr="00573D8D" w:rsidRDefault="00573D8D" w:rsidP="006B778D">
      <w:r>
        <w:t xml:space="preserve">Candidates wishing to apply for NTF or CATE </w:t>
      </w:r>
      <w:r w:rsidR="35BF684F">
        <w:t xml:space="preserve">must first </w:t>
      </w:r>
      <w:r>
        <w:t>submit an expression of interest (EoI). This is to</w:t>
      </w:r>
      <w:r w:rsidR="158C5301" w:rsidRPr="38662FA7">
        <w:rPr>
          <w:rFonts w:ascii="Segoe UI" w:hAnsi="Segoe UI" w:cs="Segoe UI"/>
          <w:sz w:val="18"/>
          <w:szCs w:val="18"/>
        </w:rPr>
        <w:t xml:space="preserve"> </w:t>
      </w:r>
      <w:r w:rsidR="158C5301">
        <w:t xml:space="preserve">showcase the potential evidence the candidate/team has and how it aligns with the </w:t>
      </w:r>
      <w:r w:rsidR="6409B011">
        <w:t xml:space="preserve">award </w:t>
      </w:r>
      <w:r w:rsidR="158C5301">
        <w:t>criteria (see below</w:t>
      </w:r>
      <w:r w:rsidR="369486AF">
        <w:t xml:space="preserve"> for the</w:t>
      </w:r>
      <w:r w:rsidR="784B67E3">
        <w:t xml:space="preserve"> </w:t>
      </w:r>
      <w:hyperlink w:anchor="_National_Teaching_Fellowship">
        <w:r w:rsidR="784B67E3" w:rsidRPr="38662FA7">
          <w:rPr>
            <w:rStyle w:val="Hyperlink"/>
          </w:rPr>
          <w:t>NTF</w:t>
        </w:r>
        <w:r w:rsidR="580BEBA8" w:rsidRPr="38662FA7">
          <w:rPr>
            <w:rStyle w:val="Hyperlink"/>
          </w:rPr>
          <w:t xml:space="preserve"> criteria</w:t>
        </w:r>
      </w:hyperlink>
      <w:r w:rsidR="784B67E3">
        <w:t xml:space="preserve"> and</w:t>
      </w:r>
      <w:hyperlink w:anchor="_Collaborative_Award_for">
        <w:r w:rsidR="784B67E3" w:rsidRPr="38662FA7">
          <w:rPr>
            <w:rStyle w:val="Hyperlink"/>
          </w:rPr>
          <w:t xml:space="preserve"> CATE</w:t>
        </w:r>
        <w:r w:rsidR="580BEBA8" w:rsidRPr="38662FA7">
          <w:rPr>
            <w:rStyle w:val="Hyperlink"/>
          </w:rPr>
          <w:t xml:space="preserve"> criteria</w:t>
        </w:r>
      </w:hyperlink>
      <w:r w:rsidR="784B67E3">
        <w:t>)</w:t>
      </w:r>
      <w:r>
        <w:t>. The EoIs are reviewed and shortlisted by an internal panel of award holders and trained reviewers</w:t>
      </w:r>
      <w:r w:rsidR="3B65801F">
        <w:t>. Successful candidates</w:t>
      </w:r>
      <w:r>
        <w:t xml:space="preserve"> are assigned</w:t>
      </w:r>
      <w:r w:rsidR="2478C242">
        <w:t xml:space="preserve"> </w:t>
      </w:r>
      <w:r>
        <w:t>mentor</w:t>
      </w:r>
      <w:r w:rsidR="2478C242">
        <w:t>s</w:t>
      </w:r>
      <w:r>
        <w:t xml:space="preserve"> from our </w:t>
      </w:r>
      <w:r w:rsidR="693B9968">
        <w:t xml:space="preserve">NTF/CATE mentor </w:t>
      </w:r>
      <w:r>
        <w:t>team</w:t>
      </w:r>
      <w:r w:rsidR="3C3B4D1C">
        <w:t xml:space="preserve">, which </w:t>
      </w:r>
      <w:r w:rsidR="20832E47">
        <w:t>consists of previous award winners and experienced mentors and reviewers. They will provide mentoring support for candidates by providing 1-2-1 guidance and feedback on draft applications</w:t>
      </w:r>
      <w:r w:rsidR="1171E1C1">
        <w:t xml:space="preserve"> at set staging points throughout the process</w:t>
      </w:r>
      <w:r w:rsidR="20832E47">
        <w:t xml:space="preserve">. </w:t>
      </w:r>
    </w:p>
    <w:p w14:paraId="1E7B0630" w14:textId="028EDF9A" w:rsidR="00573D8D" w:rsidRDefault="739A62EA" w:rsidP="00461832">
      <w:r>
        <w:t>The applications developed by our nominated candidates</w:t>
      </w:r>
      <w:r w:rsidR="124AE126">
        <w:t>/team</w:t>
      </w:r>
      <w:r>
        <w:t xml:space="preserve"> must meet the required standard before they are signed off by</w:t>
      </w:r>
      <w:r w:rsidR="00573D8D">
        <w:t xml:space="preserve"> Jane Harrington and Jenny Marie (Pro Vice-Chancellor Education) </w:t>
      </w:r>
      <w:r w:rsidR="03DAB729">
        <w:t>and</w:t>
      </w:r>
      <w:r w:rsidR="00573D8D">
        <w:t xml:space="preserve"> submitted to Advance HE.</w:t>
      </w:r>
    </w:p>
    <w:p w14:paraId="49A7DF1C" w14:textId="413842C6" w:rsidR="00FD234A" w:rsidRDefault="00FD234A" w:rsidP="00FD234A">
      <w:r>
        <w:t>B</w:t>
      </w:r>
      <w:r w:rsidRPr="00FD234A">
        <w:t>oth awards</w:t>
      </w:r>
      <w:r w:rsidR="00C02367">
        <w:t xml:space="preserve"> </w:t>
      </w:r>
      <w:r w:rsidRPr="00FD234A">
        <w:t>require candidates/teams to be able to demonstrate that their work has Reach, Value and Impact. A</w:t>
      </w:r>
      <w:r>
        <w:t>dvance HE</w:t>
      </w:r>
      <w:r w:rsidRPr="00FD234A">
        <w:t xml:space="preserve"> define these as: </w:t>
      </w:r>
    </w:p>
    <w:p w14:paraId="05D9B302" w14:textId="2B74BB06" w:rsidR="00FD234A" w:rsidRPr="00FD234A" w:rsidRDefault="00FD234A" w:rsidP="00FD234A">
      <w:pPr>
        <w:pStyle w:val="ListParagraph"/>
        <w:numPr>
          <w:ilvl w:val="0"/>
          <w:numId w:val="6"/>
        </w:numPr>
      </w:pPr>
      <w:r w:rsidRPr="00FD234A">
        <w:rPr>
          <w:b/>
          <w:bCs/>
        </w:rPr>
        <w:t>Reach</w:t>
      </w:r>
      <w:r w:rsidRPr="00FD234A">
        <w:t xml:space="preserve"> – </w:t>
      </w:r>
      <w:r w:rsidR="00FB3959" w:rsidRPr="00FB3959">
        <w:t>The breadth of influence, ranging from department or faculty to institutional, national, or global levels. This includes reaching diverse student groups (e.g., postgraduates, commuters, BAME students, online learners) and external organizations.</w:t>
      </w:r>
    </w:p>
    <w:p w14:paraId="38FC5D6B" w14:textId="65FEDA33" w:rsidR="00FD234A" w:rsidRPr="00FD234A" w:rsidRDefault="00FD234A" w:rsidP="00FD234A">
      <w:pPr>
        <w:pStyle w:val="ListParagraph"/>
        <w:numPr>
          <w:ilvl w:val="0"/>
          <w:numId w:val="6"/>
        </w:numPr>
      </w:pPr>
      <w:r w:rsidRPr="00FD234A">
        <w:rPr>
          <w:b/>
          <w:bCs/>
        </w:rPr>
        <w:t>Value</w:t>
      </w:r>
      <w:r w:rsidRPr="00FD234A">
        <w:t xml:space="preserve"> – </w:t>
      </w:r>
      <w:r w:rsidR="00410972" w:rsidRPr="00410972">
        <w:t>The tangible improvements or added value to the student learning experience or to teaching practice. This often involves evidence of changing attitudes or approaches to learning among students or staff.</w:t>
      </w:r>
    </w:p>
    <w:p w14:paraId="4498B12E" w14:textId="6C14A137" w:rsidR="00FD234A" w:rsidRPr="00FD234A" w:rsidRDefault="00FD234A" w:rsidP="00FD234A">
      <w:pPr>
        <w:pStyle w:val="ListParagraph"/>
        <w:numPr>
          <w:ilvl w:val="0"/>
          <w:numId w:val="6"/>
        </w:numPr>
      </w:pPr>
      <w:r w:rsidRPr="00FD234A">
        <w:rPr>
          <w:b/>
          <w:bCs/>
        </w:rPr>
        <w:t xml:space="preserve">Impact </w:t>
      </w:r>
      <w:r w:rsidRPr="00FD234A">
        <w:t xml:space="preserve">- </w:t>
      </w:r>
      <w:r w:rsidR="00FB3959" w:rsidRPr="00FB3959">
        <w:t>Explicit evidence of making a difference to teaching practice, policy, and/or student learning outcomes in higher education. This involves demonstrating how practice has shifted, rather than just describing the activity</w:t>
      </w:r>
    </w:p>
    <w:p w14:paraId="4F235053" w14:textId="77777777" w:rsidR="00573D8D" w:rsidRPr="00461832" w:rsidRDefault="00573D8D" w:rsidP="00461832">
      <w:pPr>
        <w:rPr>
          <w:b/>
          <w:bCs/>
        </w:rPr>
      </w:pPr>
      <w:r w:rsidRPr="00461832">
        <w:rPr>
          <w:b/>
          <w:bCs/>
        </w:rPr>
        <w:t>Applying through our scheme requires commitment and dedication in developing a strong application.</w:t>
      </w:r>
    </w:p>
    <w:p w14:paraId="1B7E4328" w14:textId="71DC3F41" w:rsidR="00461832" w:rsidRDefault="00461832" w:rsidP="00461832">
      <w:r>
        <w:t>Successful candidates will have to submit an application of up to 4500 words</w:t>
      </w:r>
      <w:r w:rsidR="00351E78">
        <w:t xml:space="preserve"> </w:t>
      </w:r>
      <w:r>
        <w:t xml:space="preserve">by </w:t>
      </w:r>
      <w:r w:rsidR="00E4285E">
        <w:t>March</w:t>
      </w:r>
      <w:r>
        <w:t xml:space="preserve"> 202</w:t>
      </w:r>
      <w:r w:rsidR="00E4285E">
        <w:t>7</w:t>
      </w:r>
      <w:r>
        <w:t xml:space="preserve">. </w:t>
      </w:r>
      <w:r w:rsidR="38E63EC9">
        <w:t>With guidance</w:t>
      </w:r>
      <w:r w:rsidR="30231C34">
        <w:t xml:space="preserve"> and feedback</w:t>
      </w:r>
      <w:r w:rsidR="38E63EC9">
        <w:t xml:space="preserve"> from their assigned mentors, candidates/teams</w:t>
      </w:r>
      <w:r>
        <w:t xml:space="preserve"> will be expected to develop 3 drafts before </w:t>
      </w:r>
      <w:r w:rsidR="7E888516">
        <w:t>a final, approved version is</w:t>
      </w:r>
      <w:r>
        <w:t xml:space="preserve"> submitted to Advance HE</w:t>
      </w:r>
      <w:r w:rsidR="30DCDDAF">
        <w:t>.</w:t>
      </w:r>
      <w:r>
        <w:t xml:space="preserve"> </w:t>
      </w:r>
      <w:r>
        <w:lastRenderedPageBreak/>
        <w:t>The timeline for those on our scheme is:</w:t>
      </w:r>
      <w:r>
        <w:br/>
      </w:r>
    </w:p>
    <w:p w14:paraId="6BD68D5D" w14:textId="77777777" w:rsidR="004E036E" w:rsidRDefault="004E036E" w:rsidP="004E036E">
      <w:pPr>
        <w:pStyle w:val="ListParagraph"/>
        <w:numPr>
          <w:ilvl w:val="0"/>
          <w:numId w:val="7"/>
        </w:numPr>
      </w:pPr>
      <w:r>
        <w:t>July - Initial meeting with assigned mentors</w:t>
      </w:r>
    </w:p>
    <w:p w14:paraId="20FA11D6" w14:textId="77777777" w:rsidR="004E036E" w:rsidRDefault="004E036E" w:rsidP="004E036E">
      <w:pPr>
        <w:pStyle w:val="ListParagraph"/>
        <w:numPr>
          <w:ilvl w:val="0"/>
          <w:numId w:val="7"/>
        </w:numPr>
      </w:pPr>
      <w:r>
        <w:t>October – 1st draft complete</w:t>
      </w:r>
    </w:p>
    <w:p w14:paraId="348B0BB2" w14:textId="77777777" w:rsidR="004E036E" w:rsidRDefault="004E036E" w:rsidP="004E036E">
      <w:pPr>
        <w:pStyle w:val="ListParagraph"/>
        <w:numPr>
          <w:ilvl w:val="0"/>
          <w:numId w:val="7"/>
        </w:numPr>
      </w:pPr>
      <w:r>
        <w:t>November - Peer development workshop</w:t>
      </w:r>
    </w:p>
    <w:p w14:paraId="554C740B" w14:textId="77777777" w:rsidR="004E036E" w:rsidRDefault="004E036E" w:rsidP="004E036E">
      <w:pPr>
        <w:pStyle w:val="ListParagraph"/>
        <w:numPr>
          <w:ilvl w:val="0"/>
          <w:numId w:val="7"/>
        </w:numPr>
      </w:pPr>
      <w:r>
        <w:t>December - Mentors check-in meeting</w:t>
      </w:r>
    </w:p>
    <w:p w14:paraId="710CB5AA" w14:textId="77777777" w:rsidR="004E036E" w:rsidRDefault="004E036E" w:rsidP="004E036E">
      <w:pPr>
        <w:pStyle w:val="ListParagraph"/>
        <w:numPr>
          <w:ilvl w:val="0"/>
          <w:numId w:val="7"/>
        </w:numPr>
      </w:pPr>
      <w:r>
        <w:t>January – 2nd draft complete</w:t>
      </w:r>
    </w:p>
    <w:p w14:paraId="0FA23BA3" w14:textId="77777777" w:rsidR="004E036E" w:rsidRDefault="004E036E" w:rsidP="004E036E">
      <w:pPr>
        <w:pStyle w:val="ListParagraph"/>
        <w:numPr>
          <w:ilvl w:val="0"/>
          <w:numId w:val="7"/>
        </w:numPr>
      </w:pPr>
      <w:r>
        <w:t>Beginning of February – 3rd draft complete</w:t>
      </w:r>
    </w:p>
    <w:p w14:paraId="5DD69FE0" w14:textId="77777777" w:rsidR="004E036E" w:rsidRDefault="004E036E" w:rsidP="004E036E">
      <w:pPr>
        <w:pStyle w:val="ListParagraph"/>
        <w:numPr>
          <w:ilvl w:val="0"/>
          <w:numId w:val="7"/>
        </w:numPr>
      </w:pPr>
      <w:r>
        <w:t>End of February – Final version completed and sent to PVC Education and  VC</w:t>
      </w:r>
    </w:p>
    <w:p w14:paraId="3FF73C27" w14:textId="3917A205" w:rsidR="00461832" w:rsidRPr="004E036E" w:rsidRDefault="004E036E" w:rsidP="001C0CCD">
      <w:pPr>
        <w:pStyle w:val="ListParagraph"/>
        <w:numPr>
          <w:ilvl w:val="0"/>
          <w:numId w:val="7"/>
        </w:numPr>
      </w:pPr>
      <w:r>
        <w:t xml:space="preserve">March </w:t>
      </w:r>
      <w:r>
        <w:t>- PVC</w:t>
      </w:r>
      <w:r>
        <w:t xml:space="preserve"> Education submits application to Advance HE</w:t>
      </w:r>
      <w:bookmarkStart w:id="0" w:name="_National_Teaching_Fellowship"/>
      <w:bookmarkEnd w:id="0"/>
    </w:p>
    <w:p w14:paraId="2FC7EB94" w14:textId="0DD9EC44" w:rsidR="00573D8D" w:rsidRPr="00573D8D" w:rsidRDefault="00573D8D" w:rsidP="00461832">
      <w:pPr>
        <w:pStyle w:val="Heading1"/>
      </w:pPr>
      <w:r w:rsidRPr="00573D8D">
        <w:t>National Teaching Fellowship (NTF)</w:t>
      </w:r>
      <w:r w:rsidR="00461832">
        <w:t xml:space="preserve"> criteria</w:t>
      </w:r>
    </w:p>
    <w:p w14:paraId="5A5C8695" w14:textId="3E48CEDE" w:rsidR="00573D8D" w:rsidRPr="00573D8D" w:rsidRDefault="00573D8D" w:rsidP="00461832">
      <w:r>
        <w:t xml:space="preserve">The NTF award recognises and celebrates individuals who have made an </w:t>
      </w:r>
      <w:r w:rsidRPr="38662FA7">
        <w:rPr>
          <w:b/>
          <w:bCs/>
        </w:rPr>
        <w:t>outstanding impact</w:t>
      </w:r>
      <w:r>
        <w:t xml:space="preserve"> on student outcomes and the teaching profession. The focus </w:t>
      </w:r>
      <w:r w:rsidR="22FE235B">
        <w:t>is</w:t>
      </w:r>
      <w:r>
        <w:t xml:space="preserve"> on teaching </w:t>
      </w:r>
      <w:r w:rsidR="2D4FF394">
        <w:t>e</w:t>
      </w:r>
      <w:r>
        <w:t>xcellence.</w:t>
      </w:r>
      <w:r w:rsidR="40C36828">
        <w:t xml:space="preserve"> </w:t>
      </w:r>
      <w:r w:rsidR="13B02404">
        <w:t xml:space="preserve">Unlike </w:t>
      </w:r>
      <w:r w:rsidR="6CBF513E">
        <w:t>F</w:t>
      </w:r>
      <w:r w:rsidR="13B02404">
        <w:t xml:space="preserve">ellowship </w:t>
      </w:r>
      <w:r w:rsidR="6E536266">
        <w:t xml:space="preserve">that is </w:t>
      </w:r>
      <w:r w:rsidR="6EB03C6E">
        <w:t xml:space="preserve">also </w:t>
      </w:r>
      <w:r w:rsidR="6E536266">
        <w:t xml:space="preserve">awarded </w:t>
      </w:r>
      <w:r w:rsidR="6EB03C6E">
        <w:t xml:space="preserve">by Advance and </w:t>
      </w:r>
      <w:r w:rsidR="6E536266">
        <w:t>through our GOLD scheme</w:t>
      </w:r>
      <w:r w:rsidR="6EB03C6E">
        <w:t>,</w:t>
      </w:r>
      <w:r w:rsidR="13B02404">
        <w:t xml:space="preserve"> NTF is for staff who are </w:t>
      </w:r>
      <w:r w:rsidR="13B02404" w:rsidRPr="38662FA7">
        <w:rPr>
          <w:b/>
          <w:bCs/>
        </w:rPr>
        <w:t xml:space="preserve">going above and beyond </w:t>
      </w:r>
      <w:r w:rsidR="13B02404">
        <w:t>expected</w:t>
      </w:r>
      <w:r w:rsidR="4ACF0BA5">
        <w:t xml:space="preserve"> in their teaching and learning</w:t>
      </w:r>
      <w:r w:rsidR="13B02404">
        <w:t xml:space="preserve"> practice</w:t>
      </w:r>
      <w:r w:rsidR="711A4B92">
        <w:t xml:space="preserve"> - demonstrating that their work has Reach, Value and Impact.</w:t>
      </w:r>
      <w:r w:rsidR="53D6E782">
        <w:t xml:space="preserve"> </w:t>
      </w:r>
    </w:p>
    <w:p w14:paraId="2AA3E6AF" w14:textId="5E24E789" w:rsidR="00573D8D" w:rsidRPr="00573D8D" w:rsidRDefault="00573D8D" w:rsidP="00461832">
      <w:r w:rsidRPr="00573D8D">
        <w:t xml:space="preserve">To achieve this award, </w:t>
      </w:r>
      <w:r w:rsidR="00507D9D">
        <w:t>candidates</w:t>
      </w:r>
      <w:r w:rsidRPr="00573D8D">
        <w:t xml:space="preserve"> must be able to show:</w:t>
      </w:r>
    </w:p>
    <w:p w14:paraId="6CD59845" w14:textId="29EABA8B" w:rsidR="00573D8D" w:rsidRPr="00573D8D" w:rsidRDefault="00573D8D" w:rsidP="00461832">
      <w:pPr>
        <w:pStyle w:val="ListParagraph"/>
        <w:numPr>
          <w:ilvl w:val="0"/>
          <w:numId w:val="1"/>
        </w:numPr>
      </w:pPr>
      <w:r w:rsidRPr="3F8258C4">
        <w:rPr>
          <w:b/>
          <w:bCs/>
        </w:rPr>
        <w:t>Individual excellence</w:t>
      </w:r>
      <w:r>
        <w:t xml:space="preserve">. </w:t>
      </w:r>
      <w:r w:rsidR="13576B1A">
        <w:t>E</w:t>
      </w:r>
      <w:r>
        <w:t>nhancing and transforming student outcomes and/or the teaching profession.</w:t>
      </w:r>
    </w:p>
    <w:p w14:paraId="593F80F5" w14:textId="77777777" w:rsidR="00573D8D" w:rsidRPr="00573D8D" w:rsidRDefault="00573D8D" w:rsidP="00461832">
      <w:pPr>
        <w:pStyle w:val="ListParagraph"/>
        <w:numPr>
          <w:ilvl w:val="0"/>
          <w:numId w:val="1"/>
        </w:numPr>
      </w:pPr>
      <w:r w:rsidRPr="00461832">
        <w:rPr>
          <w:b/>
          <w:bCs/>
        </w:rPr>
        <w:t>Raising the profile of excellence</w:t>
      </w:r>
      <w:r w:rsidRPr="00573D8D">
        <w:t>. Supporting colleagues and influencing support for student learning and/or the teaching profession. Demonstrating impact and engagement beyond your immediate academic or professional role.</w:t>
      </w:r>
    </w:p>
    <w:p w14:paraId="74431470" w14:textId="77777777" w:rsidR="00573D8D" w:rsidRPr="00573D8D" w:rsidRDefault="00573D8D" w:rsidP="00461832">
      <w:pPr>
        <w:pStyle w:val="ListParagraph"/>
        <w:numPr>
          <w:ilvl w:val="0"/>
          <w:numId w:val="1"/>
        </w:numPr>
      </w:pPr>
      <w:r w:rsidRPr="00461832">
        <w:rPr>
          <w:b/>
          <w:bCs/>
        </w:rPr>
        <w:t>Developing excellence</w:t>
      </w:r>
      <w:r w:rsidRPr="00573D8D">
        <w:t>. Demonstrating your commitment to and impact of ongoing professional development in relation to teaching and learning.</w:t>
      </w:r>
    </w:p>
    <w:p w14:paraId="4C73F9EF" w14:textId="77777777" w:rsidR="00573D8D" w:rsidRPr="00573D8D" w:rsidRDefault="00573D8D" w:rsidP="00461832">
      <w:hyperlink r:id="rId5" w:tgtFrame="_blank" w:history="1">
        <w:r w:rsidRPr="00573D8D">
          <w:rPr>
            <w:rStyle w:val="Hyperlink"/>
          </w:rPr>
          <w:t>Find out more about NTF on Advance HE’s website here.</w:t>
        </w:r>
      </w:hyperlink>
    </w:p>
    <w:p w14:paraId="1AB67B04" w14:textId="63A34BBE" w:rsidR="00573D8D" w:rsidRPr="00573D8D" w:rsidRDefault="00573D8D" w:rsidP="00461832">
      <w:pPr>
        <w:pStyle w:val="Heading1"/>
      </w:pPr>
      <w:bookmarkStart w:id="1" w:name="_Collaborative_Award_for"/>
      <w:bookmarkEnd w:id="1"/>
      <w:r w:rsidRPr="00573D8D">
        <w:t>Collaborative Award for Teaching Excellence (CATE)</w:t>
      </w:r>
      <w:r w:rsidR="00461832">
        <w:t xml:space="preserve"> criteria</w:t>
      </w:r>
    </w:p>
    <w:p w14:paraId="40F07076" w14:textId="2F1366F2" w:rsidR="00573D8D" w:rsidRPr="00573D8D" w:rsidRDefault="00573D8D" w:rsidP="00461832">
      <w:r>
        <w:t>The Collaborative Award for Teaching Excellence (CATE) is a sister project</w:t>
      </w:r>
      <w:r w:rsidR="7227E6AB">
        <w:t xml:space="preserve"> to NTF</w:t>
      </w:r>
      <w:r>
        <w:t xml:space="preserve"> that rewards </w:t>
      </w:r>
      <w:r w:rsidR="3144FDD2">
        <w:t xml:space="preserve">excellent </w:t>
      </w:r>
      <w:r>
        <w:t>collaborative work in higher education. The award highlights the key role of teamwork that has had significant impact on teaching and learning</w:t>
      </w:r>
      <w:r w:rsidR="292F547B">
        <w:t xml:space="preserve">  - demonstrating that the work </w:t>
      </w:r>
      <w:r w:rsidR="440E9DE6">
        <w:t xml:space="preserve">of the team </w:t>
      </w:r>
      <w:r w:rsidR="292F547B">
        <w:t>has Reach, Value and Impact</w:t>
      </w:r>
    </w:p>
    <w:p w14:paraId="63172825" w14:textId="77777777" w:rsidR="00573D8D" w:rsidRPr="00573D8D" w:rsidRDefault="00573D8D" w:rsidP="00461832">
      <w:r w:rsidRPr="00573D8D">
        <w:t>To achieve this award, you and your team must show:</w:t>
      </w:r>
    </w:p>
    <w:p w14:paraId="0A6C0603" w14:textId="77777777" w:rsidR="00573D8D" w:rsidRPr="00573D8D" w:rsidRDefault="00573D8D" w:rsidP="00461832">
      <w:pPr>
        <w:pStyle w:val="ListParagraph"/>
        <w:numPr>
          <w:ilvl w:val="0"/>
          <w:numId w:val="2"/>
        </w:numPr>
      </w:pPr>
      <w:r w:rsidRPr="00461832">
        <w:rPr>
          <w:b/>
          <w:bCs/>
        </w:rPr>
        <w:t>Collaboration excellence</w:t>
      </w:r>
      <w:r w:rsidRPr="00573D8D">
        <w:t> - How your team works collaboratively, and the opportunities given due to this</w:t>
      </w:r>
    </w:p>
    <w:p w14:paraId="6D2F4A26" w14:textId="77777777" w:rsidR="00573D8D" w:rsidRPr="00573D8D" w:rsidRDefault="00573D8D" w:rsidP="00461832">
      <w:pPr>
        <w:pStyle w:val="ListParagraph"/>
        <w:numPr>
          <w:ilvl w:val="0"/>
          <w:numId w:val="2"/>
        </w:numPr>
      </w:pPr>
      <w:r w:rsidRPr="00461832">
        <w:rPr>
          <w:b/>
          <w:bCs/>
        </w:rPr>
        <w:t>Raising and developing the profile of excellence</w:t>
      </w:r>
      <w:r w:rsidRPr="00573D8D">
        <w:t> -The impact your team has had on teaching and learning both locally and beyond</w:t>
      </w:r>
    </w:p>
    <w:p w14:paraId="59EF416A" w14:textId="66E99A34" w:rsidR="3F8258C4" w:rsidRDefault="00573D8D">
      <w:hyperlink r:id="rId6">
        <w:r w:rsidRPr="3F8258C4">
          <w:rPr>
            <w:rStyle w:val="Hyperlink"/>
          </w:rPr>
          <w:t>Find out more about CATE on Advance HE’s website here</w:t>
        </w:r>
      </w:hyperlink>
      <w:r>
        <w:t>.</w:t>
      </w:r>
    </w:p>
    <w:p w14:paraId="7F7A7D95" w14:textId="4D926E7C" w:rsidR="0056284D" w:rsidRPr="00573D8D" w:rsidRDefault="00461832" w:rsidP="00461832">
      <w:pPr>
        <w:pStyle w:val="Heading1"/>
      </w:pPr>
      <w:r>
        <w:lastRenderedPageBreak/>
        <w:t>Preparing the supporting statement</w:t>
      </w:r>
    </w:p>
    <w:p w14:paraId="6222FEF9" w14:textId="294C5158" w:rsidR="00461832" w:rsidRDefault="00461832" w:rsidP="00461832">
      <w:r>
        <w:t>The purpose of the supporting statement is to:</w:t>
      </w:r>
    </w:p>
    <w:p w14:paraId="3D6E7F31" w14:textId="48C9FF22" w:rsidR="00C239E8" w:rsidRDefault="00461832" w:rsidP="00C239E8">
      <w:pPr>
        <w:pStyle w:val="ListParagraph"/>
        <w:numPr>
          <w:ilvl w:val="0"/>
          <w:numId w:val="5"/>
        </w:numPr>
      </w:pPr>
      <w:r>
        <w:t xml:space="preserve">Confirm that the candidate/team meet the criteria above for the award they </w:t>
      </w:r>
      <w:r w:rsidR="3102C067">
        <w:t xml:space="preserve">are applying </w:t>
      </w:r>
      <w:r>
        <w:t>for</w:t>
      </w:r>
    </w:p>
    <w:p w14:paraId="4FE93907" w14:textId="1350940F" w:rsidR="00C239E8" w:rsidRDefault="0D1C6738" w:rsidP="3F8258C4">
      <w:pPr>
        <w:pStyle w:val="ListParagraph"/>
        <w:numPr>
          <w:ilvl w:val="0"/>
          <w:numId w:val="5"/>
        </w:numPr>
      </w:pPr>
      <w:r>
        <w:t>Confirm that the candidate/team has</w:t>
      </w:r>
      <w:r w:rsidR="00461832">
        <w:t xml:space="preserve"> reach, value and impact for the work they will be presenting in their application</w:t>
      </w:r>
    </w:p>
    <w:p w14:paraId="38378538" w14:textId="7F6512FD" w:rsidR="00461832" w:rsidRDefault="00461832" w:rsidP="00461832">
      <w:pPr>
        <w:pStyle w:val="ListParagraph"/>
        <w:numPr>
          <w:ilvl w:val="0"/>
          <w:numId w:val="5"/>
        </w:numPr>
      </w:pPr>
      <w:r>
        <w:t xml:space="preserve">Acknowledge </w:t>
      </w:r>
      <w:r w:rsidR="00C239E8">
        <w:t xml:space="preserve">the time commitment and effort that is required </w:t>
      </w:r>
      <w:r w:rsidR="00703EFE">
        <w:t xml:space="preserve">in </w:t>
      </w:r>
      <w:r w:rsidR="004A2F0D">
        <w:t>developing a strong application if the candidate/team are</w:t>
      </w:r>
      <w:r w:rsidR="0069020E">
        <w:t xml:space="preserve"> </w:t>
      </w:r>
      <w:r w:rsidR="004A2725">
        <w:t>selected</w:t>
      </w:r>
    </w:p>
    <w:p w14:paraId="07A456E0" w14:textId="6F585D55" w:rsidR="00C239E8" w:rsidRDefault="00C239E8" w:rsidP="00461832">
      <w:pPr>
        <w:pStyle w:val="ListParagraph"/>
        <w:numPr>
          <w:ilvl w:val="0"/>
          <w:numId w:val="5"/>
        </w:numPr>
      </w:pPr>
      <w:r>
        <w:t>Confirm that you will support the candidate/team to the best of your ability in allowing them to focus and develop their application if they are selected</w:t>
      </w:r>
      <w:r w:rsidR="5E12448F">
        <w:t xml:space="preserve"> to be a nominee for the </w:t>
      </w:r>
      <w:r w:rsidR="009D5707">
        <w:t>university</w:t>
      </w:r>
      <w:r>
        <w:t xml:space="preserve">. This could include providing them dedicated time or flexibility in their </w:t>
      </w:r>
      <w:r w:rsidR="05A7C0B2">
        <w:t>workload</w:t>
      </w:r>
      <w:r>
        <w:t xml:space="preserve"> for them to work on their application</w:t>
      </w:r>
      <w:r w:rsidR="00351E78">
        <w:t>, particularly draft and final submission dates.</w:t>
      </w:r>
    </w:p>
    <w:p w14:paraId="05B29E98" w14:textId="647A785E" w:rsidR="00C239E8" w:rsidRDefault="1D67B003" w:rsidP="38662FA7">
      <w:pPr>
        <w:ind w:left="360"/>
      </w:pPr>
      <w:r w:rsidRPr="38662FA7">
        <w:rPr>
          <w:b/>
          <w:bCs/>
        </w:rPr>
        <w:t xml:space="preserve">Preparing an NTF or CATE application is very time </w:t>
      </w:r>
      <w:r w:rsidR="00745E6B" w:rsidRPr="38662FA7">
        <w:rPr>
          <w:b/>
          <w:bCs/>
        </w:rPr>
        <w:t>intensive and</w:t>
      </w:r>
      <w:r w:rsidRPr="38662FA7">
        <w:rPr>
          <w:b/>
          <w:bCs/>
        </w:rPr>
        <w:t xml:space="preserve"> will</w:t>
      </w:r>
      <w:r w:rsidR="00C239E8" w:rsidRPr="38662FA7">
        <w:rPr>
          <w:b/>
          <w:bCs/>
        </w:rPr>
        <w:t xml:space="preserve"> require </w:t>
      </w:r>
      <w:r w:rsidR="00D273D1">
        <w:rPr>
          <w:b/>
          <w:bCs/>
        </w:rPr>
        <w:t xml:space="preserve">regular on-going </w:t>
      </w:r>
      <w:r w:rsidR="00C239E8" w:rsidRPr="38662FA7">
        <w:rPr>
          <w:b/>
          <w:bCs/>
        </w:rPr>
        <w:t>commitment and dedication</w:t>
      </w:r>
      <w:r w:rsidR="00D273D1">
        <w:rPr>
          <w:b/>
          <w:bCs/>
        </w:rPr>
        <w:t xml:space="preserve"> between July - March</w:t>
      </w:r>
      <w:r w:rsidR="00C239E8" w:rsidRPr="38662FA7">
        <w:rPr>
          <w:b/>
          <w:bCs/>
        </w:rPr>
        <w:t xml:space="preserve"> </w:t>
      </w:r>
      <w:r w:rsidR="441B6994" w:rsidRPr="38662FA7">
        <w:rPr>
          <w:b/>
          <w:bCs/>
        </w:rPr>
        <w:t xml:space="preserve">to </w:t>
      </w:r>
      <w:r w:rsidR="00C239E8" w:rsidRPr="38662FA7">
        <w:rPr>
          <w:b/>
          <w:bCs/>
        </w:rPr>
        <w:t xml:space="preserve">develop a strong application. </w:t>
      </w:r>
    </w:p>
    <w:tbl>
      <w:tblPr>
        <w:tblStyle w:val="TableGrid"/>
        <w:tblW w:w="0" w:type="auto"/>
        <w:tblLook w:val="04A0" w:firstRow="1" w:lastRow="0" w:firstColumn="1" w:lastColumn="0" w:noHBand="0" w:noVBand="1"/>
      </w:tblPr>
      <w:tblGrid>
        <w:gridCol w:w="9016"/>
      </w:tblGrid>
      <w:tr w:rsidR="00C239E8" w14:paraId="0A8518DA" w14:textId="77777777" w:rsidTr="00C239E8">
        <w:tc>
          <w:tcPr>
            <w:tcW w:w="9016" w:type="dxa"/>
          </w:tcPr>
          <w:p w14:paraId="481C8E1F" w14:textId="0FC487D6" w:rsidR="00C239E8" w:rsidRDefault="00C239E8" w:rsidP="00C239E8">
            <w:r>
              <w:t>Please provide your supporting statement below – Maximum 800 words</w:t>
            </w:r>
          </w:p>
        </w:tc>
      </w:tr>
      <w:tr w:rsidR="00C239E8" w14:paraId="46563CB6" w14:textId="77777777" w:rsidTr="00C239E8">
        <w:tc>
          <w:tcPr>
            <w:tcW w:w="9016" w:type="dxa"/>
          </w:tcPr>
          <w:p w14:paraId="3A62D4C0" w14:textId="77777777" w:rsidR="00C239E8" w:rsidRDefault="00C239E8" w:rsidP="00C239E8"/>
          <w:p w14:paraId="20A26D69" w14:textId="77777777" w:rsidR="00C239E8" w:rsidRDefault="00C239E8" w:rsidP="00C239E8"/>
          <w:p w14:paraId="0B29FF78" w14:textId="77777777" w:rsidR="00C239E8" w:rsidRDefault="00C239E8" w:rsidP="00C239E8"/>
          <w:p w14:paraId="0BA4749C" w14:textId="77777777" w:rsidR="00C239E8" w:rsidRDefault="00C239E8" w:rsidP="00C239E8"/>
          <w:p w14:paraId="6A4AEE19" w14:textId="77777777" w:rsidR="00C239E8" w:rsidRDefault="00C239E8" w:rsidP="00C239E8"/>
          <w:p w14:paraId="41F2E725" w14:textId="77777777" w:rsidR="00C239E8" w:rsidRDefault="00C239E8" w:rsidP="00C239E8"/>
          <w:p w14:paraId="202C35A9" w14:textId="77777777" w:rsidR="00C239E8" w:rsidRDefault="00C239E8" w:rsidP="00C239E8"/>
          <w:p w14:paraId="0E993D99" w14:textId="77777777" w:rsidR="00C239E8" w:rsidRDefault="00C239E8" w:rsidP="00C239E8"/>
          <w:p w14:paraId="5FC14AC5" w14:textId="77777777" w:rsidR="00C239E8" w:rsidRDefault="00C239E8" w:rsidP="00C239E8"/>
          <w:p w14:paraId="5EB7A528" w14:textId="77777777" w:rsidR="00C239E8" w:rsidRDefault="00C239E8" w:rsidP="00C239E8"/>
          <w:p w14:paraId="4AF993B3" w14:textId="77777777" w:rsidR="00C239E8" w:rsidRDefault="00C239E8" w:rsidP="00C239E8"/>
          <w:p w14:paraId="2B0221A5" w14:textId="77777777" w:rsidR="00C239E8" w:rsidRDefault="00C239E8" w:rsidP="00C239E8"/>
          <w:p w14:paraId="01AC1A55" w14:textId="77777777" w:rsidR="00C239E8" w:rsidRDefault="00C239E8" w:rsidP="00C239E8"/>
          <w:p w14:paraId="7F394F81" w14:textId="77777777" w:rsidR="00C239E8" w:rsidRDefault="00C239E8" w:rsidP="00C239E8"/>
          <w:p w14:paraId="6814569B" w14:textId="77777777" w:rsidR="00C239E8" w:rsidRDefault="00C239E8" w:rsidP="00C239E8"/>
          <w:p w14:paraId="3ADFC7D8" w14:textId="77777777" w:rsidR="00C239E8" w:rsidRDefault="00C239E8" w:rsidP="00C239E8"/>
          <w:p w14:paraId="17E79139" w14:textId="77777777" w:rsidR="00C239E8" w:rsidRDefault="00C239E8" w:rsidP="00C239E8"/>
          <w:p w14:paraId="01C9482A" w14:textId="77777777" w:rsidR="00C239E8" w:rsidRDefault="00C239E8" w:rsidP="00C239E8"/>
          <w:p w14:paraId="7DAF780D" w14:textId="77777777" w:rsidR="00C239E8" w:rsidRDefault="00C239E8" w:rsidP="00C239E8"/>
          <w:p w14:paraId="6A2994F1" w14:textId="77777777" w:rsidR="00C239E8" w:rsidRDefault="00C239E8" w:rsidP="00C239E8"/>
          <w:p w14:paraId="3E8922AD" w14:textId="77777777" w:rsidR="00C239E8" w:rsidRDefault="00C239E8" w:rsidP="00C239E8"/>
          <w:p w14:paraId="6CC35000" w14:textId="77777777" w:rsidR="00C239E8" w:rsidRDefault="00C239E8" w:rsidP="00C239E8"/>
          <w:p w14:paraId="1FCDBF8A" w14:textId="77777777" w:rsidR="00C239E8" w:rsidRDefault="00C239E8" w:rsidP="00C239E8"/>
          <w:p w14:paraId="4D7CE0B6" w14:textId="77777777" w:rsidR="00C239E8" w:rsidRDefault="00C239E8" w:rsidP="00C239E8"/>
          <w:p w14:paraId="143B1DA8" w14:textId="77777777" w:rsidR="00C239E8" w:rsidRDefault="00C239E8" w:rsidP="00C239E8"/>
          <w:p w14:paraId="407F9733" w14:textId="77777777" w:rsidR="00C239E8" w:rsidRDefault="00C239E8" w:rsidP="00C239E8"/>
          <w:p w14:paraId="7E2B02D3" w14:textId="77777777" w:rsidR="00C239E8" w:rsidRDefault="00C239E8" w:rsidP="00C239E8"/>
          <w:p w14:paraId="64A04323" w14:textId="77777777" w:rsidR="00C239E8" w:rsidRDefault="00C239E8" w:rsidP="00C239E8"/>
          <w:p w14:paraId="7208FB50" w14:textId="77777777" w:rsidR="00C239E8" w:rsidRDefault="00C239E8" w:rsidP="00C239E8"/>
          <w:p w14:paraId="179C43E2" w14:textId="77777777" w:rsidR="00C239E8" w:rsidRDefault="00C239E8" w:rsidP="00C239E8"/>
          <w:p w14:paraId="4CA67A4D" w14:textId="77777777" w:rsidR="00C239E8" w:rsidRDefault="00C239E8" w:rsidP="00C239E8"/>
          <w:p w14:paraId="315EBD42" w14:textId="77777777" w:rsidR="00C239E8" w:rsidRDefault="00C239E8" w:rsidP="00C239E8"/>
          <w:p w14:paraId="08152C5F" w14:textId="77777777" w:rsidR="00C239E8" w:rsidRDefault="00C239E8" w:rsidP="00C239E8"/>
          <w:p w14:paraId="42DBABB6" w14:textId="77777777" w:rsidR="00C239E8" w:rsidRDefault="00C239E8" w:rsidP="00C239E8"/>
          <w:p w14:paraId="2BFD86DC" w14:textId="77777777" w:rsidR="00C239E8" w:rsidRDefault="00C239E8" w:rsidP="00C239E8"/>
          <w:p w14:paraId="784156DA" w14:textId="77777777" w:rsidR="00C239E8" w:rsidRDefault="00C239E8" w:rsidP="00C239E8"/>
          <w:p w14:paraId="11FFB554" w14:textId="77777777" w:rsidR="00C239E8" w:rsidRDefault="00C239E8" w:rsidP="00C239E8"/>
          <w:p w14:paraId="2937089A" w14:textId="77777777" w:rsidR="00C239E8" w:rsidRDefault="00C239E8" w:rsidP="00C239E8"/>
          <w:p w14:paraId="40AE9B43" w14:textId="77777777" w:rsidR="00C239E8" w:rsidRDefault="00C239E8" w:rsidP="00C239E8"/>
          <w:p w14:paraId="1AABA7EF" w14:textId="77777777" w:rsidR="00C239E8" w:rsidRDefault="00C239E8" w:rsidP="00C239E8"/>
        </w:tc>
      </w:tr>
    </w:tbl>
    <w:p w14:paraId="451CBC55" w14:textId="77777777" w:rsidR="00C239E8" w:rsidRPr="00C239E8" w:rsidRDefault="00C239E8" w:rsidP="004D0582"/>
    <w:sectPr w:rsidR="00C239E8" w:rsidRPr="00C23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7BF"/>
    <w:multiLevelType w:val="multilevel"/>
    <w:tmpl w:val="A51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0E1C"/>
    <w:multiLevelType w:val="multilevel"/>
    <w:tmpl w:val="F9D6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1529B"/>
    <w:multiLevelType w:val="multilevel"/>
    <w:tmpl w:val="8CA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F3BB5"/>
    <w:multiLevelType w:val="hybridMultilevel"/>
    <w:tmpl w:val="9A0C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26544"/>
    <w:multiLevelType w:val="hybridMultilevel"/>
    <w:tmpl w:val="7190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D06CE"/>
    <w:multiLevelType w:val="hybridMultilevel"/>
    <w:tmpl w:val="62E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E7CD4"/>
    <w:multiLevelType w:val="hybridMultilevel"/>
    <w:tmpl w:val="6E72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249662">
    <w:abstractNumId w:val="1"/>
  </w:num>
  <w:num w:numId="2" w16cid:durableId="2090494424">
    <w:abstractNumId w:val="2"/>
  </w:num>
  <w:num w:numId="3" w16cid:durableId="1718971395">
    <w:abstractNumId w:val="0"/>
  </w:num>
  <w:num w:numId="4" w16cid:durableId="2147237039">
    <w:abstractNumId w:val="5"/>
  </w:num>
  <w:num w:numId="5" w16cid:durableId="1526552412">
    <w:abstractNumId w:val="3"/>
  </w:num>
  <w:num w:numId="6" w16cid:durableId="1902708770">
    <w:abstractNumId w:val="4"/>
  </w:num>
  <w:num w:numId="7" w16cid:durableId="946229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4D"/>
    <w:rsid w:val="000047F9"/>
    <w:rsid w:val="000B7821"/>
    <w:rsid w:val="000E7C92"/>
    <w:rsid w:val="00101194"/>
    <w:rsid w:val="00151518"/>
    <w:rsid w:val="00160BF5"/>
    <w:rsid w:val="001A0B41"/>
    <w:rsid w:val="001A32A2"/>
    <w:rsid w:val="001B20E7"/>
    <w:rsid w:val="001C0CCD"/>
    <w:rsid w:val="001D0EC7"/>
    <w:rsid w:val="0028604F"/>
    <w:rsid w:val="002E0CD5"/>
    <w:rsid w:val="002F639C"/>
    <w:rsid w:val="00332F43"/>
    <w:rsid w:val="00351E78"/>
    <w:rsid w:val="00356094"/>
    <w:rsid w:val="00357531"/>
    <w:rsid w:val="003737D1"/>
    <w:rsid w:val="00393A66"/>
    <w:rsid w:val="004032C2"/>
    <w:rsid w:val="00407733"/>
    <w:rsid w:val="00410972"/>
    <w:rsid w:val="004406DC"/>
    <w:rsid w:val="004542BA"/>
    <w:rsid w:val="00461832"/>
    <w:rsid w:val="00463A39"/>
    <w:rsid w:val="004A2725"/>
    <w:rsid w:val="004A2F0D"/>
    <w:rsid w:val="004A4F5C"/>
    <w:rsid w:val="004B39C8"/>
    <w:rsid w:val="004B4D86"/>
    <w:rsid w:val="004D0582"/>
    <w:rsid w:val="004E036E"/>
    <w:rsid w:val="00507D9D"/>
    <w:rsid w:val="0056284D"/>
    <w:rsid w:val="00573D8D"/>
    <w:rsid w:val="005E6FD5"/>
    <w:rsid w:val="006560C0"/>
    <w:rsid w:val="0069020E"/>
    <w:rsid w:val="006B778D"/>
    <w:rsid w:val="00701B47"/>
    <w:rsid w:val="00703EFE"/>
    <w:rsid w:val="00745E6B"/>
    <w:rsid w:val="007529D4"/>
    <w:rsid w:val="0078262E"/>
    <w:rsid w:val="007A2396"/>
    <w:rsid w:val="007E554D"/>
    <w:rsid w:val="007F3049"/>
    <w:rsid w:val="00835696"/>
    <w:rsid w:val="00852CDB"/>
    <w:rsid w:val="0085488A"/>
    <w:rsid w:val="008563D4"/>
    <w:rsid w:val="00885AA8"/>
    <w:rsid w:val="008D366C"/>
    <w:rsid w:val="008E28F7"/>
    <w:rsid w:val="008E7AFE"/>
    <w:rsid w:val="00907CE3"/>
    <w:rsid w:val="0093646F"/>
    <w:rsid w:val="009D5707"/>
    <w:rsid w:val="009E163C"/>
    <w:rsid w:val="009E4D3F"/>
    <w:rsid w:val="00A22DAE"/>
    <w:rsid w:val="00A64250"/>
    <w:rsid w:val="00B06A7C"/>
    <w:rsid w:val="00B11F48"/>
    <w:rsid w:val="00B30EE0"/>
    <w:rsid w:val="00B445EC"/>
    <w:rsid w:val="00B927B8"/>
    <w:rsid w:val="00BA49AD"/>
    <w:rsid w:val="00C02367"/>
    <w:rsid w:val="00C239E8"/>
    <w:rsid w:val="00C46CDB"/>
    <w:rsid w:val="00C72240"/>
    <w:rsid w:val="00C8458D"/>
    <w:rsid w:val="00C86F0F"/>
    <w:rsid w:val="00C94C45"/>
    <w:rsid w:val="00C96628"/>
    <w:rsid w:val="00CE5FAE"/>
    <w:rsid w:val="00D24896"/>
    <w:rsid w:val="00D273D1"/>
    <w:rsid w:val="00D40535"/>
    <w:rsid w:val="00D539A3"/>
    <w:rsid w:val="00DB1250"/>
    <w:rsid w:val="00DC4D31"/>
    <w:rsid w:val="00DC6FBC"/>
    <w:rsid w:val="00DE534D"/>
    <w:rsid w:val="00E4285E"/>
    <w:rsid w:val="00E87F06"/>
    <w:rsid w:val="00EE50C6"/>
    <w:rsid w:val="00FA3123"/>
    <w:rsid w:val="00FB3959"/>
    <w:rsid w:val="00FD234A"/>
    <w:rsid w:val="00FD41C3"/>
    <w:rsid w:val="00FD7DF3"/>
    <w:rsid w:val="00FE2CAB"/>
    <w:rsid w:val="00FE7BC4"/>
    <w:rsid w:val="03BD79C5"/>
    <w:rsid w:val="03DAB729"/>
    <w:rsid w:val="040099E1"/>
    <w:rsid w:val="05A7C0B2"/>
    <w:rsid w:val="079C62D3"/>
    <w:rsid w:val="0992A04E"/>
    <w:rsid w:val="0BEFAE36"/>
    <w:rsid w:val="0D1C6738"/>
    <w:rsid w:val="0E810441"/>
    <w:rsid w:val="1171E1C1"/>
    <w:rsid w:val="117CDD17"/>
    <w:rsid w:val="124AE126"/>
    <w:rsid w:val="13576B1A"/>
    <w:rsid w:val="13B02404"/>
    <w:rsid w:val="13B3B0D5"/>
    <w:rsid w:val="158C5301"/>
    <w:rsid w:val="16F4E57F"/>
    <w:rsid w:val="1A176A84"/>
    <w:rsid w:val="1D67B003"/>
    <w:rsid w:val="1F695172"/>
    <w:rsid w:val="20832E47"/>
    <w:rsid w:val="21F42434"/>
    <w:rsid w:val="223C29AF"/>
    <w:rsid w:val="22FE235B"/>
    <w:rsid w:val="23019614"/>
    <w:rsid w:val="2478C242"/>
    <w:rsid w:val="2596A461"/>
    <w:rsid w:val="25F1EA4B"/>
    <w:rsid w:val="287C3705"/>
    <w:rsid w:val="28B20E91"/>
    <w:rsid w:val="28E72849"/>
    <w:rsid w:val="292F547B"/>
    <w:rsid w:val="2CA6B8AD"/>
    <w:rsid w:val="2D4FF394"/>
    <w:rsid w:val="2F129C67"/>
    <w:rsid w:val="2F7C869A"/>
    <w:rsid w:val="30231C34"/>
    <w:rsid w:val="30DCDDAF"/>
    <w:rsid w:val="3102C067"/>
    <w:rsid w:val="3144FDD2"/>
    <w:rsid w:val="328CAC53"/>
    <w:rsid w:val="341E64B2"/>
    <w:rsid w:val="3464E1B8"/>
    <w:rsid w:val="35BF684F"/>
    <w:rsid w:val="369486AF"/>
    <w:rsid w:val="37A6D91C"/>
    <w:rsid w:val="385C43CE"/>
    <w:rsid w:val="38662FA7"/>
    <w:rsid w:val="38E63EC9"/>
    <w:rsid w:val="39BA559E"/>
    <w:rsid w:val="3ABB5051"/>
    <w:rsid w:val="3B65801F"/>
    <w:rsid w:val="3C3B4D1C"/>
    <w:rsid w:val="3C93E366"/>
    <w:rsid w:val="3DBA17D5"/>
    <w:rsid w:val="3F8258C4"/>
    <w:rsid w:val="404EA940"/>
    <w:rsid w:val="40BBA858"/>
    <w:rsid w:val="40C36828"/>
    <w:rsid w:val="440E9DE6"/>
    <w:rsid w:val="441B6994"/>
    <w:rsid w:val="471F1A2F"/>
    <w:rsid w:val="48BCA283"/>
    <w:rsid w:val="48C82F5C"/>
    <w:rsid w:val="4AA85823"/>
    <w:rsid w:val="4ACF0BA5"/>
    <w:rsid w:val="4C0DFD4B"/>
    <w:rsid w:val="4CEB32E3"/>
    <w:rsid w:val="4D69D884"/>
    <w:rsid w:val="4E0AE32E"/>
    <w:rsid w:val="4F7A0162"/>
    <w:rsid w:val="5044F98D"/>
    <w:rsid w:val="5352EC56"/>
    <w:rsid w:val="53D6E782"/>
    <w:rsid w:val="541AB0CF"/>
    <w:rsid w:val="54D8DF09"/>
    <w:rsid w:val="5557AC2C"/>
    <w:rsid w:val="580BEBA8"/>
    <w:rsid w:val="5968C808"/>
    <w:rsid w:val="5A110164"/>
    <w:rsid w:val="5A51B7A3"/>
    <w:rsid w:val="5AA588A1"/>
    <w:rsid w:val="5C70F458"/>
    <w:rsid w:val="5D1D81EE"/>
    <w:rsid w:val="5DD5C216"/>
    <w:rsid w:val="5E12448F"/>
    <w:rsid w:val="5F6E5CD4"/>
    <w:rsid w:val="63B69C18"/>
    <w:rsid w:val="6409B011"/>
    <w:rsid w:val="64AEA2BC"/>
    <w:rsid w:val="65A86884"/>
    <w:rsid w:val="676E5E86"/>
    <w:rsid w:val="693B9968"/>
    <w:rsid w:val="6B6B8BFD"/>
    <w:rsid w:val="6CBF513E"/>
    <w:rsid w:val="6E10C961"/>
    <w:rsid w:val="6E536266"/>
    <w:rsid w:val="6EB03C6E"/>
    <w:rsid w:val="711A4B92"/>
    <w:rsid w:val="7227E6AB"/>
    <w:rsid w:val="735B3889"/>
    <w:rsid w:val="73877687"/>
    <w:rsid w:val="739A62EA"/>
    <w:rsid w:val="753A89CF"/>
    <w:rsid w:val="77D7B204"/>
    <w:rsid w:val="784B67E3"/>
    <w:rsid w:val="7CE17C89"/>
    <w:rsid w:val="7E77ACE9"/>
    <w:rsid w:val="7E888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1619"/>
  <w15:chartTrackingRefBased/>
  <w15:docId w15:val="{FAA762F2-A9BC-4BD4-8C22-D00D1ADC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32"/>
    <w:rPr>
      <w:rFonts w:ascii="Arial" w:hAnsi="Arial" w:cs="Arial"/>
      <w:sz w:val="22"/>
      <w:szCs w:val="22"/>
    </w:rPr>
  </w:style>
  <w:style w:type="paragraph" w:styleId="Heading1">
    <w:name w:val="heading 1"/>
    <w:basedOn w:val="Normal"/>
    <w:next w:val="Normal"/>
    <w:link w:val="Heading1Char"/>
    <w:uiPriority w:val="9"/>
    <w:qFormat/>
    <w:rsid w:val="00562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4D"/>
    <w:rPr>
      <w:rFonts w:eastAsiaTheme="majorEastAsia" w:cstheme="majorBidi"/>
      <w:color w:val="272727" w:themeColor="text1" w:themeTint="D8"/>
    </w:rPr>
  </w:style>
  <w:style w:type="paragraph" w:styleId="Title">
    <w:name w:val="Title"/>
    <w:basedOn w:val="Normal"/>
    <w:next w:val="Normal"/>
    <w:link w:val="TitleChar"/>
    <w:uiPriority w:val="10"/>
    <w:qFormat/>
    <w:rsid w:val="0056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84D"/>
    <w:pPr>
      <w:spacing w:before="160"/>
      <w:jc w:val="center"/>
    </w:pPr>
    <w:rPr>
      <w:i/>
      <w:iCs/>
      <w:color w:val="404040" w:themeColor="text1" w:themeTint="BF"/>
    </w:rPr>
  </w:style>
  <w:style w:type="character" w:customStyle="1" w:styleId="QuoteChar">
    <w:name w:val="Quote Char"/>
    <w:basedOn w:val="DefaultParagraphFont"/>
    <w:link w:val="Quote"/>
    <w:uiPriority w:val="29"/>
    <w:rsid w:val="0056284D"/>
    <w:rPr>
      <w:i/>
      <w:iCs/>
      <w:color w:val="404040" w:themeColor="text1" w:themeTint="BF"/>
    </w:rPr>
  </w:style>
  <w:style w:type="paragraph" w:styleId="ListParagraph">
    <w:name w:val="List Paragraph"/>
    <w:basedOn w:val="Normal"/>
    <w:uiPriority w:val="34"/>
    <w:qFormat/>
    <w:rsid w:val="0056284D"/>
    <w:pPr>
      <w:ind w:left="720"/>
      <w:contextualSpacing/>
    </w:pPr>
  </w:style>
  <w:style w:type="character" w:styleId="IntenseEmphasis">
    <w:name w:val="Intense Emphasis"/>
    <w:basedOn w:val="DefaultParagraphFont"/>
    <w:uiPriority w:val="21"/>
    <w:qFormat/>
    <w:rsid w:val="0056284D"/>
    <w:rPr>
      <w:i/>
      <w:iCs/>
      <w:color w:val="0F4761" w:themeColor="accent1" w:themeShade="BF"/>
    </w:rPr>
  </w:style>
  <w:style w:type="paragraph" w:styleId="IntenseQuote">
    <w:name w:val="Intense Quote"/>
    <w:basedOn w:val="Normal"/>
    <w:next w:val="Normal"/>
    <w:link w:val="IntenseQuoteChar"/>
    <w:uiPriority w:val="30"/>
    <w:qFormat/>
    <w:rsid w:val="00562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4D"/>
    <w:rPr>
      <w:i/>
      <w:iCs/>
      <w:color w:val="0F4761" w:themeColor="accent1" w:themeShade="BF"/>
    </w:rPr>
  </w:style>
  <w:style w:type="character" w:styleId="IntenseReference">
    <w:name w:val="Intense Reference"/>
    <w:basedOn w:val="DefaultParagraphFont"/>
    <w:uiPriority w:val="32"/>
    <w:qFormat/>
    <w:rsid w:val="0056284D"/>
    <w:rPr>
      <w:b/>
      <w:bCs/>
      <w:smallCaps/>
      <w:color w:val="0F4761" w:themeColor="accent1" w:themeShade="BF"/>
      <w:spacing w:val="5"/>
    </w:rPr>
  </w:style>
  <w:style w:type="paragraph" w:styleId="NoSpacing">
    <w:name w:val="No Spacing"/>
    <w:uiPriority w:val="1"/>
    <w:qFormat/>
    <w:rsid w:val="00573D8D"/>
    <w:pPr>
      <w:spacing w:after="0" w:line="240" w:lineRule="auto"/>
    </w:pPr>
    <w:rPr>
      <w:rFonts w:ascii="Arial" w:hAnsi="Arial"/>
      <w:sz w:val="22"/>
      <w:szCs w:val="22"/>
    </w:rPr>
  </w:style>
  <w:style w:type="character" w:styleId="Hyperlink">
    <w:name w:val="Hyperlink"/>
    <w:basedOn w:val="DefaultParagraphFont"/>
    <w:uiPriority w:val="99"/>
    <w:unhideWhenUsed/>
    <w:rsid w:val="00573D8D"/>
    <w:rPr>
      <w:color w:val="467886" w:themeColor="hyperlink"/>
      <w:u w:val="single"/>
    </w:rPr>
  </w:style>
  <w:style w:type="character" w:styleId="UnresolvedMention">
    <w:name w:val="Unresolved Mention"/>
    <w:basedOn w:val="DefaultParagraphFont"/>
    <w:uiPriority w:val="99"/>
    <w:semiHidden/>
    <w:unhideWhenUsed/>
    <w:rsid w:val="00573D8D"/>
    <w:rPr>
      <w:color w:val="605E5C"/>
      <w:shd w:val="clear" w:color="auto" w:fill="E1DFDD"/>
    </w:rPr>
  </w:style>
  <w:style w:type="paragraph" w:styleId="NormalWeb">
    <w:name w:val="Normal (Web)"/>
    <w:basedOn w:val="Normal"/>
    <w:uiPriority w:val="99"/>
    <w:unhideWhenUsed/>
    <w:rsid w:val="00573D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2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C6FBC"/>
    <w:rPr>
      <w:b/>
      <w:bCs/>
    </w:rPr>
  </w:style>
  <w:style w:type="character" w:customStyle="1" w:styleId="CommentSubjectChar">
    <w:name w:val="Comment Subject Char"/>
    <w:basedOn w:val="CommentTextChar"/>
    <w:link w:val="CommentSubject"/>
    <w:uiPriority w:val="99"/>
    <w:semiHidden/>
    <w:rsid w:val="00DC6FB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41">
      <w:bodyDiv w:val="1"/>
      <w:marLeft w:val="0"/>
      <w:marRight w:val="0"/>
      <w:marTop w:val="0"/>
      <w:marBottom w:val="0"/>
      <w:divBdr>
        <w:top w:val="none" w:sz="0" w:space="0" w:color="auto"/>
        <w:left w:val="none" w:sz="0" w:space="0" w:color="auto"/>
        <w:bottom w:val="none" w:sz="0" w:space="0" w:color="auto"/>
        <w:right w:val="none" w:sz="0" w:space="0" w:color="auto"/>
      </w:divBdr>
    </w:div>
    <w:div w:id="55327233">
      <w:bodyDiv w:val="1"/>
      <w:marLeft w:val="0"/>
      <w:marRight w:val="0"/>
      <w:marTop w:val="0"/>
      <w:marBottom w:val="0"/>
      <w:divBdr>
        <w:top w:val="none" w:sz="0" w:space="0" w:color="auto"/>
        <w:left w:val="none" w:sz="0" w:space="0" w:color="auto"/>
        <w:bottom w:val="none" w:sz="0" w:space="0" w:color="auto"/>
        <w:right w:val="none" w:sz="0" w:space="0" w:color="auto"/>
      </w:divBdr>
      <w:divsChild>
        <w:div w:id="86004488">
          <w:marLeft w:val="0"/>
          <w:marRight w:val="0"/>
          <w:marTop w:val="0"/>
          <w:marBottom w:val="0"/>
          <w:divBdr>
            <w:top w:val="none" w:sz="0" w:space="0" w:color="auto"/>
            <w:left w:val="none" w:sz="0" w:space="0" w:color="auto"/>
            <w:bottom w:val="none" w:sz="0" w:space="0" w:color="auto"/>
            <w:right w:val="none" w:sz="0" w:space="0" w:color="auto"/>
          </w:divBdr>
        </w:div>
        <w:div w:id="1660496092">
          <w:marLeft w:val="0"/>
          <w:marRight w:val="0"/>
          <w:marTop w:val="0"/>
          <w:marBottom w:val="0"/>
          <w:divBdr>
            <w:top w:val="none" w:sz="0" w:space="0" w:color="auto"/>
            <w:left w:val="none" w:sz="0" w:space="0" w:color="auto"/>
            <w:bottom w:val="none" w:sz="0" w:space="0" w:color="auto"/>
            <w:right w:val="none" w:sz="0" w:space="0" w:color="auto"/>
          </w:divBdr>
        </w:div>
      </w:divsChild>
    </w:div>
    <w:div w:id="95445746">
      <w:bodyDiv w:val="1"/>
      <w:marLeft w:val="0"/>
      <w:marRight w:val="0"/>
      <w:marTop w:val="0"/>
      <w:marBottom w:val="0"/>
      <w:divBdr>
        <w:top w:val="none" w:sz="0" w:space="0" w:color="auto"/>
        <w:left w:val="none" w:sz="0" w:space="0" w:color="auto"/>
        <w:bottom w:val="none" w:sz="0" w:space="0" w:color="auto"/>
        <w:right w:val="none" w:sz="0" w:space="0" w:color="auto"/>
      </w:divBdr>
    </w:div>
    <w:div w:id="1031032965">
      <w:bodyDiv w:val="1"/>
      <w:marLeft w:val="0"/>
      <w:marRight w:val="0"/>
      <w:marTop w:val="0"/>
      <w:marBottom w:val="0"/>
      <w:divBdr>
        <w:top w:val="none" w:sz="0" w:space="0" w:color="auto"/>
        <w:left w:val="none" w:sz="0" w:space="0" w:color="auto"/>
        <w:bottom w:val="none" w:sz="0" w:space="0" w:color="auto"/>
        <w:right w:val="none" w:sz="0" w:space="0" w:color="auto"/>
      </w:divBdr>
    </w:div>
    <w:div w:id="1143085556">
      <w:bodyDiv w:val="1"/>
      <w:marLeft w:val="0"/>
      <w:marRight w:val="0"/>
      <w:marTop w:val="0"/>
      <w:marBottom w:val="0"/>
      <w:divBdr>
        <w:top w:val="none" w:sz="0" w:space="0" w:color="auto"/>
        <w:left w:val="none" w:sz="0" w:space="0" w:color="auto"/>
        <w:bottom w:val="none" w:sz="0" w:space="0" w:color="auto"/>
        <w:right w:val="none" w:sz="0" w:space="0" w:color="auto"/>
      </w:divBdr>
      <w:divsChild>
        <w:div w:id="525557061">
          <w:marLeft w:val="0"/>
          <w:marRight w:val="0"/>
          <w:marTop w:val="0"/>
          <w:marBottom w:val="0"/>
          <w:divBdr>
            <w:top w:val="none" w:sz="0" w:space="0" w:color="auto"/>
            <w:left w:val="none" w:sz="0" w:space="0" w:color="auto"/>
            <w:bottom w:val="none" w:sz="0" w:space="0" w:color="auto"/>
            <w:right w:val="none" w:sz="0" w:space="0" w:color="auto"/>
          </w:divBdr>
        </w:div>
        <w:div w:id="1096169921">
          <w:marLeft w:val="0"/>
          <w:marRight w:val="0"/>
          <w:marTop w:val="0"/>
          <w:marBottom w:val="0"/>
          <w:divBdr>
            <w:top w:val="none" w:sz="0" w:space="0" w:color="auto"/>
            <w:left w:val="none" w:sz="0" w:space="0" w:color="auto"/>
            <w:bottom w:val="none" w:sz="0" w:space="0" w:color="auto"/>
            <w:right w:val="none" w:sz="0" w:space="0" w:color="auto"/>
          </w:divBdr>
        </w:div>
      </w:divsChild>
    </w:div>
    <w:div w:id="1199507809">
      <w:bodyDiv w:val="1"/>
      <w:marLeft w:val="0"/>
      <w:marRight w:val="0"/>
      <w:marTop w:val="0"/>
      <w:marBottom w:val="0"/>
      <w:divBdr>
        <w:top w:val="none" w:sz="0" w:space="0" w:color="auto"/>
        <w:left w:val="none" w:sz="0" w:space="0" w:color="auto"/>
        <w:bottom w:val="none" w:sz="0" w:space="0" w:color="auto"/>
        <w:right w:val="none" w:sz="0" w:space="0" w:color="auto"/>
      </w:divBdr>
    </w:div>
    <w:div w:id="1448739758">
      <w:bodyDiv w:val="1"/>
      <w:marLeft w:val="0"/>
      <w:marRight w:val="0"/>
      <w:marTop w:val="0"/>
      <w:marBottom w:val="0"/>
      <w:divBdr>
        <w:top w:val="none" w:sz="0" w:space="0" w:color="auto"/>
        <w:left w:val="none" w:sz="0" w:space="0" w:color="auto"/>
        <w:bottom w:val="none" w:sz="0" w:space="0" w:color="auto"/>
        <w:right w:val="none" w:sz="0" w:space="0" w:color="auto"/>
      </w:divBdr>
    </w:div>
    <w:div w:id="1576935957">
      <w:bodyDiv w:val="1"/>
      <w:marLeft w:val="0"/>
      <w:marRight w:val="0"/>
      <w:marTop w:val="0"/>
      <w:marBottom w:val="0"/>
      <w:divBdr>
        <w:top w:val="none" w:sz="0" w:space="0" w:color="auto"/>
        <w:left w:val="none" w:sz="0" w:space="0" w:color="auto"/>
        <w:bottom w:val="none" w:sz="0" w:space="0" w:color="auto"/>
        <w:right w:val="none" w:sz="0" w:space="0" w:color="auto"/>
      </w:divBdr>
      <w:divsChild>
        <w:div w:id="296885269">
          <w:marLeft w:val="0"/>
          <w:marRight w:val="0"/>
          <w:marTop w:val="0"/>
          <w:marBottom w:val="0"/>
          <w:divBdr>
            <w:top w:val="none" w:sz="0" w:space="0" w:color="auto"/>
            <w:left w:val="none" w:sz="0" w:space="0" w:color="auto"/>
            <w:bottom w:val="none" w:sz="0" w:space="0" w:color="auto"/>
            <w:right w:val="none" w:sz="0" w:space="0" w:color="auto"/>
          </w:divBdr>
        </w:div>
        <w:div w:id="828715762">
          <w:marLeft w:val="0"/>
          <w:marRight w:val="0"/>
          <w:marTop w:val="0"/>
          <w:marBottom w:val="0"/>
          <w:divBdr>
            <w:top w:val="none" w:sz="0" w:space="0" w:color="auto"/>
            <w:left w:val="none" w:sz="0" w:space="0" w:color="auto"/>
            <w:bottom w:val="none" w:sz="0" w:space="0" w:color="auto"/>
            <w:right w:val="none" w:sz="0" w:space="0" w:color="auto"/>
          </w:divBdr>
        </w:div>
      </w:divsChild>
    </w:div>
    <w:div w:id="1909685064">
      <w:bodyDiv w:val="1"/>
      <w:marLeft w:val="0"/>
      <w:marRight w:val="0"/>
      <w:marTop w:val="0"/>
      <w:marBottom w:val="0"/>
      <w:divBdr>
        <w:top w:val="none" w:sz="0" w:space="0" w:color="auto"/>
        <w:left w:val="none" w:sz="0" w:space="0" w:color="auto"/>
        <w:bottom w:val="none" w:sz="0" w:space="0" w:color="auto"/>
        <w:right w:val="none" w:sz="0" w:space="0" w:color="auto"/>
      </w:divBdr>
      <w:divsChild>
        <w:div w:id="1171216569">
          <w:marLeft w:val="0"/>
          <w:marRight w:val="0"/>
          <w:marTop w:val="0"/>
          <w:marBottom w:val="0"/>
          <w:divBdr>
            <w:top w:val="none" w:sz="0" w:space="0" w:color="auto"/>
            <w:left w:val="none" w:sz="0" w:space="0" w:color="auto"/>
            <w:bottom w:val="none" w:sz="0" w:space="0" w:color="auto"/>
            <w:right w:val="none" w:sz="0" w:space="0" w:color="auto"/>
          </w:divBdr>
        </w:div>
        <w:div w:id="1672874014">
          <w:marLeft w:val="0"/>
          <w:marRight w:val="0"/>
          <w:marTop w:val="0"/>
          <w:marBottom w:val="0"/>
          <w:divBdr>
            <w:top w:val="none" w:sz="0" w:space="0" w:color="auto"/>
            <w:left w:val="none" w:sz="0" w:space="0" w:color="auto"/>
            <w:bottom w:val="none" w:sz="0" w:space="0" w:color="auto"/>
            <w:right w:val="none" w:sz="0" w:space="0" w:color="auto"/>
          </w:divBdr>
        </w:div>
      </w:divsChild>
    </w:div>
    <w:div w:id="20935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vance-he.ac.uk/awards/teaching-excellence-awards/collaborative-award-for-teaching-excellence" TargetMode="External"/><Relationship Id="rId5" Type="http://schemas.openxmlformats.org/officeDocument/2006/relationships/hyperlink" Target="https://www.advance-he.ac.uk/awards/teaching-excellence-awards/national-teaching-fellow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13</cp:revision>
  <dcterms:created xsi:type="dcterms:W3CDTF">2026-04-22T16:08:00Z</dcterms:created>
  <dcterms:modified xsi:type="dcterms:W3CDTF">2026-04-22T16:30:00Z</dcterms:modified>
</cp:coreProperties>
</file>