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94" w:rsidRDefault="00BA3B94" w:rsidP="00862986"/>
    <w:p w:rsidR="00573FC9" w:rsidRDefault="00573FC9" w:rsidP="00862986"/>
    <w:p w:rsidR="00BA3B94" w:rsidRDefault="00BA3B94" w:rsidP="00862986"/>
    <w:p w:rsidR="00C5544D" w:rsidRPr="00BA3B94" w:rsidRDefault="00C5544D" w:rsidP="009C5510">
      <w:pPr>
        <w:pStyle w:val="Subtitle"/>
        <w:rPr>
          <w:sz w:val="32"/>
          <w:szCs w:val="32"/>
        </w:rPr>
      </w:pPr>
      <w:r w:rsidRPr="00BA3B94">
        <w:rPr>
          <w:sz w:val="32"/>
          <w:szCs w:val="32"/>
        </w:rPr>
        <w:t xml:space="preserve">Waste </w:t>
      </w:r>
      <w:r w:rsidR="00C20030" w:rsidRPr="00BA3B94">
        <w:rPr>
          <w:sz w:val="32"/>
          <w:szCs w:val="32"/>
        </w:rPr>
        <w:t>management in Europe</w:t>
      </w:r>
      <w:r w:rsidRPr="00BA3B94">
        <w:rPr>
          <w:sz w:val="32"/>
          <w:szCs w:val="32"/>
        </w:rPr>
        <w:t xml:space="preserve">: </w:t>
      </w:r>
      <w:r w:rsidR="00D24D53">
        <w:rPr>
          <w:sz w:val="32"/>
          <w:szCs w:val="32"/>
        </w:rPr>
        <w:t xml:space="preserve">companies, </w:t>
      </w:r>
      <w:r w:rsidR="00BA3B94" w:rsidRPr="00BA3B94">
        <w:rPr>
          <w:sz w:val="32"/>
          <w:szCs w:val="32"/>
        </w:rPr>
        <w:t>structure and employment</w:t>
      </w:r>
    </w:p>
    <w:p w:rsidR="00BA3B94" w:rsidRDefault="00BA3B94" w:rsidP="00CC6A07">
      <w:pPr>
        <w:jc w:val="center"/>
      </w:pPr>
    </w:p>
    <w:p w:rsidR="00CC6A07" w:rsidRDefault="00F00E29" w:rsidP="00CC6A07">
      <w:pPr>
        <w:jc w:val="center"/>
      </w:pPr>
      <w:r w:rsidRPr="005F2580">
        <w:t>B</w:t>
      </w:r>
      <w:r w:rsidR="00CC6A07" w:rsidRPr="005F2580">
        <w:t>y</w:t>
      </w:r>
    </w:p>
    <w:p w:rsidR="00F00E29" w:rsidRPr="005F2580" w:rsidRDefault="00F00E29" w:rsidP="00CC6A07">
      <w:pPr>
        <w:jc w:val="center"/>
      </w:pPr>
    </w:p>
    <w:p w:rsidR="00CC6A07" w:rsidRPr="005F2580" w:rsidRDefault="00CC6A07" w:rsidP="00CC6A07">
      <w:pPr>
        <w:jc w:val="center"/>
      </w:pPr>
      <w:r w:rsidRPr="005F2580">
        <w:t xml:space="preserve">David Hall </w:t>
      </w:r>
      <w:r w:rsidR="00D24D53">
        <w:t>and Tue Anh (Jenny) Nguyen</w:t>
      </w:r>
    </w:p>
    <w:p w:rsidR="00CC6A07" w:rsidRPr="005F2580" w:rsidRDefault="00081F2D" w:rsidP="00CC6A07">
      <w:pPr>
        <w:jc w:val="center"/>
      </w:pPr>
      <w:hyperlink r:id="rId9" w:history="1">
        <w:r w:rsidR="00CC6A07" w:rsidRPr="005F2580">
          <w:rPr>
            <w:rStyle w:val="Hyperlink"/>
          </w:rPr>
          <w:t>d.j.hall@gre.ac.uk</w:t>
        </w:r>
      </w:hyperlink>
      <w:r w:rsidR="00CC6A07" w:rsidRPr="005F2580">
        <w:t xml:space="preserve"> </w:t>
      </w:r>
    </w:p>
    <w:p w:rsidR="0081577E" w:rsidRDefault="0081577E" w:rsidP="00C20030">
      <w:pPr>
        <w:jc w:val="center"/>
      </w:pPr>
    </w:p>
    <w:p w:rsidR="0081577E" w:rsidRDefault="0081577E" w:rsidP="00C20030">
      <w:pPr>
        <w:jc w:val="center"/>
      </w:pPr>
    </w:p>
    <w:p w:rsidR="0081577E" w:rsidRDefault="0081577E" w:rsidP="00C20030">
      <w:pPr>
        <w:jc w:val="center"/>
      </w:pPr>
      <w:r>
        <w:rPr>
          <w:noProof/>
        </w:rPr>
        <mc:AlternateContent>
          <mc:Choice Requires="wps">
            <w:drawing>
              <wp:anchor distT="0" distB="0" distL="114300" distR="114300" simplePos="0" relativeHeight="251656192" behindDoc="0" locked="0" layoutInCell="1" allowOverlap="1" wp14:anchorId="00E15758" wp14:editId="5FE07860">
                <wp:simplePos x="0" y="0"/>
                <wp:positionH relativeFrom="column">
                  <wp:posOffset>-295275</wp:posOffset>
                </wp:positionH>
                <wp:positionV relativeFrom="paragraph">
                  <wp:posOffset>635</wp:posOffset>
                </wp:positionV>
                <wp:extent cx="6172200" cy="1472565"/>
                <wp:effectExtent l="0" t="0" r="19050" b="13335"/>
                <wp:wrapSquare wrapText="r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72565"/>
                        </a:xfrm>
                        <a:prstGeom prst="rect">
                          <a:avLst/>
                        </a:prstGeom>
                        <a:solidFill>
                          <a:srgbClr val="FFFFFF"/>
                        </a:solidFill>
                        <a:ln w="25400">
                          <a:solidFill>
                            <a:srgbClr val="993300"/>
                          </a:solidFill>
                          <a:miter lim="800000"/>
                          <a:headEnd/>
                          <a:tailEnd/>
                        </a:ln>
                      </wps:spPr>
                      <wps:txbx>
                        <w:txbxContent>
                          <w:p w:rsidR="00D531A7" w:rsidRDefault="00D531A7" w:rsidP="002866C7">
                            <w:pPr>
                              <w:jc w:val="center"/>
                              <w:rPr>
                                <w:rFonts w:ascii="Trebuchet MS" w:hAnsi="Trebuchet MS"/>
                                <w:b/>
                                <w:sz w:val="20"/>
                              </w:rPr>
                            </w:pPr>
                            <w:r>
                              <w:rPr>
                                <w:b/>
                                <w:noProof/>
                                <w:color w:val="0000FF"/>
                              </w:rPr>
                              <w:drawing>
                                <wp:inline distT="0" distB="0" distL="0" distR="0" wp14:anchorId="4CED427F" wp14:editId="451CEE42">
                                  <wp:extent cx="2180590" cy="1031875"/>
                                  <wp:effectExtent l="0" t="0" r="0" b="0"/>
                                  <wp:docPr id="17" name="Picture 17" descr="EPSU LOGO COUL 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SU LOGO COUL 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590" cy="1031875"/>
                                          </a:xfrm>
                                          <a:prstGeom prst="rect">
                                            <a:avLst/>
                                          </a:prstGeom>
                                          <a:noFill/>
                                          <a:ln>
                                            <a:noFill/>
                                          </a:ln>
                                        </pic:spPr>
                                      </pic:pic>
                                    </a:graphicData>
                                  </a:graphic>
                                </wp:inline>
                              </w:drawing>
                            </w:r>
                          </w:p>
                          <w:p w:rsidR="00D531A7" w:rsidRDefault="00D531A7" w:rsidP="002866C7">
                            <w:pPr>
                              <w:rPr>
                                <w:rFonts w:ascii="Trebuchet MS" w:hAnsi="Trebuchet MS"/>
                                <w:b/>
                                <w:sz w:val="20"/>
                              </w:rPr>
                            </w:pPr>
                          </w:p>
                          <w:p w:rsidR="00D531A7" w:rsidRPr="0061472D" w:rsidRDefault="00D531A7" w:rsidP="002866C7">
                            <w:pPr>
                              <w:rPr>
                                <w:b/>
                              </w:rPr>
                            </w:pPr>
                            <w:r w:rsidRPr="00EA188B">
                              <w:rPr>
                                <w:rFonts w:ascii="Trebuchet MS" w:hAnsi="Trebuchet MS"/>
                                <w:b/>
                                <w:sz w:val="20"/>
                              </w:rPr>
                              <w:t xml:space="preserve">A report </w:t>
                            </w:r>
                            <w:r>
                              <w:rPr>
                                <w:rFonts w:ascii="Trebuchet MS" w:hAnsi="Trebuchet MS"/>
                                <w:b/>
                                <w:sz w:val="20"/>
                              </w:rPr>
                              <w:t xml:space="preserve">commissioned by </w:t>
                            </w:r>
                            <w:r w:rsidRPr="00EA188B">
                              <w:rPr>
                                <w:rFonts w:ascii="Trebuchet MS" w:hAnsi="Trebuchet MS"/>
                                <w:b/>
                                <w:sz w:val="20"/>
                              </w:rPr>
                              <w:t xml:space="preserve">the European Federation of Public Service Unions (EPSU) </w:t>
                            </w:r>
                            <w:hyperlink r:id="rId12" w:history="1">
                              <w:r w:rsidRPr="00EA188B">
                                <w:rPr>
                                  <w:rStyle w:val="Hyperlink"/>
                                  <w:rFonts w:ascii="Trebuchet MS" w:hAnsi="Trebuchet MS"/>
                                  <w:b/>
                                  <w:sz w:val="20"/>
                                </w:rPr>
                                <w:t>www.epsu.org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25pt;margin-top:.05pt;width:486pt;height:11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" strokecolor="#930" strokeweight="2pt">
                <v:textbox>
                  <w:txbxContent>
                    <w:p w:rsidR="00D531A7" w:rsidRDefault="00D531A7" w:rsidP="002866C7">
                      <w:pPr>
                        <w:jc w:val="center"/>
                        <w:rPr>
                          <w:rFonts w:ascii="Trebuchet MS" w:hAnsi="Trebuchet MS"/>
                          <w:b/>
                          <w:sz w:val="20"/>
                        </w:rPr>
                      </w:pPr>
                      <w:r>
                        <w:rPr>
                          <w:b/>
                          <w:noProof/>
                          <w:color w:val="0000FF"/>
                        </w:rPr>
                        <w:drawing>
                          <wp:inline distT="0" distB="0" distL="0" distR="0" wp14:anchorId="4CED427F" wp14:editId="451CEE42">
                            <wp:extent cx="2180590" cy="1031875"/>
                            <wp:effectExtent l="0" t="0" r="0" b="0"/>
                            <wp:docPr id="17" name="Picture 17" descr="EPSU LOGO COUL 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SU LOGO COUL 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0590" cy="1031875"/>
                                    </a:xfrm>
                                    <a:prstGeom prst="rect">
                                      <a:avLst/>
                                    </a:prstGeom>
                                    <a:noFill/>
                                    <a:ln>
                                      <a:noFill/>
                                    </a:ln>
                                  </pic:spPr>
                                </pic:pic>
                              </a:graphicData>
                            </a:graphic>
                          </wp:inline>
                        </w:drawing>
                      </w:r>
                    </w:p>
                    <w:p w:rsidR="00D531A7" w:rsidRDefault="00D531A7" w:rsidP="002866C7">
                      <w:pPr>
                        <w:rPr>
                          <w:rFonts w:ascii="Trebuchet MS" w:hAnsi="Trebuchet MS"/>
                          <w:b/>
                          <w:sz w:val="20"/>
                        </w:rPr>
                      </w:pPr>
                    </w:p>
                    <w:p w:rsidR="00D531A7" w:rsidRPr="0061472D" w:rsidRDefault="00D531A7" w:rsidP="002866C7">
                      <w:pPr>
                        <w:rPr>
                          <w:b/>
                        </w:rPr>
                      </w:pPr>
                      <w:r w:rsidRPr="00EA188B">
                        <w:rPr>
                          <w:rFonts w:ascii="Trebuchet MS" w:hAnsi="Trebuchet MS"/>
                          <w:b/>
                          <w:sz w:val="20"/>
                        </w:rPr>
                        <w:t xml:space="preserve">A report </w:t>
                      </w:r>
                      <w:r>
                        <w:rPr>
                          <w:rFonts w:ascii="Trebuchet MS" w:hAnsi="Trebuchet MS"/>
                          <w:b/>
                          <w:sz w:val="20"/>
                        </w:rPr>
                        <w:t xml:space="preserve">commissioned by </w:t>
                      </w:r>
                      <w:r w:rsidRPr="00EA188B">
                        <w:rPr>
                          <w:rFonts w:ascii="Trebuchet MS" w:hAnsi="Trebuchet MS"/>
                          <w:b/>
                          <w:sz w:val="20"/>
                        </w:rPr>
                        <w:t xml:space="preserve">the European Federation of Public Service Unions (EPSU) </w:t>
                      </w:r>
                      <w:hyperlink r:id="rId13" w:history="1">
                        <w:r w:rsidRPr="00EA188B">
                          <w:rPr>
                            <w:rStyle w:val="Hyperlink"/>
                            <w:rFonts w:ascii="Trebuchet MS" w:hAnsi="Trebuchet MS"/>
                            <w:b/>
                            <w:sz w:val="20"/>
                          </w:rPr>
                          <w:t>www.epsu.org</w:t>
                        </w:r>
                      </w:hyperlink>
                    </w:p>
                  </w:txbxContent>
                </v:textbox>
                <w10:wrap type="square" side="right"/>
              </v:shape>
            </w:pict>
          </mc:Fallback>
        </mc:AlternateContent>
      </w:r>
    </w:p>
    <w:p w:rsidR="0081577E" w:rsidRDefault="0081577E" w:rsidP="00C20030">
      <w:pPr>
        <w:jc w:val="center"/>
      </w:pPr>
    </w:p>
    <w:p w:rsidR="0081577E" w:rsidRDefault="0081577E" w:rsidP="00C20030">
      <w:pPr>
        <w:jc w:val="center"/>
      </w:pPr>
    </w:p>
    <w:p w:rsidR="00C20030" w:rsidRPr="005F2580" w:rsidRDefault="009C5510" w:rsidP="00C20030">
      <w:pPr>
        <w:jc w:val="center"/>
      </w:pPr>
      <w:r>
        <w:t>August 2012</w:t>
      </w:r>
    </w:p>
    <w:p w:rsidR="002866C7" w:rsidRDefault="002866C7" w:rsidP="00CC6A07">
      <w:pPr>
        <w:jc w:val="center"/>
      </w:pPr>
    </w:p>
    <w:p w:rsidR="002866C7" w:rsidRDefault="002866C7" w:rsidP="00CC6A07">
      <w:pPr>
        <w:jc w:val="center"/>
      </w:pPr>
    </w:p>
    <w:bookmarkStart w:id="0" w:name="_GoBack"/>
    <w:bookmarkEnd w:id="0"/>
    <w:p w:rsidR="00081F2D" w:rsidRDefault="00671179">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r>
        <w:rPr>
          <w:b w:val="0"/>
          <w:bCs w:val="0"/>
          <w:caps w:val="0"/>
          <w:sz w:val="18"/>
          <w:szCs w:val="18"/>
        </w:rPr>
        <w:fldChar w:fldCharType="begin"/>
      </w:r>
      <w:r w:rsidR="00C20030">
        <w:rPr>
          <w:b w:val="0"/>
          <w:bCs w:val="0"/>
          <w:caps w:val="0"/>
          <w:sz w:val="18"/>
          <w:szCs w:val="18"/>
        </w:rPr>
        <w:instrText xml:space="preserve"> TOC \o "3-4" \h \z \t "Heading 1,1,Heading 2,2,Heading 5,4,Heading 6,4,Heading 7,4,Heading 8,4,Heading 9,1" </w:instrText>
      </w:r>
      <w:r>
        <w:rPr>
          <w:b w:val="0"/>
          <w:bCs w:val="0"/>
          <w:caps w:val="0"/>
          <w:sz w:val="18"/>
          <w:szCs w:val="18"/>
        </w:rPr>
        <w:fldChar w:fldCharType="separate"/>
      </w:r>
      <w:hyperlink w:anchor="_Toc336267592" w:history="1">
        <w:r w:rsidR="00081F2D" w:rsidRPr="00D71DD4">
          <w:rPr>
            <w:rStyle w:val="Hyperlink"/>
            <w:noProof/>
          </w:rPr>
          <w:t>1.</w:t>
        </w:r>
        <w:r w:rsidR="00081F2D">
          <w:rPr>
            <w:rFonts w:asciiTheme="minorHAnsi" w:eastAsiaTheme="minorEastAsia" w:hAnsiTheme="minorHAnsi" w:cstheme="minorBidi"/>
            <w:b w:val="0"/>
            <w:bCs w:val="0"/>
            <w:caps w:val="0"/>
            <w:noProof/>
            <w:sz w:val="22"/>
            <w:szCs w:val="22"/>
            <w:lang w:eastAsia="en-GB"/>
          </w:rPr>
          <w:tab/>
        </w:r>
        <w:r w:rsidR="00081F2D" w:rsidRPr="00D71DD4">
          <w:rPr>
            <w:rStyle w:val="Hyperlink"/>
            <w:noProof/>
          </w:rPr>
          <w:t>Introduction</w:t>
        </w:r>
        <w:r w:rsidR="00081F2D">
          <w:rPr>
            <w:noProof/>
            <w:webHidden/>
          </w:rPr>
          <w:tab/>
        </w:r>
        <w:r w:rsidR="00081F2D">
          <w:rPr>
            <w:noProof/>
            <w:webHidden/>
          </w:rPr>
          <w:fldChar w:fldCharType="begin"/>
        </w:r>
        <w:r w:rsidR="00081F2D">
          <w:rPr>
            <w:noProof/>
            <w:webHidden/>
          </w:rPr>
          <w:instrText xml:space="preserve"> PAGEREF _Toc336267592 \h </w:instrText>
        </w:r>
        <w:r w:rsidR="00081F2D">
          <w:rPr>
            <w:noProof/>
            <w:webHidden/>
          </w:rPr>
        </w:r>
        <w:r w:rsidR="00081F2D">
          <w:rPr>
            <w:noProof/>
            <w:webHidden/>
          </w:rPr>
          <w:fldChar w:fldCharType="separate"/>
        </w:r>
        <w:r w:rsidR="00081F2D">
          <w:rPr>
            <w:noProof/>
            <w:webHidden/>
          </w:rPr>
          <w:t>3</w:t>
        </w:r>
        <w:r w:rsidR="00081F2D">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593" w:history="1">
        <w:r w:rsidRPr="00D71DD4">
          <w:rPr>
            <w:rStyle w:val="Hyperlink"/>
            <w:noProof/>
          </w:rPr>
          <w:t>2.</w:t>
        </w:r>
        <w:r>
          <w:rPr>
            <w:rFonts w:asciiTheme="minorHAnsi" w:eastAsiaTheme="minorEastAsia" w:hAnsiTheme="minorHAnsi" w:cstheme="minorBidi"/>
            <w:b w:val="0"/>
            <w:bCs w:val="0"/>
            <w:caps w:val="0"/>
            <w:noProof/>
            <w:sz w:val="22"/>
            <w:szCs w:val="22"/>
            <w:lang w:eastAsia="en-GB"/>
          </w:rPr>
          <w:tab/>
        </w:r>
        <w:r w:rsidRPr="00D71DD4">
          <w:rPr>
            <w:rStyle w:val="Hyperlink"/>
            <w:noProof/>
          </w:rPr>
          <w:t>Companies</w:t>
        </w:r>
        <w:r>
          <w:rPr>
            <w:noProof/>
            <w:webHidden/>
          </w:rPr>
          <w:tab/>
        </w:r>
        <w:r>
          <w:rPr>
            <w:noProof/>
            <w:webHidden/>
          </w:rPr>
          <w:fldChar w:fldCharType="begin"/>
        </w:r>
        <w:r>
          <w:rPr>
            <w:noProof/>
            <w:webHidden/>
          </w:rPr>
          <w:instrText xml:space="preserve"> PAGEREF _Toc336267593 \h </w:instrText>
        </w:r>
        <w:r>
          <w:rPr>
            <w:noProof/>
            <w:webHidden/>
          </w:rPr>
        </w:r>
        <w:r>
          <w:rPr>
            <w:noProof/>
            <w:webHidden/>
          </w:rPr>
          <w:fldChar w:fldCharType="separate"/>
        </w:r>
        <w:r>
          <w:rPr>
            <w:noProof/>
            <w:webHidden/>
          </w:rPr>
          <w:t>3</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594" w:history="1">
        <w:r w:rsidRPr="00D71DD4">
          <w:rPr>
            <w:rStyle w:val="Hyperlink"/>
          </w:rPr>
          <w:t>2.1.</w:t>
        </w:r>
        <w:r>
          <w:rPr>
            <w:rFonts w:asciiTheme="minorHAnsi" w:eastAsiaTheme="minorEastAsia" w:hAnsiTheme="minorHAnsi" w:cstheme="minorBidi"/>
            <w:smallCaps w:val="0"/>
            <w:sz w:val="22"/>
            <w:szCs w:val="22"/>
            <w:lang w:eastAsia="en-GB"/>
          </w:rPr>
          <w:tab/>
        </w:r>
        <w:r w:rsidRPr="00D71DD4">
          <w:rPr>
            <w:rStyle w:val="Hyperlink"/>
          </w:rPr>
          <w:t>Largest companies by size</w:t>
        </w:r>
        <w:r>
          <w:rPr>
            <w:webHidden/>
          </w:rPr>
          <w:tab/>
        </w:r>
        <w:r>
          <w:rPr>
            <w:webHidden/>
          </w:rPr>
          <w:fldChar w:fldCharType="begin"/>
        </w:r>
        <w:r>
          <w:rPr>
            <w:webHidden/>
          </w:rPr>
          <w:instrText xml:space="preserve"> PAGEREF _Toc336267594 \h </w:instrText>
        </w:r>
        <w:r>
          <w:rPr>
            <w:webHidden/>
          </w:rPr>
        </w:r>
        <w:r>
          <w:rPr>
            <w:webHidden/>
          </w:rPr>
          <w:fldChar w:fldCharType="separate"/>
        </w:r>
        <w:r>
          <w:rPr>
            <w:webHidden/>
          </w:rPr>
          <w:t>3</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595" w:history="1">
        <w:r w:rsidRPr="00D71DD4">
          <w:rPr>
            <w:rStyle w:val="Hyperlink"/>
          </w:rPr>
          <w:t>2.2.</w:t>
        </w:r>
        <w:r>
          <w:rPr>
            <w:rFonts w:asciiTheme="minorHAnsi" w:eastAsiaTheme="minorEastAsia" w:hAnsiTheme="minorHAnsi" w:cstheme="minorBidi"/>
            <w:smallCaps w:val="0"/>
            <w:sz w:val="22"/>
            <w:szCs w:val="22"/>
            <w:lang w:eastAsia="en-GB"/>
          </w:rPr>
          <w:tab/>
        </w:r>
        <w:r w:rsidRPr="00D71DD4">
          <w:rPr>
            <w:rStyle w:val="Hyperlink"/>
          </w:rPr>
          <w:t>Companies eligible for EWCs</w:t>
        </w:r>
        <w:r>
          <w:rPr>
            <w:webHidden/>
          </w:rPr>
          <w:tab/>
        </w:r>
        <w:r>
          <w:rPr>
            <w:webHidden/>
          </w:rPr>
          <w:fldChar w:fldCharType="begin"/>
        </w:r>
        <w:r>
          <w:rPr>
            <w:webHidden/>
          </w:rPr>
          <w:instrText xml:space="preserve"> PAGEREF _Toc336267595 \h </w:instrText>
        </w:r>
        <w:r>
          <w:rPr>
            <w:webHidden/>
          </w:rPr>
        </w:r>
        <w:r>
          <w:rPr>
            <w:webHidden/>
          </w:rPr>
          <w:fldChar w:fldCharType="separate"/>
        </w:r>
        <w:r>
          <w:rPr>
            <w:webHidden/>
          </w:rPr>
          <w:t>5</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596" w:history="1">
        <w:r w:rsidRPr="00D71DD4">
          <w:rPr>
            <w:rStyle w:val="Hyperlink"/>
          </w:rPr>
          <w:t>2.3.</w:t>
        </w:r>
        <w:r>
          <w:rPr>
            <w:rFonts w:asciiTheme="minorHAnsi" w:eastAsiaTheme="minorEastAsia" w:hAnsiTheme="minorHAnsi" w:cstheme="minorBidi"/>
            <w:smallCaps w:val="0"/>
            <w:sz w:val="22"/>
            <w:szCs w:val="22"/>
            <w:lang w:eastAsia="en-GB"/>
          </w:rPr>
          <w:tab/>
        </w:r>
        <w:r w:rsidRPr="00D71DD4">
          <w:rPr>
            <w:rStyle w:val="Hyperlink"/>
          </w:rPr>
          <w:t>Major companies</w:t>
        </w:r>
        <w:r>
          <w:rPr>
            <w:webHidden/>
          </w:rPr>
          <w:tab/>
        </w:r>
        <w:r>
          <w:rPr>
            <w:webHidden/>
          </w:rPr>
          <w:fldChar w:fldCharType="begin"/>
        </w:r>
        <w:r>
          <w:rPr>
            <w:webHidden/>
          </w:rPr>
          <w:instrText xml:space="preserve"> PAGEREF _Toc336267596 \h </w:instrText>
        </w:r>
        <w:r>
          <w:rPr>
            <w:webHidden/>
          </w:rPr>
        </w:r>
        <w:r>
          <w:rPr>
            <w:webHidden/>
          </w:rPr>
          <w:fldChar w:fldCharType="separate"/>
        </w:r>
        <w:r>
          <w:rPr>
            <w:webHidden/>
          </w:rPr>
          <w:t>6</w:t>
        </w:r>
        <w:r>
          <w:rPr>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597" w:history="1">
        <w:r w:rsidRPr="00D71DD4">
          <w:rPr>
            <w:rStyle w:val="Hyperlink"/>
            <w:noProof/>
          </w:rPr>
          <w:t>2.3.1.</w:t>
        </w:r>
        <w:r>
          <w:rPr>
            <w:rFonts w:asciiTheme="minorHAnsi" w:eastAsiaTheme="minorEastAsia" w:hAnsiTheme="minorHAnsi" w:cstheme="minorBidi"/>
            <w:i w:val="0"/>
            <w:iCs w:val="0"/>
            <w:noProof/>
            <w:sz w:val="22"/>
            <w:szCs w:val="22"/>
            <w:lang w:eastAsia="en-GB"/>
          </w:rPr>
          <w:tab/>
        </w:r>
        <w:r w:rsidRPr="00D71DD4">
          <w:rPr>
            <w:rStyle w:val="Hyperlink"/>
            <w:noProof/>
          </w:rPr>
          <w:t>Veolia</w:t>
        </w:r>
        <w:r>
          <w:rPr>
            <w:noProof/>
            <w:webHidden/>
          </w:rPr>
          <w:tab/>
        </w:r>
        <w:r>
          <w:rPr>
            <w:noProof/>
            <w:webHidden/>
          </w:rPr>
          <w:fldChar w:fldCharType="begin"/>
        </w:r>
        <w:r>
          <w:rPr>
            <w:noProof/>
            <w:webHidden/>
          </w:rPr>
          <w:instrText xml:space="preserve"> PAGEREF _Toc336267597 \h </w:instrText>
        </w:r>
        <w:r>
          <w:rPr>
            <w:noProof/>
            <w:webHidden/>
          </w:rPr>
        </w:r>
        <w:r>
          <w:rPr>
            <w:noProof/>
            <w:webHidden/>
          </w:rPr>
          <w:fldChar w:fldCharType="separate"/>
        </w:r>
        <w:r>
          <w:rPr>
            <w:noProof/>
            <w:webHidden/>
          </w:rPr>
          <w:t>6</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598" w:history="1">
        <w:r w:rsidRPr="00D71DD4">
          <w:rPr>
            <w:rStyle w:val="Hyperlink"/>
            <w:noProof/>
          </w:rPr>
          <w:t>2.3.2.</w:t>
        </w:r>
        <w:r>
          <w:rPr>
            <w:rFonts w:asciiTheme="minorHAnsi" w:eastAsiaTheme="minorEastAsia" w:hAnsiTheme="minorHAnsi" w:cstheme="minorBidi"/>
            <w:i w:val="0"/>
            <w:iCs w:val="0"/>
            <w:noProof/>
            <w:sz w:val="22"/>
            <w:szCs w:val="22"/>
            <w:lang w:eastAsia="en-GB"/>
          </w:rPr>
          <w:tab/>
        </w:r>
        <w:r w:rsidRPr="00D71DD4">
          <w:rPr>
            <w:rStyle w:val="Hyperlink"/>
            <w:noProof/>
          </w:rPr>
          <w:t>Suez</w:t>
        </w:r>
        <w:r>
          <w:rPr>
            <w:noProof/>
            <w:webHidden/>
          </w:rPr>
          <w:tab/>
        </w:r>
        <w:r>
          <w:rPr>
            <w:noProof/>
            <w:webHidden/>
          </w:rPr>
          <w:fldChar w:fldCharType="begin"/>
        </w:r>
        <w:r>
          <w:rPr>
            <w:noProof/>
            <w:webHidden/>
          </w:rPr>
          <w:instrText xml:space="preserve"> PAGEREF _Toc336267598 \h </w:instrText>
        </w:r>
        <w:r>
          <w:rPr>
            <w:noProof/>
            <w:webHidden/>
          </w:rPr>
        </w:r>
        <w:r>
          <w:rPr>
            <w:noProof/>
            <w:webHidden/>
          </w:rPr>
          <w:fldChar w:fldCharType="separate"/>
        </w:r>
        <w:r>
          <w:rPr>
            <w:noProof/>
            <w:webHidden/>
          </w:rPr>
          <w:t>7</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599" w:history="1">
        <w:r w:rsidRPr="00D71DD4">
          <w:rPr>
            <w:rStyle w:val="Hyperlink"/>
            <w:noProof/>
          </w:rPr>
          <w:t>2.3.3.</w:t>
        </w:r>
        <w:r>
          <w:rPr>
            <w:rFonts w:asciiTheme="minorHAnsi" w:eastAsiaTheme="minorEastAsia" w:hAnsiTheme="minorHAnsi" w:cstheme="minorBidi"/>
            <w:i w:val="0"/>
            <w:iCs w:val="0"/>
            <w:noProof/>
            <w:sz w:val="22"/>
            <w:szCs w:val="22"/>
            <w:lang w:eastAsia="en-GB"/>
          </w:rPr>
          <w:tab/>
        </w:r>
        <w:r w:rsidRPr="00D71DD4">
          <w:rPr>
            <w:rStyle w:val="Hyperlink"/>
            <w:noProof/>
          </w:rPr>
          <w:t>Remondis</w:t>
        </w:r>
        <w:r>
          <w:rPr>
            <w:noProof/>
            <w:webHidden/>
          </w:rPr>
          <w:tab/>
        </w:r>
        <w:r>
          <w:rPr>
            <w:noProof/>
            <w:webHidden/>
          </w:rPr>
          <w:fldChar w:fldCharType="begin"/>
        </w:r>
        <w:r>
          <w:rPr>
            <w:noProof/>
            <w:webHidden/>
          </w:rPr>
          <w:instrText xml:space="preserve"> PAGEREF _Toc336267599 \h </w:instrText>
        </w:r>
        <w:r>
          <w:rPr>
            <w:noProof/>
            <w:webHidden/>
          </w:rPr>
        </w:r>
        <w:r>
          <w:rPr>
            <w:noProof/>
            <w:webHidden/>
          </w:rPr>
          <w:fldChar w:fldCharType="separate"/>
        </w:r>
        <w:r>
          <w:rPr>
            <w:noProof/>
            <w:webHidden/>
          </w:rPr>
          <w:t>8</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00" w:history="1">
        <w:r w:rsidRPr="00D71DD4">
          <w:rPr>
            <w:rStyle w:val="Hyperlink"/>
            <w:noProof/>
          </w:rPr>
          <w:t>2.3.4.</w:t>
        </w:r>
        <w:r>
          <w:rPr>
            <w:rFonts w:asciiTheme="minorHAnsi" w:eastAsiaTheme="minorEastAsia" w:hAnsiTheme="minorHAnsi" w:cstheme="minorBidi"/>
            <w:i w:val="0"/>
            <w:iCs w:val="0"/>
            <w:noProof/>
            <w:sz w:val="22"/>
            <w:szCs w:val="22"/>
            <w:lang w:eastAsia="en-GB"/>
          </w:rPr>
          <w:tab/>
        </w:r>
        <w:r w:rsidRPr="00D71DD4">
          <w:rPr>
            <w:rStyle w:val="Hyperlink"/>
            <w:noProof/>
          </w:rPr>
          <w:t>FCC</w:t>
        </w:r>
        <w:r>
          <w:rPr>
            <w:noProof/>
            <w:webHidden/>
          </w:rPr>
          <w:tab/>
        </w:r>
        <w:r>
          <w:rPr>
            <w:noProof/>
            <w:webHidden/>
          </w:rPr>
          <w:fldChar w:fldCharType="begin"/>
        </w:r>
        <w:r>
          <w:rPr>
            <w:noProof/>
            <w:webHidden/>
          </w:rPr>
          <w:instrText xml:space="preserve"> PAGEREF _Toc336267600 \h </w:instrText>
        </w:r>
        <w:r>
          <w:rPr>
            <w:noProof/>
            <w:webHidden/>
          </w:rPr>
        </w:r>
        <w:r>
          <w:rPr>
            <w:noProof/>
            <w:webHidden/>
          </w:rPr>
          <w:fldChar w:fldCharType="separate"/>
        </w:r>
        <w:r>
          <w:rPr>
            <w:noProof/>
            <w:webHidden/>
          </w:rPr>
          <w:t>8</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01" w:history="1">
        <w:r w:rsidRPr="00D71DD4">
          <w:rPr>
            <w:rStyle w:val="Hyperlink"/>
            <w:noProof/>
          </w:rPr>
          <w:t>2.3.5.</w:t>
        </w:r>
        <w:r>
          <w:rPr>
            <w:rFonts w:asciiTheme="minorHAnsi" w:eastAsiaTheme="minorEastAsia" w:hAnsiTheme="minorHAnsi" w:cstheme="minorBidi"/>
            <w:i w:val="0"/>
            <w:iCs w:val="0"/>
            <w:noProof/>
            <w:sz w:val="22"/>
            <w:szCs w:val="22"/>
            <w:lang w:eastAsia="en-GB"/>
          </w:rPr>
          <w:tab/>
        </w:r>
        <w:r w:rsidRPr="00D71DD4">
          <w:rPr>
            <w:rStyle w:val="Hyperlink"/>
            <w:noProof/>
          </w:rPr>
          <w:t>Van Gansewinkel/AVR</w:t>
        </w:r>
        <w:r>
          <w:rPr>
            <w:noProof/>
            <w:webHidden/>
          </w:rPr>
          <w:tab/>
        </w:r>
        <w:r>
          <w:rPr>
            <w:noProof/>
            <w:webHidden/>
          </w:rPr>
          <w:fldChar w:fldCharType="begin"/>
        </w:r>
        <w:r>
          <w:rPr>
            <w:noProof/>
            <w:webHidden/>
          </w:rPr>
          <w:instrText xml:space="preserve"> PAGEREF _Toc336267601 \h </w:instrText>
        </w:r>
        <w:r>
          <w:rPr>
            <w:noProof/>
            <w:webHidden/>
          </w:rPr>
        </w:r>
        <w:r>
          <w:rPr>
            <w:noProof/>
            <w:webHidden/>
          </w:rPr>
          <w:fldChar w:fldCharType="separate"/>
        </w:r>
        <w:r>
          <w:rPr>
            <w:noProof/>
            <w:webHidden/>
          </w:rPr>
          <w:t>8</w:t>
        </w:r>
        <w:r>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02" w:history="1">
        <w:r w:rsidRPr="00D71DD4">
          <w:rPr>
            <w:rStyle w:val="Hyperlink"/>
            <w:noProof/>
          </w:rPr>
          <w:t>3.</w:t>
        </w:r>
        <w:r>
          <w:rPr>
            <w:rFonts w:asciiTheme="minorHAnsi" w:eastAsiaTheme="minorEastAsia" w:hAnsiTheme="minorHAnsi" w:cstheme="minorBidi"/>
            <w:b w:val="0"/>
            <w:bCs w:val="0"/>
            <w:caps w:val="0"/>
            <w:noProof/>
            <w:sz w:val="22"/>
            <w:szCs w:val="22"/>
            <w:lang w:eastAsia="en-GB"/>
          </w:rPr>
          <w:tab/>
        </w:r>
        <w:r w:rsidRPr="00D71DD4">
          <w:rPr>
            <w:rStyle w:val="Hyperlink"/>
            <w:noProof/>
          </w:rPr>
          <w:t>Employment</w:t>
        </w:r>
        <w:r>
          <w:rPr>
            <w:noProof/>
            <w:webHidden/>
          </w:rPr>
          <w:tab/>
        </w:r>
        <w:r>
          <w:rPr>
            <w:noProof/>
            <w:webHidden/>
          </w:rPr>
          <w:fldChar w:fldCharType="begin"/>
        </w:r>
        <w:r>
          <w:rPr>
            <w:noProof/>
            <w:webHidden/>
          </w:rPr>
          <w:instrText xml:space="preserve"> PAGEREF _Toc336267602 \h </w:instrText>
        </w:r>
        <w:r>
          <w:rPr>
            <w:noProof/>
            <w:webHidden/>
          </w:rPr>
        </w:r>
        <w:r>
          <w:rPr>
            <w:noProof/>
            <w:webHidden/>
          </w:rPr>
          <w:fldChar w:fldCharType="separate"/>
        </w:r>
        <w:r>
          <w:rPr>
            <w:noProof/>
            <w:webHidden/>
          </w:rPr>
          <w:t>9</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03" w:history="1">
        <w:r w:rsidRPr="00D71DD4">
          <w:rPr>
            <w:rStyle w:val="Hyperlink"/>
          </w:rPr>
          <w:t>3.1.</w:t>
        </w:r>
        <w:r>
          <w:rPr>
            <w:rFonts w:asciiTheme="minorHAnsi" w:eastAsiaTheme="minorEastAsia" w:hAnsiTheme="minorHAnsi" w:cstheme="minorBidi"/>
            <w:smallCaps w:val="0"/>
            <w:sz w:val="22"/>
            <w:szCs w:val="22"/>
            <w:lang w:eastAsia="en-GB"/>
          </w:rPr>
          <w:tab/>
        </w:r>
        <w:r w:rsidRPr="00D71DD4">
          <w:rPr>
            <w:rStyle w:val="Hyperlink"/>
          </w:rPr>
          <w:t>Employment in waste management in EU countries</w:t>
        </w:r>
        <w:r>
          <w:rPr>
            <w:webHidden/>
          </w:rPr>
          <w:tab/>
        </w:r>
        <w:r>
          <w:rPr>
            <w:webHidden/>
          </w:rPr>
          <w:fldChar w:fldCharType="begin"/>
        </w:r>
        <w:r>
          <w:rPr>
            <w:webHidden/>
          </w:rPr>
          <w:instrText xml:space="preserve"> PAGEREF _Toc336267603 \h </w:instrText>
        </w:r>
        <w:r>
          <w:rPr>
            <w:webHidden/>
          </w:rPr>
        </w:r>
        <w:r>
          <w:rPr>
            <w:webHidden/>
          </w:rPr>
          <w:fldChar w:fldCharType="separate"/>
        </w:r>
        <w:r>
          <w:rPr>
            <w:webHidden/>
          </w:rPr>
          <w:t>9</w:t>
        </w:r>
        <w:r>
          <w:rPr>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04" w:history="1">
        <w:r w:rsidRPr="00D71DD4">
          <w:rPr>
            <w:rStyle w:val="Hyperlink"/>
            <w:noProof/>
          </w:rPr>
          <w:t>Table 8.</w:t>
        </w:r>
        <w:r>
          <w:rPr>
            <w:rFonts w:asciiTheme="minorHAnsi" w:eastAsiaTheme="minorEastAsia" w:hAnsiTheme="minorHAnsi" w:cstheme="minorBidi"/>
            <w:noProof/>
            <w:sz w:val="22"/>
            <w:szCs w:val="22"/>
            <w:lang w:eastAsia="en-GB"/>
          </w:rPr>
          <w:tab/>
        </w:r>
        <w:r w:rsidRPr="00D71DD4">
          <w:rPr>
            <w:rStyle w:val="Hyperlink"/>
            <w:noProof/>
          </w:rPr>
          <w:t>Employment in waste sector by country, EU, 2008 to 20011</w:t>
        </w:r>
        <w:r>
          <w:rPr>
            <w:noProof/>
            <w:webHidden/>
          </w:rPr>
          <w:tab/>
        </w:r>
        <w:r>
          <w:rPr>
            <w:noProof/>
            <w:webHidden/>
          </w:rPr>
          <w:fldChar w:fldCharType="begin"/>
        </w:r>
        <w:r>
          <w:rPr>
            <w:noProof/>
            <w:webHidden/>
          </w:rPr>
          <w:instrText xml:space="preserve"> PAGEREF _Toc336267604 \h </w:instrText>
        </w:r>
        <w:r>
          <w:rPr>
            <w:noProof/>
            <w:webHidden/>
          </w:rPr>
        </w:r>
        <w:r>
          <w:rPr>
            <w:noProof/>
            <w:webHidden/>
          </w:rPr>
          <w:fldChar w:fldCharType="separate"/>
        </w:r>
        <w:r>
          <w:rPr>
            <w:noProof/>
            <w:webHidden/>
          </w:rPr>
          <w:t>10</w:t>
        </w:r>
        <w:r>
          <w:rPr>
            <w:noProof/>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05" w:history="1">
        <w:r w:rsidRPr="00D71DD4">
          <w:rPr>
            <w:rStyle w:val="Hyperlink"/>
            <w:noProof/>
          </w:rPr>
          <w:t>Chart B.</w:t>
        </w:r>
        <w:r>
          <w:rPr>
            <w:rFonts w:asciiTheme="minorHAnsi" w:eastAsiaTheme="minorEastAsia" w:hAnsiTheme="minorHAnsi" w:cstheme="minorBidi"/>
            <w:noProof/>
            <w:sz w:val="22"/>
            <w:szCs w:val="22"/>
            <w:lang w:eastAsia="en-GB"/>
          </w:rPr>
          <w:tab/>
        </w:r>
        <w:r w:rsidRPr="00D71DD4">
          <w:rPr>
            <w:rStyle w:val="Hyperlink"/>
            <w:noProof/>
          </w:rPr>
          <w:t>Changes in employment in waste sector, largest EU countries + Turkey</w:t>
        </w:r>
        <w:r>
          <w:rPr>
            <w:noProof/>
            <w:webHidden/>
          </w:rPr>
          <w:tab/>
        </w:r>
        <w:r>
          <w:rPr>
            <w:noProof/>
            <w:webHidden/>
          </w:rPr>
          <w:fldChar w:fldCharType="begin"/>
        </w:r>
        <w:r>
          <w:rPr>
            <w:noProof/>
            <w:webHidden/>
          </w:rPr>
          <w:instrText xml:space="preserve"> PAGEREF _Toc336267605 \h </w:instrText>
        </w:r>
        <w:r>
          <w:rPr>
            <w:noProof/>
            <w:webHidden/>
          </w:rPr>
        </w:r>
        <w:r>
          <w:rPr>
            <w:noProof/>
            <w:webHidden/>
          </w:rPr>
          <w:fldChar w:fldCharType="separate"/>
        </w:r>
        <w:r>
          <w:rPr>
            <w:noProof/>
            <w:webHidden/>
          </w:rPr>
          <w:t>11</w:t>
        </w:r>
        <w:r>
          <w:rPr>
            <w:noProof/>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06" w:history="1">
        <w:r w:rsidRPr="00D71DD4">
          <w:rPr>
            <w:rStyle w:val="Hyperlink"/>
            <w:noProof/>
          </w:rPr>
          <w:t>Table 9.</w:t>
        </w:r>
        <w:r>
          <w:rPr>
            <w:rFonts w:asciiTheme="minorHAnsi" w:eastAsiaTheme="minorEastAsia" w:hAnsiTheme="minorHAnsi" w:cstheme="minorBidi"/>
            <w:noProof/>
            <w:sz w:val="22"/>
            <w:szCs w:val="22"/>
            <w:lang w:eastAsia="en-GB"/>
          </w:rPr>
          <w:tab/>
        </w:r>
        <w:r w:rsidRPr="00D71DD4">
          <w:rPr>
            <w:rStyle w:val="Hyperlink"/>
            <w:noProof/>
          </w:rPr>
          <w:t>Employment in waste sector, 2009-2010, France and UK reports</w:t>
        </w:r>
        <w:r>
          <w:rPr>
            <w:noProof/>
            <w:webHidden/>
          </w:rPr>
          <w:tab/>
        </w:r>
        <w:r>
          <w:rPr>
            <w:noProof/>
            <w:webHidden/>
          </w:rPr>
          <w:fldChar w:fldCharType="begin"/>
        </w:r>
        <w:r>
          <w:rPr>
            <w:noProof/>
            <w:webHidden/>
          </w:rPr>
          <w:instrText xml:space="preserve"> PAGEREF _Toc336267606 \h </w:instrText>
        </w:r>
        <w:r>
          <w:rPr>
            <w:noProof/>
            <w:webHidden/>
          </w:rPr>
        </w:r>
        <w:r>
          <w:rPr>
            <w:noProof/>
            <w:webHidden/>
          </w:rPr>
          <w:fldChar w:fldCharType="separate"/>
        </w:r>
        <w:r>
          <w:rPr>
            <w:noProof/>
            <w:webHidden/>
          </w:rPr>
          <w:t>11</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07" w:history="1">
        <w:r w:rsidRPr="00D71DD4">
          <w:rPr>
            <w:rStyle w:val="Hyperlink"/>
          </w:rPr>
          <w:t>3.2.</w:t>
        </w:r>
        <w:r>
          <w:rPr>
            <w:rFonts w:asciiTheme="minorHAnsi" w:eastAsiaTheme="minorEastAsia" w:hAnsiTheme="minorHAnsi" w:cstheme="minorBidi"/>
            <w:smallCaps w:val="0"/>
            <w:sz w:val="22"/>
            <w:szCs w:val="22"/>
            <w:lang w:eastAsia="en-GB"/>
          </w:rPr>
          <w:tab/>
        </w:r>
        <w:r w:rsidRPr="00D71DD4">
          <w:rPr>
            <w:rStyle w:val="Hyperlink"/>
          </w:rPr>
          <w:t>Overall estimate for Europe</w:t>
        </w:r>
        <w:r>
          <w:rPr>
            <w:webHidden/>
          </w:rPr>
          <w:tab/>
        </w:r>
        <w:r>
          <w:rPr>
            <w:webHidden/>
          </w:rPr>
          <w:fldChar w:fldCharType="begin"/>
        </w:r>
        <w:r>
          <w:rPr>
            <w:webHidden/>
          </w:rPr>
          <w:instrText xml:space="preserve"> PAGEREF _Toc336267607 \h </w:instrText>
        </w:r>
        <w:r>
          <w:rPr>
            <w:webHidden/>
          </w:rPr>
        </w:r>
        <w:r>
          <w:rPr>
            <w:webHidden/>
          </w:rPr>
          <w:fldChar w:fldCharType="separate"/>
        </w:r>
        <w:r>
          <w:rPr>
            <w:webHidden/>
          </w:rPr>
          <w:t>12</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08" w:history="1">
        <w:r w:rsidRPr="00D71DD4">
          <w:rPr>
            <w:rStyle w:val="Hyperlink"/>
          </w:rPr>
          <w:t>3.3.</w:t>
        </w:r>
        <w:r>
          <w:rPr>
            <w:rFonts w:asciiTheme="minorHAnsi" w:eastAsiaTheme="minorEastAsia" w:hAnsiTheme="minorHAnsi" w:cstheme="minorBidi"/>
            <w:smallCaps w:val="0"/>
            <w:sz w:val="22"/>
            <w:szCs w:val="22"/>
            <w:lang w:eastAsia="en-GB"/>
          </w:rPr>
          <w:tab/>
        </w:r>
        <w:r w:rsidRPr="00D71DD4">
          <w:rPr>
            <w:rStyle w:val="Hyperlink"/>
          </w:rPr>
          <w:t>Employment by different segments and occupation</w:t>
        </w:r>
        <w:r>
          <w:rPr>
            <w:webHidden/>
          </w:rPr>
          <w:tab/>
        </w:r>
        <w:r>
          <w:rPr>
            <w:webHidden/>
          </w:rPr>
          <w:fldChar w:fldCharType="begin"/>
        </w:r>
        <w:r>
          <w:rPr>
            <w:webHidden/>
          </w:rPr>
          <w:instrText xml:space="preserve"> PAGEREF _Toc336267608 \h </w:instrText>
        </w:r>
        <w:r>
          <w:rPr>
            <w:webHidden/>
          </w:rPr>
        </w:r>
        <w:r>
          <w:rPr>
            <w:webHidden/>
          </w:rPr>
          <w:fldChar w:fldCharType="separate"/>
        </w:r>
        <w:r>
          <w:rPr>
            <w:webHidden/>
          </w:rPr>
          <w:t>12</w:t>
        </w:r>
        <w:r>
          <w:rPr>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09" w:history="1">
        <w:r w:rsidRPr="00D71DD4">
          <w:rPr>
            <w:rStyle w:val="Hyperlink"/>
            <w:noProof/>
          </w:rPr>
          <w:t>Chart C.</w:t>
        </w:r>
        <w:r>
          <w:rPr>
            <w:rFonts w:asciiTheme="minorHAnsi" w:eastAsiaTheme="minorEastAsia" w:hAnsiTheme="minorHAnsi" w:cstheme="minorBidi"/>
            <w:noProof/>
            <w:sz w:val="22"/>
            <w:szCs w:val="22"/>
            <w:lang w:eastAsia="en-GB"/>
          </w:rPr>
          <w:tab/>
        </w:r>
        <w:r w:rsidRPr="00D71DD4">
          <w:rPr>
            <w:rStyle w:val="Hyperlink"/>
            <w:noProof/>
          </w:rPr>
          <w:t>Employment in different segments of waste services (France, 2009)</w:t>
        </w:r>
        <w:r>
          <w:rPr>
            <w:noProof/>
            <w:webHidden/>
          </w:rPr>
          <w:tab/>
        </w:r>
        <w:r>
          <w:rPr>
            <w:noProof/>
            <w:webHidden/>
          </w:rPr>
          <w:fldChar w:fldCharType="begin"/>
        </w:r>
        <w:r>
          <w:rPr>
            <w:noProof/>
            <w:webHidden/>
          </w:rPr>
          <w:instrText xml:space="preserve"> PAGEREF _Toc336267609 \h </w:instrText>
        </w:r>
        <w:r>
          <w:rPr>
            <w:noProof/>
            <w:webHidden/>
          </w:rPr>
        </w:r>
        <w:r>
          <w:rPr>
            <w:noProof/>
            <w:webHidden/>
          </w:rPr>
          <w:fldChar w:fldCharType="separate"/>
        </w:r>
        <w:r>
          <w:rPr>
            <w:noProof/>
            <w:webHidden/>
          </w:rPr>
          <w:t>12</w:t>
        </w:r>
        <w:r>
          <w:rPr>
            <w:noProof/>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10" w:history="1">
        <w:r w:rsidRPr="00D71DD4">
          <w:rPr>
            <w:rStyle w:val="Hyperlink"/>
            <w:noProof/>
          </w:rPr>
          <w:t>Table 10.</w:t>
        </w:r>
        <w:r>
          <w:rPr>
            <w:rFonts w:asciiTheme="minorHAnsi" w:eastAsiaTheme="minorEastAsia" w:hAnsiTheme="minorHAnsi" w:cstheme="minorBidi"/>
            <w:noProof/>
            <w:sz w:val="22"/>
            <w:szCs w:val="22"/>
            <w:lang w:eastAsia="en-GB"/>
          </w:rPr>
          <w:tab/>
        </w:r>
        <w:r w:rsidRPr="00D71DD4">
          <w:rPr>
            <w:rStyle w:val="Hyperlink"/>
            <w:noProof/>
          </w:rPr>
          <w:t>Employment and productivity in different waste segments (France, 2009)</w:t>
        </w:r>
        <w:r>
          <w:rPr>
            <w:noProof/>
            <w:webHidden/>
          </w:rPr>
          <w:tab/>
        </w:r>
        <w:r>
          <w:rPr>
            <w:noProof/>
            <w:webHidden/>
          </w:rPr>
          <w:fldChar w:fldCharType="begin"/>
        </w:r>
        <w:r>
          <w:rPr>
            <w:noProof/>
            <w:webHidden/>
          </w:rPr>
          <w:instrText xml:space="preserve"> PAGEREF _Toc336267610 \h </w:instrText>
        </w:r>
        <w:r>
          <w:rPr>
            <w:noProof/>
            <w:webHidden/>
          </w:rPr>
        </w:r>
        <w:r>
          <w:rPr>
            <w:noProof/>
            <w:webHidden/>
          </w:rPr>
          <w:fldChar w:fldCharType="separate"/>
        </w:r>
        <w:r>
          <w:rPr>
            <w:noProof/>
            <w:webHidden/>
          </w:rPr>
          <w:t>13</w:t>
        </w:r>
        <w:r>
          <w:rPr>
            <w:noProof/>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11" w:history="1">
        <w:r w:rsidRPr="00D71DD4">
          <w:rPr>
            <w:rStyle w:val="Hyperlink"/>
            <w:noProof/>
          </w:rPr>
          <w:t>Table 11.</w:t>
        </w:r>
        <w:r>
          <w:rPr>
            <w:rFonts w:asciiTheme="minorHAnsi" w:eastAsiaTheme="minorEastAsia" w:hAnsiTheme="minorHAnsi" w:cstheme="minorBidi"/>
            <w:noProof/>
            <w:sz w:val="22"/>
            <w:szCs w:val="22"/>
            <w:lang w:eastAsia="en-GB"/>
          </w:rPr>
          <w:tab/>
        </w:r>
        <w:r w:rsidRPr="00D71DD4">
          <w:rPr>
            <w:rStyle w:val="Hyperlink"/>
            <w:noProof/>
          </w:rPr>
          <w:t>Employment and value added by sub-sector: UK 2010</w:t>
        </w:r>
        <w:r>
          <w:rPr>
            <w:noProof/>
            <w:webHidden/>
          </w:rPr>
          <w:tab/>
        </w:r>
        <w:r>
          <w:rPr>
            <w:noProof/>
            <w:webHidden/>
          </w:rPr>
          <w:fldChar w:fldCharType="begin"/>
        </w:r>
        <w:r>
          <w:rPr>
            <w:noProof/>
            <w:webHidden/>
          </w:rPr>
          <w:instrText xml:space="preserve"> PAGEREF _Toc336267611 \h </w:instrText>
        </w:r>
        <w:r>
          <w:rPr>
            <w:noProof/>
            <w:webHidden/>
          </w:rPr>
        </w:r>
        <w:r>
          <w:rPr>
            <w:noProof/>
            <w:webHidden/>
          </w:rPr>
          <w:fldChar w:fldCharType="separate"/>
        </w:r>
        <w:r>
          <w:rPr>
            <w:noProof/>
            <w:webHidden/>
          </w:rPr>
          <w:t>13</w:t>
        </w:r>
        <w:r>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12" w:history="1">
        <w:r w:rsidRPr="00D71DD4">
          <w:rPr>
            <w:rStyle w:val="Hyperlink"/>
            <w:noProof/>
          </w:rPr>
          <w:t>4.</w:t>
        </w:r>
        <w:r>
          <w:rPr>
            <w:rFonts w:asciiTheme="minorHAnsi" w:eastAsiaTheme="minorEastAsia" w:hAnsiTheme="minorHAnsi" w:cstheme="minorBidi"/>
            <w:b w:val="0"/>
            <w:bCs w:val="0"/>
            <w:caps w:val="0"/>
            <w:noProof/>
            <w:sz w:val="22"/>
            <w:szCs w:val="22"/>
            <w:lang w:eastAsia="en-GB"/>
          </w:rPr>
          <w:tab/>
        </w:r>
        <w:r w:rsidRPr="00D71DD4">
          <w:rPr>
            <w:rStyle w:val="Hyperlink"/>
            <w:noProof/>
          </w:rPr>
          <w:t>Public-private split</w:t>
        </w:r>
        <w:r>
          <w:rPr>
            <w:noProof/>
            <w:webHidden/>
          </w:rPr>
          <w:tab/>
        </w:r>
        <w:r>
          <w:rPr>
            <w:noProof/>
            <w:webHidden/>
          </w:rPr>
          <w:fldChar w:fldCharType="begin"/>
        </w:r>
        <w:r>
          <w:rPr>
            <w:noProof/>
            <w:webHidden/>
          </w:rPr>
          <w:instrText xml:space="preserve"> PAGEREF _Toc336267612 \h </w:instrText>
        </w:r>
        <w:r>
          <w:rPr>
            <w:noProof/>
            <w:webHidden/>
          </w:rPr>
        </w:r>
        <w:r>
          <w:rPr>
            <w:noProof/>
            <w:webHidden/>
          </w:rPr>
          <w:fldChar w:fldCharType="separate"/>
        </w:r>
        <w:r>
          <w:rPr>
            <w:noProof/>
            <w:webHidden/>
          </w:rPr>
          <w:t>14</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13" w:history="1">
        <w:r w:rsidRPr="00D71DD4">
          <w:rPr>
            <w:rStyle w:val="Hyperlink"/>
          </w:rPr>
          <w:t>4.1.</w:t>
        </w:r>
        <w:r>
          <w:rPr>
            <w:rFonts w:asciiTheme="minorHAnsi" w:eastAsiaTheme="minorEastAsia" w:hAnsiTheme="minorHAnsi" w:cstheme="minorBidi"/>
            <w:smallCaps w:val="0"/>
            <w:sz w:val="22"/>
            <w:szCs w:val="22"/>
            <w:lang w:eastAsia="en-GB"/>
          </w:rPr>
          <w:tab/>
        </w:r>
        <w:r w:rsidRPr="00D71DD4">
          <w:rPr>
            <w:rStyle w:val="Hyperlink"/>
          </w:rPr>
          <w:t>Public employment and public trust</w:t>
        </w:r>
        <w:r>
          <w:rPr>
            <w:webHidden/>
          </w:rPr>
          <w:tab/>
        </w:r>
        <w:r>
          <w:rPr>
            <w:webHidden/>
          </w:rPr>
          <w:fldChar w:fldCharType="begin"/>
        </w:r>
        <w:r>
          <w:rPr>
            <w:webHidden/>
          </w:rPr>
          <w:instrText xml:space="preserve"> PAGEREF _Toc336267613 \h </w:instrText>
        </w:r>
        <w:r>
          <w:rPr>
            <w:webHidden/>
          </w:rPr>
        </w:r>
        <w:r>
          <w:rPr>
            <w:webHidden/>
          </w:rPr>
          <w:fldChar w:fldCharType="separate"/>
        </w:r>
        <w:r>
          <w:rPr>
            <w:webHidden/>
          </w:rPr>
          <w:t>14</w:t>
        </w:r>
        <w:r>
          <w:rPr>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14" w:history="1">
        <w:r w:rsidRPr="00D71DD4">
          <w:rPr>
            <w:rStyle w:val="Hyperlink"/>
            <w:noProof/>
          </w:rPr>
          <w:t>Table 12.</w:t>
        </w:r>
        <w:r>
          <w:rPr>
            <w:rFonts w:asciiTheme="minorHAnsi" w:eastAsiaTheme="minorEastAsia" w:hAnsiTheme="minorHAnsi" w:cstheme="minorBidi"/>
            <w:noProof/>
            <w:sz w:val="22"/>
            <w:szCs w:val="22"/>
            <w:lang w:eastAsia="en-GB"/>
          </w:rPr>
          <w:tab/>
        </w:r>
        <w:r w:rsidRPr="00D71DD4">
          <w:rPr>
            <w:rStyle w:val="Hyperlink"/>
            <w:noProof/>
          </w:rPr>
          <w:t>Public/private split in employment: municipal waste collection</w:t>
        </w:r>
        <w:r>
          <w:rPr>
            <w:noProof/>
            <w:webHidden/>
          </w:rPr>
          <w:tab/>
        </w:r>
        <w:r>
          <w:rPr>
            <w:noProof/>
            <w:webHidden/>
          </w:rPr>
          <w:fldChar w:fldCharType="begin"/>
        </w:r>
        <w:r>
          <w:rPr>
            <w:noProof/>
            <w:webHidden/>
          </w:rPr>
          <w:instrText xml:space="preserve"> PAGEREF _Toc336267614 \h </w:instrText>
        </w:r>
        <w:r>
          <w:rPr>
            <w:noProof/>
            <w:webHidden/>
          </w:rPr>
        </w:r>
        <w:r>
          <w:rPr>
            <w:noProof/>
            <w:webHidden/>
          </w:rPr>
          <w:fldChar w:fldCharType="separate"/>
        </w:r>
        <w:r>
          <w:rPr>
            <w:noProof/>
            <w:webHidden/>
          </w:rPr>
          <w:t>14</w:t>
        </w:r>
        <w:r>
          <w:rPr>
            <w:noProof/>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15" w:history="1">
        <w:r w:rsidRPr="00D71DD4">
          <w:rPr>
            <w:rStyle w:val="Hyperlink"/>
            <w:noProof/>
          </w:rPr>
          <w:t>Table 13.</w:t>
        </w:r>
        <w:r>
          <w:rPr>
            <w:rFonts w:asciiTheme="minorHAnsi" w:eastAsiaTheme="minorEastAsia" w:hAnsiTheme="minorHAnsi" w:cstheme="minorBidi"/>
            <w:noProof/>
            <w:sz w:val="22"/>
            <w:szCs w:val="22"/>
            <w:lang w:eastAsia="en-GB"/>
          </w:rPr>
          <w:tab/>
        </w:r>
        <w:r w:rsidRPr="00D71DD4">
          <w:rPr>
            <w:rStyle w:val="Hyperlink"/>
            <w:noProof/>
          </w:rPr>
          <w:t>Public-private jobs in waste management by sub-sector: France 2009</w:t>
        </w:r>
        <w:r>
          <w:rPr>
            <w:noProof/>
            <w:webHidden/>
          </w:rPr>
          <w:tab/>
        </w:r>
        <w:r>
          <w:rPr>
            <w:noProof/>
            <w:webHidden/>
          </w:rPr>
          <w:fldChar w:fldCharType="begin"/>
        </w:r>
        <w:r>
          <w:rPr>
            <w:noProof/>
            <w:webHidden/>
          </w:rPr>
          <w:instrText xml:space="preserve"> PAGEREF _Toc336267615 \h </w:instrText>
        </w:r>
        <w:r>
          <w:rPr>
            <w:noProof/>
            <w:webHidden/>
          </w:rPr>
        </w:r>
        <w:r>
          <w:rPr>
            <w:noProof/>
            <w:webHidden/>
          </w:rPr>
          <w:fldChar w:fldCharType="separate"/>
        </w:r>
        <w:r>
          <w:rPr>
            <w:noProof/>
            <w:webHidden/>
          </w:rPr>
          <w:t>15</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16" w:history="1">
        <w:r w:rsidRPr="00D71DD4">
          <w:rPr>
            <w:rStyle w:val="Hyperlink"/>
          </w:rPr>
          <w:t>4.2.</w:t>
        </w:r>
        <w:r>
          <w:rPr>
            <w:rFonts w:asciiTheme="minorHAnsi" w:eastAsiaTheme="minorEastAsia" w:hAnsiTheme="minorHAnsi" w:cstheme="minorBidi"/>
            <w:smallCaps w:val="0"/>
            <w:sz w:val="22"/>
            <w:szCs w:val="22"/>
            <w:lang w:eastAsia="en-GB"/>
          </w:rPr>
          <w:tab/>
        </w:r>
        <w:r w:rsidRPr="00D71DD4">
          <w:rPr>
            <w:rStyle w:val="Hyperlink"/>
          </w:rPr>
          <w:t>Remunicipalisation</w:t>
        </w:r>
        <w:r>
          <w:rPr>
            <w:webHidden/>
          </w:rPr>
          <w:tab/>
        </w:r>
        <w:r>
          <w:rPr>
            <w:webHidden/>
          </w:rPr>
          <w:fldChar w:fldCharType="begin"/>
        </w:r>
        <w:r>
          <w:rPr>
            <w:webHidden/>
          </w:rPr>
          <w:instrText xml:space="preserve"> PAGEREF _Toc336267616 \h </w:instrText>
        </w:r>
        <w:r>
          <w:rPr>
            <w:webHidden/>
          </w:rPr>
        </w:r>
        <w:r>
          <w:rPr>
            <w:webHidden/>
          </w:rPr>
          <w:fldChar w:fldCharType="separate"/>
        </w:r>
        <w:r>
          <w:rPr>
            <w:webHidden/>
          </w:rPr>
          <w:t>15</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17" w:history="1">
        <w:r w:rsidRPr="00D71DD4">
          <w:rPr>
            <w:rStyle w:val="Hyperlink"/>
          </w:rPr>
          <w:t>4.3.</w:t>
        </w:r>
        <w:r>
          <w:rPr>
            <w:rFonts w:asciiTheme="minorHAnsi" w:eastAsiaTheme="minorEastAsia" w:hAnsiTheme="minorHAnsi" w:cstheme="minorBidi"/>
            <w:smallCaps w:val="0"/>
            <w:sz w:val="22"/>
            <w:szCs w:val="22"/>
            <w:lang w:eastAsia="en-GB"/>
          </w:rPr>
          <w:tab/>
        </w:r>
        <w:r w:rsidRPr="00D71DD4">
          <w:rPr>
            <w:rStyle w:val="Hyperlink"/>
          </w:rPr>
          <w:t>No public/private efficiency differences</w:t>
        </w:r>
        <w:r>
          <w:rPr>
            <w:webHidden/>
          </w:rPr>
          <w:tab/>
        </w:r>
        <w:r>
          <w:rPr>
            <w:webHidden/>
          </w:rPr>
          <w:fldChar w:fldCharType="begin"/>
        </w:r>
        <w:r>
          <w:rPr>
            <w:webHidden/>
          </w:rPr>
          <w:instrText xml:space="preserve"> PAGEREF _Toc336267617 \h </w:instrText>
        </w:r>
        <w:r>
          <w:rPr>
            <w:webHidden/>
          </w:rPr>
        </w:r>
        <w:r>
          <w:rPr>
            <w:webHidden/>
          </w:rPr>
          <w:fldChar w:fldCharType="separate"/>
        </w:r>
        <w:r>
          <w:rPr>
            <w:webHidden/>
          </w:rPr>
          <w:t>15</w:t>
        </w:r>
        <w:r>
          <w:rPr>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18" w:history="1">
        <w:r w:rsidRPr="00D71DD4">
          <w:rPr>
            <w:rStyle w:val="Hyperlink"/>
            <w:noProof/>
          </w:rPr>
          <w:t>4.3.1.</w:t>
        </w:r>
        <w:r>
          <w:rPr>
            <w:rFonts w:asciiTheme="minorHAnsi" w:eastAsiaTheme="minorEastAsia" w:hAnsiTheme="minorHAnsi" w:cstheme="minorBidi"/>
            <w:i w:val="0"/>
            <w:iCs w:val="0"/>
            <w:noProof/>
            <w:sz w:val="22"/>
            <w:szCs w:val="22"/>
            <w:lang w:eastAsia="en-GB"/>
          </w:rPr>
          <w:tab/>
        </w:r>
        <w:r w:rsidRPr="00D71DD4">
          <w:rPr>
            <w:rStyle w:val="Hyperlink"/>
            <w:noProof/>
          </w:rPr>
          <w:t>Empirical evidence: overview</w:t>
        </w:r>
        <w:r>
          <w:rPr>
            <w:noProof/>
            <w:webHidden/>
          </w:rPr>
          <w:tab/>
        </w:r>
        <w:r>
          <w:rPr>
            <w:noProof/>
            <w:webHidden/>
          </w:rPr>
          <w:fldChar w:fldCharType="begin"/>
        </w:r>
        <w:r>
          <w:rPr>
            <w:noProof/>
            <w:webHidden/>
          </w:rPr>
          <w:instrText xml:space="preserve"> PAGEREF _Toc336267618 \h </w:instrText>
        </w:r>
        <w:r>
          <w:rPr>
            <w:noProof/>
            <w:webHidden/>
          </w:rPr>
        </w:r>
        <w:r>
          <w:rPr>
            <w:noProof/>
            <w:webHidden/>
          </w:rPr>
          <w:fldChar w:fldCharType="separate"/>
        </w:r>
        <w:r>
          <w:rPr>
            <w:noProof/>
            <w:webHidden/>
          </w:rPr>
          <w:t>16</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19" w:history="1">
        <w:r w:rsidRPr="00D71DD4">
          <w:rPr>
            <w:rStyle w:val="Hyperlink"/>
            <w:noProof/>
          </w:rPr>
          <w:t>4.3.2.</w:t>
        </w:r>
        <w:r>
          <w:rPr>
            <w:rFonts w:asciiTheme="minorHAnsi" w:eastAsiaTheme="minorEastAsia" w:hAnsiTheme="minorHAnsi" w:cstheme="minorBidi"/>
            <w:i w:val="0"/>
            <w:iCs w:val="0"/>
            <w:noProof/>
            <w:sz w:val="22"/>
            <w:szCs w:val="22"/>
            <w:lang w:eastAsia="en-GB"/>
          </w:rPr>
          <w:tab/>
        </w:r>
        <w:r w:rsidRPr="00D71DD4">
          <w:rPr>
            <w:rStyle w:val="Hyperlink"/>
            <w:noProof/>
          </w:rPr>
          <w:t>Comparative expenses of inhouse or outsourced refuse collection</w:t>
        </w:r>
        <w:r>
          <w:rPr>
            <w:noProof/>
            <w:webHidden/>
          </w:rPr>
          <w:tab/>
        </w:r>
        <w:r>
          <w:rPr>
            <w:noProof/>
            <w:webHidden/>
          </w:rPr>
          <w:fldChar w:fldCharType="begin"/>
        </w:r>
        <w:r>
          <w:rPr>
            <w:noProof/>
            <w:webHidden/>
          </w:rPr>
          <w:instrText xml:space="preserve"> PAGEREF _Toc336267619 \h </w:instrText>
        </w:r>
        <w:r>
          <w:rPr>
            <w:noProof/>
            <w:webHidden/>
          </w:rPr>
        </w:r>
        <w:r>
          <w:rPr>
            <w:noProof/>
            <w:webHidden/>
          </w:rPr>
          <w:fldChar w:fldCharType="separate"/>
        </w:r>
        <w:r>
          <w:rPr>
            <w:noProof/>
            <w:webHidden/>
          </w:rPr>
          <w:t>16</w:t>
        </w:r>
        <w:r>
          <w:rPr>
            <w:noProof/>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20" w:history="1">
        <w:r w:rsidRPr="00D71DD4">
          <w:rPr>
            <w:rStyle w:val="Hyperlink"/>
            <w:noProof/>
            <w:lang w:eastAsia="en-GB"/>
          </w:rPr>
          <w:t>Table 14.</w:t>
        </w:r>
        <w:r>
          <w:rPr>
            <w:rFonts w:asciiTheme="minorHAnsi" w:eastAsiaTheme="minorEastAsia" w:hAnsiTheme="minorHAnsi" w:cstheme="minorBidi"/>
            <w:noProof/>
            <w:sz w:val="22"/>
            <w:szCs w:val="22"/>
            <w:lang w:eastAsia="en-GB"/>
          </w:rPr>
          <w:tab/>
        </w:r>
        <w:r w:rsidRPr="00D71DD4">
          <w:rPr>
            <w:rStyle w:val="Hyperlink"/>
            <w:rFonts w:cs="Trebuchet MS"/>
            <w:noProof/>
            <w:lang w:eastAsia="en-GB"/>
          </w:rPr>
          <w:t xml:space="preserve">﻿Costs for municipalities </w:t>
        </w:r>
        <w:r w:rsidRPr="00D71DD4">
          <w:rPr>
            <w:rStyle w:val="Hyperlink"/>
            <w:noProof/>
            <w:lang w:eastAsia="en-GB"/>
          </w:rPr>
          <w:t>in UK for in-house or outsourced waste collection (£’000)</w:t>
        </w:r>
        <w:r>
          <w:rPr>
            <w:noProof/>
            <w:webHidden/>
          </w:rPr>
          <w:tab/>
        </w:r>
        <w:r>
          <w:rPr>
            <w:noProof/>
            <w:webHidden/>
          </w:rPr>
          <w:fldChar w:fldCharType="begin"/>
        </w:r>
        <w:r>
          <w:rPr>
            <w:noProof/>
            <w:webHidden/>
          </w:rPr>
          <w:instrText xml:space="preserve"> PAGEREF _Toc336267620 \h </w:instrText>
        </w:r>
        <w:r>
          <w:rPr>
            <w:noProof/>
            <w:webHidden/>
          </w:rPr>
        </w:r>
        <w:r>
          <w:rPr>
            <w:noProof/>
            <w:webHidden/>
          </w:rPr>
          <w:fldChar w:fldCharType="separate"/>
        </w:r>
        <w:r>
          <w:rPr>
            <w:noProof/>
            <w:webHidden/>
          </w:rPr>
          <w:t>16</w:t>
        </w:r>
        <w:r>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21" w:history="1">
        <w:r w:rsidRPr="00D71DD4">
          <w:rPr>
            <w:rStyle w:val="Hyperlink"/>
            <w:noProof/>
          </w:rPr>
          <w:t>5.</w:t>
        </w:r>
        <w:r>
          <w:rPr>
            <w:rFonts w:asciiTheme="minorHAnsi" w:eastAsiaTheme="minorEastAsia" w:hAnsiTheme="minorHAnsi" w:cstheme="minorBidi"/>
            <w:b w:val="0"/>
            <w:bCs w:val="0"/>
            <w:caps w:val="0"/>
            <w:noProof/>
            <w:sz w:val="22"/>
            <w:szCs w:val="22"/>
            <w:lang w:eastAsia="en-GB"/>
          </w:rPr>
          <w:tab/>
        </w:r>
        <w:r w:rsidRPr="00D71DD4">
          <w:rPr>
            <w:rStyle w:val="Hyperlink"/>
            <w:noProof/>
          </w:rPr>
          <w:t>Municipal and commercial waste:</w:t>
        </w:r>
        <w:r>
          <w:rPr>
            <w:noProof/>
            <w:webHidden/>
          </w:rPr>
          <w:tab/>
        </w:r>
        <w:r>
          <w:rPr>
            <w:noProof/>
            <w:webHidden/>
          </w:rPr>
          <w:fldChar w:fldCharType="begin"/>
        </w:r>
        <w:r>
          <w:rPr>
            <w:noProof/>
            <w:webHidden/>
          </w:rPr>
          <w:instrText xml:space="preserve"> PAGEREF _Toc336267621 \h </w:instrText>
        </w:r>
        <w:r>
          <w:rPr>
            <w:noProof/>
            <w:webHidden/>
          </w:rPr>
        </w:r>
        <w:r>
          <w:rPr>
            <w:noProof/>
            <w:webHidden/>
          </w:rPr>
          <w:fldChar w:fldCharType="separate"/>
        </w:r>
        <w:r>
          <w:rPr>
            <w:noProof/>
            <w:webHidden/>
          </w:rPr>
          <w:t>17</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22" w:history="1">
        <w:r w:rsidRPr="00D71DD4">
          <w:rPr>
            <w:rStyle w:val="Hyperlink"/>
            <w:lang w:eastAsia="en-GB"/>
          </w:rPr>
          <w:t>5.1.</w:t>
        </w:r>
        <w:r>
          <w:rPr>
            <w:rFonts w:asciiTheme="minorHAnsi" w:eastAsiaTheme="minorEastAsia" w:hAnsiTheme="minorHAnsi" w:cstheme="minorBidi"/>
            <w:smallCaps w:val="0"/>
            <w:sz w:val="22"/>
            <w:szCs w:val="22"/>
            <w:lang w:eastAsia="en-GB"/>
          </w:rPr>
          <w:tab/>
        </w:r>
        <w:r w:rsidRPr="00D71DD4">
          <w:rPr>
            <w:rStyle w:val="Hyperlink"/>
            <w:lang w:eastAsia="en-GB"/>
          </w:rPr>
          <w:t>Municipal waste and EU legislation</w:t>
        </w:r>
        <w:r>
          <w:rPr>
            <w:webHidden/>
          </w:rPr>
          <w:tab/>
        </w:r>
        <w:r>
          <w:rPr>
            <w:webHidden/>
          </w:rPr>
          <w:fldChar w:fldCharType="begin"/>
        </w:r>
        <w:r>
          <w:rPr>
            <w:webHidden/>
          </w:rPr>
          <w:instrText xml:space="preserve"> PAGEREF _Toc336267622 \h </w:instrText>
        </w:r>
        <w:r>
          <w:rPr>
            <w:webHidden/>
          </w:rPr>
        </w:r>
        <w:r>
          <w:rPr>
            <w:webHidden/>
          </w:rPr>
          <w:fldChar w:fldCharType="separate"/>
        </w:r>
        <w:r>
          <w:rPr>
            <w:webHidden/>
          </w:rPr>
          <w:t>17</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23" w:history="1">
        <w:r w:rsidRPr="00D71DD4">
          <w:rPr>
            <w:rStyle w:val="Hyperlink"/>
          </w:rPr>
          <w:t>5.2.</w:t>
        </w:r>
        <w:r>
          <w:rPr>
            <w:rFonts w:asciiTheme="minorHAnsi" w:eastAsiaTheme="minorEastAsia" w:hAnsiTheme="minorHAnsi" w:cstheme="minorBidi"/>
            <w:smallCaps w:val="0"/>
            <w:sz w:val="22"/>
            <w:szCs w:val="22"/>
            <w:lang w:eastAsia="en-GB"/>
          </w:rPr>
          <w:tab/>
        </w:r>
        <w:r w:rsidRPr="00D71DD4">
          <w:rPr>
            <w:rStyle w:val="Hyperlink"/>
          </w:rPr>
          <w:t>Trends in municipal waste generation and treatment</w:t>
        </w:r>
        <w:r>
          <w:rPr>
            <w:webHidden/>
          </w:rPr>
          <w:tab/>
        </w:r>
        <w:r>
          <w:rPr>
            <w:webHidden/>
          </w:rPr>
          <w:fldChar w:fldCharType="begin"/>
        </w:r>
        <w:r>
          <w:rPr>
            <w:webHidden/>
          </w:rPr>
          <w:instrText xml:space="preserve"> PAGEREF _Toc336267623 \h </w:instrText>
        </w:r>
        <w:r>
          <w:rPr>
            <w:webHidden/>
          </w:rPr>
        </w:r>
        <w:r>
          <w:rPr>
            <w:webHidden/>
          </w:rPr>
          <w:fldChar w:fldCharType="separate"/>
        </w:r>
        <w:r>
          <w:rPr>
            <w:webHidden/>
          </w:rPr>
          <w:t>17</w:t>
        </w:r>
        <w:r>
          <w:rPr>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24" w:history="1">
        <w:r w:rsidRPr="00D71DD4">
          <w:rPr>
            <w:rStyle w:val="Hyperlink"/>
            <w:noProof/>
          </w:rPr>
          <w:t>Chart D.</w:t>
        </w:r>
        <w:r>
          <w:rPr>
            <w:rFonts w:asciiTheme="minorHAnsi" w:eastAsiaTheme="minorEastAsia" w:hAnsiTheme="minorHAnsi" w:cstheme="minorBidi"/>
            <w:noProof/>
            <w:sz w:val="22"/>
            <w:szCs w:val="22"/>
            <w:lang w:eastAsia="en-GB"/>
          </w:rPr>
          <w:tab/>
        </w:r>
        <w:r w:rsidRPr="00D71DD4">
          <w:rPr>
            <w:rStyle w:val="Hyperlink"/>
            <w:noProof/>
          </w:rPr>
          <w:t>Municipal waste generated and treated in 2009 by country and treatment category</w:t>
        </w:r>
        <w:r>
          <w:rPr>
            <w:noProof/>
            <w:webHidden/>
          </w:rPr>
          <w:tab/>
        </w:r>
        <w:r>
          <w:rPr>
            <w:noProof/>
            <w:webHidden/>
          </w:rPr>
          <w:fldChar w:fldCharType="begin"/>
        </w:r>
        <w:r>
          <w:rPr>
            <w:noProof/>
            <w:webHidden/>
          </w:rPr>
          <w:instrText xml:space="preserve"> PAGEREF _Toc336267624 \h </w:instrText>
        </w:r>
        <w:r>
          <w:rPr>
            <w:noProof/>
            <w:webHidden/>
          </w:rPr>
        </w:r>
        <w:r>
          <w:rPr>
            <w:noProof/>
            <w:webHidden/>
          </w:rPr>
          <w:fldChar w:fldCharType="separate"/>
        </w:r>
        <w:r>
          <w:rPr>
            <w:noProof/>
            <w:webHidden/>
          </w:rPr>
          <w:t>17</w:t>
        </w:r>
        <w:r>
          <w:rPr>
            <w:noProof/>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25" w:history="1">
        <w:r w:rsidRPr="00D71DD4">
          <w:rPr>
            <w:rStyle w:val="Hyperlink"/>
            <w:noProof/>
            <w:lang w:eastAsia="en-GB"/>
          </w:rPr>
          <w:t>Chart E.</w:t>
        </w:r>
        <w:r>
          <w:rPr>
            <w:rFonts w:asciiTheme="minorHAnsi" w:eastAsiaTheme="minorEastAsia" w:hAnsiTheme="minorHAnsi" w:cstheme="minorBidi"/>
            <w:noProof/>
            <w:sz w:val="22"/>
            <w:szCs w:val="22"/>
            <w:lang w:eastAsia="en-GB"/>
          </w:rPr>
          <w:tab/>
        </w:r>
        <w:r w:rsidRPr="00D71DD4">
          <w:rPr>
            <w:rStyle w:val="Hyperlink"/>
            <w:noProof/>
            <w:lang w:eastAsia="en-GB"/>
          </w:rPr>
          <w:t>Projected generation and management of municipal waste in EU +Norway/Switzerland</w:t>
        </w:r>
        <w:r>
          <w:rPr>
            <w:noProof/>
            <w:webHidden/>
          </w:rPr>
          <w:tab/>
        </w:r>
        <w:r>
          <w:rPr>
            <w:noProof/>
            <w:webHidden/>
          </w:rPr>
          <w:fldChar w:fldCharType="begin"/>
        </w:r>
        <w:r>
          <w:rPr>
            <w:noProof/>
            <w:webHidden/>
          </w:rPr>
          <w:instrText xml:space="preserve"> PAGEREF _Toc336267625 \h </w:instrText>
        </w:r>
        <w:r>
          <w:rPr>
            <w:noProof/>
            <w:webHidden/>
          </w:rPr>
        </w:r>
        <w:r>
          <w:rPr>
            <w:noProof/>
            <w:webHidden/>
          </w:rPr>
          <w:fldChar w:fldCharType="separate"/>
        </w:r>
        <w:r>
          <w:rPr>
            <w:noProof/>
            <w:webHidden/>
          </w:rPr>
          <w:t>18</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26" w:history="1">
        <w:r w:rsidRPr="00D71DD4">
          <w:rPr>
            <w:rStyle w:val="Hyperlink"/>
          </w:rPr>
          <w:t>5.3.</w:t>
        </w:r>
        <w:r>
          <w:rPr>
            <w:rFonts w:asciiTheme="minorHAnsi" w:eastAsiaTheme="minorEastAsia" w:hAnsiTheme="minorHAnsi" w:cstheme="minorBidi"/>
            <w:smallCaps w:val="0"/>
            <w:sz w:val="22"/>
            <w:szCs w:val="22"/>
            <w:lang w:eastAsia="en-GB"/>
          </w:rPr>
          <w:tab/>
        </w:r>
        <w:r w:rsidRPr="00D71DD4">
          <w:rPr>
            <w:rStyle w:val="Hyperlink"/>
          </w:rPr>
          <w:t>EU promotion of PPPs</w:t>
        </w:r>
        <w:r>
          <w:rPr>
            <w:webHidden/>
          </w:rPr>
          <w:tab/>
        </w:r>
        <w:r>
          <w:rPr>
            <w:webHidden/>
          </w:rPr>
          <w:fldChar w:fldCharType="begin"/>
        </w:r>
        <w:r>
          <w:rPr>
            <w:webHidden/>
          </w:rPr>
          <w:instrText xml:space="preserve"> PAGEREF _Toc336267626 \h </w:instrText>
        </w:r>
        <w:r>
          <w:rPr>
            <w:webHidden/>
          </w:rPr>
        </w:r>
        <w:r>
          <w:rPr>
            <w:webHidden/>
          </w:rPr>
          <w:fldChar w:fldCharType="separate"/>
        </w:r>
        <w:r>
          <w:rPr>
            <w:webHidden/>
          </w:rPr>
          <w:t>19</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27" w:history="1">
        <w:r w:rsidRPr="00D71DD4">
          <w:rPr>
            <w:rStyle w:val="Hyperlink"/>
          </w:rPr>
          <w:t>5.4.</w:t>
        </w:r>
        <w:r>
          <w:rPr>
            <w:rFonts w:asciiTheme="minorHAnsi" w:eastAsiaTheme="minorEastAsia" w:hAnsiTheme="minorHAnsi" w:cstheme="minorBidi"/>
            <w:smallCaps w:val="0"/>
            <w:sz w:val="22"/>
            <w:szCs w:val="22"/>
            <w:lang w:eastAsia="en-GB"/>
          </w:rPr>
          <w:tab/>
        </w:r>
        <w:r w:rsidRPr="00D71DD4">
          <w:rPr>
            <w:rStyle w:val="Hyperlink"/>
          </w:rPr>
          <w:t>Commercial waste</w:t>
        </w:r>
        <w:r>
          <w:rPr>
            <w:webHidden/>
          </w:rPr>
          <w:tab/>
        </w:r>
        <w:r>
          <w:rPr>
            <w:webHidden/>
          </w:rPr>
          <w:fldChar w:fldCharType="begin"/>
        </w:r>
        <w:r>
          <w:rPr>
            <w:webHidden/>
          </w:rPr>
          <w:instrText xml:space="preserve"> PAGEREF _Toc336267627 \h </w:instrText>
        </w:r>
        <w:r>
          <w:rPr>
            <w:webHidden/>
          </w:rPr>
        </w:r>
        <w:r>
          <w:rPr>
            <w:webHidden/>
          </w:rPr>
          <w:fldChar w:fldCharType="separate"/>
        </w:r>
        <w:r>
          <w:rPr>
            <w:webHidden/>
          </w:rPr>
          <w:t>19</w:t>
        </w:r>
        <w:r>
          <w:rPr>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28" w:history="1">
        <w:r w:rsidRPr="00D71DD4">
          <w:rPr>
            <w:rStyle w:val="Hyperlink"/>
            <w:noProof/>
          </w:rPr>
          <w:t>5.4.1.</w:t>
        </w:r>
        <w:r>
          <w:rPr>
            <w:rFonts w:asciiTheme="minorHAnsi" w:eastAsiaTheme="minorEastAsia" w:hAnsiTheme="minorHAnsi" w:cstheme="minorBidi"/>
            <w:i w:val="0"/>
            <w:iCs w:val="0"/>
            <w:noProof/>
            <w:sz w:val="22"/>
            <w:szCs w:val="22"/>
            <w:lang w:eastAsia="en-GB"/>
          </w:rPr>
          <w:tab/>
        </w:r>
        <w:r w:rsidRPr="00D71DD4">
          <w:rPr>
            <w:rStyle w:val="Hyperlink"/>
            <w:noProof/>
          </w:rPr>
          <w:t>Exporting technology and importing toxic waste</w:t>
        </w:r>
        <w:r>
          <w:rPr>
            <w:noProof/>
            <w:webHidden/>
          </w:rPr>
          <w:tab/>
        </w:r>
        <w:r>
          <w:rPr>
            <w:noProof/>
            <w:webHidden/>
          </w:rPr>
          <w:fldChar w:fldCharType="begin"/>
        </w:r>
        <w:r>
          <w:rPr>
            <w:noProof/>
            <w:webHidden/>
          </w:rPr>
          <w:instrText xml:space="preserve"> PAGEREF _Toc336267628 \h </w:instrText>
        </w:r>
        <w:r>
          <w:rPr>
            <w:noProof/>
            <w:webHidden/>
          </w:rPr>
        </w:r>
        <w:r>
          <w:rPr>
            <w:noProof/>
            <w:webHidden/>
          </w:rPr>
          <w:fldChar w:fldCharType="separate"/>
        </w:r>
        <w:r>
          <w:rPr>
            <w:noProof/>
            <w:webHidden/>
          </w:rPr>
          <w:t>19</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29" w:history="1">
        <w:r w:rsidRPr="00D71DD4">
          <w:rPr>
            <w:rStyle w:val="Hyperlink"/>
            <w:noProof/>
          </w:rPr>
          <w:t>5.4.2.</w:t>
        </w:r>
        <w:r>
          <w:rPr>
            <w:rFonts w:asciiTheme="minorHAnsi" w:eastAsiaTheme="minorEastAsia" w:hAnsiTheme="minorHAnsi" w:cstheme="minorBidi"/>
            <w:i w:val="0"/>
            <w:iCs w:val="0"/>
            <w:noProof/>
            <w:sz w:val="22"/>
            <w:szCs w:val="22"/>
            <w:lang w:eastAsia="en-GB"/>
          </w:rPr>
          <w:tab/>
        </w:r>
        <w:r w:rsidRPr="00D71DD4">
          <w:rPr>
            <w:rStyle w:val="Hyperlink"/>
            <w:noProof/>
          </w:rPr>
          <w:t>Private companies insourcing</w:t>
        </w:r>
        <w:r>
          <w:rPr>
            <w:noProof/>
            <w:webHidden/>
          </w:rPr>
          <w:tab/>
        </w:r>
        <w:r>
          <w:rPr>
            <w:noProof/>
            <w:webHidden/>
          </w:rPr>
          <w:fldChar w:fldCharType="begin"/>
        </w:r>
        <w:r>
          <w:rPr>
            <w:noProof/>
            <w:webHidden/>
          </w:rPr>
          <w:instrText xml:space="preserve"> PAGEREF _Toc336267629 \h </w:instrText>
        </w:r>
        <w:r>
          <w:rPr>
            <w:noProof/>
            <w:webHidden/>
          </w:rPr>
        </w:r>
        <w:r>
          <w:rPr>
            <w:noProof/>
            <w:webHidden/>
          </w:rPr>
          <w:fldChar w:fldCharType="separate"/>
        </w:r>
        <w:r>
          <w:rPr>
            <w:noProof/>
            <w:webHidden/>
          </w:rPr>
          <w:t>20</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30" w:history="1">
        <w:r w:rsidRPr="00D71DD4">
          <w:rPr>
            <w:rStyle w:val="Hyperlink"/>
            <w:noProof/>
          </w:rPr>
          <w:t>5.4.3.</w:t>
        </w:r>
        <w:r>
          <w:rPr>
            <w:rFonts w:asciiTheme="minorHAnsi" w:eastAsiaTheme="minorEastAsia" w:hAnsiTheme="minorHAnsi" w:cstheme="minorBidi"/>
            <w:i w:val="0"/>
            <w:iCs w:val="0"/>
            <w:noProof/>
            <w:sz w:val="22"/>
            <w:szCs w:val="22"/>
            <w:lang w:eastAsia="en-GB"/>
          </w:rPr>
          <w:tab/>
        </w:r>
        <w:r w:rsidRPr="00D71DD4">
          <w:rPr>
            <w:rStyle w:val="Hyperlink"/>
            <w:noProof/>
          </w:rPr>
          <w:t>Incineration expansion for private sector work</w:t>
        </w:r>
        <w:r>
          <w:rPr>
            <w:noProof/>
            <w:webHidden/>
          </w:rPr>
          <w:tab/>
        </w:r>
        <w:r>
          <w:rPr>
            <w:noProof/>
            <w:webHidden/>
          </w:rPr>
          <w:fldChar w:fldCharType="begin"/>
        </w:r>
        <w:r>
          <w:rPr>
            <w:noProof/>
            <w:webHidden/>
          </w:rPr>
          <w:instrText xml:space="preserve"> PAGEREF _Toc336267630 \h </w:instrText>
        </w:r>
        <w:r>
          <w:rPr>
            <w:noProof/>
            <w:webHidden/>
          </w:rPr>
        </w:r>
        <w:r>
          <w:rPr>
            <w:noProof/>
            <w:webHidden/>
          </w:rPr>
          <w:fldChar w:fldCharType="separate"/>
        </w:r>
        <w:r>
          <w:rPr>
            <w:noProof/>
            <w:webHidden/>
          </w:rPr>
          <w:t>20</w:t>
        </w:r>
        <w:r>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31" w:history="1">
        <w:r w:rsidRPr="00D71DD4">
          <w:rPr>
            <w:rStyle w:val="Hyperlink"/>
            <w:noProof/>
          </w:rPr>
          <w:t>6.</w:t>
        </w:r>
        <w:r>
          <w:rPr>
            <w:rFonts w:asciiTheme="minorHAnsi" w:eastAsiaTheme="minorEastAsia" w:hAnsiTheme="minorHAnsi" w:cstheme="minorBidi"/>
            <w:b w:val="0"/>
            <w:bCs w:val="0"/>
            <w:caps w:val="0"/>
            <w:noProof/>
            <w:sz w:val="22"/>
            <w:szCs w:val="22"/>
            <w:lang w:eastAsia="en-GB"/>
          </w:rPr>
          <w:tab/>
        </w:r>
        <w:r w:rsidRPr="00D71DD4">
          <w:rPr>
            <w:rStyle w:val="Hyperlink"/>
            <w:noProof/>
          </w:rPr>
          <w:t>Bibliography and links</w:t>
        </w:r>
        <w:r>
          <w:rPr>
            <w:noProof/>
            <w:webHidden/>
          </w:rPr>
          <w:tab/>
        </w:r>
        <w:r>
          <w:rPr>
            <w:noProof/>
            <w:webHidden/>
          </w:rPr>
          <w:fldChar w:fldCharType="begin"/>
        </w:r>
        <w:r>
          <w:rPr>
            <w:noProof/>
            <w:webHidden/>
          </w:rPr>
          <w:instrText xml:space="preserve"> PAGEREF _Toc336267631 \h </w:instrText>
        </w:r>
        <w:r>
          <w:rPr>
            <w:noProof/>
            <w:webHidden/>
          </w:rPr>
        </w:r>
        <w:r>
          <w:rPr>
            <w:noProof/>
            <w:webHidden/>
          </w:rPr>
          <w:fldChar w:fldCharType="separate"/>
        </w:r>
        <w:r>
          <w:rPr>
            <w:noProof/>
            <w:webHidden/>
          </w:rPr>
          <w:t>21</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2" w:history="1">
        <w:r w:rsidRPr="00D71DD4">
          <w:rPr>
            <w:rStyle w:val="Hyperlink"/>
          </w:rPr>
          <w:t>6.1.</w:t>
        </w:r>
        <w:r>
          <w:rPr>
            <w:rFonts w:asciiTheme="minorHAnsi" w:eastAsiaTheme="minorEastAsia" w:hAnsiTheme="minorHAnsi" w:cstheme="minorBidi"/>
            <w:smallCaps w:val="0"/>
            <w:sz w:val="22"/>
            <w:szCs w:val="22"/>
            <w:lang w:eastAsia="en-GB"/>
          </w:rPr>
          <w:tab/>
        </w:r>
        <w:r w:rsidRPr="00D71DD4">
          <w:rPr>
            <w:rStyle w:val="Hyperlink"/>
          </w:rPr>
          <w:t>EU level</w:t>
        </w:r>
        <w:r>
          <w:rPr>
            <w:webHidden/>
          </w:rPr>
          <w:tab/>
        </w:r>
        <w:r>
          <w:rPr>
            <w:webHidden/>
          </w:rPr>
          <w:fldChar w:fldCharType="begin"/>
        </w:r>
        <w:r>
          <w:rPr>
            <w:webHidden/>
          </w:rPr>
          <w:instrText xml:space="preserve"> PAGEREF _Toc336267632 \h </w:instrText>
        </w:r>
        <w:r>
          <w:rPr>
            <w:webHidden/>
          </w:rPr>
        </w:r>
        <w:r>
          <w:rPr>
            <w:webHidden/>
          </w:rPr>
          <w:fldChar w:fldCharType="separate"/>
        </w:r>
        <w:r>
          <w:rPr>
            <w:webHidden/>
          </w:rPr>
          <w:t>21</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3" w:history="1">
        <w:r w:rsidRPr="00D71DD4">
          <w:rPr>
            <w:rStyle w:val="Hyperlink"/>
            <w:lang w:val="fr-FR"/>
          </w:rPr>
          <w:t>6.2.</w:t>
        </w:r>
        <w:r>
          <w:rPr>
            <w:rFonts w:asciiTheme="minorHAnsi" w:eastAsiaTheme="minorEastAsia" w:hAnsiTheme="minorHAnsi" w:cstheme="minorBidi"/>
            <w:smallCaps w:val="0"/>
            <w:sz w:val="22"/>
            <w:szCs w:val="22"/>
            <w:lang w:eastAsia="en-GB"/>
          </w:rPr>
          <w:tab/>
        </w:r>
        <w:r w:rsidRPr="00D71DD4">
          <w:rPr>
            <w:rStyle w:val="Hyperlink"/>
            <w:lang w:val="fr-FR"/>
          </w:rPr>
          <w:t>Germany</w:t>
        </w:r>
        <w:r>
          <w:rPr>
            <w:webHidden/>
          </w:rPr>
          <w:tab/>
        </w:r>
        <w:r>
          <w:rPr>
            <w:webHidden/>
          </w:rPr>
          <w:fldChar w:fldCharType="begin"/>
        </w:r>
        <w:r>
          <w:rPr>
            <w:webHidden/>
          </w:rPr>
          <w:instrText xml:space="preserve"> PAGEREF _Toc336267633 \h </w:instrText>
        </w:r>
        <w:r>
          <w:rPr>
            <w:webHidden/>
          </w:rPr>
        </w:r>
        <w:r>
          <w:rPr>
            <w:webHidden/>
          </w:rPr>
          <w:fldChar w:fldCharType="separate"/>
        </w:r>
        <w:r>
          <w:rPr>
            <w:webHidden/>
          </w:rPr>
          <w:t>21</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4" w:history="1">
        <w:r w:rsidRPr="00D71DD4">
          <w:rPr>
            <w:rStyle w:val="Hyperlink"/>
            <w:lang w:val="fr-FR"/>
          </w:rPr>
          <w:t>6.3.</w:t>
        </w:r>
        <w:r>
          <w:rPr>
            <w:rFonts w:asciiTheme="minorHAnsi" w:eastAsiaTheme="minorEastAsia" w:hAnsiTheme="minorHAnsi" w:cstheme="minorBidi"/>
            <w:smallCaps w:val="0"/>
            <w:sz w:val="22"/>
            <w:szCs w:val="22"/>
            <w:lang w:eastAsia="en-GB"/>
          </w:rPr>
          <w:tab/>
        </w:r>
        <w:r w:rsidRPr="00D71DD4">
          <w:rPr>
            <w:rStyle w:val="Hyperlink"/>
            <w:lang w:val="fr-FR"/>
          </w:rPr>
          <w:t>France</w:t>
        </w:r>
        <w:r>
          <w:rPr>
            <w:webHidden/>
          </w:rPr>
          <w:tab/>
        </w:r>
        <w:r>
          <w:rPr>
            <w:webHidden/>
          </w:rPr>
          <w:fldChar w:fldCharType="begin"/>
        </w:r>
        <w:r>
          <w:rPr>
            <w:webHidden/>
          </w:rPr>
          <w:instrText xml:space="preserve"> PAGEREF _Toc336267634 \h </w:instrText>
        </w:r>
        <w:r>
          <w:rPr>
            <w:webHidden/>
          </w:rPr>
        </w:r>
        <w:r>
          <w:rPr>
            <w:webHidden/>
          </w:rPr>
          <w:fldChar w:fldCharType="separate"/>
        </w:r>
        <w:r>
          <w:rPr>
            <w:webHidden/>
          </w:rPr>
          <w:t>21</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5" w:history="1">
        <w:r w:rsidRPr="00D71DD4">
          <w:rPr>
            <w:rStyle w:val="Hyperlink"/>
            <w:lang w:val="fr-FR"/>
          </w:rPr>
          <w:t>6.4.</w:t>
        </w:r>
        <w:r>
          <w:rPr>
            <w:rFonts w:asciiTheme="minorHAnsi" w:eastAsiaTheme="minorEastAsia" w:hAnsiTheme="minorHAnsi" w:cstheme="minorBidi"/>
            <w:smallCaps w:val="0"/>
            <w:sz w:val="22"/>
            <w:szCs w:val="22"/>
            <w:lang w:eastAsia="en-GB"/>
          </w:rPr>
          <w:tab/>
        </w:r>
        <w:r w:rsidRPr="00D71DD4">
          <w:rPr>
            <w:rStyle w:val="Hyperlink"/>
            <w:lang w:val="fr-FR"/>
          </w:rPr>
          <w:t>Bulgaria</w:t>
        </w:r>
        <w:r>
          <w:rPr>
            <w:webHidden/>
          </w:rPr>
          <w:tab/>
        </w:r>
        <w:r>
          <w:rPr>
            <w:webHidden/>
          </w:rPr>
          <w:fldChar w:fldCharType="begin"/>
        </w:r>
        <w:r>
          <w:rPr>
            <w:webHidden/>
          </w:rPr>
          <w:instrText xml:space="preserve"> PAGEREF _Toc336267635 \h </w:instrText>
        </w:r>
        <w:r>
          <w:rPr>
            <w:webHidden/>
          </w:rPr>
        </w:r>
        <w:r>
          <w:rPr>
            <w:webHidden/>
          </w:rPr>
          <w:fldChar w:fldCharType="separate"/>
        </w:r>
        <w:r>
          <w:rPr>
            <w:webHidden/>
          </w:rPr>
          <w:t>21</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6" w:history="1">
        <w:r w:rsidRPr="00D71DD4">
          <w:rPr>
            <w:rStyle w:val="Hyperlink"/>
          </w:rPr>
          <w:t>6.5.</w:t>
        </w:r>
        <w:r>
          <w:rPr>
            <w:rFonts w:asciiTheme="minorHAnsi" w:eastAsiaTheme="minorEastAsia" w:hAnsiTheme="minorHAnsi" w:cstheme="minorBidi"/>
            <w:smallCaps w:val="0"/>
            <w:sz w:val="22"/>
            <w:szCs w:val="22"/>
            <w:lang w:eastAsia="en-GB"/>
          </w:rPr>
          <w:tab/>
        </w:r>
        <w:r w:rsidRPr="00D71DD4">
          <w:rPr>
            <w:rStyle w:val="Hyperlink"/>
          </w:rPr>
          <w:t>Spain</w:t>
        </w:r>
        <w:r>
          <w:rPr>
            <w:webHidden/>
          </w:rPr>
          <w:tab/>
        </w:r>
        <w:r>
          <w:rPr>
            <w:webHidden/>
          </w:rPr>
          <w:fldChar w:fldCharType="begin"/>
        </w:r>
        <w:r>
          <w:rPr>
            <w:webHidden/>
          </w:rPr>
          <w:instrText xml:space="preserve"> PAGEREF _Toc336267636 \h </w:instrText>
        </w:r>
        <w:r>
          <w:rPr>
            <w:webHidden/>
          </w:rPr>
        </w:r>
        <w:r>
          <w:rPr>
            <w:webHidden/>
          </w:rPr>
          <w:fldChar w:fldCharType="separate"/>
        </w:r>
        <w:r>
          <w:rPr>
            <w:webHidden/>
          </w:rPr>
          <w:t>22</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7" w:history="1">
        <w:r w:rsidRPr="00D71DD4">
          <w:rPr>
            <w:rStyle w:val="Hyperlink"/>
          </w:rPr>
          <w:t>6.6.</w:t>
        </w:r>
        <w:r>
          <w:rPr>
            <w:rFonts w:asciiTheme="minorHAnsi" w:eastAsiaTheme="minorEastAsia" w:hAnsiTheme="minorHAnsi" w:cstheme="minorBidi"/>
            <w:smallCaps w:val="0"/>
            <w:sz w:val="22"/>
            <w:szCs w:val="22"/>
            <w:lang w:eastAsia="en-GB"/>
          </w:rPr>
          <w:tab/>
        </w:r>
        <w:r w:rsidRPr="00D71DD4">
          <w:rPr>
            <w:rStyle w:val="Hyperlink"/>
          </w:rPr>
          <w:t>UK</w:t>
        </w:r>
        <w:r>
          <w:rPr>
            <w:webHidden/>
          </w:rPr>
          <w:tab/>
        </w:r>
        <w:r>
          <w:rPr>
            <w:webHidden/>
          </w:rPr>
          <w:fldChar w:fldCharType="begin"/>
        </w:r>
        <w:r>
          <w:rPr>
            <w:webHidden/>
          </w:rPr>
          <w:instrText xml:space="preserve"> PAGEREF _Toc336267637 \h </w:instrText>
        </w:r>
        <w:r>
          <w:rPr>
            <w:webHidden/>
          </w:rPr>
        </w:r>
        <w:r>
          <w:rPr>
            <w:webHidden/>
          </w:rPr>
          <w:fldChar w:fldCharType="separate"/>
        </w:r>
        <w:r>
          <w:rPr>
            <w:webHidden/>
          </w:rPr>
          <w:t>22</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8" w:history="1">
        <w:r w:rsidRPr="00D71DD4">
          <w:rPr>
            <w:rStyle w:val="Hyperlink"/>
          </w:rPr>
          <w:t>6.7.</w:t>
        </w:r>
        <w:r>
          <w:rPr>
            <w:rFonts w:asciiTheme="minorHAnsi" w:eastAsiaTheme="minorEastAsia" w:hAnsiTheme="minorHAnsi" w:cstheme="minorBidi"/>
            <w:smallCaps w:val="0"/>
            <w:sz w:val="22"/>
            <w:szCs w:val="22"/>
            <w:lang w:eastAsia="en-GB"/>
          </w:rPr>
          <w:tab/>
        </w:r>
        <w:r w:rsidRPr="00D71DD4">
          <w:rPr>
            <w:rStyle w:val="Hyperlink"/>
          </w:rPr>
          <w:t>Italy</w:t>
        </w:r>
        <w:r>
          <w:rPr>
            <w:webHidden/>
          </w:rPr>
          <w:tab/>
        </w:r>
        <w:r>
          <w:rPr>
            <w:webHidden/>
          </w:rPr>
          <w:fldChar w:fldCharType="begin"/>
        </w:r>
        <w:r>
          <w:rPr>
            <w:webHidden/>
          </w:rPr>
          <w:instrText xml:space="preserve"> PAGEREF _Toc336267638 \h </w:instrText>
        </w:r>
        <w:r>
          <w:rPr>
            <w:webHidden/>
          </w:rPr>
        </w:r>
        <w:r>
          <w:rPr>
            <w:webHidden/>
          </w:rPr>
          <w:fldChar w:fldCharType="separate"/>
        </w:r>
        <w:r>
          <w:rPr>
            <w:webHidden/>
          </w:rPr>
          <w:t>22</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39" w:history="1">
        <w:r w:rsidRPr="00D71DD4">
          <w:rPr>
            <w:rStyle w:val="Hyperlink"/>
          </w:rPr>
          <w:t>6.8.</w:t>
        </w:r>
        <w:r>
          <w:rPr>
            <w:rFonts w:asciiTheme="minorHAnsi" w:eastAsiaTheme="minorEastAsia" w:hAnsiTheme="minorHAnsi" w:cstheme="minorBidi"/>
            <w:smallCaps w:val="0"/>
            <w:sz w:val="22"/>
            <w:szCs w:val="22"/>
            <w:lang w:eastAsia="en-GB"/>
          </w:rPr>
          <w:tab/>
        </w:r>
        <w:r w:rsidRPr="00D71DD4">
          <w:rPr>
            <w:rStyle w:val="Hyperlink"/>
          </w:rPr>
          <w:t>Belgium</w:t>
        </w:r>
        <w:r>
          <w:rPr>
            <w:webHidden/>
          </w:rPr>
          <w:tab/>
        </w:r>
        <w:r>
          <w:rPr>
            <w:webHidden/>
          </w:rPr>
          <w:fldChar w:fldCharType="begin"/>
        </w:r>
        <w:r>
          <w:rPr>
            <w:webHidden/>
          </w:rPr>
          <w:instrText xml:space="preserve"> PAGEREF _Toc336267639 \h </w:instrText>
        </w:r>
        <w:r>
          <w:rPr>
            <w:webHidden/>
          </w:rPr>
        </w:r>
        <w:r>
          <w:rPr>
            <w:webHidden/>
          </w:rPr>
          <w:fldChar w:fldCharType="separate"/>
        </w:r>
        <w:r>
          <w:rPr>
            <w:webHidden/>
          </w:rPr>
          <w:t>22</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40" w:history="1">
        <w:r w:rsidRPr="00D71DD4">
          <w:rPr>
            <w:rStyle w:val="Hyperlink"/>
          </w:rPr>
          <w:t>6.9.</w:t>
        </w:r>
        <w:r>
          <w:rPr>
            <w:rFonts w:asciiTheme="minorHAnsi" w:eastAsiaTheme="minorEastAsia" w:hAnsiTheme="minorHAnsi" w:cstheme="minorBidi"/>
            <w:smallCaps w:val="0"/>
            <w:sz w:val="22"/>
            <w:szCs w:val="22"/>
            <w:lang w:eastAsia="en-GB"/>
          </w:rPr>
          <w:tab/>
        </w:r>
        <w:r w:rsidRPr="00D71DD4">
          <w:rPr>
            <w:rStyle w:val="Hyperlink"/>
          </w:rPr>
          <w:t>Austria</w:t>
        </w:r>
        <w:r>
          <w:rPr>
            <w:webHidden/>
          </w:rPr>
          <w:tab/>
        </w:r>
        <w:r>
          <w:rPr>
            <w:webHidden/>
          </w:rPr>
          <w:fldChar w:fldCharType="begin"/>
        </w:r>
        <w:r>
          <w:rPr>
            <w:webHidden/>
          </w:rPr>
          <w:instrText xml:space="preserve"> PAGEREF _Toc336267640 \h </w:instrText>
        </w:r>
        <w:r>
          <w:rPr>
            <w:webHidden/>
          </w:rPr>
        </w:r>
        <w:r>
          <w:rPr>
            <w:webHidden/>
          </w:rPr>
          <w:fldChar w:fldCharType="separate"/>
        </w:r>
        <w:r>
          <w:rPr>
            <w:webHidden/>
          </w:rPr>
          <w:t>22</w:t>
        </w:r>
        <w:r>
          <w:rPr>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41" w:history="1">
        <w:r w:rsidRPr="00D71DD4">
          <w:rPr>
            <w:rStyle w:val="Hyperlink"/>
            <w:noProof/>
          </w:rPr>
          <w:t>7.</w:t>
        </w:r>
        <w:r>
          <w:rPr>
            <w:rFonts w:asciiTheme="minorHAnsi" w:eastAsiaTheme="minorEastAsia" w:hAnsiTheme="minorHAnsi" w:cstheme="minorBidi"/>
            <w:b w:val="0"/>
            <w:bCs w:val="0"/>
            <w:caps w:val="0"/>
            <w:noProof/>
            <w:sz w:val="22"/>
            <w:szCs w:val="22"/>
            <w:lang w:eastAsia="en-GB"/>
          </w:rPr>
          <w:tab/>
        </w:r>
        <w:r w:rsidRPr="00D71DD4">
          <w:rPr>
            <w:rStyle w:val="Hyperlink"/>
            <w:noProof/>
          </w:rPr>
          <w:t>Annex A: Presence and employment of multinationals by country</w:t>
        </w:r>
        <w:r>
          <w:rPr>
            <w:noProof/>
            <w:webHidden/>
          </w:rPr>
          <w:tab/>
        </w:r>
        <w:r>
          <w:rPr>
            <w:noProof/>
            <w:webHidden/>
          </w:rPr>
          <w:fldChar w:fldCharType="begin"/>
        </w:r>
        <w:r>
          <w:rPr>
            <w:noProof/>
            <w:webHidden/>
          </w:rPr>
          <w:instrText xml:space="preserve"> PAGEREF _Toc336267641 \h </w:instrText>
        </w:r>
        <w:r>
          <w:rPr>
            <w:noProof/>
            <w:webHidden/>
          </w:rPr>
        </w:r>
        <w:r>
          <w:rPr>
            <w:noProof/>
            <w:webHidden/>
          </w:rPr>
          <w:fldChar w:fldCharType="separate"/>
        </w:r>
        <w:r>
          <w:rPr>
            <w:noProof/>
            <w:webHidden/>
          </w:rPr>
          <w:t>23</w:t>
        </w:r>
        <w:r>
          <w:rPr>
            <w:noProof/>
            <w:webHidden/>
          </w:rPr>
          <w:fldChar w:fldCharType="end"/>
        </w:r>
      </w:hyperlink>
    </w:p>
    <w:p w:rsidR="00081F2D" w:rsidRDefault="00081F2D">
      <w:pPr>
        <w:pStyle w:val="TOC4"/>
        <w:tabs>
          <w:tab w:val="left" w:pos="1760"/>
          <w:tab w:val="right" w:leader="dot" w:pos="9628"/>
        </w:tabs>
        <w:rPr>
          <w:rFonts w:asciiTheme="minorHAnsi" w:eastAsiaTheme="minorEastAsia" w:hAnsiTheme="minorHAnsi" w:cstheme="minorBidi"/>
          <w:noProof/>
          <w:sz w:val="22"/>
          <w:szCs w:val="22"/>
          <w:lang w:eastAsia="en-GB"/>
        </w:rPr>
      </w:pPr>
      <w:hyperlink w:anchor="_Toc336267642" w:history="1">
        <w:r w:rsidRPr="00D71DD4">
          <w:rPr>
            <w:rStyle w:val="Hyperlink"/>
            <w:noProof/>
          </w:rPr>
          <w:t>Table 15.</w:t>
        </w:r>
        <w:r>
          <w:rPr>
            <w:rFonts w:asciiTheme="minorHAnsi" w:eastAsiaTheme="minorEastAsia" w:hAnsiTheme="minorHAnsi" w:cstheme="minorBidi"/>
            <w:noProof/>
            <w:sz w:val="22"/>
            <w:szCs w:val="22"/>
            <w:lang w:eastAsia="en-GB"/>
          </w:rPr>
          <w:tab/>
        </w:r>
        <w:r w:rsidRPr="00D71DD4">
          <w:rPr>
            <w:rStyle w:val="Hyperlink"/>
            <w:noProof/>
          </w:rPr>
          <w:t>Waste Management Multinationals in Europe 2012 (with subsidiaries and employment figures)</w:t>
        </w:r>
        <w:r>
          <w:rPr>
            <w:noProof/>
            <w:webHidden/>
          </w:rPr>
          <w:tab/>
        </w:r>
        <w:r>
          <w:rPr>
            <w:noProof/>
            <w:webHidden/>
          </w:rPr>
          <w:fldChar w:fldCharType="begin"/>
        </w:r>
        <w:r>
          <w:rPr>
            <w:noProof/>
            <w:webHidden/>
          </w:rPr>
          <w:instrText xml:space="preserve"> PAGEREF _Toc336267642 \h </w:instrText>
        </w:r>
        <w:r>
          <w:rPr>
            <w:noProof/>
            <w:webHidden/>
          </w:rPr>
        </w:r>
        <w:r>
          <w:rPr>
            <w:noProof/>
            <w:webHidden/>
          </w:rPr>
          <w:fldChar w:fldCharType="separate"/>
        </w:r>
        <w:r>
          <w:rPr>
            <w:noProof/>
            <w:webHidden/>
          </w:rPr>
          <w:t>23</w:t>
        </w:r>
        <w:r>
          <w:rPr>
            <w:noProof/>
            <w:webHidden/>
          </w:rPr>
          <w:fldChar w:fldCharType="end"/>
        </w:r>
      </w:hyperlink>
    </w:p>
    <w:p w:rsidR="00081F2D" w:rsidRDefault="00081F2D">
      <w:pPr>
        <w:pStyle w:val="TOC1"/>
        <w:tabs>
          <w:tab w:val="left" w:pos="440"/>
          <w:tab w:val="right" w:leader="dot" w:pos="9628"/>
        </w:tabs>
        <w:rPr>
          <w:rFonts w:asciiTheme="minorHAnsi" w:eastAsiaTheme="minorEastAsia" w:hAnsiTheme="minorHAnsi" w:cstheme="minorBidi"/>
          <w:b w:val="0"/>
          <w:bCs w:val="0"/>
          <w:caps w:val="0"/>
          <w:noProof/>
          <w:sz w:val="22"/>
          <w:szCs w:val="22"/>
          <w:lang w:eastAsia="en-GB"/>
        </w:rPr>
      </w:pPr>
      <w:hyperlink w:anchor="_Toc336267643" w:history="1">
        <w:r w:rsidRPr="00D71DD4">
          <w:rPr>
            <w:rStyle w:val="Hyperlink"/>
            <w:noProof/>
          </w:rPr>
          <w:t>8.</w:t>
        </w:r>
        <w:r>
          <w:rPr>
            <w:rFonts w:asciiTheme="minorHAnsi" w:eastAsiaTheme="minorEastAsia" w:hAnsiTheme="minorHAnsi" w:cstheme="minorBidi"/>
            <w:b w:val="0"/>
            <w:bCs w:val="0"/>
            <w:caps w:val="0"/>
            <w:noProof/>
            <w:sz w:val="22"/>
            <w:szCs w:val="22"/>
            <w:lang w:eastAsia="en-GB"/>
          </w:rPr>
          <w:tab/>
        </w:r>
        <w:r w:rsidRPr="00D71DD4">
          <w:rPr>
            <w:rStyle w:val="Hyperlink"/>
            <w:noProof/>
          </w:rPr>
          <w:t>Annex B: EU laws and court decisions</w:t>
        </w:r>
        <w:r>
          <w:rPr>
            <w:noProof/>
            <w:webHidden/>
          </w:rPr>
          <w:tab/>
        </w:r>
        <w:r>
          <w:rPr>
            <w:noProof/>
            <w:webHidden/>
          </w:rPr>
          <w:fldChar w:fldCharType="begin"/>
        </w:r>
        <w:r>
          <w:rPr>
            <w:noProof/>
            <w:webHidden/>
          </w:rPr>
          <w:instrText xml:space="preserve"> PAGEREF _Toc336267643 \h </w:instrText>
        </w:r>
        <w:r>
          <w:rPr>
            <w:noProof/>
            <w:webHidden/>
          </w:rPr>
        </w:r>
        <w:r>
          <w:rPr>
            <w:noProof/>
            <w:webHidden/>
          </w:rPr>
          <w:fldChar w:fldCharType="separate"/>
        </w:r>
        <w:r>
          <w:rPr>
            <w:noProof/>
            <w:webHidden/>
          </w:rPr>
          <w:t>26</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44" w:history="1">
        <w:r w:rsidRPr="00D71DD4">
          <w:rPr>
            <w:rStyle w:val="Hyperlink"/>
          </w:rPr>
          <w:t>8.1.</w:t>
        </w:r>
        <w:r>
          <w:rPr>
            <w:rFonts w:asciiTheme="minorHAnsi" w:eastAsiaTheme="minorEastAsia" w:hAnsiTheme="minorHAnsi" w:cstheme="minorBidi"/>
            <w:smallCaps w:val="0"/>
            <w:sz w:val="22"/>
            <w:szCs w:val="22"/>
            <w:lang w:eastAsia="en-GB"/>
          </w:rPr>
          <w:tab/>
        </w:r>
        <w:r w:rsidRPr="00D71DD4">
          <w:rPr>
            <w:rStyle w:val="Hyperlink"/>
          </w:rPr>
          <w:t>Summary of EU legislation on waste</w:t>
        </w:r>
        <w:r>
          <w:rPr>
            <w:webHidden/>
          </w:rPr>
          <w:tab/>
        </w:r>
        <w:r>
          <w:rPr>
            <w:webHidden/>
          </w:rPr>
          <w:fldChar w:fldCharType="begin"/>
        </w:r>
        <w:r>
          <w:rPr>
            <w:webHidden/>
          </w:rPr>
          <w:instrText xml:space="preserve"> PAGEREF _Toc336267644 \h </w:instrText>
        </w:r>
        <w:r>
          <w:rPr>
            <w:webHidden/>
          </w:rPr>
        </w:r>
        <w:r>
          <w:rPr>
            <w:webHidden/>
          </w:rPr>
          <w:fldChar w:fldCharType="separate"/>
        </w:r>
        <w:r>
          <w:rPr>
            <w:webHidden/>
          </w:rPr>
          <w:t>26</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45" w:history="1">
        <w:r w:rsidRPr="00D71DD4">
          <w:rPr>
            <w:rStyle w:val="Hyperlink"/>
          </w:rPr>
          <w:t>8.2.</w:t>
        </w:r>
        <w:r>
          <w:rPr>
            <w:rFonts w:asciiTheme="minorHAnsi" w:eastAsiaTheme="minorEastAsia" w:hAnsiTheme="minorHAnsi" w:cstheme="minorBidi"/>
            <w:smallCaps w:val="0"/>
            <w:sz w:val="22"/>
            <w:szCs w:val="22"/>
            <w:lang w:eastAsia="en-GB"/>
          </w:rPr>
          <w:tab/>
        </w:r>
        <w:r w:rsidRPr="00D71DD4">
          <w:rPr>
            <w:rStyle w:val="Hyperlink"/>
          </w:rPr>
          <w:t>Waste Framework Directive (2008/98/EC)</w:t>
        </w:r>
        <w:r>
          <w:rPr>
            <w:webHidden/>
          </w:rPr>
          <w:tab/>
        </w:r>
        <w:r>
          <w:rPr>
            <w:webHidden/>
          </w:rPr>
          <w:fldChar w:fldCharType="begin"/>
        </w:r>
        <w:r>
          <w:rPr>
            <w:webHidden/>
          </w:rPr>
          <w:instrText xml:space="preserve"> PAGEREF _Toc336267645 \h </w:instrText>
        </w:r>
        <w:r>
          <w:rPr>
            <w:webHidden/>
          </w:rPr>
        </w:r>
        <w:r>
          <w:rPr>
            <w:webHidden/>
          </w:rPr>
          <w:fldChar w:fldCharType="separate"/>
        </w:r>
        <w:r>
          <w:rPr>
            <w:webHidden/>
          </w:rPr>
          <w:t>27</w:t>
        </w:r>
        <w:r>
          <w:rPr>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46" w:history="1">
        <w:r w:rsidRPr="00D71DD4">
          <w:rPr>
            <w:rStyle w:val="Hyperlink"/>
            <w:noProof/>
          </w:rPr>
          <w:t>8.2.1.</w:t>
        </w:r>
        <w:r>
          <w:rPr>
            <w:rFonts w:asciiTheme="minorHAnsi" w:eastAsiaTheme="minorEastAsia" w:hAnsiTheme="minorHAnsi" w:cstheme="minorBidi"/>
            <w:i w:val="0"/>
            <w:iCs w:val="0"/>
            <w:noProof/>
            <w:sz w:val="22"/>
            <w:szCs w:val="22"/>
            <w:lang w:eastAsia="en-GB"/>
          </w:rPr>
          <w:tab/>
        </w:r>
        <w:r w:rsidRPr="00D71DD4">
          <w:rPr>
            <w:rStyle w:val="Hyperlink"/>
            <w:noProof/>
          </w:rPr>
          <w:t>Classification of waste incineration</w:t>
        </w:r>
        <w:r>
          <w:rPr>
            <w:noProof/>
            <w:webHidden/>
          </w:rPr>
          <w:tab/>
        </w:r>
        <w:r>
          <w:rPr>
            <w:noProof/>
            <w:webHidden/>
          </w:rPr>
          <w:fldChar w:fldCharType="begin"/>
        </w:r>
        <w:r>
          <w:rPr>
            <w:noProof/>
            <w:webHidden/>
          </w:rPr>
          <w:instrText xml:space="preserve"> PAGEREF _Toc336267646 \h </w:instrText>
        </w:r>
        <w:r>
          <w:rPr>
            <w:noProof/>
            <w:webHidden/>
          </w:rPr>
        </w:r>
        <w:r>
          <w:rPr>
            <w:noProof/>
            <w:webHidden/>
          </w:rPr>
          <w:fldChar w:fldCharType="separate"/>
        </w:r>
        <w:r>
          <w:rPr>
            <w:noProof/>
            <w:webHidden/>
          </w:rPr>
          <w:t>29</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47" w:history="1">
        <w:r w:rsidRPr="00D71DD4">
          <w:rPr>
            <w:rStyle w:val="Hyperlink"/>
          </w:rPr>
          <w:t>8.3.</w:t>
        </w:r>
        <w:r>
          <w:rPr>
            <w:rFonts w:asciiTheme="minorHAnsi" w:eastAsiaTheme="minorEastAsia" w:hAnsiTheme="minorHAnsi" w:cstheme="minorBidi"/>
            <w:smallCaps w:val="0"/>
            <w:sz w:val="22"/>
            <w:szCs w:val="22"/>
            <w:lang w:eastAsia="en-GB"/>
          </w:rPr>
          <w:tab/>
        </w:r>
        <w:r w:rsidRPr="00D71DD4">
          <w:rPr>
            <w:rStyle w:val="Hyperlink"/>
          </w:rPr>
          <w:t>Landfill directive (1999/31/EC)</w:t>
        </w:r>
        <w:r>
          <w:rPr>
            <w:webHidden/>
          </w:rPr>
          <w:tab/>
        </w:r>
        <w:r>
          <w:rPr>
            <w:webHidden/>
          </w:rPr>
          <w:fldChar w:fldCharType="begin"/>
        </w:r>
        <w:r>
          <w:rPr>
            <w:webHidden/>
          </w:rPr>
          <w:instrText xml:space="preserve"> PAGEREF _Toc336267647 \h </w:instrText>
        </w:r>
        <w:r>
          <w:rPr>
            <w:webHidden/>
          </w:rPr>
        </w:r>
        <w:r>
          <w:rPr>
            <w:webHidden/>
          </w:rPr>
          <w:fldChar w:fldCharType="separate"/>
        </w:r>
        <w:r>
          <w:rPr>
            <w:webHidden/>
          </w:rPr>
          <w:t>29</w:t>
        </w:r>
        <w:r>
          <w:rPr>
            <w:webHidden/>
          </w:rPr>
          <w:fldChar w:fldCharType="end"/>
        </w:r>
      </w:hyperlink>
    </w:p>
    <w:p w:rsidR="00081F2D" w:rsidRDefault="00081F2D">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36267648" w:history="1">
        <w:r w:rsidRPr="00D71DD4">
          <w:rPr>
            <w:rStyle w:val="Hyperlink"/>
            <w:noProof/>
            <w:lang w:eastAsia="en-GB"/>
          </w:rPr>
          <w:t>Chart F.</w:t>
        </w:r>
        <w:r>
          <w:rPr>
            <w:rFonts w:asciiTheme="minorHAnsi" w:eastAsiaTheme="minorEastAsia" w:hAnsiTheme="minorHAnsi" w:cstheme="minorBidi"/>
            <w:noProof/>
            <w:sz w:val="22"/>
            <w:szCs w:val="22"/>
            <w:lang w:eastAsia="en-GB"/>
          </w:rPr>
          <w:tab/>
        </w:r>
        <w:r w:rsidRPr="00D71DD4">
          <w:rPr>
            <w:rStyle w:val="Hyperlink"/>
            <w:noProof/>
            <w:lang w:eastAsia="en-GB"/>
          </w:rPr>
          <w:t>Recycling, separate collection and sorting</w:t>
        </w:r>
        <w:r>
          <w:rPr>
            <w:noProof/>
            <w:webHidden/>
          </w:rPr>
          <w:tab/>
        </w:r>
        <w:r>
          <w:rPr>
            <w:noProof/>
            <w:webHidden/>
          </w:rPr>
          <w:fldChar w:fldCharType="begin"/>
        </w:r>
        <w:r>
          <w:rPr>
            <w:noProof/>
            <w:webHidden/>
          </w:rPr>
          <w:instrText xml:space="preserve"> PAGEREF _Toc336267648 \h </w:instrText>
        </w:r>
        <w:r>
          <w:rPr>
            <w:noProof/>
            <w:webHidden/>
          </w:rPr>
        </w:r>
        <w:r>
          <w:rPr>
            <w:noProof/>
            <w:webHidden/>
          </w:rPr>
          <w:fldChar w:fldCharType="separate"/>
        </w:r>
        <w:r>
          <w:rPr>
            <w:noProof/>
            <w:webHidden/>
          </w:rPr>
          <w:t>29</w:t>
        </w:r>
        <w:r>
          <w:rPr>
            <w:noProof/>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49" w:history="1">
        <w:r w:rsidRPr="00D71DD4">
          <w:rPr>
            <w:rStyle w:val="Hyperlink"/>
          </w:rPr>
          <w:t>8.4.</w:t>
        </w:r>
        <w:r>
          <w:rPr>
            <w:rFonts w:asciiTheme="minorHAnsi" w:eastAsiaTheme="minorEastAsia" w:hAnsiTheme="minorHAnsi" w:cstheme="minorBidi"/>
            <w:smallCaps w:val="0"/>
            <w:sz w:val="22"/>
            <w:szCs w:val="22"/>
            <w:lang w:eastAsia="en-GB"/>
          </w:rPr>
          <w:tab/>
        </w:r>
        <w:r w:rsidRPr="00D71DD4">
          <w:rPr>
            <w:rStyle w:val="Hyperlink"/>
          </w:rPr>
          <w:t>Environmental laws: infringement proceedings (failure to implement laws)</w:t>
        </w:r>
        <w:r>
          <w:rPr>
            <w:webHidden/>
          </w:rPr>
          <w:tab/>
        </w:r>
        <w:r>
          <w:rPr>
            <w:webHidden/>
          </w:rPr>
          <w:fldChar w:fldCharType="begin"/>
        </w:r>
        <w:r>
          <w:rPr>
            <w:webHidden/>
          </w:rPr>
          <w:instrText xml:space="preserve"> PAGEREF _Toc336267649 \h </w:instrText>
        </w:r>
        <w:r>
          <w:rPr>
            <w:webHidden/>
          </w:rPr>
        </w:r>
        <w:r>
          <w:rPr>
            <w:webHidden/>
          </w:rPr>
          <w:fldChar w:fldCharType="separate"/>
        </w:r>
        <w:r>
          <w:rPr>
            <w:webHidden/>
          </w:rPr>
          <w:t>30</w:t>
        </w:r>
        <w:r>
          <w:rPr>
            <w:webHidden/>
          </w:rPr>
          <w:fldChar w:fldCharType="end"/>
        </w:r>
      </w:hyperlink>
    </w:p>
    <w:p w:rsidR="00081F2D" w:rsidRDefault="00081F2D">
      <w:pPr>
        <w:pStyle w:val="TOC2"/>
        <w:rPr>
          <w:rFonts w:asciiTheme="minorHAnsi" w:eastAsiaTheme="minorEastAsia" w:hAnsiTheme="minorHAnsi" w:cstheme="minorBidi"/>
          <w:smallCaps w:val="0"/>
          <w:sz w:val="22"/>
          <w:szCs w:val="22"/>
          <w:lang w:eastAsia="en-GB"/>
        </w:rPr>
      </w:pPr>
      <w:hyperlink w:anchor="_Toc336267650" w:history="1">
        <w:r w:rsidRPr="00D71DD4">
          <w:rPr>
            <w:rStyle w:val="Hyperlink"/>
          </w:rPr>
          <w:t>8.5.</w:t>
        </w:r>
        <w:r>
          <w:rPr>
            <w:rFonts w:asciiTheme="minorHAnsi" w:eastAsiaTheme="minorEastAsia" w:hAnsiTheme="minorHAnsi" w:cstheme="minorBidi"/>
            <w:smallCaps w:val="0"/>
            <w:sz w:val="22"/>
            <w:szCs w:val="22"/>
            <w:lang w:eastAsia="en-GB"/>
          </w:rPr>
          <w:tab/>
        </w:r>
        <w:r w:rsidRPr="00D71DD4">
          <w:rPr>
            <w:rStyle w:val="Hyperlink"/>
          </w:rPr>
          <w:t>Other EU law: procurement and state aid</w:t>
        </w:r>
        <w:r>
          <w:rPr>
            <w:webHidden/>
          </w:rPr>
          <w:tab/>
        </w:r>
        <w:r>
          <w:rPr>
            <w:webHidden/>
          </w:rPr>
          <w:fldChar w:fldCharType="begin"/>
        </w:r>
        <w:r>
          <w:rPr>
            <w:webHidden/>
          </w:rPr>
          <w:instrText xml:space="preserve"> PAGEREF _Toc336267650 \h </w:instrText>
        </w:r>
        <w:r>
          <w:rPr>
            <w:webHidden/>
          </w:rPr>
        </w:r>
        <w:r>
          <w:rPr>
            <w:webHidden/>
          </w:rPr>
          <w:fldChar w:fldCharType="separate"/>
        </w:r>
        <w:r>
          <w:rPr>
            <w:webHidden/>
          </w:rPr>
          <w:t>30</w:t>
        </w:r>
        <w:r>
          <w:rPr>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51" w:history="1">
        <w:r w:rsidRPr="00D71DD4">
          <w:rPr>
            <w:rStyle w:val="Hyperlink"/>
            <w:noProof/>
          </w:rPr>
          <w:t>8.5.1.</w:t>
        </w:r>
        <w:r>
          <w:rPr>
            <w:rFonts w:asciiTheme="minorHAnsi" w:eastAsiaTheme="minorEastAsia" w:hAnsiTheme="minorHAnsi" w:cstheme="minorBidi"/>
            <w:i w:val="0"/>
            <w:iCs w:val="0"/>
            <w:noProof/>
            <w:sz w:val="22"/>
            <w:szCs w:val="22"/>
            <w:lang w:eastAsia="en-GB"/>
          </w:rPr>
          <w:tab/>
        </w:r>
        <w:r w:rsidRPr="00D71DD4">
          <w:rPr>
            <w:rStyle w:val="Hyperlink"/>
            <w:noProof/>
          </w:rPr>
          <w:t>Hamburg and inter-municipal waste service</w:t>
        </w:r>
        <w:r>
          <w:rPr>
            <w:noProof/>
            <w:webHidden/>
          </w:rPr>
          <w:tab/>
        </w:r>
        <w:r>
          <w:rPr>
            <w:noProof/>
            <w:webHidden/>
          </w:rPr>
          <w:fldChar w:fldCharType="begin"/>
        </w:r>
        <w:r>
          <w:rPr>
            <w:noProof/>
            <w:webHidden/>
          </w:rPr>
          <w:instrText xml:space="preserve"> PAGEREF _Toc336267651 \h </w:instrText>
        </w:r>
        <w:r>
          <w:rPr>
            <w:noProof/>
            <w:webHidden/>
          </w:rPr>
        </w:r>
        <w:r>
          <w:rPr>
            <w:noProof/>
            <w:webHidden/>
          </w:rPr>
          <w:fldChar w:fldCharType="separate"/>
        </w:r>
        <w:r>
          <w:rPr>
            <w:noProof/>
            <w:webHidden/>
          </w:rPr>
          <w:t>30</w:t>
        </w:r>
        <w:r>
          <w:rPr>
            <w:noProof/>
            <w:webHidden/>
          </w:rPr>
          <w:fldChar w:fldCharType="end"/>
        </w:r>
      </w:hyperlink>
    </w:p>
    <w:p w:rsidR="00081F2D" w:rsidRDefault="00081F2D">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267652" w:history="1">
        <w:r w:rsidRPr="00D71DD4">
          <w:rPr>
            <w:rStyle w:val="Hyperlink"/>
            <w:noProof/>
          </w:rPr>
          <w:t>8.5.2.</w:t>
        </w:r>
        <w:r>
          <w:rPr>
            <w:rFonts w:asciiTheme="minorHAnsi" w:eastAsiaTheme="minorEastAsia" w:hAnsiTheme="minorHAnsi" w:cstheme="minorBidi"/>
            <w:i w:val="0"/>
            <w:iCs w:val="0"/>
            <w:noProof/>
            <w:sz w:val="22"/>
            <w:szCs w:val="22"/>
            <w:lang w:eastAsia="en-GB"/>
          </w:rPr>
          <w:tab/>
        </w:r>
        <w:r w:rsidRPr="00D71DD4">
          <w:rPr>
            <w:rStyle w:val="Hyperlink"/>
            <w:noProof/>
          </w:rPr>
          <w:t>Italy re state aid</w:t>
        </w:r>
        <w:r>
          <w:rPr>
            <w:noProof/>
            <w:webHidden/>
          </w:rPr>
          <w:tab/>
        </w:r>
        <w:r>
          <w:rPr>
            <w:noProof/>
            <w:webHidden/>
          </w:rPr>
          <w:fldChar w:fldCharType="begin"/>
        </w:r>
        <w:r>
          <w:rPr>
            <w:noProof/>
            <w:webHidden/>
          </w:rPr>
          <w:instrText xml:space="preserve"> PAGEREF _Toc336267652 \h </w:instrText>
        </w:r>
        <w:r>
          <w:rPr>
            <w:noProof/>
            <w:webHidden/>
          </w:rPr>
        </w:r>
        <w:r>
          <w:rPr>
            <w:noProof/>
            <w:webHidden/>
          </w:rPr>
          <w:fldChar w:fldCharType="separate"/>
        </w:r>
        <w:r>
          <w:rPr>
            <w:noProof/>
            <w:webHidden/>
          </w:rPr>
          <w:t>30</w:t>
        </w:r>
        <w:r>
          <w:rPr>
            <w:noProof/>
            <w:webHidden/>
          </w:rPr>
          <w:fldChar w:fldCharType="end"/>
        </w:r>
      </w:hyperlink>
    </w:p>
    <w:p w:rsidR="00081F2D" w:rsidRDefault="00081F2D">
      <w:pPr>
        <w:pStyle w:val="TOC1"/>
        <w:tabs>
          <w:tab w:val="right" w:leader="dot" w:pos="9628"/>
        </w:tabs>
        <w:rPr>
          <w:rFonts w:asciiTheme="minorHAnsi" w:eastAsiaTheme="minorEastAsia" w:hAnsiTheme="minorHAnsi" w:cstheme="minorBidi"/>
          <w:b w:val="0"/>
          <w:bCs w:val="0"/>
          <w:caps w:val="0"/>
          <w:noProof/>
          <w:sz w:val="22"/>
          <w:szCs w:val="22"/>
          <w:lang w:eastAsia="en-GB"/>
        </w:rPr>
      </w:pPr>
      <w:hyperlink w:anchor="_Toc336267653" w:history="1">
        <w:r w:rsidRPr="00D71DD4">
          <w:rPr>
            <w:rStyle w:val="Hyperlink"/>
            <w:noProof/>
          </w:rPr>
          <w:t>Notes</w:t>
        </w:r>
        <w:r>
          <w:rPr>
            <w:noProof/>
            <w:webHidden/>
          </w:rPr>
          <w:tab/>
        </w:r>
        <w:r>
          <w:rPr>
            <w:noProof/>
            <w:webHidden/>
          </w:rPr>
          <w:fldChar w:fldCharType="begin"/>
        </w:r>
        <w:r>
          <w:rPr>
            <w:noProof/>
            <w:webHidden/>
          </w:rPr>
          <w:instrText xml:space="preserve"> PAGEREF _Toc336267653 \h </w:instrText>
        </w:r>
        <w:r>
          <w:rPr>
            <w:noProof/>
            <w:webHidden/>
          </w:rPr>
        </w:r>
        <w:r>
          <w:rPr>
            <w:noProof/>
            <w:webHidden/>
          </w:rPr>
          <w:fldChar w:fldCharType="separate"/>
        </w:r>
        <w:r>
          <w:rPr>
            <w:noProof/>
            <w:webHidden/>
          </w:rPr>
          <w:t>31</w:t>
        </w:r>
        <w:r>
          <w:rPr>
            <w:noProof/>
            <w:webHidden/>
          </w:rPr>
          <w:fldChar w:fldCharType="end"/>
        </w:r>
      </w:hyperlink>
    </w:p>
    <w:p w:rsidR="000D4BE5" w:rsidRDefault="00671179" w:rsidP="009E3176">
      <w:r>
        <w:fldChar w:fldCharType="end"/>
      </w:r>
      <w:r w:rsidR="000D4BE5">
        <w:br w:type="page"/>
      </w:r>
    </w:p>
    <w:p w:rsidR="000D4BE5" w:rsidRDefault="000D4BE5" w:rsidP="000D4BE5"/>
    <w:p w:rsidR="00235978" w:rsidRDefault="00235978" w:rsidP="00D24D53">
      <w:pPr>
        <w:pStyle w:val="Heading1"/>
      </w:pPr>
      <w:bookmarkStart w:id="1" w:name="_Toc332202061"/>
      <w:bookmarkStart w:id="2" w:name="_Toc336267592"/>
      <w:r>
        <w:t>Introduction</w:t>
      </w:r>
      <w:bookmarkEnd w:id="2"/>
    </w:p>
    <w:p w:rsidR="00235978" w:rsidRDefault="00235978" w:rsidP="00235978">
      <w:pPr>
        <w:rPr>
          <w:lang w:eastAsia="en-US"/>
        </w:rPr>
      </w:pPr>
    </w:p>
    <w:p w:rsidR="00235978" w:rsidRDefault="00235978" w:rsidP="00235978">
      <w:pPr>
        <w:rPr>
          <w:lang w:eastAsia="en-US"/>
        </w:rPr>
      </w:pPr>
      <w:r>
        <w:rPr>
          <w:lang w:eastAsia="en-US"/>
        </w:rPr>
        <w:t xml:space="preserve">This paper examines the waste management sector in Europe in 2012. </w:t>
      </w:r>
    </w:p>
    <w:p w:rsidR="00235978" w:rsidRDefault="00235978" w:rsidP="00235978">
      <w:pPr>
        <w:rPr>
          <w:lang w:eastAsia="en-US"/>
        </w:rPr>
      </w:pPr>
    </w:p>
    <w:p w:rsidR="00235978" w:rsidRDefault="00335B24" w:rsidP="00235978">
      <w:pPr>
        <w:rPr>
          <w:lang w:eastAsia="en-US"/>
        </w:rPr>
      </w:pPr>
      <w:r>
        <w:rPr>
          <w:lang w:eastAsia="en-US"/>
        </w:rPr>
        <w:t>There have been few changes of ownership since 2007,  and the largest multinational companies in the sector remain Veolia and Suez, followed by FCC and Remondis. The companies are getting less business and less profit than they expected because the industrial and commercial waste market has shrunk. They are attempting to restore profits by cutting costs, including in their contracts with municipalities.</w:t>
      </w:r>
    </w:p>
    <w:p w:rsidR="00335B24" w:rsidRDefault="00335B24" w:rsidP="00235978">
      <w:pPr>
        <w:rPr>
          <w:lang w:eastAsia="en-US"/>
        </w:rPr>
      </w:pPr>
    </w:p>
    <w:p w:rsidR="00C03316" w:rsidRDefault="00C03316" w:rsidP="00235978">
      <w:pPr>
        <w:rPr>
          <w:lang w:eastAsia="en-US"/>
        </w:rPr>
      </w:pPr>
      <w:r>
        <w:rPr>
          <w:lang w:eastAsia="en-US"/>
        </w:rPr>
        <w:t>Employment in the sector appears to have been volatile</w:t>
      </w:r>
      <w:r w:rsidRPr="00C03316">
        <w:rPr>
          <w:lang w:eastAsia="en-US"/>
        </w:rPr>
        <w:t xml:space="preserve"> </w:t>
      </w:r>
      <w:r>
        <w:rPr>
          <w:lang w:eastAsia="en-US"/>
        </w:rPr>
        <w:t xml:space="preserve">since 2008  as a result of the recession , with different results in different countries. </w:t>
      </w:r>
      <w:r w:rsidR="0061438A">
        <w:rPr>
          <w:lang w:eastAsia="en-US"/>
        </w:rPr>
        <w:t xml:space="preserve">About half the jobs are in the recycling and production of new materials, but collection and  sorting of household waste, and  civic amenity sites, remain the largest areas of stable employment in the sector. </w:t>
      </w:r>
      <w:r>
        <w:rPr>
          <w:lang w:eastAsia="en-US"/>
        </w:rPr>
        <w:t xml:space="preserve">In the EU as a whole employment </w:t>
      </w:r>
      <w:r w:rsidR="0061438A">
        <w:rPr>
          <w:lang w:eastAsia="en-US"/>
        </w:rPr>
        <w:t xml:space="preserve">has </w:t>
      </w:r>
      <w:r>
        <w:rPr>
          <w:lang w:eastAsia="en-US"/>
        </w:rPr>
        <w:t>continue</w:t>
      </w:r>
      <w:r w:rsidR="0061438A">
        <w:rPr>
          <w:lang w:eastAsia="en-US"/>
        </w:rPr>
        <w:t>d</w:t>
      </w:r>
      <w:r>
        <w:rPr>
          <w:lang w:eastAsia="en-US"/>
        </w:rPr>
        <w:t xml:space="preserve"> to grow to nearly 1million</w:t>
      </w:r>
      <w:r w:rsidR="0061438A">
        <w:rPr>
          <w:lang w:eastAsia="en-US"/>
        </w:rPr>
        <w:t>, of which roughly 200,000 are public sector, 200,000 employed by multinationals, and 600,000 by other local and national private operators</w:t>
      </w:r>
      <w:r>
        <w:rPr>
          <w:lang w:eastAsia="en-US"/>
        </w:rPr>
        <w:t xml:space="preserve">. </w:t>
      </w:r>
    </w:p>
    <w:p w:rsidR="00235978" w:rsidRDefault="00235978" w:rsidP="00235978">
      <w:pPr>
        <w:rPr>
          <w:lang w:eastAsia="en-US"/>
        </w:rPr>
      </w:pPr>
    </w:p>
    <w:p w:rsidR="00235978" w:rsidRDefault="00C03316" w:rsidP="00235978">
      <w:pPr>
        <w:rPr>
          <w:lang w:eastAsia="en-US"/>
        </w:rPr>
      </w:pPr>
      <w:r>
        <w:rPr>
          <w:lang w:eastAsia="en-US"/>
        </w:rPr>
        <w:t>The public private split in municipal waste collection and processing is roughly equal in the largest countries Germany, UK and France. There is a significant amount of remunic</w:t>
      </w:r>
      <w:r w:rsidR="00340165">
        <w:rPr>
          <w:lang w:eastAsia="en-US"/>
        </w:rPr>
        <w:t>i</w:t>
      </w:r>
      <w:r>
        <w:rPr>
          <w:lang w:eastAsia="en-US"/>
        </w:rPr>
        <w:t>palisation of services, however, which could grow stronger, especially as there is now yet more evidence that the private sector is no more efficient than the public sector.</w:t>
      </w:r>
    </w:p>
    <w:p w:rsidR="000B1209" w:rsidRDefault="000B1209" w:rsidP="00235978">
      <w:pPr>
        <w:rPr>
          <w:lang w:eastAsia="en-US"/>
        </w:rPr>
      </w:pPr>
    </w:p>
    <w:p w:rsidR="000B1209" w:rsidRDefault="000B1209" w:rsidP="00235978">
      <w:pPr>
        <w:rPr>
          <w:lang w:eastAsia="en-US"/>
        </w:rPr>
      </w:pPr>
      <w:r>
        <w:rPr>
          <w:lang w:eastAsia="en-US"/>
        </w:rPr>
        <w:t xml:space="preserve">While EU legislation continues to drive expansion of waste services, </w:t>
      </w:r>
      <w:r w:rsidR="00081F2D">
        <w:rPr>
          <w:lang w:eastAsia="en-US"/>
        </w:rPr>
        <w:t xml:space="preserve">the role of the public sector </w:t>
      </w:r>
      <w:r>
        <w:rPr>
          <w:lang w:eastAsia="en-US"/>
        </w:rPr>
        <w:t>is undermined by EU institutions giving too much encouragement to PPPs</w:t>
      </w:r>
      <w:r w:rsidR="00C03316">
        <w:rPr>
          <w:lang w:eastAsia="en-US"/>
        </w:rPr>
        <w:t>, especially private incinerators</w:t>
      </w:r>
      <w:r>
        <w:rPr>
          <w:lang w:eastAsia="en-US"/>
        </w:rPr>
        <w:t xml:space="preserve">. At the same time, the private companies are experiencing a drop in demand from industry, and seeking to compensate by cutting costs across the board, including their municipal services. </w:t>
      </w:r>
      <w:r w:rsidR="00C03316">
        <w:rPr>
          <w:lang w:eastAsia="en-US"/>
        </w:rPr>
        <w:t xml:space="preserve"> The waste companies are also attempting to gain new business by importing toxic waste, which has led to strong public resistance.</w:t>
      </w:r>
    </w:p>
    <w:p w:rsidR="00235978" w:rsidRDefault="00235978" w:rsidP="00235978">
      <w:pPr>
        <w:rPr>
          <w:lang w:eastAsia="en-US"/>
        </w:rPr>
      </w:pPr>
    </w:p>
    <w:p w:rsidR="00335B24" w:rsidRDefault="00335B24" w:rsidP="00335B24">
      <w:r>
        <w:t xml:space="preserve">This report is the latest in a series of PSIRU papers for EPSU, which includes reports for 2010 at </w:t>
      </w:r>
      <w:hyperlink r:id="rId14" w:history="1">
        <w:r w:rsidRPr="00FC12B4">
          <w:rPr>
            <w:rStyle w:val="Hyperlink"/>
          </w:rPr>
          <w:t>http://www.psiru.org/sites/default/files/2010-02-G-EWCs.doc</w:t>
        </w:r>
      </w:hyperlink>
      <w:r>
        <w:t xml:space="preserve"> , and </w:t>
      </w:r>
      <w:hyperlink r:id="rId15" w:history="1">
        <w:r w:rsidRPr="00FC12B4">
          <w:rPr>
            <w:rStyle w:val="Hyperlink"/>
          </w:rPr>
          <w:t>http://www.psiru.org/sites/default/files/2010-02-G-trends.doc</w:t>
        </w:r>
      </w:hyperlink>
      <w:r>
        <w:t xml:space="preserve"> ; and for 2007 at </w:t>
      </w:r>
      <w:hyperlink r:id="rId16" w:history="1">
        <w:r w:rsidRPr="00FC12B4">
          <w:rPr>
            <w:rStyle w:val="Hyperlink"/>
          </w:rPr>
          <w:t>http://www.psiru.org/sites/default/files/2007-06-G-EWCs.doc</w:t>
        </w:r>
      </w:hyperlink>
      <w:r>
        <w:t xml:space="preserve"> )</w:t>
      </w:r>
    </w:p>
    <w:p w:rsidR="00235978" w:rsidRPr="00235978" w:rsidRDefault="00235978" w:rsidP="00235978">
      <w:pPr>
        <w:rPr>
          <w:lang w:eastAsia="en-US"/>
        </w:rPr>
      </w:pPr>
    </w:p>
    <w:p w:rsidR="00A66F93" w:rsidRDefault="00A66F93" w:rsidP="00D24D53">
      <w:pPr>
        <w:pStyle w:val="Heading1"/>
      </w:pPr>
      <w:bookmarkStart w:id="3" w:name="_Toc336267593"/>
      <w:r w:rsidRPr="00D24D53">
        <w:t>Companies</w:t>
      </w:r>
      <w:bookmarkEnd w:id="1"/>
      <w:bookmarkEnd w:id="3"/>
    </w:p>
    <w:p w:rsidR="00335B24" w:rsidRPr="00335B24" w:rsidRDefault="00335B24" w:rsidP="00335B24">
      <w:pPr>
        <w:rPr>
          <w:lang w:eastAsia="en-US"/>
        </w:rPr>
      </w:pPr>
    </w:p>
    <w:p w:rsidR="00A66F93" w:rsidRDefault="00A66F93" w:rsidP="00A66F93">
      <w:pPr>
        <w:pStyle w:val="Heading2"/>
      </w:pPr>
      <w:bookmarkStart w:id="4" w:name="_Toc336267594"/>
      <w:r>
        <w:t>Largest companies</w:t>
      </w:r>
      <w:r w:rsidR="009445AD">
        <w:t xml:space="preserve"> by size</w:t>
      </w:r>
      <w:bookmarkEnd w:id="4"/>
    </w:p>
    <w:p w:rsidR="00E703D4" w:rsidRDefault="00A66F93" w:rsidP="002510FF">
      <w:pPr>
        <w:rPr>
          <w:rFonts w:eastAsia="Times New Roman"/>
          <w:lang w:eastAsia="en-US"/>
        </w:rPr>
      </w:pPr>
      <w:r w:rsidRPr="00661B28">
        <w:rPr>
          <w:rFonts w:eastAsia="Times New Roman"/>
          <w:lang w:eastAsia="en-US"/>
        </w:rPr>
        <w:t xml:space="preserve">The major waste companies in Europe are shown in table 1, in order of size of revenues from waste management in Europe. </w:t>
      </w:r>
    </w:p>
    <w:p w:rsidR="00235978" w:rsidRPr="00661B28" w:rsidRDefault="00235978" w:rsidP="002510FF">
      <w:pPr>
        <w:rPr>
          <w:rFonts w:eastAsia="Times New Roman"/>
          <w:lang w:eastAsia="en-US"/>
        </w:rPr>
      </w:pPr>
    </w:p>
    <w:p w:rsidR="00661B28" w:rsidRDefault="00E703D4" w:rsidP="002510FF">
      <w:pPr>
        <w:rPr>
          <w:rFonts w:eastAsia="Times New Roman"/>
          <w:lang w:eastAsia="en-US"/>
        </w:rPr>
      </w:pPr>
      <w:r w:rsidRPr="00661B28">
        <w:rPr>
          <w:rFonts w:eastAsia="Times New Roman"/>
          <w:lang w:eastAsia="en-US"/>
        </w:rPr>
        <w:t>The</w:t>
      </w:r>
      <w:r w:rsidR="00335B24">
        <w:rPr>
          <w:rFonts w:eastAsia="Times New Roman"/>
          <w:lang w:eastAsia="en-US"/>
        </w:rPr>
        <w:t>se</w:t>
      </w:r>
      <w:r w:rsidRPr="00661B28">
        <w:rPr>
          <w:rFonts w:eastAsia="Times New Roman"/>
          <w:lang w:eastAsia="en-US"/>
        </w:rPr>
        <w:t xml:space="preserve"> companies fall into five main categories. </w:t>
      </w:r>
    </w:p>
    <w:p w:rsidR="00661B28" w:rsidRPr="00661B28" w:rsidRDefault="00E703D4" w:rsidP="00661B28">
      <w:pPr>
        <w:pStyle w:val="ListParagraph"/>
        <w:numPr>
          <w:ilvl w:val="0"/>
          <w:numId w:val="30"/>
        </w:numPr>
        <w:rPr>
          <w:rFonts w:eastAsia="Times New Roman"/>
        </w:rPr>
      </w:pPr>
      <w:r w:rsidRPr="00661B28">
        <w:rPr>
          <w:rFonts w:eastAsia="Times New Roman"/>
        </w:rPr>
        <w:t>The French companies Suez and Veolia (and Seche-SAUR), with major government shareholdings;</w:t>
      </w:r>
    </w:p>
    <w:p w:rsidR="00661B28" w:rsidRPr="00661B28" w:rsidRDefault="00E703D4" w:rsidP="00661B28">
      <w:pPr>
        <w:pStyle w:val="ListParagraph"/>
        <w:numPr>
          <w:ilvl w:val="0"/>
          <w:numId w:val="30"/>
        </w:numPr>
        <w:rPr>
          <w:rFonts w:eastAsia="Times New Roman"/>
        </w:rPr>
      </w:pPr>
      <w:r w:rsidRPr="00661B28">
        <w:rPr>
          <w:rFonts w:eastAsia="Times New Roman"/>
        </w:rPr>
        <w:t xml:space="preserve">the Spanish companies, subsidiaries of major listed construction groups FCC, ACS, and Ferrovial; </w:t>
      </w:r>
    </w:p>
    <w:p w:rsidR="00661B28" w:rsidRPr="00661B28" w:rsidRDefault="00E703D4" w:rsidP="00661B28">
      <w:pPr>
        <w:pStyle w:val="ListParagraph"/>
        <w:numPr>
          <w:ilvl w:val="0"/>
          <w:numId w:val="30"/>
        </w:numPr>
        <w:rPr>
          <w:rFonts w:eastAsia="Times New Roman"/>
        </w:rPr>
      </w:pPr>
      <w:r w:rsidRPr="00661B28">
        <w:rPr>
          <w:rFonts w:eastAsia="Times New Roman"/>
        </w:rPr>
        <w:t xml:space="preserve">‘traditional’ private companies, led by the German groups </w:t>
      </w:r>
      <w:r w:rsidR="00CF12A5" w:rsidRPr="00661B28">
        <w:rPr>
          <w:rFonts w:eastAsia="Times New Roman"/>
        </w:rPr>
        <w:t>Reth</w:t>
      </w:r>
      <w:r w:rsidRPr="00661B28">
        <w:rPr>
          <w:rFonts w:eastAsia="Times New Roman"/>
        </w:rPr>
        <w:t>m</w:t>
      </w:r>
      <w:r w:rsidR="00CF12A5" w:rsidRPr="00661B28">
        <w:rPr>
          <w:rFonts w:eastAsia="Times New Roman"/>
        </w:rPr>
        <w:t>a</w:t>
      </w:r>
      <w:r w:rsidRPr="00661B28">
        <w:rPr>
          <w:rFonts w:eastAsia="Times New Roman"/>
        </w:rPr>
        <w:t xml:space="preserve">nn-Remondis and Alba; </w:t>
      </w:r>
    </w:p>
    <w:p w:rsidR="00661B28" w:rsidRPr="00661B28" w:rsidRDefault="00E703D4" w:rsidP="00661B28">
      <w:pPr>
        <w:pStyle w:val="ListParagraph"/>
        <w:numPr>
          <w:ilvl w:val="0"/>
          <w:numId w:val="30"/>
        </w:numPr>
        <w:rPr>
          <w:rFonts w:eastAsia="Times New Roman"/>
        </w:rPr>
      </w:pPr>
      <w:r w:rsidRPr="00661B28">
        <w:rPr>
          <w:rFonts w:eastAsia="Times New Roman"/>
        </w:rPr>
        <w:t>two companies owned by private equity</w:t>
      </w:r>
      <w:r w:rsidR="00CF12A5" w:rsidRPr="00661B28">
        <w:rPr>
          <w:rFonts w:eastAsia="Times New Roman"/>
        </w:rPr>
        <w:t xml:space="preserve"> funds</w:t>
      </w:r>
      <w:r w:rsidR="000D4BE5">
        <w:rPr>
          <w:rFonts w:eastAsia="Times New Roman"/>
        </w:rPr>
        <w:t>:</w:t>
      </w:r>
      <w:r w:rsidR="00CF12A5" w:rsidRPr="00661B28">
        <w:rPr>
          <w:rFonts w:eastAsia="Times New Roman"/>
        </w:rPr>
        <w:t xml:space="preserve"> the Dutch AVR/van Gansewinkel, and Biffa</w:t>
      </w:r>
      <w:r w:rsidR="0081577E">
        <w:rPr>
          <w:rFonts w:eastAsia="Times New Roman"/>
        </w:rPr>
        <w:t xml:space="preserve"> (UK);</w:t>
      </w:r>
      <w:r w:rsidRPr="00661B28">
        <w:rPr>
          <w:rFonts w:eastAsia="Times New Roman"/>
        </w:rPr>
        <w:t xml:space="preserve"> </w:t>
      </w:r>
    </w:p>
    <w:p w:rsidR="00661B28" w:rsidRPr="00661B28" w:rsidRDefault="00E703D4" w:rsidP="00661B28">
      <w:pPr>
        <w:pStyle w:val="ListParagraph"/>
        <w:numPr>
          <w:ilvl w:val="0"/>
          <w:numId w:val="30"/>
        </w:numPr>
        <w:rPr>
          <w:rFonts w:eastAsia="Times New Roman"/>
        </w:rPr>
      </w:pPr>
      <w:r w:rsidRPr="00661B28">
        <w:rPr>
          <w:rFonts w:eastAsia="Times New Roman"/>
        </w:rPr>
        <w:t xml:space="preserve">and municipally owned companies. </w:t>
      </w:r>
    </w:p>
    <w:p w:rsidR="00335B24" w:rsidRDefault="00335B24" w:rsidP="007074B4">
      <w:pPr>
        <w:rPr>
          <w:rFonts w:eastAsia="Times New Roman"/>
          <w:lang w:eastAsia="en-US"/>
        </w:rPr>
      </w:pPr>
    </w:p>
    <w:p w:rsidR="007074B4" w:rsidRDefault="00E703D4" w:rsidP="007074B4">
      <w:r w:rsidRPr="00661B28">
        <w:rPr>
          <w:rFonts w:eastAsia="Times New Roman"/>
          <w:lang w:eastAsia="en-US"/>
        </w:rPr>
        <w:t>This last category is represented on this list of internationally active companies by the Dutch municipal company Delta, but municipal companies remain important operators within most countries, notably Germany.</w:t>
      </w:r>
      <w:r w:rsidR="00CF12A5" w:rsidRPr="00661B28">
        <w:rPr>
          <w:rFonts w:eastAsia="Times New Roman"/>
          <w:lang w:eastAsia="en-US"/>
        </w:rPr>
        <w:t xml:space="preserve"> I</w:t>
      </w:r>
      <w:r w:rsidR="00CF12A5" w:rsidRPr="00661B28">
        <w:t>n many countrie</w:t>
      </w:r>
      <w:r w:rsidR="0081577E">
        <w:t>s there are also private</w:t>
      </w:r>
      <w:r w:rsidR="00CF12A5" w:rsidRPr="00661B28">
        <w:t xml:space="preserve"> waste companies operating only </w:t>
      </w:r>
      <w:r w:rsidR="0081577E">
        <w:t>in their home country</w:t>
      </w:r>
      <w:r w:rsidR="00CF12A5" w:rsidRPr="00661B28">
        <w:t>.</w:t>
      </w:r>
      <w:r w:rsidR="007074B4" w:rsidRPr="007074B4">
        <w:t xml:space="preserve"> </w:t>
      </w:r>
    </w:p>
    <w:p w:rsidR="007074B4" w:rsidRDefault="007074B4" w:rsidP="007074B4"/>
    <w:p w:rsidR="007074B4" w:rsidRDefault="007074B4" w:rsidP="007074B4">
      <w:r w:rsidRPr="00661B28">
        <w:lastRenderedPageBreak/>
        <w:t>There have been few major mergers or takeovers in the European waste sector over the last 4 years, in contrast to the extreme burst of buying and selling of waste companies, driven by private equit</w:t>
      </w:r>
      <w:r w:rsidR="00340165">
        <w:t xml:space="preserve">y (PE), in the 2003-2007 period. </w:t>
      </w:r>
      <w:r>
        <w:t xml:space="preserve">Moreover, the two companies which are still owned by private equity groups – Biffa and Van Gansewinkel  - are now experiencing the worst problems (see below).  </w:t>
      </w:r>
    </w:p>
    <w:p w:rsidR="00CF12A5" w:rsidRPr="00661B28" w:rsidRDefault="00CF12A5" w:rsidP="002510FF">
      <w:pPr>
        <w:rPr>
          <w:rFonts w:eastAsia="Times New Roman"/>
          <w:lang w:eastAsia="en-US"/>
        </w:rPr>
      </w:pPr>
    </w:p>
    <w:p w:rsidR="00A66F93" w:rsidRPr="00A66F93" w:rsidRDefault="00A66F93" w:rsidP="00A66F93">
      <w:pPr>
        <w:numPr>
          <w:ilvl w:val="0"/>
          <w:numId w:val="15"/>
        </w:numPr>
        <w:autoSpaceDE w:val="0"/>
        <w:autoSpaceDN w:val="0"/>
        <w:adjustRightInd w:val="0"/>
        <w:spacing w:before="240"/>
        <w:outlineLvl w:val="6"/>
        <w:rPr>
          <w:rFonts w:ascii="Calibri" w:eastAsia="Times New Roman" w:hAnsi="Calibri" w:cs="Times New Roman"/>
          <w:lang w:eastAsia="en-US"/>
        </w:rPr>
      </w:pPr>
      <w:bookmarkStart w:id="5" w:name="_Toc332202062"/>
      <w:r w:rsidRPr="00A66F93">
        <w:rPr>
          <w:rFonts w:ascii="Calibri" w:eastAsia="Times New Roman" w:hAnsi="Calibri" w:cs="Times New Roman"/>
          <w:b/>
          <w:lang w:eastAsia="en-US"/>
        </w:rPr>
        <w:t>Largest municipal waste management companies in Europe 20</w:t>
      </w:r>
      <w:bookmarkEnd w:id="5"/>
      <w:r w:rsidRPr="00A66F93">
        <w:rPr>
          <w:rFonts w:ascii="Calibri" w:eastAsia="Times New Roman" w:hAnsi="Calibri" w:cs="Times New Roman"/>
          <w:b/>
          <w:lang w:eastAsia="en-US"/>
        </w:rPr>
        <w:t>12</w:t>
      </w:r>
      <w:r w:rsidRPr="00A66F93">
        <w:rPr>
          <w:rFonts w:ascii="Calibri" w:eastAsia="Times New Roman" w:hAnsi="Calibri" w:cs="Times New Roman"/>
          <w:b/>
          <w:sz w:val="20"/>
          <w:lang w:eastAsia="en-US"/>
        </w:rPr>
        <w:t xml:space="preserve"> (P=private; PE=private equity; S=stock exchange listed; Mun=municipal)</w:t>
      </w:r>
    </w:p>
    <w:tbl>
      <w:tblPr>
        <w:tblW w:w="9654" w:type="dxa"/>
        <w:tblInd w:w="93" w:type="dxa"/>
        <w:tblLayout w:type="fixed"/>
        <w:tblLook w:val="04A0" w:firstRow="1" w:lastRow="0" w:firstColumn="1" w:lastColumn="0" w:noHBand="0" w:noVBand="1"/>
      </w:tblPr>
      <w:tblGrid>
        <w:gridCol w:w="1716"/>
        <w:gridCol w:w="2552"/>
        <w:gridCol w:w="1559"/>
        <w:gridCol w:w="992"/>
        <w:gridCol w:w="709"/>
        <w:gridCol w:w="567"/>
        <w:gridCol w:w="851"/>
        <w:gridCol w:w="708"/>
      </w:tblGrid>
      <w:tr w:rsidR="00A66F93" w:rsidRPr="00A66F93" w:rsidTr="00661B28">
        <w:trPr>
          <w:trHeight w:val="225"/>
        </w:trPr>
        <w:tc>
          <w:tcPr>
            <w:tcW w:w="1716"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Company</w:t>
            </w:r>
          </w:p>
        </w:tc>
        <w:tc>
          <w:tcPr>
            <w:tcW w:w="2552"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Company website</w:t>
            </w:r>
          </w:p>
        </w:tc>
        <w:tc>
          <w:tcPr>
            <w:tcW w:w="1559"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Parent company</w:t>
            </w:r>
          </w:p>
        </w:tc>
        <w:tc>
          <w:tcPr>
            <w:tcW w:w="992"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Parent country</w:t>
            </w:r>
          </w:p>
        </w:tc>
        <w:tc>
          <w:tcPr>
            <w:tcW w:w="709"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Parent type</w:t>
            </w:r>
          </w:p>
        </w:tc>
        <w:tc>
          <w:tcPr>
            <w:tcW w:w="567"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340165" w:rsidRDefault="0065208A" w:rsidP="00A66F93">
            <w:pPr>
              <w:jc w:val="center"/>
              <w:rPr>
                <w:rFonts w:ascii="Calibri" w:eastAsia="Times New Roman" w:hAnsi="Calibri" w:cs="Calibri"/>
                <w:color w:val="000000"/>
                <w:sz w:val="20"/>
                <w:szCs w:val="20"/>
              </w:rPr>
            </w:pPr>
            <w:r w:rsidRPr="00340165">
              <w:rPr>
                <w:rFonts w:ascii="Calibri" w:eastAsia="Times New Roman" w:hAnsi="Calibri" w:cs="Calibri"/>
                <w:color w:val="000000"/>
                <w:sz w:val="20"/>
                <w:szCs w:val="20"/>
              </w:rPr>
              <w:t>Revenue (</w:t>
            </w:r>
            <w:r w:rsidR="000D4BE5" w:rsidRPr="00340165">
              <w:rPr>
                <w:rFonts w:ascii="Calibri" w:eastAsia="Times New Roman" w:hAnsi="Calibri" w:cs="Calibri"/>
                <w:color w:val="000000"/>
                <w:sz w:val="20"/>
                <w:szCs w:val="20"/>
              </w:rPr>
              <w:t>€</w:t>
            </w:r>
            <w:r w:rsidR="00A66F93" w:rsidRPr="00340165">
              <w:rPr>
                <w:rFonts w:ascii="Calibri" w:eastAsia="Times New Roman" w:hAnsi="Calibri" w:cs="Calibri"/>
                <w:color w:val="000000"/>
                <w:sz w:val="20"/>
                <w:szCs w:val="20"/>
              </w:rPr>
              <w:t>m., waste, EU)</w:t>
            </w:r>
          </w:p>
        </w:tc>
        <w:tc>
          <w:tcPr>
            <w:tcW w:w="708" w:type="dxa"/>
            <w:tcBorders>
              <w:top w:val="single" w:sz="4" w:space="0" w:color="auto"/>
              <w:left w:val="nil"/>
              <w:bottom w:val="single" w:sz="4" w:space="0" w:color="auto"/>
              <w:right w:val="single" w:sz="4" w:space="0" w:color="auto"/>
            </w:tcBorders>
            <w:shd w:val="clear" w:color="auto" w:fill="FFFF99"/>
            <w:noWrap/>
            <w:vAlign w:val="bottom"/>
            <w:hideMark/>
          </w:tcPr>
          <w:p w:rsidR="00A66F93" w:rsidRPr="00A66F93" w:rsidRDefault="00A66F93" w:rsidP="00A66F93">
            <w:pPr>
              <w:jc w:val="center"/>
              <w:rPr>
                <w:rFonts w:ascii="Calibri" w:eastAsia="Times New Roman" w:hAnsi="Calibri" w:cs="Calibri"/>
                <w:color w:val="000000"/>
                <w:sz w:val="20"/>
                <w:szCs w:val="20"/>
              </w:rPr>
            </w:pPr>
            <w:r w:rsidRPr="00A66F93">
              <w:rPr>
                <w:rFonts w:ascii="Calibri" w:eastAsia="Times New Roman" w:hAnsi="Calibri" w:cs="Calibri"/>
                <w:color w:val="000000"/>
                <w:sz w:val="20"/>
                <w:szCs w:val="20"/>
              </w:rPr>
              <w:t>year</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661B28">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xml:space="preserve">Veolia </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17" w:history="1">
              <w:r w:rsidR="00A66F93" w:rsidRPr="00A66F93">
                <w:rPr>
                  <w:rFonts w:ascii="Calibri" w:eastAsia="Times New Roman" w:hAnsi="Calibri" w:cs="Calibri"/>
                  <w:color w:val="0000FF"/>
                  <w:sz w:val="20"/>
                  <w:szCs w:val="20"/>
                  <w:u w:val="single"/>
                </w:rPr>
                <w:t>www.veolia-environmentalservices.</w:t>
              </w:r>
              <w:r w:rsidR="00EA1CF2">
                <w:rPr>
                  <w:rFonts w:ascii="Calibri" w:eastAsia="Times New Roman" w:hAnsi="Calibri" w:cs="Calibri"/>
                  <w:color w:val="0000FF"/>
                  <w:sz w:val="20"/>
                  <w:szCs w:val="20"/>
                  <w:u w:val="single"/>
                </w:rPr>
                <w:t>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Veolia Environnement</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France</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7099</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Suez Environnement</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18" w:history="1">
              <w:r w:rsidR="00A66F93" w:rsidRPr="00A66F93">
                <w:rPr>
                  <w:rFonts w:ascii="Calibri" w:eastAsia="Times New Roman" w:hAnsi="Calibri" w:cs="Calibri"/>
                  <w:color w:val="0000FF"/>
                  <w:sz w:val="20"/>
                  <w:szCs w:val="20"/>
                  <w:u w:val="single"/>
                </w:rPr>
                <w:t>www.suez-environnement.</w:t>
              </w:r>
              <w:r w:rsidR="00EA1CF2">
                <w:rPr>
                  <w:rFonts w:ascii="Calibri" w:eastAsia="Times New Roman" w:hAnsi="Calibri" w:cs="Calibri"/>
                  <w:color w:val="0000FF"/>
                  <w:sz w:val="20"/>
                  <w:szCs w:val="20"/>
                  <w:u w:val="single"/>
                </w:rPr>
                <w:t>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GdF-Suez</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France</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6417</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Remondis</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19" w:history="1">
              <w:r w:rsidR="00A66F93" w:rsidRPr="00A66F93">
                <w:rPr>
                  <w:rFonts w:ascii="Calibri" w:eastAsia="Times New Roman" w:hAnsi="Calibri" w:cs="Calibri"/>
                  <w:color w:val="0000FF"/>
                  <w:sz w:val="20"/>
                  <w:szCs w:val="20"/>
                  <w:u w:val="single"/>
                </w:rPr>
                <w:t>www.remondis.com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Rethmann</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Germany</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5300</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2010</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Alba</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0" w:history="1">
              <w:r w:rsidR="00A66F93" w:rsidRPr="00A66F93">
                <w:rPr>
                  <w:rFonts w:ascii="Calibri" w:eastAsia="Times New Roman" w:hAnsi="Calibri" w:cs="Calibri"/>
                  <w:color w:val="0000FF"/>
                  <w:sz w:val="20"/>
                  <w:szCs w:val="20"/>
                  <w:u w:val="single"/>
                </w:rPr>
                <w:t>www.alba.info</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xml:space="preserve">Alba Group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Germany</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2700</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2010</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661B28">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xml:space="preserve">FCC </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E703D4" w:rsidP="00E703D4">
            <w:pPr>
              <w:rPr>
                <w:rFonts w:ascii="Calibri" w:eastAsia="Times New Roman" w:hAnsi="Calibri" w:cs="Calibri"/>
                <w:color w:val="0000FF"/>
                <w:sz w:val="20"/>
                <w:szCs w:val="20"/>
                <w:u w:val="single"/>
              </w:rPr>
            </w:pPr>
            <w:r>
              <w:rPr>
                <w:rFonts w:ascii="Calibri" w:eastAsia="Times New Roman" w:hAnsi="Calibri" w:cs="Calibri"/>
                <w:color w:val="0000FF"/>
                <w:sz w:val="20"/>
                <w:szCs w:val="20"/>
                <w:u w:val="single"/>
              </w:rPr>
              <w:t>www.fcc.es</w:t>
            </w:r>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lang w:val="es-ES_tradnl"/>
              </w:rPr>
            </w:pPr>
            <w:r w:rsidRPr="00A66F93">
              <w:rPr>
                <w:rFonts w:ascii="Calibri" w:eastAsia="Times New Roman" w:hAnsi="Calibri" w:cs="Calibri"/>
                <w:color w:val="000000"/>
                <w:sz w:val="20"/>
                <w:szCs w:val="20"/>
                <w:lang w:val="es-ES_tradnl"/>
              </w:rPr>
              <w:t xml:space="preserve">FCC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Spain</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2571</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Indaver</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1" w:history="1">
              <w:r w:rsidR="00A66F93" w:rsidRPr="00A66F93">
                <w:rPr>
                  <w:rFonts w:ascii="Calibri" w:eastAsia="Times New Roman" w:hAnsi="Calibri" w:cs="Calibri"/>
                  <w:color w:val="0000FF"/>
                  <w:sz w:val="20"/>
                  <w:szCs w:val="20"/>
                  <w:u w:val="single"/>
                </w:rPr>
                <w:t>www.indaver.com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Delta NV</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Neth</w:t>
            </w:r>
            <w:r>
              <w:rPr>
                <w:rFonts w:ascii="Calibri" w:eastAsia="Times New Roman" w:hAnsi="Calibri" w:cs="Calibri"/>
                <w:color w:val="000000"/>
                <w:sz w:val="20"/>
                <w:szCs w:val="20"/>
              </w:rPr>
              <w:t>-</w:t>
            </w:r>
            <w:r w:rsidRPr="00A66F93">
              <w:rPr>
                <w:rFonts w:ascii="Calibri" w:eastAsia="Times New Roman" w:hAnsi="Calibri" w:cs="Calibri"/>
                <w:color w:val="000000"/>
                <w:sz w:val="20"/>
                <w:szCs w:val="20"/>
              </w:rPr>
              <w:t>erlands</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Mun</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2185</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Urbaser</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2" w:history="1">
              <w:r w:rsidR="00A66F93" w:rsidRPr="00A66F93">
                <w:rPr>
                  <w:rFonts w:ascii="Calibri" w:eastAsia="Times New Roman" w:hAnsi="Calibri" w:cs="Calibri"/>
                  <w:color w:val="0000FF"/>
                  <w:sz w:val="20"/>
                  <w:szCs w:val="20"/>
                  <w:u w:val="single"/>
                </w:rPr>
                <w:t>www.urbaser.</w:t>
              </w:r>
              <w:r w:rsidR="00EA1CF2">
                <w:rPr>
                  <w:rFonts w:ascii="Calibri" w:eastAsia="Times New Roman" w:hAnsi="Calibri" w:cs="Calibri"/>
                  <w:color w:val="0000FF"/>
                  <w:sz w:val="20"/>
                  <w:szCs w:val="20"/>
                  <w:u w:val="single"/>
                </w:rPr>
                <w:t>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ACS</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Spain</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1686</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xml:space="preserve">van Gansewinkel </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3" w:history="1">
              <w:r w:rsidR="00A66F93" w:rsidRPr="00A66F93">
                <w:rPr>
                  <w:rFonts w:ascii="Calibri" w:eastAsia="Times New Roman" w:hAnsi="Calibri" w:cs="Calibri"/>
                  <w:color w:val="0000FF"/>
                  <w:sz w:val="20"/>
                  <w:szCs w:val="20"/>
                  <w:u w:val="single"/>
                </w:rPr>
                <w:t>www.vangansewinkelgroep.com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KKR/CVC</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US/UK</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PE</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1186</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Cespa</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4" w:history="1">
              <w:r w:rsidR="00A66F93" w:rsidRPr="00A66F93">
                <w:rPr>
                  <w:rFonts w:ascii="Calibri" w:eastAsia="Times New Roman" w:hAnsi="Calibri" w:cs="Calibri"/>
                  <w:color w:val="0000FF"/>
                  <w:sz w:val="20"/>
                  <w:szCs w:val="20"/>
                  <w:u w:val="single"/>
                </w:rPr>
                <w:t>www.cespa.es</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Ferrovial</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Spain</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952</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Biffa Group</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5" w:history="1">
              <w:r w:rsidR="00A66F93" w:rsidRPr="00A66F93">
                <w:rPr>
                  <w:rFonts w:ascii="Calibri" w:eastAsia="Times New Roman" w:hAnsi="Calibri" w:cs="Calibri"/>
                  <w:color w:val="0000FF"/>
                  <w:sz w:val="20"/>
                  <w:szCs w:val="20"/>
                  <w:u w:val="single"/>
                </w:rPr>
                <w:t>www.biffa.co.uk</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Montagu PE</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UK</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PE</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GBP</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850</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Shanks group</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EA1CF2" w:rsidP="00A66F93">
            <w:pPr>
              <w:rPr>
                <w:rFonts w:ascii="Calibri" w:eastAsia="Times New Roman" w:hAnsi="Calibri" w:cs="Calibri"/>
                <w:color w:val="0000FF"/>
                <w:sz w:val="20"/>
                <w:szCs w:val="20"/>
                <w:u w:val="single"/>
              </w:rPr>
            </w:pPr>
            <w:r>
              <w:rPr>
                <w:rFonts w:ascii="Calibri" w:eastAsia="Times New Roman" w:hAnsi="Calibri" w:cs="Calibri"/>
                <w:color w:val="0000FF"/>
                <w:sz w:val="20"/>
                <w:szCs w:val="20"/>
                <w:u w:val="single"/>
              </w:rPr>
              <w:t>www.shanksplc.co.uk</w:t>
            </w:r>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UK</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GBP</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750</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CNIM</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6" w:history="1">
              <w:r w:rsidR="00A66F93" w:rsidRPr="00A66F93">
                <w:rPr>
                  <w:rFonts w:ascii="Calibri" w:eastAsia="Times New Roman" w:hAnsi="Calibri" w:cs="Calibri"/>
                  <w:color w:val="0000FF"/>
                  <w:sz w:val="20"/>
                  <w:szCs w:val="20"/>
                  <w:u w:val="single"/>
                </w:rPr>
                <w:t>www.cnim.</w:t>
              </w:r>
              <w:r w:rsidR="00EA1CF2">
                <w:rPr>
                  <w:rFonts w:ascii="Calibri" w:eastAsia="Times New Roman" w:hAnsi="Calibri" w:cs="Calibri"/>
                  <w:color w:val="0000FF"/>
                  <w:sz w:val="20"/>
                  <w:szCs w:val="20"/>
                  <w:u w:val="single"/>
                </w:rPr>
                <w:t>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France</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665</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Lassila &amp; Tikanoja</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7" w:history="1">
              <w:r w:rsidR="00A66F93" w:rsidRPr="00A66F93">
                <w:rPr>
                  <w:rFonts w:ascii="Calibri" w:eastAsia="Times New Roman" w:hAnsi="Calibri" w:cs="Calibri"/>
                  <w:color w:val="0000FF"/>
                  <w:sz w:val="20"/>
                  <w:szCs w:val="20"/>
                  <w:u w:val="single"/>
                </w:rPr>
                <w:t>www.lassila-tikanoja.com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Finland</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652</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Ragn-Sells</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8" w:history="1">
              <w:r w:rsidR="00A66F93" w:rsidRPr="00A66F93">
                <w:rPr>
                  <w:rFonts w:ascii="Calibri" w:eastAsia="Times New Roman" w:hAnsi="Calibri" w:cs="Calibri"/>
                  <w:color w:val="0000FF"/>
                  <w:sz w:val="20"/>
                  <w:szCs w:val="20"/>
                  <w:u w:val="single"/>
                </w:rPr>
                <w:t>www.ragnsells.</w:t>
              </w:r>
              <w:r w:rsidR="00EA1CF2">
                <w:rPr>
                  <w:rFonts w:ascii="Calibri" w:eastAsia="Times New Roman" w:hAnsi="Calibri" w:cs="Calibri"/>
                  <w:color w:val="0000FF"/>
                  <w:sz w:val="20"/>
                  <w:szCs w:val="20"/>
                  <w:u w:val="single"/>
                </w:rPr>
                <w:t>com</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Sweden</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SEK</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511</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SAUR-Seche</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29" w:history="1">
              <w:r w:rsidR="00A66F93" w:rsidRPr="00A66F93">
                <w:rPr>
                  <w:rFonts w:ascii="Calibri" w:eastAsia="Times New Roman" w:hAnsi="Calibri" w:cs="Calibri"/>
                  <w:color w:val="0000FF"/>
                  <w:sz w:val="20"/>
                  <w:szCs w:val="20"/>
                  <w:u w:val="single"/>
                </w:rPr>
                <w:t>www.groupe-seche.</w:t>
              </w:r>
              <w:r w:rsidR="00EA1CF2">
                <w:rPr>
                  <w:rFonts w:ascii="Calibri" w:eastAsia="Times New Roman" w:hAnsi="Calibri" w:cs="Calibri"/>
                  <w:color w:val="0000FF"/>
                  <w:sz w:val="20"/>
                  <w:szCs w:val="20"/>
                  <w:u w:val="single"/>
                </w:rPr>
                <w:t>com</w:t>
              </w:r>
              <w:r w:rsidR="00A66F93" w:rsidRPr="00A66F93">
                <w:rPr>
                  <w:rFonts w:ascii="Calibri" w:eastAsia="Times New Roman" w:hAnsi="Calibri" w:cs="Calibri"/>
                  <w:color w:val="0000FF"/>
                  <w:sz w:val="20"/>
                  <w:szCs w:val="20"/>
                  <w:u w:val="single"/>
                </w:rPr>
                <w:t xml:space="preserve"> </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Seche environnement</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France</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342</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r w:rsidR="00A66F93" w:rsidRPr="00A66F93" w:rsidTr="00661B28">
        <w:trPr>
          <w:trHeight w:val="225"/>
        </w:trPr>
        <w:tc>
          <w:tcPr>
            <w:tcW w:w="1716" w:type="dxa"/>
            <w:tcBorders>
              <w:top w:val="nil"/>
              <w:left w:val="single" w:sz="4" w:space="0" w:color="auto"/>
              <w:bottom w:val="single" w:sz="4" w:space="0" w:color="auto"/>
              <w:right w:val="single" w:sz="4" w:space="0" w:color="auto"/>
            </w:tcBorders>
            <w:shd w:val="clear" w:color="auto" w:fill="FFFF99"/>
            <w:vAlign w:val="center"/>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Saubermacher</w:t>
            </w:r>
          </w:p>
        </w:tc>
        <w:tc>
          <w:tcPr>
            <w:tcW w:w="2552" w:type="dxa"/>
            <w:tcBorders>
              <w:top w:val="nil"/>
              <w:left w:val="nil"/>
              <w:bottom w:val="single" w:sz="4" w:space="0" w:color="auto"/>
              <w:right w:val="single" w:sz="4" w:space="0" w:color="auto"/>
            </w:tcBorders>
            <w:shd w:val="clear" w:color="auto" w:fill="auto"/>
            <w:noWrap/>
            <w:vAlign w:val="bottom"/>
            <w:hideMark/>
          </w:tcPr>
          <w:p w:rsidR="00A66F93" w:rsidRPr="00A66F93" w:rsidRDefault="00081F2D" w:rsidP="00A66F93">
            <w:pPr>
              <w:rPr>
                <w:rFonts w:ascii="Calibri" w:eastAsia="Times New Roman" w:hAnsi="Calibri" w:cs="Calibri"/>
                <w:color w:val="0000FF"/>
                <w:sz w:val="20"/>
                <w:szCs w:val="20"/>
                <w:u w:val="single"/>
              </w:rPr>
            </w:pPr>
            <w:hyperlink r:id="rId30" w:history="1">
              <w:r w:rsidR="00A66F93" w:rsidRPr="00A66F93">
                <w:rPr>
                  <w:rFonts w:ascii="Calibri" w:eastAsia="Times New Roman" w:hAnsi="Calibri" w:cs="Calibri"/>
                  <w:color w:val="0000FF"/>
                  <w:sz w:val="20"/>
                  <w:szCs w:val="20"/>
                  <w:u w:val="single"/>
                </w:rPr>
                <w:t>www.saubermacher.</w:t>
              </w:r>
              <w:r w:rsidR="00EA1CF2">
                <w:rPr>
                  <w:rFonts w:ascii="Calibri" w:eastAsia="Times New Roman" w:hAnsi="Calibri" w:cs="Calibri"/>
                  <w:color w:val="0000FF"/>
                  <w:sz w:val="20"/>
                  <w:szCs w:val="20"/>
                  <w:u w:val="single"/>
                </w:rPr>
                <w:t>com</w:t>
              </w:r>
              <w:r w:rsidR="00A66F93" w:rsidRPr="00A66F93">
                <w:rPr>
                  <w:rFonts w:ascii="Calibri" w:eastAsia="Times New Roman" w:hAnsi="Calibri" w:cs="Calibri"/>
                  <w:color w:val="0000FF"/>
                  <w:sz w:val="20"/>
                  <w:szCs w:val="20"/>
                  <w:u w:val="single"/>
                </w:rPr>
                <w:t xml:space="preserve"> </w:t>
              </w:r>
            </w:hyperlink>
          </w:p>
        </w:tc>
        <w:tc>
          <w:tcPr>
            <w:tcW w:w="155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Austria</w:t>
            </w:r>
          </w:p>
        </w:tc>
        <w:tc>
          <w:tcPr>
            <w:tcW w:w="709"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P</w:t>
            </w:r>
          </w:p>
        </w:tc>
        <w:tc>
          <w:tcPr>
            <w:tcW w:w="567"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rPr>
                <w:rFonts w:ascii="Calibri" w:eastAsia="Times New Roman" w:hAnsi="Calibri" w:cs="Calibri"/>
                <w:color w:val="000000"/>
                <w:sz w:val="20"/>
                <w:szCs w:val="20"/>
              </w:rPr>
            </w:pPr>
            <w:r w:rsidRPr="00A66F93">
              <w:rPr>
                <w:rFonts w:ascii="Calibri" w:eastAsia="Times New Roman" w:hAnsi="Calibri" w:cs="Calibri"/>
                <w:color w:val="000000"/>
                <w:sz w:val="20"/>
                <w:szCs w:val="20"/>
              </w:rPr>
              <w:t>EUR</w:t>
            </w:r>
          </w:p>
        </w:tc>
        <w:tc>
          <w:tcPr>
            <w:tcW w:w="851" w:type="dxa"/>
            <w:tcBorders>
              <w:top w:val="nil"/>
              <w:left w:val="nil"/>
              <w:bottom w:val="single" w:sz="4" w:space="0" w:color="auto"/>
              <w:right w:val="single" w:sz="4" w:space="0" w:color="auto"/>
            </w:tcBorders>
            <w:shd w:val="clear" w:color="auto" w:fill="auto"/>
            <w:noWrap/>
            <w:vAlign w:val="bottom"/>
            <w:hideMark/>
          </w:tcPr>
          <w:p w:rsidR="00A66F93" w:rsidRPr="00340165" w:rsidRDefault="00A66F93" w:rsidP="00A66F93">
            <w:pPr>
              <w:jc w:val="right"/>
              <w:rPr>
                <w:rFonts w:ascii="Calibri" w:eastAsia="Times New Roman" w:hAnsi="Calibri" w:cs="Calibri"/>
                <w:color w:val="000000"/>
                <w:sz w:val="20"/>
                <w:szCs w:val="20"/>
              </w:rPr>
            </w:pPr>
            <w:r w:rsidRPr="00340165">
              <w:rPr>
                <w:rFonts w:ascii="Calibri" w:eastAsia="Times New Roman" w:hAnsi="Calibri" w:cs="Calibri"/>
                <w:color w:val="000000"/>
                <w:sz w:val="20"/>
                <w:szCs w:val="20"/>
              </w:rPr>
              <w:t>294</w:t>
            </w:r>
          </w:p>
        </w:tc>
        <w:tc>
          <w:tcPr>
            <w:tcW w:w="708" w:type="dxa"/>
            <w:tcBorders>
              <w:top w:val="nil"/>
              <w:left w:val="nil"/>
              <w:bottom w:val="single" w:sz="4" w:space="0" w:color="auto"/>
              <w:right w:val="single" w:sz="4" w:space="0" w:color="auto"/>
            </w:tcBorders>
            <w:shd w:val="clear" w:color="auto" w:fill="auto"/>
            <w:noWrap/>
            <w:vAlign w:val="bottom"/>
            <w:hideMark/>
          </w:tcPr>
          <w:p w:rsidR="00A66F93" w:rsidRPr="00A66F93" w:rsidRDefault="00A66F93" w:rsidP="00A66F93">
            <w:pPr>
              <w:jc w:val="right"/>
              <w:rPr>
                <w:rFonts w:ascii="Calibri" w:eastAsia="Times New Roman" w:hAnsi="Calibri" w:cs="Calibri"/>
                <w:color w:val="000000"/>
                <w:sz w:val="20"/>
                <w:szCs w:val="20"/>
              </w:rPr>
            </w:pPr>
            <w:r w:rsidRPr="00A66F93">
              <w:rPr>
                <w:rFonts w:ascii="Calibri" w:eastAsia="Times New Roman" w:hAnsi="Calibri" w:cs="Calibri"/>
                <w:color w:val="000000"/>
                <w:sz w:val="20"/>
                <w:szCs w:val="20"/>
              </w:rPr>
              <w:t>2011</w:t>
            </w:r>
          </w:p>
        </w:tc>
      </w:tr>
    </w:tbl>
    <w:p w:rsidR="00A66F93" w:rsidRDefault="00A66F93" w:rsidP="00F53DD7">
      <w:pPr>
        <w:autoSpaceDE w:val="0"/>
        <w:autoSpaceDN w:val="0"/>
        <w:adjustRightInd w:val="0"/>
        <w:rPr>
          <w:rFonts w:ascii="Calibri" w:eastAsia="SimSun" w:hAnsi="Calibri" w:cs="Times New Roman"/>
          <w:lang w:eastAsia="zh-CN"/>
        </w:rPr>
      </w:pPr>
      <w:r w:rsidRPr="00A66F93">
        <w:rPr>
          <w:rFonts w:ascii="Calibri" w:eastAsia="Times New Roman" w:hAnsi="Calibri" w:cs="Times New Roman"/>
          <w:lang w:eastAsia="en-US"/>
        </w:rPr>
        <w:t>Source: company reports; PSIRU calculations</w:t>
      </w:r>
    </w:p>
    <w:p w:rsidR="00661B28" w:rsidRPr="00A66F93" w:rsidRDefault="00661B28" w:rsidP="00A66F93">
      <w:pPr>
        <w:autoSpaceDE w:val="0"/>
        <w:autoSpaceDN w:val="0"/>
        <w:adjustRightInd w:val="0"/>
        <w:jc w:val="both"/>
        <w:rPr>
          <w:rFonts w:ascii="Calibri" w:eastAsia="SimSun" w:hAnsi="Calibri" w:cs="Times New Roman"/>
          <w:lang w:eastAsia="zh-CN"/>
        </w:rPr>
      </w:pPr>
    </w:p>
    <w:p w:rsidR="00A66F93" w:rsidRDefault="00A66F93" w:rsidP="008D40BA">
      <w:pPr>
        <w:rPr>
          <w:rFonts w:eastAsia="SimSun"/>
          <w:lang w:eastAsia="zh-CN"/>
        </w:rPr>
      </w:pPr>
      <w:r w:rsidRPr="00925572">
        <w:rPr>
          <w:rFonts w:eastAsia="SimSun"/>
          <w:lang w:eastAsia="zh-CN"/>
        </w:rPr>
        <w:t xml:space="preserve">Table </w:t>
      </w:r>
      <w:r w:rsidR="00671179" w:rsidRPr="00925572">
        <w:rPr>
          <w:rFonts w:eastAsia="SimSun"/>
          <w:lang w:eastAsia="zh-CN"/>
        </w:rPr>
        <w:t>2 shows companies</w:t>
      </w:r>
      <w:r w:rsidRPr="00925572">
        <w:rPr>
          <w:rFonts w:eastAsia="SimSun"/>
          <w:lang w:eastAsia="zh-CN"/>
        </w:rPr>
        <w:t xml:space="preserve"> eligible for EWCs in the waste management sector. It includes all the above</w:t>
      </w:r>
      <w:r w:rsidRPr="00A66F93">
        <w:rPr>
          <w:rFonts w:eastAsia="SimSun"/>
          <w:lang w:eastAsia="zh-CN"/>
        </w:rPr>
        <w:t xml:space="preserve"> companies (except Biffa, which now operates only in the UK), and some other smaller companies which operate internationally, such as the French company Nicollin and the Austrian Becker.</w:t>
      </w:r>
      <w:r w:rsidR="0081577E">
        <w:rPr>
          <w:rFonts w:eastAsia="SimSun"/>
          <w:lang w:eastAsia="zh-CN"/>
        </w:rPr>
        <w:t xml:space="preserve"> The latest known employment figures are given, where available.</w:t>
      </w:r>
    </w:p>
    <w:p w:rsidR="0081577E" w:rsidRDefault="0081577E" w:rsidP="008D40BA">
      <w:pPr>
        <w:rPr>
          <w:rFonts w:eastAsia="SimSun"/>
          <w:lang w:eastAsia="zh-CN"/>
        </w:rPr>
      </w:pPr>
    </w:p>
    <w:p w:rsidR="0081577E" w:rsidRPr="00A66F93" w:rsidRDefault="0081577E" w:rsidP="008D40BA">
      <w:pPr>
        <w:rPr>
          <w:rFonts w:eastAsia="SimSun"/>
          <w:lang w:eastAsia="zh-CN"/>
        </w:rPr>
      </w:pPr>
      <w:r>
        <w:rPr>
          <w:rFonts w:eastAsia="SimSun"/>
          <w:lang w:eastAsia="zh-CN"/>
        </w:rPr>
        <w:t>Annex A below shows a detailed picture by country, showing which company is operating in each country of the EU and EECA, together with employment in that country, where known.</w:t>
      </w:r>
    </w:p>
    <w:p w:rsidR="00A66F93" w:rsidRDefault="00A66F93"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40165" w:rsidRDefault="00340165" w:rsidP="00A66F93">
      <w:pPr>
        <w:jc w:val="both"/>
        <w:rPr>
          <w:rFonts w:ascii="Times New Roman" w:eastAsia="SimSun" w:hAnsi="Times New Roman" w:cs="Times New Roman"/>
          <w:szCs w:val="24"/>
          <w:lang w:eastAsia="zh-CN"/>
        </w:rPr>
      </w:pPr>
    </w:p>
    <w:p w:rsidR="00335B24" w:rsidRDefault="00335B24" w:rsidP="00A66F93">
      <w:pPr>
        <w:jc w:val="both"/>
        <w:rPr>
          <w:rFonts w:ascii="Times New Roman" w:eastAsia="SimSun" w:hAnsi="Times New Roman" w:cs="Times New Roman"/>
          <w:szCs w:val="24"/>
          <w:lang w:eastAsia="zh-CN"/>
        </w:rPr>
      </w:pPr>
    </w:p>
    <w:p w:rsidR="00335B24" w:rsidRPr="00A66F93" w:rsidRDefault="00335B24" w:rsidP="00A66F93">
      <w:pPr>
        <w:jc w:val="both"/>
        <w:rPr>
          <w:rFonts w:ascii="Times New Roman" w:eastAsia="SimSun" w:hAnsi="Times New Roman" w:cs="Times New Roman"/>
          <w:szCs w:val="24"/>
          <w:lang w:eastAsia="zh-CN"/>
        </w:rPr>
      </w:pPr>
    </w:p>
    <w:p w:rsidR="00A66F93" w:rsidRDefault="00A66F93" w:rsidP="00A66F93">
      <w:pPr>
        <w:pStyle w:val="Heading2"/>
      </w:pPr>
      <w:bookmarkStart w:id="6" w:name="_Toc332202070"/>
      <w:bookmarkStart w:id="7" w:name="_Toc336267595"/>
      <w:r w:rsidRPr="00A66F93">
        <w:lastRenderedPageBreak/>
        <w:t>Companies eligible for EWCs</w:t>
      </w:r>
      <w:bookmarkEnd w:id="6"/>
      <w:bookmarkEnd w:id="7"/>
    </w:p>
    <w:p w:rsidR="00A66F93" w:rsidRPr="00A66F93" w:rsidRDefault="00A66F93" w:rsidP="00A66F93">
      <w:pPr>
        <w:numPr>
          <w:ilvl w:val="0"/>
          <w:numId w:val="15"/>
        </w:numPr>
        <w:spacing w:before="240" w:after="60"/>
        <w:jc w:val="both"/>
        <w:outlineLvl w:val="6"/>
        <w:rPr>
          <w:rFonts w:ascii="Trebuchet MS" w:eastAsia="Times New Roman" w:hAnsi="Trebuchet MS" w:cs="Times New Roman"/>
          <w:b/>
          <w:sz w:val="20"/>
          <w:szCs w:val="24"/>
          <w:lang w:eastAsia="en-US"/>
        </w:rPr>
      </w:pPr>
      <w:bookmarkStart w:id="8" w:name="_Toc332202071"/>
      <w:r w:rsidRPr="00A66F93">
        <w:rPr>
          <w:rFonts w:ascii="Trebuchet MS" w:eastAsia="Times New Roman" w:hAnsi="Trebuchet MS" w:cs="Times New Roman"/>
          <w:b/>
          <w:sz w:val="20"/>
          <w:szCs w:val="24"/>
          <w:lang w:eastAsia="en-US"/>
        </w:rPr>
        <w:t>Waste companies eligible for EWCs</w:t>
      </w:r>
      <w:bookmarkEnd w:id="8"/>
    </w:p>
    <w:p w:rsidR="00A66F93" w:rsidRPr="00A66F93" w:rsidRDefault="00A66F93" w:rsidP="00A66F93">
      <w:pPr>
        <w:jc w:val="both"/>
        <w:rPr>
          <w:rFonts w:ascii="Times New Roman" w:eastAsia="Times New Roman" w:hAnsi="Times New Roman" w:cs="Times New Roman"/>
          <w:szCs w:val="24"/>
          <w:lang w:eastAsia="en-US"/>
        </w:rPr>
      </w:pPr>
      <w:r w:rsidRPr="00A66F93" w:rsidDel="00E93FB8">
        <w:rPr>
          <w:rFonts w:ascii="Times New Roman" w:eastAsia="Times New Roman" w:hAnsi="Times New Roman" w:cs="Times New Roman"/>
          <w:szCs w:val="24"/>
          <w:lang w:eastAsia="en-US"/>
        </w:rPr>
        <w:t xml:space="preserve"> </w:t>
      </w:r>
      <w:r w:rsidRPr="00A66F93">
        <w:rPr>
          <w:rFonts w:ascii="Times New Roman" w:eastAsia="Times New Roman" w:hAnsi="Times New Roman" w:cs="Times New Roman"/>
          <w:szCs w:val="24"/>
          <w:lang w:eastAsia="en-US"/>
        </w:rPr>
        <w:t xml:space="preserve">(P=private; PE=private equity; </w:t>
      </w:r>
      <w:r w:rsidR="00CF12A5">
        <w:rPr>
          <w:rFonts w:ascii="Times New Roman" w:eastAsia="Times New Roman" w:hAnsi="Times New Roman" w:cs="Times New Roman"/>
          <w:szCs w:val="24"/>
          <w:lang w:eastAsia="en-US"/>
        </w:rPr>
        <w:t>S</w:t>
      </w:r>
      <w:r w:rsidRPr="00A66F93">
        <w:rPr>
          <w:rFonts w:ascii="Times New Roman" w:eastAsia="Times New Roman" w:hAnsi="Times New Roman" w:cs="Times New Roman"/>
          <w:szCs w:val="24"/>
          <w:lang w:eastAsia="en-US"/>
        </w:rPr>
        <w:t>= stock exchange listed; Mun=municipal</w:t>
      </w:r>
      <w:r w:rsidR="008D40BA">
        <w:rPr>
          <w:rFonts w:ascii="Times New Roman" w:eastAsia="Times New Roman" w:hAnsi="Times New Roman" w:cs="Times New Roman"/>
          <w:szCs w:val="24"/>
          <w:lang w:eastAsia="en-US"/>
        </w:rPr>
        <w:t>. Employees are for the whole group and for Europe, unless otherwise stated)</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526"/>
        <w:gridCol w:w="402"/>
        <w:gridCol w:w="2575"/>
        <w:gridCol w:w="544"/>
        <w:gridCol w:w="3260"/>
        <w:gridCol w:w="709"/>
        <w:gridCol w:w="850"/>
      </w:tblGrid>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bCs/>
                <w:sz w:val="20"/>
                <w:szCs w:val="20"/>
                <w:lang w:eastAsia="en-US"/>
              </w:rPr>
            </w:pPr>
            <w:r w:rsidRPr="00A66F93">
              <w:rPr>
                <w:rFonts w:eastAsia="Times New Roman" w:cstheme="minorHAnsi"/>
                <w:b/>
                <w:bCs/>
                <w:sz w:val="20"/>
                <w:szCs w:val="20"/>
                <w:lang w:eastAsia="en-US"/>
              </w:rPr>
              <w:t>Company</w:t>
            </w:r>
          </w:p>
        </w:tc>
        <w:tc>
          <w:tcPr>
            <w:tcW w:w="402" w:type="dxa"/>
            <w:shd w:val="clear" w:color="auto" w:fill="FFFF99"/>
            <w:vAlign w:val="center"/>
          </w:tcPr>
          <w:p w:rsidR="00F82564" w:rsidRPr="008D40BA" w:rsidRDefault="00F82564" w:rsidP="00334A89">
            <w:pPr>
              <w:rPr>
                <w:rFonts w:eastAsia="Times New Roman" w:cstheme="minorHAnsi"/>
                <w:sz w:val="18"/>
                <w:szCs w:val="18"/>
                <w:lang w:eastAsia="en-US"/>
              </w:rPr>
            </w:pPr>
          </w:p>
        </w:tc>
        <w:tc>
          <w:tcPr>
            <w:tcW w:w="2575" w:type="dxa"/>
            <w:shd w:val="clear" w:color="auto" w:fill="FFFF99"/>
            <w:vAlign w:val="center"/>
          </w:tcPr>
          <w:p w:rsidR="00F82564" w:rsidRPr="00A66F93" w:rsidRDefault="00F82564" w:rsidP="00334A89">
            <w:pPr>
              <w:tabs>
                <w:tab w:val="center" w:pos="1062"/>
              </w:tabs>
              <w:rPr>
                <w:rFonts w:eastAsia="Times New Roman" w:cstheme="minorHAnsi"/>
                <w:sz w:val="20"/>
                <w:szCs w:val="20"/>
                <w:lang w:eastAsia="en-US"/>
              </w:rPr>
            </w:pPr>
            <w:r w:rsidRPr="00A66F93">
              <w:rPr>
                <w:rFonts w:eastAsia="Times New Roman" w:cstheme="minorHAnsi"/>
                <w:sz w:val="20"/>
                <w:szCs w:val="20"/>
                <w:lang w:eastAsia="en-US"/>
              </w:rPr>
              <w:t>Parent/website</w:t>
            </w:r>
          </w:p>
        </w:tc>
        <w:tc>
          <w:tcPr>
            <w:tcW w:w="544" w:type="dxa"/>
            <w:shd w:val="clear" w:color="auto" w:fill="FFFF99"/>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Type</w:t>
            </w:r>
          </w:p>
        </w:tc>
        <w:tc>
          <w:tcPr>
            <w:tcW w:w="3260" w:type="dxa"/>
            <w:shd w:val="clear" w:color="auto" w:fill="FFFF99"/>
            <w:vAlign w:val="center"/>
          </w:tcPr>
          <w:p w:rsidR="00F82564" w:rsidRPr="00A66F93" w:rsidRDefault="00F82564" w:rsidP="00334A89">
            <w:pPr>
              <w:rPr>
                <w:rFonts w:eastAsia="Times New Roman" w:cstheme="minorHAnsi"/>
                <w:sz w:val="20"/>
                <w:szCs w:val="20"/>
                <w:lang w:eastAsia="en-US"/>
              </w:rPr>
            </w:pPr>
            <w:r>
              <w:rPr>
                <w:rFonts w:eastAsia="Times New Roman" w:cstheme="minorHAnsi"/>
                <w:b/>
                <w:bCs/>
                <w:sz w:val="20"/>
                <w:szCs w:val="20"/>
                <w:lang w:eastAsia="en-US"/>
              </w:rPr>
              <w:t xml:space="preserve">Waste management operations in </w:t>
            </w:r>
            <w:r w:rsidRPr="00A66F93">
              <w:rPr>
                <w:rFonts w:eastAsia="Times New Roman" w:cstheme="minorHAnsi"/>
                <w:b/>
                <w:bCs/>
                <w:sz w:val="20"/>
                <w:szCs w:val="20"/>
                <w:lang w:eastAsia="en-US"/>
              </w:rPr>
              <w:t xml:space="preserve">countries </w:t>
            </w:r>
          </w:p>
        </w:tc>
        <w:tc>
          <w:tcPr>
            <w:tcW w:w="709" w:type="dxa"/>
            <w:shd w:val="clear" w:color="auto" w:fill="FFFF99"/>
            <w:vAlign w:val="center"/>
          </w:tcPr>
          <w:p w:rsidR="00F82564" w:rsidRPr="00A66F93" w:rsidRDefault="00F82564" w:rsidP="008D40BA">
            <w:pPr>
              <w:rPr>
                <w:rFonts w:eastAsia="Times New Roman" w:cstheme="minorHAnsi"/>
                <w:sz w:val="20"/>
                <w:szCs w:val="20"/>
                <w:lang w:eastAsia="en-US"/>
              </w:rPr>
            </w:pPr>
            <w:r w:rsidRPr="00A66F93">
              <w:rPr>
                <w:rFonts w:eastAsia="Times New Roman" w:cstheme="minorHAnsi"/>
                <w:b/>
                <w:bCs/>
                <w:sz w:val="20"/>
                <w:szCs w:val="20"/>
                <w:lang w:eastAsia="en-US"/>
              </w:rPr>
              <w:t>Employees</w:t>
            </w:r>
            <w:r>
              <w:rPr>
                <w:rFonts w:eastAsia="Times New Roman" w:cstheme="minorHAnsi"/>
                <w:b/>
                <w:bCs/>
                <w:sz w:val="20"/>
                <w:szCs w:val="20"/>
                <w:lang w:eastAsia="en-US"/>
              </w:rPr>
              <w:t xml:space="preserve"> </w:t>
            </w:r>
          </w:p>
        </w:tc>
        <w:tc>
          <w:tcPr>
            <w:tcW w:w="850" w:type="dxa"/>
            <w:shd w:val="clear" w:color="auto" w:fill="FFFF99"/>
            <w:vAlign w:val="center"/>
          </w:tcPr>
          <w:p w:rsidR="00F82564" w:rsidRPr="0038327A" w:rsidRDefault="00F82564" w:rsidP="00334A89">
            <w:pPr>
              <w:rPr>
                <w:rFonts w:eastAsia="Times New Roman" w:cstheme="minorHAnsi"/>
                <w:b/>
                <w:bCs/>
                <w:sz w:val="18"/>
                <w:szCs w:val="18"/>
                <w:lang w:eastAsia="en-US"/>
              </w:rPr>
            </w:pP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Alba/Intersoh</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DE</w:t>
            </w:r>
          </w:p>
        </w:tc>
        <w:tc>
          <w:tcPr>
            <w:tcW w:w="2575" w:type="dxa"/>
            <w:vAlign w:val="center"/>
          </w:tcPr>
          <w:p w:rsidR="00F82564" w:rsidRPr="00A66F93" w:rsidRDefault="00F82564" w:rsidP="00334A89">
            <w:pPr>
              <w:tabs>
                <w:tab w:val="center" w:pos="1062"/>
              </w:tabs>
              <w:rPr>
                <w:rFonts w:eastAsia="Times New Roman" w:cstheme="minorHAnsi"/>
                <w:sz w:val="20"/>
                <w:szCs w:val="20"/>
                <w:lang w:val="es-ES_tradnl" w:eastAsia="en-US"/>
              </w:rPr>
            </w:pPr>
            <w:r w:rsidRPr="00D24D53">
              <w:rPr>
                <w:rFonts w:eastAsia="Times New Roman" w:cstheme="minorHAnsi"/>
                <w:sz w:val="20"/>
                <w:szCs w:val="20"/>
                <w:lang w:val="es-ES_tradnl" w:eastAsia="en-US"/>
              </w:rPr>
              <w:t xml:space="preserve">Alba </w:t>
            </w:r>
            <w:hyperlink r:id="rId31" w:history="1">
              <w:r w:rsidRPr="00A66F93">
                <w:rPr>
                  <w:rFonts w:eastAsia="Times New Roman" w:cstheme="minorHAnsi"/>
                  <w:color w:val="0000FF"/>
                  <w:sz w:val="20"/>
                  <w:szCs w:val="20"/>
                  <w:u w:val="single"/>
                  <w:lang w:val="es-ES_tradnl" w:eastAsia="en-US"/>
                </w:rPr>
                <w:t>www.alba-online.de</w:t>
              </w:r>
            </w:hyperlink>
            <w:r w:rsidRPr="00A66F93">
              <w:rPr>
                <w:rFonts w:eastAsia="Times New Roman" w:cstheme="minorHAnsi"/>
                <w:sz w:val="20"/>
                <w:szCs w:val="20"/>
                <w:lang w:val="es-ES_tradnl" w:eastAsia="en-US"/>
              </w:rPr>
              <w:t xml:space="preserve"> </w:t>
            </w:r>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Bosnia, Germany, Poland, Slovakia</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9000</w:t>
            </w:r>
          </w:p>
        </w:tc>
        <w:tc>
          <w:tcPr>
            <w:tcW w:w="850" w:type="dxa"/>
            <w:vAlign w:val="center"/>
          </w:tcPr>
          <w:p w:rsidR="00F82564" w:rsidRPr="0038327A" w:rsidRDefault="00F82564" w:rsidP="00334A89">
            <w:pPr>
              <w:rPr>
                <w:rFonts w:eastAsia="Times New Roman" w:cstheme="minorHAnsi"/>
                <w:sz w:val="18"/>
                <w:szCs w:val="18"/>
                <w:lang w:eastAsia="en-US"/>
              </w:rPr>
            </w:pPr>
            <w:r w:rsidRPr="0038327A">
              <w:rPr>
                <w:rFonts w:eastAsia="Times New Roman" w:cstheme="minorHAnsi"/>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AVR/Van Gansewinkel</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NL</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KKR/CVC </w:t>
            </w:r>
            <w:hyperlink r:id="rId32" w:history="1">
              <w:r w:rsidR="00862986" w:rsidRPr="00AB1B59">
                <w:rPr>
                  <w:rStyle w:val="Hyperlink"/>
                </w:rPr>
                <w:t>www.vangansewinkelgroep.com</w:t>
              </w:r>
            </w:hyperlink>
            <w:r w:rsidR="00862986">
              <w:t xml:space="preserve"> </w:t>
            </w:r>
            <w:r w:rsidRPr="00A66F93">
              <w:rPr>
                <w:rFonts w:eastAsia="Times New Roman" w:cstheme="minorHAnsi"/>
                <w:sz w:val="20"/>
                <w:szCs w:val="20"/>
                <w:lang w:eastAsia="en-US"/>
              </w:rPr>
              <w:t xml:space="preserve"> </w:t>
            </w:r>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PE</w:t>
            </w:r>
          </w:p>
        </w:tc>
        <w:tc>
          <w:tcPr>
            <w:tcW w:w="3260" w:type="dxa"/>
            <w:vAlign w:val="center"/>
          </w:tcPr>
          <w:p w:rsidR="00F82564" w:rsidRPr="00A66F93" w:rsidRDefault="00D830F7" w:rsidP="00334A89">
            <w:pPr>
              <w:rPr>
                <w:rFonts w:eastAsia="Times New Roman" w:cstheme="minorHAnsi"/>
                <w:sz w:val="20"/>
                <w:szCs w:val="20"/>
                <w:lang w:eastAsia="en-US"/>
              </w:rPr>
            </w:pPr>
            <w:r w:rsidRPr="00D830F7">
              <w:rPr>
                <w:rFonts w:eastAsia="Times New Roman" w:cstheme="minorHAnsi"/>
                <w:sz w:val="20"/>
                <w:szCs w:val="20"/>
                <w:lang w:eastAsia="en-US"/>
              </w:rPr>
              <w:t>Belgium, Czech Republic, France, Germany, Hungary, Ireland, Luxembourg, Netherlands, Poland, Portugal and UK</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6435</w:t>
            </w:r>
          </w:p>
        </w:tc>
        <w:tc>
          <w:tcPr>
            <w:tcW w:w="850" w:type="dxa"/>
            <w:vAlign w:val="center"/>
          </w:tcPr>
          <w:p w:rsidR="00F82564" w:rsidRPr="0038327A" w:rsidRDefault="00F82564" w:rsidP="00334A89">
            <w:pPr>
              <w:rPr>
                <w:rFonts w:eastAsia="Times New Roman" w:cstheme="minorHAnsi"/>
                <w:sz w:val="18"/>
                <w:szCs w:val="18"/>
                <w:lang w:eastAsia="en-US"/>
              </w:rPr>
            </w:pPr>
            <w:r w:rsidRPr="0038327A">
              <w:rPr>
                <w:rFonts w:eastAsia="Times New Roman" w:cstheme="minorHAnsi"/>
                <w:sz w:val="18"/>
                <w:szCs w:val="18"/>
                <w:lang w:eastAsia="en-US"/>
              </w:rPr>
              <w:t>2011</w:t>
            </w:r>
          </w:p>
        </w:tc>
      </w:tr>
      <w:tr w:rsidR="00F82564" w:rsidRPr="00C41987" w:rsidTr="00661B28">
        <w:trPr>
          <w:trHeight w:val="375"/>
        </w:trPr>
        <w:tc>
          <w:tcPr>
            <w:tcW w:w="1526" w:type="dxa"/>
            <w:shd w:val="clear" w:color="auto" w:fill="FFFF99"/>
            <w:vAlign w:val="center"/>
          </w:tcPr>
          <w:p w:rsidR="00F82564" w:rsidRPr="00C41987" w:rsidRDefault="00F82564" w:rsidP="00334A89">
            <w:pPr>
              <w:rPr>
                <w:rFonts w:eastAsia="Times New Roman" w:cstheme="minorHAnsi"/>
                <w:b/>
                <w:sz w:val="20"/>
                <w:szCs w:val="20"/>
                <w:lang w:eastAsia="en-US"/>
              </w:rPr>
            </w:pPr>
            <w:r w:rsidRPr="00C41987">
              <w:rPr>
                <w:rFonts w:eastAsia="Times New Roman" w:cstheme="minorHAnsi"/>
                <w:b/>
                <w:sz w:val="20"/>
                <w:szCs w:val="20"/>
                <w:lang w:eastAsia="en-US"/>
              </w:rPr>
              <w:t>Becker</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DE</w:t>
            </w:r>
          </w:p>
        </w:tc>
        <w:tc>
          <w:tcPr>
            <w:tcW w:w="2575" w:type="dxa"/>
            <w:vAlign w:val="center"/>
          </w:tcPr>
          <w:p w:rsidR="00F82564" w:rsidRPr="00C41987" w:rsidRDefault="00F82564" w:rsidP="00334A89">
            <w:pPr>
              <w:rPr>
                <w:rFonts w:eastAsia="Times New Roman" w:cstheme="minorHAnsi"/>
                <w:sz w:val="20"/>
                <w:szCs w:val="20"/>
                <w:lang w:eastAsia="en-US"/>
              </w:rPr>
            </w:pPr>
            <w:r w:rsidRPr="00C41987">
              <w:rPr>
                <w:rFonts w:eastAsia="Times New Roman" w:cstheme="minorHAnsi"/>
                <w:sz w:val="20"/>
                <w:szCs w:val="20"/>
                <w:lang w:eastAsia="en-US"/>
              </w:rPr>
              <w:t xml:space="preserve">  </w:t>
            </w:r>
            <w:hyperlink r:id="rId33" w:history="1">
              <w:r w:rsidRPr="00C41987">
                <w:rPr>
                  <w:rFonts w:eastAsia="Times New Roman" w:cstheme="minorHAnsi"/>
                  <w:color w:val="0000FF"/>
                  <w:sz w:val="20"/>
                  <w:szCs w:val="20"/>
                  <w:u w:val="single"/>
                  <w:lang w:eastAsia="en-US"/>
                </w:rPr>
                <w:t>www.jakob-becker.de/</w:t>
              </w:r>
            </w:hyperlink>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w:t>
            </w:r>
          </w:p>
        </w:tc>
        <w:tc>
          <w:tcPr>
            <w:tcW w:w="3260" w:type="dxa"/>
            <w:vAlign w:val="center"/>
          </w:tcPr>
          <w:p w:rsidR="00F82564" w:rsidRPr="00C41987" w:rsidRDefault="00C41987" w:rsidP="00334A89">
            <w:pPr>
              <w:rPr>
                <w:rFonts w:eastAsia="Times New Roman" w:cstheme="minorHAnsi"/>
                <w:sz w:val="20"/>
                <w:szCs w:val="20"/>
                <w:lang w:eastAsia="en-US"/>
              </w:rPr>
            </w:pPr>
            <w:r w:rsidRPr="00C41987">
              <w:rPr>
                <w:rFonts w:eastAsia="Times New Roman" w:cstheme="minorHAnsi"/>
                <w:sz w:val="20"/>
                <w:szCs w:val="20"/>
                <w:lang w:eastAsia="en-US"/>
              </w:rPr>
              <w:t xml:space="preserve">Albania, </w:t>
            </w:r>
            <w:r w:rsidR="00F82564" w:rsidRPr="00C41987">
              <w:rPr>
                <w:rFonts w:eastAsia="Times New Roman" w:cstheme="minorHAnsi"/>
                <w:sz w:val="20"/>
                <w:szCs w:val="20"/>
                <w:lang w:eastAsia="en-US"/>
              </w:rPr>
              <w:t xml:space="preserve">Austria, Croatia, Czech Republic, Germany, </w:t>
            </w:r>
            <w:r w:rsidRPr="00C41987">
              <w:rPr>
                <w:rFonts w:eastAsia="Times New Roman" w:cstheme="minorHAnsi"/>
                <w:sz w:val="20"/>
                <w:szCs w:val="20"/>
                <w:lang w:eastAsia="en-US"/>
              </w:rPr>
              <w:t xml:space="preserve">Italy, </w:t>
            </w:r>
            <w:r w:rsidR="00F82564" w:rsidRPr="00C41987">
              <w:rPr>
                <w:rFonts w:eastAsia="Times New Roman" w:cstheme="minorHAnsi"/>
                <w:sz w:val="20"/>
                <w:szCs w:val="20"/>
                <w:lang w:eastAsia="en-US"/>
              </w:rPr>
              <w:t>Poland</w:t>
            </w:r>
            <w:r w:rsidRPr="00C41987">
              <w:rPr>
                <w:rFonts w:eastAsia="Times New Roman" w:cstheme="minorHAnsi"/>
                <w:sz w:val="20"/>
                <w:szCs w:val="20"/>
                <w:lang w:eastAsia="en-US"/>
              </w:rPr>
              <w:t>, Serbia</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1800</w:t>
            </w:r>
          </w:p>
        </w:tc>
        <w:tc>
          <w:tcPr>
            <w:tcW w:w="850" w:type="dxa"/>
            <w:vAlign w:val="center"/>
          </w:tcPr>
          <w:p w:rsidR="00F82564" w:rsidRPr="00C41987" w:rsidRDefault="00C41987" w:rsidP="00334A89">
            <w:pPr>
              <w:rPr>
                <w:rFonts w:eastAsia="Times New Roman" w:cstheme="minorHAnsi"/>
                <w:sz w:val="18"/>
                <w:szCs w:val="18"/>
                <w:lang w:eastAsia="en-US"/>
              </w:rPr>
            </w:pPr>
            <w:r>
              <w:rPr>
                <w:rFonts w:eastAsia="Times New Roman" w:cstheme="minorHAnsi"/>
                <w:sz w:val="18"/>
                <w:szCs w:val="18"/>
                <w:lang w:eastAsia="en-US"/>
              </w:rPr>
              <w:t>2011</w:t>
            </w:r>
          </w:p>
        </w:tc>
      </w:tr>
      <w:tr w:rsidR="00F82564" w:rsidRPr="00334A89" w:rsidTr="00661B28">
        <w:trPr>
          <w:trHeight w:val="360"/>
        </w:trPr>
        <w:tc>
          <w:tcPr>
            <w:tcW w:w="1526" w:type="dxa"/>
            <w:shd w:val="clear" w:color="auto" w:fill="FFFF99"/>
            <w:vAlign w:val="center"/>
          </w:tcPr>
          <w:p w:rsidR="00F82564" w:rsidRPr="00334A89" w:rsidRDefault="00F82564" w:rsidP="00334A89">
            <w:pPr>
              <w:rPr>
                <w:rFonts w:eastAsia="Times New Roman" w:cstheme="minorHAnsi"/>
                <w:b/>
                <w:sz w:val="20"/>
                <w:szCs w:val="20"/>
                <w:lang w:eastAsia="en-US"/>
              </w:rPr>
            </w:pPr>
            <w:r w:rsidRPr="00334A89">
              <w:rPr>
                <w:rFonts w:eastAsia="Times New Roman" w:cstheme="minorHAnsi"/>
                <w:b/>
                <w:bCs/>
                <w:sz w:val="20"/>
                <w:szCs w:val="20"/>
                <w:lang w:eastAsia="en-US"/>
              </w:rPr>
              <w:t>Cespa</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ES</w:t>
            </w:r>
          </w:p>
        </w:tc>
        <w:tc>
          <w:tcPr>
            <w:tcW w:w="2575" w:type="dxa"/>
            <w:vAlign w:val="center"/>
          </w:tcPr>
          <w:p w:rsidR="00F82564" w:rsidRPr="00334A89" w:rsidRDefault="00F82564" w:rsidP="00334A89">
            <w:pPr>
              <w:rPr>
                <w:rFonts w:eastAsia="Times New Roman" w:cstheme="minorHAnsi"/>
                <w:sz w:val="20"/>
                <w:szCs w:val="20"/>
                <w:lang w:val="es-ES_tradnl" w:eastAsia="en-US"/>
              </w:rPr>
            </w:pPr>
            <w:r w:rsidRPr="00334A89">
              <w:rPr>
                <w:rFonts w:eastAsia="Times New Roman" w:cstheme="minorHAnsi"/>
                <w:sz w:val="20"/>
                <w:szCs w:val="20"/>
                <w:lang w:val="es-ES_tradnl" w:eastAsia="en-US"/>
              </w:rPr>
              <w:t xml:space="preserve">Ferrovial </w:t>
            </w:r>
            <w:hyperlink r:id="rId34" w:history="1">
              <w:r w:rsidRPr="00334A89">
                <w:rPr>
                  <w:rFonts w:eastAsia="Times New Roman" w:cstheme="minorHAnsi"/>
                  <w:color w:val="0000FF"/>
                  <w:sz w:val="20"/>
                  <w:szCs w:val="20"/>
                  <w:u w:val="single"/>
                  <w:lang w:val="es-ES_tradnl" w:eastAsia="en-US"/>
                </w:rPr>
                <w:t>http://www.cespa.es</w:t>
              </w:r>
            </w:hyperlink>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334A89" w:rsidRDefault="00F82564" w:rsidP="00334A89">
            <w:pPr>
              <w:rPr>
                <w:rFonts w:eastAsia="Times New Roman" w:cstheme="minorHAnsi"/>
                <w:iCs/>
                <w:sz w:val="20"/>
                <w:szCs w:val="20"/>
                <w:lang w:eastAsia="en-US"/>
              </w:rPr>
            </w:pPr>
            <w:r w:rsidRPr="00334A89">
              <w:rPr>
                <w:rFonts w:eastAsia="Times New Roman" w:cstheme="minorHAnsi"/>
                <w:sz w:val="20"/>
                <w:szCs w:val="20"/>
                <w:lang w:eastAsia="en-US"/>
              </w:rPr>
              <w:t>Portugal, Spain</w:t>
            </w:r>
            <w:r w:rsidR="0038327A" w:rsidRPr="00334A89">
              <w:rPr>
                <w:rFonts w:eastAsia="Times New Roman" w:cstheme="minorHAnsi"/>
                <w:sz w:val="20"/>
                <w:szCs w:val="20"/>
                <w:lang w:eastAsia="en-US"/>
              </w:rPr>
              <w:t>, UK</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iCs/>
                <w:sz w:val="20"/>
                <w:szCs w:val="20"/>
                <w:lang w:eastAsia="en-US"/>
              </w:rPr>
              <w:t>1</w:t>
            </w:r>
            <w:r w:rsidR="0038327A" w:rsidRPr="00DF4FB8">
              <w:rPr>
                <w:rFonts w:eastAsia="Times New Roman" w:cstheme="minorHAnsi"/>
                <w:b/>
                <w:iCs/>
                <w:sz w:val="20"/>
                <w:szCs w:val="20"/>
                <w:lang w:eastAsia="en-US"/>
              </w:rPr>
              <w:t>58</w:t>
            </w:r>
            <w:r w:rsidRPr="00DF4FB8">
              <w:rPr>
                <w:rFonts w:eastAsia="Times New Roman" w:cstheme="minorHAnsi"/>
                <w:b/>
                <w:iCs/>
                <w:sz w:val="20"/>
                <w:szCs w:val="20"/>
                <w:lang w:eastAsia="en-US"/>
              </w:rPr>
              <w:t>08</w:t>
            </w:r>
          </w:p>
        </w:tc>
        <w:tc>
          <w:tcPr>
            <w:tcW w:w="850" w:type="dxa"/>
            <w:vAlign w:val="center"/>
          </w:tcPr>
          <w:p w:rsidR="00F82564" w:rsidRPr="00334A89" w:rsidRDefault="00334A89" w:rsidP="00334A89">
            <w:pPr>
              <w:rPr>
                <w:rFonts w:eastAsia="Times New Roman" w:cstheme="minorHAnsi"/>
                <w:iCs/>
                <w:sz w:val="18"/>
                <w:szCs w:val="18"/>
                <w:lang w:eastAsia="en-US"/>
              </w:rPr>
            </w:pPr>
            <w:r w:rsidRPr="00334A89">
              <w:rPr>
                <w:rFonts w:eastAsia="Times New Roman" w:cstheme="minorHAnsi"/>
                <w:iCs/>
                <w:sz w:val="18"/>
                <w:szCs w:val="18"/>
                <w:lang w:eastAsia="en-US"/>
              </w:rPr>
              <w:t>2011</w:t>
            </w:r>
            <w:r>
              <w:rPr>
                <w:rFonts w:eastAsia="Times New Roman" w:cstheme="minorHAnsi"/>
                <w:iCs/>
                <w:sz w:val="18"/>
                <w:szCs w:val="18"/>
                <w:lang w:eastAsia="en-US"/>
              </w:rPr>
              <w:t xml:space="preserve"> (Cespa only)</w:t>
            </w:r>
          </w:p>
        </w:tc>
      </w:tr>
      <w:tr w:rsidR="00F82564" w:rsidRPr="0038327A" w:rsidTr="00661B28">
        <w:trPr>
          <w:trHeight w:val="360"/>
        </w:trPr>
        <w:tc>
          <w:tcPr>
            <w:tcW w:w="1526" w:type="dxa"/>
            <w:shd w:val="clear" w:color="auto" w:fill="FFFF99"/>
            <w:vAlign w:val="center"/>
          </w:tcPr>
          <w:p w:rsidR="00F82564" w:rsidRPr="0038327A" w:rsidRDefault="00F82564" w:rsidP="00334A89">
            <w:pPr>
              <w:rPr>
                <w:rFonts w:eastAsia="Times New Roman" w:cstheme="minorHAnsi"/>
                <w:b/>
                <w:sz w:val="20"/>
                <w:szCs w:val="20"/>
                <w:lang w:eastAsia="en-US"/>
              </w:rPr>
            </w:pPr>
            <w:r w:rsidRPr="0038327A">
              <w:rPr>
                <w:rFonts w:eastAsia="Times New Roman" w:cstheme="minorHAnsi"/>
                <w:b/>
                <w:bCs/>
                <w:sz w:val="20"/>
                <w:szCs w:val="20"/>
                <w:lang w:eastAsia="en-US"/>
              </w:rPr>
              <w:t>CNIM</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FR</w:t>
            </w:r>
          </w:p>
        </w:tc>
        <w:tc>
          <w:tcPr>
            <w:tcW w:w="2575" w:type="dxa"/>
            <w:vAlign w:val="center"/>
          </w:tcPr>
          <w:p w:rsidR="00F82564" w:rsidRPr="0038327A" w:rsidRDefault="00F82564" w:rsidP="00334A89">
            <w:pPr>
              <w:rPr>
                <w:rFonts w:eastAsia="Times New Roman" w:cstheme="minorHAnsi"/>
                <w:sz w:val="20"/>
                <w:szCs w:val="20"/>
                <w:lang w:eastAsia="en-US"/>
              </w:rPr>
            </w:pPr>
            <w:r w:rsidRPr="0038327A">
              <w:rPr>
                <w:rFonts w:eastAsia="Times New Roman" w:cstheme="minorHAnsi"/>
                <w:sz w:val="20"/>
                <w:szCs w:val="20"/>
                <w:lang w:eastAsia="en-US"/>
              </w:rPr>
              <w:t xml:space="preserve">CNIM </w:t>
            </w:r>
            <w:hyperlink r:id="rId35" w:history="1">
              <w:r w:rsidRPr="0038327A">
                <w:rPr>
                  <w:rFonts w:eastAsia="Times New Roman" w:cstheme="minorHAnsi"/>
                  <w:color w:val="0000FF"/>
                  <w:sz w:val="20"/>
                  <w:szCs w:val="20"/>
                  <w:u w:val="single"/>
                  <w:lang w:eastAsia="en-US"/>
                </w:rPr>
                <w:t>www.cnim.com</w:t>
              </w:r>
            </w:hyperlink>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38327A" w:rsidRDefault="0038327A" w:rsidP="00334A89">
            <w:pPr>
              <w:rPr>
                <w:rFonts w:eastAsia="Times New Roman" w:cstheme="minorHAnsi"/>
                <w:sz w:val="20"/>
                <w:szCs w:val="20"/>
                <w:lang w:eastAsia="en-US"/>
              </w:rPr>
            </w:pPr>
            <w:r w:rsidRPr="0038327A">
              <w:rPr>
                <w:rFonts w:eastAsia="Times New Roman" w:cstheme="minorHAnsi"/>
                <w:sz w:val="20"/>
                <w:szCs w:val="20"/>
                <w:lang w:eastAsia="en-US"/>
              </w:rPr>
              <w:t xml:space="preserve">Azerbaijan, </w:t>
            </w:r>
            <w:r w:rsidR="00F82564" w:rsidRPr="0038327A">
              <w:rPr>
                <w:rFonts w:eastAsia="Times New Roman" w:cstheme="minorHAnsi"/>
                <w:sz w:val="20"/>
                <w:szCs w:val="20"/>
                <w:lang w:eastAsia="en-US"/>
              </w:rPr>
              <w:t xml:space="preserve">France, Italy, </w:t>
            </w:r>
            <w:r w:rsidRPr="0038327A">
              <w:rPr>
                <w:rFonts w:eastAsia="Times New Roman" w:cstheme="minorHAnsi"/>
                <w:sz w:val="20"/>
                <w:szCs w:val="20"/>
                <w:lang w:eastAsia="en-US"/>
              </w:rPr>
              <w:t xml:space="preserve">Russia, </w:t>
            </w:r>
            <w:r w:rsidR="00F82564" w:rsidRPr="0038327A">
              <w:rPr>
                <w:rFonts w:eastAsia="Times New Roman" w:cstheme="minorHAnsi"/>
                <w:sz w:val="20"/>
                <w:szCs w:val="20"/>
                <w:lang w:eastAsia="en-US"/>
              </w:rPr>
              <w:t>UK</w:t>
            </w:r>
          </w:p>
        </w:tc>
        <w:tc>
          <w:tcPr>
            <w:tcW w:w="709" w:type="dxa"/>
            <w:vAlign w:val="center"/>
          </w:tcPr>
          <w:p w:rsidR="00F82564" w:rsidRPr="00DF4FB8" w:rsidRDefault="0038327A"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2660</w:t>
            </w:r>
          </w:p>
        </w:tc>
        <w:tc>
          <w:tcPr>
            <w:tcW w:w="850" w:type="dxa"/>
            <w:vAlign w:val="center"/>
          </w:tcPr>
          <w:p w:rsidR="00F82564" w:rsidRPr="0038327A" w:rsidRDefault="0038327A" w:rsidP="00334A89">
            <w:pPr>
              <w:rPr>
                <w:rFonts w:eastAsia="Times New Roman" w:cstheme="minorHAnsi"/>
                <w:sz w:val="18"/>
                <w:szCs w:val="18"/>
                <w:lang w:eastAsia="en-US"/>
              </w:rPr>
            </w:pPr>
            <w:r w:rsidRPr="0038327A">
              <w:rPr>
                <w:rFonts w:eastAsia="Times New Roman" w:cstheme="minorHAnsi"/>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bCs/>
                <w:iCs/>
                <w:sz w:val="20"/>
                <w:szCs w:val="20"/>
                <w:lang w:eastAsia="en-US"/>
              </w:rPr>
            </w:pPr>
            <w:r>
              <w:rPr>
                <w:rFonts w:eastAsia="Times New Roman" w:cstheme="minorHAnsi"/>
                <w:b/>
                <w:bCs/>
                <w:iCs/>
                <w:sz w:val="20"/>
                <w:szCs w:val="20"/>
                <w:lang w:eastAsia="en-US"/>
              </w:rPr>
              <w:t>Indaver/</w:t>
            </w:r>
            <w:r w:rsidRPr="00A66F93">
              <w:rPr>
                <w:rFonts w:eastAsia="Times New Roman" w:cstheme="minorHAnsi"/>
                <w:b/>
                <w:bCs/>
                <w:iCs/>
                <w:sz w:val="20"/>
                <w:szCs w:val="20"/>
                <w:lang w:eastAsia="en-US"/>
              </w:rPr>
              <w:t>Delta</w:t>
            </w:r>
          </w:p>
        </w:tc>
        <w:tc>
          <w:tcPr>
            <w:tcW w:w="402" w:type="dxa"/>
            <w:vAlign w:val="center"/>
          </w:tcPr>
          <w:p w:rsidR="00F82564" w:rsidRPr="008D40BA" w:rsidRDefault="00F82564" w:rsidP="00334A89">
            <w:pPr>
              <w:rPr>
                <w:rFonts w:eastAsia="Times New Roman" w:cstheme="minorHAnsi"/>
                <w:iCs/>
                <w:sz w:val="18"/>
                <w:szCs w:val="18"/>
                <w:lang w:eastAsia="en-US"/>
              </w:rPr>
            </w:pPr>
            <w:r w:rsidRPr="008D40BA">
              <w:rPr>
                <w:rFonts w:eastAsia="Times New Roman" w:cstheme="minorHAnsi"/>
                <w:iCs/>
                <w:sz w:val="18"/>
                <w:szCs w:val="18"/>
                <w:lang w:eastAsia="en-US"/>
              </w:rPr>
              <w:t>NL</w:t>
            </w:r>
          </w:p>
        </w:tc>
        <w:tc>
          <w:tcPr>
            <w:tcW w:w="2575" w:type="dxa"/>
            <w:vAlign w:val="center"/>
          </w:tcPr>
          <w:p w:rsidR="00F82564" w:rsidRPr="00A66F93" w:rsidRDefault="00081F2D" w:rsidP="00334A89">
            <w:pPr>
              <w:rPr>
                <w:rFonts w:eastAsia="Times New Roman" w:cstheme="minorHAnsi"/>
                <w:iCs/>
                <w:sz w:val="20"/>
                <w:szCs w:val="20"/>
                <w:lang w:eastAsia="en-US"/>
              </w:rPr>
            </w:pPr>
            <w:hyperlink r:id="rId36" w:history="1">
              <w:r w:rsidR="00F82564" w:rsidRPr="00A66F93">
                <w:rPr>
                  <w:rFonts w:eastAsia="Times New Roman" w:cstheme="minorHAnsi"/>
                  <w:iCs/>
                  <w:color w:val="0000FF"/>
                  <w:sz w:val="20"/>
                  <w:szCs w:val="20"/>
                  <w:u w:val="single"/>
                  <w:lang w:eastAsia="en-US"/>
                </w:rPr>
                <w:t>www.delta.nl</w:t>
              </w:r>
            </w:hyperlink>
            <w:r w:rsidR="00F82564" w:rsidRPr="00A66F93">
              <w:rPr>
                <w:rFonts w:eastAsia="Times New Roman" w:cstheme="minorHAnsi"/>
                <w:iCs/>
                <w:sz w:val="20"/>
                <w:szCs w:val="20"/>
                <w:lang w:eastAsia="en-US"/>
              </w:rPr>
              <w:t xml:space="preserve"> </w:t>
            </w:r>
          </w:p>
        </w:tc>
        <w:tc>
          <w:tcPr>
            <w:tcW w:w="544" w:type="dxa"/>
            <w:vAlign w:val="center"/>
          </w:tcPr>
          <w:p w:rsidR="00F82564" w:rsidRPr="008D40BA" w:rsidRDefault="00F82564" w:rsidP="00334A89">
            <w:pPr>
              <w:rPr>
                <w:rFonts w:eastAsia="Times New Roman" w:cstheme="minorHAnsi"/>
                <w:iCs/>
                <w:sz w:val="18"/>
                <w:szCs w:val="18"/>
                <w:lang w:eastAsia="en-US"/>
              </w:rPr>
            </w:pPr>
            <w:r w:rsidRPr="008D40BA">
              <w:rPr>
                <w:rFonts w:eastAsia="Times New Roman" w:cstheme="minorHAnsi"/>
                <w:iCs/>
                <w:sz w:val="18"/>
                <w:szCs w:val="18"/>
                <w:lang w:eastAsia="en-US"/>
              </w:rPr>
              <w:t>Mun</w:t>
            </w:r>
          </w:p>
        </w:tc>
        <w:tc>
          <w:tcPr>
            <w:tcW w:w="3260" w:type="dxa"/>
            <w:vAlign w:val="center"/>
          </w:tcPr>
          <w:p w:rsidR="00F82564" w:rsidRPr="00A66F93" w:rsidRDefault="00F82564" w:rsidP="00334A89">
            <w:pPr>
              <w:rPr>
                <w:rFonts w:eastAsia="Times New Roman" w:cstheme="minorHAnsi"/>
                <w:iCs/>
                <w:sz w:val="20"/>
                <w:szCs w:val="20"/>
                <w:lang w:eastAsia="en-US"/>
              </w:rPr>
            </w:pPr>
            <w:r w:rsidRPr="00A66F93">
              <w:rPr>
                <w:rFonts w:eastAsia="Times New Roman" w:cstheme="minorHAnsi"/>
                <w:iCs/>
                <w:sz w:val="20"/>
                <w:szCs w:val="20"/>
                <w:lang w:eastAsia="en-US"/>
              </w:rPr>
              <w:t xml:space="preserve">Belgium, </w:t>
            </w:r>
            <w:r>
              <w:rPr>
                <w:rFonts w:eastAsia="Times New Roman" w:cstheme="minorHAnsi"/>
                <w:iCs/>
                <w:sz w:val="20"/>
                <w:szCs w:val="20"/>
                <w:lang w:eastAsia="en-US"/>
              </w:rPr>
              <w:t xml:space="preserve">Germany, Ireland, Italy, </w:t>
            </w:r>
            <w:r w:rsidRPr="00A66F93">
              <w:rPr>
                <w:rFonts w:eastAsia="Times New Roman" w:cstheme="minorHAnsi"/>
                <w:iCs/>
                <w:sz w:val="20"/>
                <w:szCs w:val="20"/>
                <w:lang w:eastAsia="en-US"/>
              </w:rPr>
              <w:t>Netherlands</w:t>
            </w:r>
            <w:r>
              <w:rPr>
                <w:rFonts w:eastAsia="Times New Roman" w:cstheme="minorHAnsi"/>
                <w:iCs/>
                <w:sz w:val="20"/>
                <w:szCs w:val="20"/>
                <w:lang w:eastAsia="en-US"/>
              </w:rPr>
              <w:t>, Portugal, UK</w:t>
            </w:r>
          </w:p>
        </w:tc>
        <w:tc>
          <w:tcPr>
            <w:tcW w:w="709" w:type="dxa"/>
            <w:vAlign w:val="center"/>
          </w:tcPr>
          <w:p w:rsidR="00F82564" w:rsidRPr="00DF4FB8" w:rsidRDefault="00F82564" w:rsidP="00DF4FB8">
            <w:pPr>
              <w:jc w:val="right"/>
              <w:rPr>
                <w:rFonts w:eastAsia="Times New Roman" w:cstheme="minorHAnsi"/>
                <w:b/>
                <w:iCs/>
                <w:sz w:val="20"/>
                <w:szCs w:val="20"/>
                <w:lang w:eastAsia="en-US"/>
              </w:rPr>
            </w:pPr>
            <w:r w:rsidRPr="00DF4FB8">
              <w:rPr>
                <w:rFonts w:eastAsia="Times New Roman" w:cstheme="minorHAnsi"/>
                <w:b/>
                <w:iCs/>
                <w:sz w:val="20"/>
                <w:szCs w:val="20"/>
                <w:lang w:eastAsia="en-US"/>
              </w:rPr>
              <w:t>1685</w:t>
            </w:r>
          </w:p>
        </w:tc>
        <w:tc>
          <w:tcPr>
            <w:tcW w:w="850" w:type="dxa"/>
            <w:vAlign w:val="center"/>
          </w:tcPr>
          <w:p w:rsidR="00F82564" w:rsidRPr="0038327A" w:rsidRDefault="00F82564" w:rsidP="00334A89">
            <w:pPr>
              <w:rPr>
                <w:rFonts w:eastAsia="Times New Roman" w:cstheme="minorHAnsi"/>
                <w:iCs/>
                <w:sz w:val="18"/>
                <w:szCs w:val="18"/>
                <w:lang w:eastAsia="en-US"/>
              </w:rPr>
            </w:pPr>
            <w:r w:rsidRPr="0038327A">
              <w:rPr>
                <w:rFonts w:eastAsia="Times New Roman" w:cstheme="minorHAnsi"/>
                <w:iCs/>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FCC</w:t>
            </w:r>
            <w:r>
              <w:rPr>
                <w:rFonts w:eastAsia="Times New Roman" w:cstheme="minorHAnsi"/>
                <w:b/>
                <w:bCs/>
                <w:sz w:val="20"/>
                <w:szCs w:val="20"/>
                <w:lang w:eastAsia="en-US"/>
              </w:rPr>
              <w:t xml:space="preserve"> (and ASA</w:t>
            </w:r>
            <w:r w:rsidR="00EA1CF2">
              <w:rPr>
                <w:rFonts w:eastAsia="Times New Roman" w:cstheme="minorHAnsi"/>
                <w:b/>
                <w:bCs/>
                <w:sz w:val="20"/>
                <w:szCs w:val="20"/>
                <w:lang w:eastAsia="en-US"/>
              </w:rPr>
              <w:t>, WRG</w:t>
            </w:r>
            <w:r>
              <w:rPr>
                <w:rFonts w:eastAsia="Times New Roman" w:cstheme="minorHAnsi"/>
                <w:b/>
                <w:bCs/>
                <w:sz w:val="20"/>
                <w:szCs w:val="20"/>
                <w:lang w:eastAsia="en-US"/>
              </w:rPr>
              <w:t>)</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ES</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FCC </w:t>
            </w:r>
            <w:hyperlink r:id="rId37" w:history="1">
              <w:r w:rsidRPr="00A66F93">
                <w:rPr>
                  <w:rFonts w:eastAsia="Times New Roman" w:cstheme="minorHAnsi"/>
                  <w:color w:val="0000FF"/>
                  <w:sz w:val="20"/>
                  <w:szCs w:val="20"/>
                  <w:u w:val="single"/>
                  <w:lang w:eastAsia="en-US"/>
                </w:rPr>
                <w:t>www.fcc.es</w:t>
              </w:r>
            </w:hyperlink>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Default="00F82564" w:rsidP="00334A89">
            <w:pPr>
              <w:rPr>
                <w:rFonts w:eastAsia="Times New Roman" w:cstheme="minorHAnsi"/>
                <w:iCs/>
                <w:sz w:val="20"/>
                <w:szCs w:val="20"/>
                <w:lang w:eastAsia="en-US"/>
              </w:rPr>
            </w:pPr>
            <w:r w:rsidRPr="00A66F93">
              <w:rPr>
                <w:rFonts w:eastAsia="Times New Roman" w:cstheme="minorHAnsi"/>
                <w:iCs/>
                <w:sz w:val="20"/>
                <w:szCs w:val="20"/>
                <w:lang w:eastAsia="en-US"/>
              </w:rPr>
              <w:t xml:space="preserve">Austria, Bosnia, </w:t>
            </w:r>
            <w:r>
              <w:rPr>
                <w:rFonts w:eastAsia="Times New Roman" w:cstheme="minorHAnsi"/>
                <w:iCs/>
                <w:sz w:val="20"/>
                <w:szCs w:val="20"/>
                <w:lang w:eastAsia="en-US"/>
              </w:rPr>
              <w:t xml:space="preserve">Bulgaria, </w:t>
            </w:r>
            <w:r w:rsidRPr="00A66F93">
              <w:rPr>
                <w:rFonts w:eastAsia="Times New Roman" w:cstheme="minorHAnsi"/>
                <w:iCs/>
                <w:sz w:val="20"/>
                <w:szCs w:val="20"/>
                <w:lang w:eastAsia="en-US"/>
              </w:rPr>
              <w:t>Croatia, Czech Republic,</w:t>
            </w:r>
            <w:r w:rsidR="00D830F7">
              <w:rPr>
                <w:rFonts w:eastAsia="Times New Roman" w:cstheme="minorHAnsi"/>
                <w:iCs/>
                <w:sz w:val="20"/>
                <w:szCs w:val="20"/>
                <w:lang w:eastAsia="en-US"/>
              </w:rPr>
              <w:t xml:space="preserve"> Hungary, </w:t>
            </w:r>
            <w:r w:rsidRPr="00A66F93">
              <w:rPr>
                <w:rFonts w:eastAsia="Times New Roman" w:cstheme="minorHAnsi"/>
                <w:iCs/>
                <w:sz w:val="20"/>
                <w:szCs w:val="20"/>
                <w:lang w:eastAsia="en-US"/>
              </w:rPr>
              <w:t xml:space="preserve"> </w:t>
            </w:r>
            <w:r>
              <w:rPr>
                <w:rFonts w:eastAsia="Times New Roman" w:cstheme="minorHAnsi"/>
                <w:iCs/>
                <w:sz w:val="20"/>
                <w:szCs w:val="20"/>
                <w:lang w:eastAsia="en-US"/>
              </w:rPr>
              <w:t xml:space="preserve">Italy, Macedonia, Montenegro, </w:t>
            </w:r>
          </w:p>
          <w:p w:rsidR="00F82564" w:rsidRPr="00A66F93" w:rsidRDefault="00F82564" w:rsidP="00334A89">
            <w:pPr>
              <w:rPr>
                <w:rFonts w:eastAsia="Times New Roman" w:cstheme="minorHAnsi"/>
                <w:iCs/>
                <w:sz w:val="20"/>
                <w:szCs w:val="20"/>
                <w:lang w:eastAsia="en-US"/>
              </w:rPr>
            </w:pPr>
            <w:r w:rsidRPr="00A66F93">
              <w:rPr>
                <w:rFonts w:eastAsia="Times New Roman" w:cstheme="minorHAnsi"/>
                <w:iCs/>
                <w:sz w:val="20"/>
                <w:szCs w:val="20"/>
                <w:lang w:eastAsia="en-US"/>
              </w:rPr>
              <w:t>Poland,</w:t>
            </w:r>
            <w:r>
              <w:rPr>
                <w:rFonts w:eastAsia="Times New Roman" w:cstheme="minorHAnsi"/>
                <w:iCs/>
                <w:sz w:val="20"/>
                <w:szCs w:val="20"/>
                <w:lang w:eastAsia="en-US"/>
              </w:rPr>
              <w:t xml:space="preserve"> </w:t>
            </w:r>
            <w:r w:rsidRPr="00A66F93">
              <w:rPr>
                <w:rFonts w:eastAsia="Times New Roman" w:cstheme="minorHAnsi"/>
                <w:sz w:val="20"/>
                <w:szCs w:val="20"/>
                <w:lang w:eastAsia="en-US"/>
              </w:rPr>
              <w:t>Portugal,</w:t>
            </w:r>
            <w:r>
              <w:rPr>
                <w:rFonts w:eastAsia="Times New Roman" w:cstheme="minorHAnsi"/>
                <w:sz w:val="20"/>
                <w:szCs w:val="20"/>
                <w:lang w:eastAsia="en-US"/>
              </w:rPr>
              <w:t xml:space="preserve"> Romania, Serbia, </w:t>
            </w:r>
            <w:r w:rsidRPr="00A66F93">
              <w:rPr>
                <w:rFonts w:eastAsia="Times New Roman" w:cstheme="minorHAnsi"/>
                <w:iCs/>
                <w:sz w:val="20"/>
                <w:szCs w:val="20"/>
                <w:lang w:eastAsia="en-US"/>
              </w:rPr>
              <w:t>Slovakia</w:t>
            </w:r>
            <w:r>
              <w:rPr>
                <w:rFonts w:eastAsia="Times New Roman" w:cstheme="minorHAnsi"/>
                <w:iCs/>
                <w:sz w:val="20"/>
                <w:szCs w:val="20"/>
                <w:lang w:eastAsia="en-US"/>
              </w:rPr>
              <w:t>,</w:t>
            </w:r>
            <w:r w:rsidRPr="00A66F93">
              <w:rPr>
                <w:rFonts w:eastAsia="Times New Roman" w:cstheme="minorHAnsi"/>
                <w:sz w:val="20"/>
                <w:szCs w:val="20"/>
                <w:lang w:eastAsia="en-US"/>
              </w:rPr>
              <w:t xml:space="preserve"> </w:t>
            </w:r>
            <w:r>
              <w:rPr>
                <w:rFonts w:eastAsia="Times New Roman" w:cstheme="minorHAnsi"/>
                <w:sz w:val="20"/>
                <w:szCs w:val="20"/>
                <w:lang w:eastAsia="en-US"/>
              </w:rPr>
              <w:t xml:space="preserve">Slovenia, </w:t>
            </w:r>
            <w:r w:rsidRPr="00A66F93">
              <w:rPr>
                <w:rFonts w:eastAsia="Times New Roman" w:cstheme="minorHAnsi"/>
                <w:sz w:val="20"/>
                <w:szCs w:val="20"/>
                <w:lang w:eastAsia="en-US"/>
              </w:rPr>
              <w:t xml:space="preserve">Spain, UK, </w:t>
            </w:r>
            <w:r>
              <w:rPr>
                <w:rFonts w:eastAsia="Times New Roman" w:cstheme="minorHAnsi"/>
                <w:sz w:val="20"/>
                <w:szCs w:val="20"/>
                <w:lang w:eastAsia="en-US"/>
              </w:rPr>
              <w:t>Ukraine</w:t>
            </w:r>
          </w:p>
        </w:tc>
        <w:tc>
          <w:tcPr>
            <w:tcW w:w="709" w:type="dxa"/>
            <w:vAlign w:val="center"/>
          </w:tcPr>
          <w:p w:rsidR="00F82564" w:rsidRPr="00DF4FB8" w:rsidRDefault="0038327A"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91</w:t>
            </w:r>
            <w:r w:rsidR="00F82564" w:rsidRPr="00DF4FB8">
              <w:rPr>
                <w:rFonts w:eastAsia="Times New Roman" w:cstheme="minorHAnsi"/>
                <w:b/>
                <w:sz w:val="20"/>
                <w:szCs w:val="20"/>
                <w:lang w:eastAsia="en-US"/>
              </w:rPr>
              <w:t>291</w:t>
            </w:r>
          </w:p>
        </w:tc>
        <w:tc>
          <w:tcPr>
            <w:tcW w:w="850" w:type="dxa"/>
            <w:vAlign w:val="center"/>
          </w:tcPr>
          <w:p w:rsidR="00F82564" w:rsidRPr="0038327A" w:rsidRDefault="0038327A" w:rsidP="00334A89">
            <w:pPr>
              <w:rPr>
                <w:rFonts w:eastAsia="Times New Roman" w:cstheme="minorHAnsi"/>
                <w:sz w:val="18"/>
                <w:szCs w:val="18"/>
                <w:lang w:eastAsia="en-US"/>
              </w:rPr>
            </w:pPr>
            <w:r w:rsidRPr="0038327A">
              <w:rPr>
                <w:rFonts w:eastAsia="Times New Roman" w:cstheme="minorHAnsi"/>
                <w:sz w:val="18"/>
                <w:szCs w:val="18"/>
                <w:lang w:eastAsia="en-US"/>
              </w:rPr>
              <w:t>2011</w:t>
            </w:r>
            <w:r w:rsidR="00EA1CF2">
              <w:rPr>
                <w:rFonts w:eastAsia="Times New Roman" w:cstheme="minorHAnsi"/>
                <w:sz w:val="18"/>
                <w:szCs w:val="18"/>
                <w:lang w:eastAsia="en-US"/>
              </w:rPr>
              <w:t xml:space="preserve"> (whole group)</w:t>
            </w:r>
          </w:p>
        </w:tc>
      </w:tr>
      <w:tr w:rsidR="00F82564" w:rsidRPr="00A66F93" w:rsidTr="00661B28">
        <w:trPr>
          <w:trHeight w:val="375"/>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Lassila &amp; Tikanoja</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FI</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Lassila &amp; Tikanoja </w:t>
            </w:r>
            <w:hyperlink r:id="rId38" w:history="1">
              <w:r w:rsidRPr="00A66F93">
                <w:rPr>
                  <w:rFonts w:eastAsia="Times New Roman" w:cstheme="minorHAnsi"/>
                  <w:color w:val="0000FF"/>
                  <w:sz w:val="20"/>
                  <w:szCs w:val="20"/>
                  <w:u w:val="single"/>
                  <w:lang w:eastAsia="en-US"/>
                </w:rPr>
                <w:t>www.lassila-tikanoja.com/</w:t>
              </w:r>
            </w:hyperlink>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A66F93" w:rsidRDefault="00F82564" w:rsidP="00334A89">
            <w:pPr>
              <w:rPr>
                <w:rFonts w:eastAsia="Times New Roman" w:cstheme="minorHAnsi"/>
                <w:iCs/>
                <w:sz w:val="20"/>
                <w:szCs w:val="20"/>
                <w:lang w:eastAsia="en-US"/>
              </w:rPr>
            </w:pPr>
            <w:r w:rsidRPr="00A66F93">
              <w:rPr>
                <w:rFonts w:eastAsia="Times New Roman" w:cstheme="minorHAnsi"/>
                <w:sz w:val="20"/>
                <w:szCs w:val="20"/>
                <w:lang w:eastAsia="en-US"/>
              </w:rPr>
              <w:t>Finland, Latvia, Russia, Sweden</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iCs/>
                <w:sz w:val="20"/>
                <w:szCs w:val="20"/>
                <w:lang w:eastAsia="en-US"/>
              </w:rPr>
              <w:t>9357</w:t>
            </w:r>
          </w:p>
        </w:tc>
        <w:tc>
          <w:tcPr>
            <w:tcW w:w="850" w:type="dxa"/>
            <w:vAlign w:val="center"/>
          </w:tcPr>
          <w:p w:rsidR="00F82564" w:rsidRPr="0038327A" w:rsidRDefault="0038327A" w:rsidP="00334A89">
            <w:pPr>
              <w:rPr>
                <w:rFonts w:eastAsia="Times New Roman" w:cstheme="minorHAnsi"/>
                <w:iCs/>
                <w:sz w:val="18"/>
                <w:szCs w:val="18"/>
                <w:lang w:eastAsia="en-US"/>
              </w:rPr>
            </w:pPr>
            <w:r w:rsidRPr="0038327A">
              <w:rPr>
                <w:rFonts w:eastAsia="Times New Roman" w:cstheme="minorHAnsi"/>
                <w:iCs/>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Ragn-Sells</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SV</w:t>
            </w:r>
          </w:p>
        </w:tc>
        <w:tc>
          <w:tcPr>
            <w:tcW w:w="2575" w:type="dxa"/>
            <w:vAlign w:val="center"/>
          </w:tcPr>
          <w:p w:rsidR="00F82564" w:rsidRPr="00B52D2D" w:rsidRDefault="00F82564" w:rsidP="00334A89">
            <w:pPr>
              <w:rPr>
                <w:rFonts w:eastAsia="Times New Roman" w:cstheme="minorHAnsi"/>
                <w:sz w:val="20"/>
                <w:szCs w:val="20"/>
                <w:lang w:val="de-DE" w:eastAsia="en-US"/>
              </w:rPr>
            </w:pPr>
            <w:r w:rsidRPr="00B52D2D">
              <w:rPr>
                <w:rFonts w:eastAsia="Times New Roman" w:cstheme="minorHAnsi"/>
                <w:sz w:val="20"/>
                <w:szCs w:val="20"/>
                <w:lang w:val="de-DE" w:eastAsia="en-US"/>
              </w:rPr>
              <w:t xml:space="preserve">Ragn-Sells </w:t>
            </w:r>
            <w:hyperlink r:id="rId39" w:history="1">
              <w:r w:rsidRPr="00B52D2D">
                <w:rPr>
                  <w:rFonts w:eastAsia="Times New Roman" w:cstheme="minorHAnsi"/>
                  <w:color w:val="0000FF"/>
                  <w:sz w:val="20"/>
                  <w:szCs w:val="20"/>
                  <w:u w:val="single"/>
                  <w:lang w:val="de-DE" w:eastAsia="en-US"/>
                </w:rPr>
                <w:t>www.ragnsells.se</w:t>
              </w:r>
            </w:hyperlink>
            <w:r w:rsidRPr="00B52D2D">
              <w:rPr>
                <w:rFonts w:eastAsia="Times New Roman" w:cstheme="minorHAnsi"/>
                <w:sz w:val="20"/>
                <w:szCs w:val="20"/>
                <w:lang w:val="de-DE" w:eastAsia="en-US"/>
              </w:rPr>
              <w:t xml:space="preserve"> </w:t>
            </w:r>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Denmark, Estonia, Latvia, Norway, Poland, Sweden</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2</w:t>
            </w:r>
            <w:r w:rsidR="0038327A" w:rsidRPr="00DF4FB8">
              <w:rPr>
                <w:rFonts w:eastAsia="Times New Roman" w:cstheme="minorHAnsi"/>
                <w:b/>
                <w:sz w:val="20"/>
                <w:szCs w:val="20"/>
                <w:lang w:eastAsia="en-US"/>
              </w:rPr>
              <w:t>646</w:t>
            </w:r>
          </w:p>
        </w:tc>
        <w:tc>
          <w:tcPr>
            <w:tcW w:w="850" w:type="dxa"/>
            <w:vAlign w:val="center"/>
          </w:tcPr>
          <w:p w:rsidR="00F82564" w:rsidRPr="0038327A" w:rsidRDefault="0038327A" w:rsidP="00334A89">
            <w:pPr>
              <w:rPr>
                <w:rFonts w:eastAsia="Times New Roman" w:cstheme="minorHAnsi"/>
                <w:sz w:val="18"/>
                <w:szCs w:val="18"/>
                <w:lang w:eastAsia="en-US"/>
              </w:rPr>
            </w:pPr>
            <w:r>
              <w:rPr>
                <w:rFonts w:eastAsia="Times New Roman" w:cstheme="minorHAnsi"/>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Remondis</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DE</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Rethmann </w:t>
            </w:r>
            <w:hyperlink r:id="rId40" w:history="1">
              <w:r w:rsidRPr="00A66F93">
                <w:rPr>
                  <w:rFonts w:eastAsia="Times New Roman" w:cstheme="minorHAnsi"/>
                  <w:color w:val="0000FF"/>
                  <w:sz w:val="20"/>
                  <w:szCs w:val="20"/>
                  <w:u w:val="single"/>
                  <w:lang w:eastAsia="en-US"/>
                </w:rPr>
                <w:t>www.remondis.com</w:t>
              </w:r>
            </w:hyperlink>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w:t>
            </w:r>
          </w:p>
        </w:tc>
        <w:tc>
          <w:tcPr>
            <w:tcW w:w="3260" w:type="dxa"/>
            <w:vAlign w:val="center"/>
          </w:tcPr>
          <w:p w:rsidR="00F82564" w:rsidRPr="00C41987" w:rsidRDefault="00F82564" w:rsidP="001C1B23">
            <w:pPr>
              <w:rPr>
                <w:rFonts w:eastAsia="Times New Roman" w:cstheme="minorHAnsi"/>
                <w:sz w:val="20"/>
                <w:szCs w:val="20"/>
                <w:lang w:eastAsia="en-US"/>
              </w:rPr>
            </w:pPr>
            <w:r w:rsidRPr="00C41987">
              <w:rPr>
                <w:rFonts w:eastAsia="Times New Roman" w:cstheme="minorHAnsi"/>
                <w:sz w:val="20"/>
                <w:szCs w:val="20"/>
                <w:lang w:eastAsia="en-US"/>
              </w:rPr>
              <w:t xml:space="preserve">Austria, </w:t>
            </w:r>
            <w:r w:rsidR="004C3DD0" w:rsidRPr="00C41987">
              <w:rPr>
                <w:rFonts w:eastAsia="Times New Roman" w:cstheme="minorHAnsi"/>
                <w:sz w:val="20"/>
                <w:szCs w:val="20"/>
                <w:lang w:eastAsia="en-US"/>
              </w:rPr>
              <w:t xml:space="preserve">Belarus, </w:t>
            </w:r>
            <w:r w:rsidRPr="00C41987">
              <w:rPr>
                <w:rFonts w:eastAsia="Times New Roman" w:cstheme="minorHAnsi"/>
                <w:sz w:val="20"/>
                <w:szCs w:val="20"/>
                <w:lang w:eastAsia="en-US"/>
              </w:rPr>
              <w:t xml:space="preserve">Belgium, Bulgaria, Czech republic, Estonia, France, Germany, Hungary,  Ireland, Italy, Netherlands, Poland, Romania, Slovakia, Spain, Sweden, Switzerland, </w:t>
            </w:r>
            <w:r w:rsidR="004C3DD0" w:rsidRPr="00C41987">
              <w:rPr>
                <w:rFonts w:eastAsia="Times New Roman" w:cstheme="minorHAnsi"/>
                <w:sz w:val="20"/>
                <w:szCs w:val="20"/>
                <w:lang w:eastAsia="en-US"/>
              </w:rPr>
              <w:t xml:space="preserve">Turkey, </w:t>
            </w:r>
            <w:r w:rsidR="001C1B23">
              <w:rPr>
                <w:rFonts w:eastAsia="Times New Roman" w:cstheme="minorHAnsi"/>
                <w:sz w:val="20"/>
                <w:szCs w:val="20"/>
                <w:lang w:eastAsia="en-US"/>
              </w:rPr>
              <w:t>UK, Ukraine</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17100</w:t>
            </w:r>
          </w:p>
        </w:tc>
        <w:tc>
          <w:tcPr>
            <w:tcW w:w="850" w:type="dxa"/>
            <w:vAlign w:val="center"/>
          </w:tcPr>
          <w:p w:rsidR="00F82564" w:rsidRPr="0038327A" w:rsidRDefault="00C41987" w:rsidP="00334A89">
            <w:pPr>
              <w:rPr>
                <w:rFonts w:eastAsia="Times New Roman" w:cstheme="minorHAnsi"/>
                <w:sz w:val="18"/>
                <w:szCs w:val="18"/>
                <w:lang w:eastAsia="en-US"/>
              </w:rPr>
            </w:pPr>
            <w:r>
              <w:rPr>
                <w:rFonts w:eastAsia="Times New Roman" w:cstheme="minorHAnsi"/>
                <w:sz w:val="18"/>
                <w:szCs w:val="18"/>
                <w:lang w:eastAsia="en-US"/>
              </w:rPr>
              <w:t>2011</w:t>
            </w:r>
          </w:p>
        </w:tc>
      </w:tr>
      <w:tr w:rsidR="00F82564" w:rsidRPr="00A66F93" w:rsidTr="00661B28">
        <w:tblPrEx>
          <w:tblLook w:val="01E0" w:firstRow="1" w:lastRow="1" w:firstColumn="1" w:lastColumn="1" w:noHBand="0" w:noVBand="0"/>
        </w:tblPrEx>
        <w:trPr>
          <w:trHeight w:val="375"/>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sz w:val="20"/>
                <w:szCs w:val="20"/>
                <w:lang w:eastAsia="en-US"/>
              </w:rPr>
              <w:t>Saubermacher</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AT</w:t>
            </w:r>
          </w:p>
        </w:tc>
        <w:tc>
          <w:tcPr>
            <w:tcW w:w="2575" w:type="dxa"/>
            <w:vAlign w:val="center"/>
          </w:tcPr>
          <w:p w:rsidR="00F82564" w:rsidRPr="00A66F93" w:rsidRDefault="00081F2D" w:rsidP="00334A89">
            <w:pPr>
              <w:rPr>
                <w:rFonts w:eastAsia="Times New Roman" w:cstheme="minorHAnsi"/>
                <w:sz w:val="20"/>
                <w:szCs w:val="20"/>
                <w:lang w:eastAsia="en-US"/>
              </w:rPr>
            </w:pPr>
            <w:hyperlink r:id="rId41" w:history="1">
              <w:r w:rsidR="00F82564" w:rsidRPr="00A66F93">
                <w:rPr>
                  <w:rFonts w:eastAsia="Times New Roman" w:cstheme="minorHAnsi"/>
                  <w:color w:val="0000FF"/>
                  <w:sz w:val="20"/>
                  <w:szCs w:val="20"/>
                  <w:u w:val="single"/>
                  <w:lang w:eastAsia="en-US"/>
                </w:rPr>
                <w:t>www.saubermacher.at</w:t>
              </w:r>
            </w:hyperlink>
            <w:r w:rsidR="00F82564" w:rsidRPr="00A66F93">
              <w:rPr>
                <w:rFonts w:eastAsia="Times New Roman" w:cstheme="minorHAnsi"/>
                <w:sz w:val="20"/>
                <w:szCs w:val="20"/>
                <w:lang w:eastAsia="en-US"/>
              </w:rPr>
              <w:t xml:space="preserve"> </w:t>
            </w:r>
          </w:p>
        </w:tc>
        <w:tc>
          <w:tcPr>
            <w:tcW w:w="544"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P</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Austria, Croatia, Czech Republic, Hungary, Romania, Slovenia</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4</w:t>
            </w:r>
            <w:r w:rsidR="00F93F0A" w:rsidRPr="00DF4FB8">
              <w:rPr>
                <w:rFonts w:eastAsia="Times New Roman" w:cstheme="minorHAnsi"/>
                <w:b/>
                <w:sz w:val="20"/>
                <w:szCs w:val="20"/>
                <w:lang w:eastAsia="en-US"/>
              </w:rPr>
              <w:t>145</w:t>
            </w:r>
          </w:p>
        </w:tc>
        <w:tc>
          <w:tcPr>
            <w:tcW w:w="850" w:type="dxa"/>
            <w:vAlign w:val="center"/>
          </w:tcPr>
          <w:p w:rsidR="00F82564" w:rsidRPr="0038327A" w:rsidRDefault="0038327A" w:rsidP="00334A89">
            <w:pPr>
              <w:rPr>
                <w:rFonts w:eastAsia="Times New Roman" w:cstheme="minorHAnsi"/>
                <w:sz w:val="18"/>
                <w:szCs w:val="18"/>
                <w:lang w:eastAsia="en-US"/>
              </w:rPr>
            </w:pPr>
            <w:r>
              <w:rPr>
                <w:rFonts w:eastAsia="Times New Roman" w:cstheme="minorHAnsi"/>
                <w:sz w:val="18"/>
                <w:szCs w:val="18"/>
                <w:lang w:eastAsia="en-US"/>
              </w:rPr>
              <w:t>2011</w:t>
            </w:r>
          </w:p>
        </w:tc>
      </w:tr>
      <w:tr w:rsidR="00F82564" w:rsidRPr="00A66F93" w:rsidTr="00661B28">
        <w:trPr>
          <w:trHeight w:val="375"/>
        </w:trPr>
        <w:tc>
          <w:tcPr>
            <w:tcW w:w="1526" w:type="dxa"/>
            <w:shd w:val="clear" w:color="auto" w:fill="FFFF99"/>
            <w:vAlign w:val="center"/>
          </w:tcPr>
          <w:p w:rsidR="00F82564" w:rsidRPr="00A66F93" w:rsidRDefault="00F82564" w:rsidP="00334A89">
            <w:pPr>
              <w:rPr>
                <w:rFonts w:eastAsia="Times New Roman" w:cstheme="minorHAnsi"/>
                <w:b/>
                <w:bCs/>
                <w:sz w:val="20"/>
                <w:szCs w:val="20"/>
                <w:lang w:eastAsia="en-US"/>
              </w:rPr>
            </w:pPr>
            <w:r w:rsidRPr="00A66F93">
              <w:rPr>
                <w:rFonts w:eastAsia="Times New Roman" w:cstheme="minorHAnsi"/>
                <w:b/>
                <w:bCs/>
                <w:sz w:val="20"/>
                <w:szCs w:val="20"/>
                <w:lang w:eastAsia="en-US"/>
              </w:rPr>
              <w:t>Séché-SAUR</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FR</w:t>
            </w:r>
          </w:p>
        </w:tc>
        <w:tc>
          <w:tcPr>
            <w:tcW w:w="2575" w:type="dxa"/>
            <w:vAlign w:val="center"/>
          </w:tcPr>
          <w:p w:rsidR="00F82564" w:rsidRPr="00A66F93" w:rsidRDefault="00081F2D" w:rsidP="00334A89">
            <w:pPr>
              <w:rPr>
                <w:rFonts w:eastAsia="Times New Roman" w:cstheme="minorHAnsi"/>
                <w:sz w:val="20"/>
                <w:szCs w:val="20"/>
                <w:lang w:eastAsia="en-US"/>
              </w:rPr>
            </w:pPr>
            <w:hyperlink r:id="rId42" w:history="1">
              <w:r w:rsidR="00F82564" w:rsidRPr="00A66F93">
                <w:rPr>
                  <w:rFonts w:eastAsia="Times New Roman" w:cstheme="minorHAnsi"/>
                  <w:color w:val="0000FF"/>
                  <w:sz w:val="20"/>
                  <w:szCs w:val="20"/>
                  <w:u w:val="single"/>
                  <w:lang w:eastAsia="en-US"/>
                </w:rPr>
                <w:t>www.groupe-seche.com</w:t>
              </w:r>
            </w:hyperlink>
            <w:r w:rsidR="00F82564" w:rsidRPr="00A66F93">
              <w:rPr>
                <w:rFonts w:eastAsia="Times New Roman" w:cstheme="minorHAnsi"/>
                <w:sz w:val="20"/>
                <w:szCs w:val="20"/>
                <w:lang w:eastAsia="en-US"/>
              </w:rPr>
              <w:t xml:space="preserve"> </w:t>
            </w:r>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France, </w:t>
            </w:r>
            <w:r>
              <w:rPr>
                <w:rFonts w:eastAsia="Times New Roman" w:cstheme="minorHAnsi"/>
                <w:sz w:val="20"/>
                <w:szCs w:val="20"/>
                <w:lang w:eastAsia="en-US"/>
              </w:rPr>
              <w:t xml:space="preserve">Germany, </w:t>
            </w:r>
            <w:r w:rsidRPr="00A66F93">
              <w:rPr>
                <w:rFonts w:eastAsia="Times New Roman" w:cstheme="minorHAnsi"/>
                <w:sz w:val="20"/>
                <w:szCs w:val="20"/>
                <w:lang w:eastAsia="en-US"/>
              </w:rPr>
              <w:t>Spain, Hungary</w:t>
            </w:r>
            <w:r>
              <w:rPr>
                <w:rFonts w:eastAsia="Times New Roman" w:cstheme="minorHAnsi"/>
                <w:sz w:val="20"/>
                <w:szCs w:val="20"/>
                <w:lang w:eastAsia="en-US"/>
              </w:rPr>
              <w:t>, Italy</w:t>
            </w:r>
          </w:p>
        </w:tc>
        <w:tc>
          <w:tcPr>
            <w:tcW w:w="709" w:type="dxa"/>
            <w:vAlign w:val="center"/>
          </w:tcPr>
          <w:p w:rsidR="00F82564" w:rsidRPr="00DF4FB8" w:rsidRDefault="00334A89" w:rsidP="00DF4FB8">
            <w:pPr>
              <w:jc w:val="right"/>
              <w:rPr>
                <w:rFonts w:eastAsia="Times New Roman" w:cstheme="minorHAnsi"/>
                <w:b/>
                <w:iCs/>
                <w:sz w:val="20"/>
                <w:szCs w:val="20"/>
                <w:lang w:eastAsia="en-US"/>
              </w:rPr>
            </w:pPr>
            <w:r w:rsidRPr="00DF4FB8">
              <w:rPr>
                <w:rFonts w:eastAsia="Times New Roman" w:cstheme="minorHAnsi"/>
                <w:b/>
                <w:iCs/>
                <w:sz w:val="20"/>
                <w:szCs w:val="20"/>
                <w:lang w:eastAsia="en-US"/>
              </w:rPr>
              <w:t>1671</w:t>
            </w:r>
          </w:p>
        </w:tc>
        <w:tc>
          <w:tcPr>
            <w:tcW w:w="850" w:type="dxa"/>
            <w:vAlign w:val="center"/>
          </w:tcPr>
          <w:p w:rsidR="00F82564" w:rsidRPr="0038327A" w:rsidRDefault="00334A89" w:rsidP="00334A89">
            <w:pPr>
              <w:rPr>
                <w:rFonts w:eastAsia="Times New Roman" w:cstheme="minorHAnsi"/>
                <w:iCs/>
                <w:sz w:val="18"/>
                <w:szCs w:val="18"/>
                <w:lang w:eastAsia="en-US"/>
              </w:rPr>
            </w:pPr>
            <w:r>
              <w:rPr>
                <w:rFonts w:eastAsia="Times New Roman" w:cstheme="minorHAnsi"/>
                <w:iCs/>
                <w:sz w:val="18"/>
                <w:szCs w:val="18"/>
                <w:lang w:eastAsia="en-US"/>
              </w:rPr>
              <w:t>2011</w:t>
            </w:r>
          </w:p>
        </w:tc>
      </w:tr>
      <w:tr w:rsidR="00F82564" w:rsidRPr="00A66F93" w:rsidTr="00661B28">
        <w:trPr>
          <w:trHeight w:val="375"/>
        </w:trPr>
        <w:tc>
          <w:tcPr>
            <w:tcW w:w="1526" w:type="dxa"/>
            <w:shd w:val="clear" w:color="auto" w:fill="FFFF99"/>
            <w:vAlign w:val="center"/>
          </w:tcPr>
          <w:p w:rsidR="00F82564" w:rsidRPr="00A66F93" w:rsidRDefault="00F82564" w:rsidP="00334A89">
            <w:pPr>
              <w:rPr>
                <w:rFonts w:eastAsia="Times New Roman" w:cstheme="minorHAnsi"/>
                <w:b/>
                <w:bCs/>
                <w:sz w:val="20"/>
                <w:szCs w:val="20"/>
                <w:lang w:eastAsia="en-US"/>
              </w:rPr>
            </w:pPr>
            <w:r w:rsidRPr="00A66F93">
              <w:rPr>
                <w:rFonts w:eastAsia="Times New Roman" w:cstheme="minorHAnsi"/>
                <w:b/>
                <w:bCs/>
                <w:sz w:val="20"/>
                <w:szCs w:val="20"/>
                <w:lang w:eastAsia="en-US"/>
              </w:rPr>
              <w:t>Shanks</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UK</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 xml:space="preserve">Shanks Group </w:t>
            </w:r>
            <w:hyperlink r:id="rId43" w:history="1">
              <w:r w:rsidRPr="00A66F93">
                <w:rPr>
                  <w:rFonts w:eastAsia="Times New Roman" w:cstheme="minorHAnsi"/>
                  <w:color w:val="0000FF"/>
                  <w:sz w:val="20"/>
                  <w:szCs w:val="20"/>
                  <w:u w:val="single"/>
                  <w:lang w:eastAsia="en-US"/>
                </w:rPr>
                <w:t>www.shanks.co.uk</w:t>
              </w:r>
            </w:hyperlink>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Belgium, Netherlands, UK</w:t>
            </w:r>
          </w:p>
        </w:tc>
        <w:tc>
          <w:tcPr>
            <w:tcW w:w="709" w:type="dxa"/>
            <w:vAlign w:val="center"/>
          </w:tcPr>
          <w:p w:rsidR="00F82564" w:rsidRPr="00DF4FB8" w:rsidRDefault="00F82564" w:rsidP="00DF4FB8">
            <w:pPr>
              <w:jc w:val="right"/>
              <w:rPr>
                <w:rFonts w:eastAsia="Times New Roman" w:cstheme="minorHAnsi"/>
                <w:b/>
                <w:iCs/>
                <w:sz w:val="20"/>
                <w:szCs w:val="20"/>
                <w:lang w:eastAsia="en-US"/>
              </w:rPr>
            </w:pPr>
            <w:r w:rsidRPr="00DF4FB8">
              <w:rPr>
                <w:rFonts w:eastAsia="Times New Roman" w:cstheme="minorHAnsi"/>
                <w:b/>
                <w:iCs/>
                <w:sz w:val="20"/>
                <w:szCs w:val="20"/>
                <w:lang w:eastAsia="en-US"/>
              </w:rPr>
              <w:t>4094</w:t>
            </w:r>
          </w:p>
        </w:tc>
        <w:tc>
          <w:tcPr>
            <w:tcW w:w="850" w:type="dxa"/>
            <w:vAlign w:val="center"/>
          </w:tcPr>
          <w:p w:rsidR="00F82564" w:rsidRPr="0038327A" w:rsidRDefault="00774B4E" w:rsidP="00334A89">
            <w:pPr>
              <w:rPr>
                <w:rFonts w:eastAsia="Times New Roman" w:cstheme="minorHAnsi"/>
                <w:iCs/>
                <w:sz w:val="18"/>
                <w:szCs w:val="18"/>
                <w:lang w:eastAsia="en-US"/>
              </w:rPr>
            </w:pPr>
            <w:r>
              <w:rPr>
                <w:rFonts w:eastAsia="Times New Roman" w:cstheme="minorHAnsi"/>
                <w:iCs/>
                <w:sz w:val="18"/>
                <w:szCs w:val="18"/>
                <w:lang w:eastAsia="en-US"/>
              </w:rPr>
              <w:t>2011</w:t>
            </w:r>
          </w:p>
        </w:tc>
      </w:tr>
      <w:tr w:rsidR="00F82564" w:rsidRPr="00A66F93" w:rsidTr="00661B28">
        <w:trPr>
          <w:trHeight w:val="360"/>
        </w:trPr>
        <w:tc>
          <w:tcPr>
            <w:tcW w:w="1526" w:type="dxa"/>
            <w:shd w:val="clear" w:color="auto" w:fill="FFFF99"/>
            <w:vAlign w:val="center"/>
          </w:tcPr>
          <w:p w:rsidR="00F82564" w:rsidRPr="00A66F93" w:rsidRDefault="00F82564" w:rsidP="00334A89">
            <w:pPr>
              <w:rPr>
                <w:rFonts w:eastAsia="Times New Roman" w:cstheme="minorHAnsi"/>
                <w:b/>
                <w:iCs/>
                <w:sz w:val="20"/>
                <w:szCs w:val="20"/>
                <w:lang w:eastAsia="en-US"/>
              </w:rPr>
            </w:pPr>
            <w:r w:rsidRPr="00A66F93">
              <w:rPr>
                <w:rFonts w:eastAsia="Times New Roman" w:cstheme="minorHAnsi"/>
                <w:b/>
                <w:bCs/>
                <w:iCs/>
                <w:sz w:val="20"/>
                <w:szCs w:val="20"/>
                <w:lang w:eastAsia="en-US"/>
              </w:rPr>
              <w:t>Suez</w:t>
            </w:r>
          </w:p>
        </w:tc>
        <w:tc>
          <w:tcPr>
            <w:tcW w:w="402" w:type="dxa"/>
            <w:vAlign w:val="center"/>
          </w:tcPr>
          <w:p w:rsidR="00F82564" w:rsidRPr="008D40BA" w:rsidRDefault="00F82564" w:rsidP="00334A89">
            <w:pPr>
              <w:rPr>
                <w:rFonts w:eastAsia="Times New Roman" w:cstheme="minorHAnsi"/>
                <w:iCs/>
                <w:sz w:val="18"/>
                <w:szCs w:val="18"/>
                <w:lang w:eastAsia="en-US"/>
              </w:rPr>
            </w:pPr>
            <w:r w:rsidRPr="008D40BA">
              <w:rPr>
                <w:rFonts w:eastAsia="Times New Roman" w:cstheme="minorHAnsi"/>
                <w:iCs/>
                <w:sz w:val="18"/>
                <w:szCs w:val="18"/>
                <w:lang w:eastAsia="en-US"/>
              </w:rPr>
              <w:t>FR</w:t>
            </w:r>
          </w:p>
        </w:tc>
        <w:tc>
          <w:tcPr>
            <w:tcW w:w="2575" w:type="dxa"/>
            <w:vAlign w:val="center"/>
          </w:tcPr>
          <w:p w:rsidR="00F82564" w:rsidRPr="00A66F93" w:rsidRDefault="00F82564" w:rsidP="00334A89">
            <w:pPr>
              <w:rPr>
                <w:rFonts w:eastAsia="Times New Roman" w:cstheme="minorHAnsi"/>
                <w:iCs/>
                <w:sz w:val="20"/>
                <w:szCs w:val="20"/>
                <w:lang w:val="es-ES_tradnl" w:eastAsia="en-US"/>
              </w:rPr>
            </w:pPr>
            <w:r w:rsidRPr="00A66F93">
              <w:rPr>
                <w:rFonts w:eastAsia="Times New Roman" w:cstheme="minorHAnsi"/>
                <w:iCs/>
                <w:sz w:val="20"/>
                <w:szCs w:val="20"/>
                <w:lang w:val="es-ES_tradnl" w:eastAsia="en-US"/>
              </w:rPr>
              <w:t xml:space="preserve">Suez </w:t>
            </w:r>
            <w:hyperlink r:id="rId44" w:history="1">
              <w:r w:rsidRPr="00A66F93">
                <w:rPr>
                  <w:rFonts w:eastAsia="Times New Roman" w:cstheme="minorHAnsi"/>
                  <w:iCs/>
                  <w:color w:val="0000FF"/>
                  <w:sz w:val="20"/>
                  <w:szCs w:val="20"/>
                  <w:u w:val="single"/>
                  <w:lang w:val="es-ES_tradnl" w:eastAsia="en-US"/>
                </w:rPr>
                <w:t>www.suez-environnement.com</w:t>
              </w:r>
            </w:hyperlink>
          </w:p>
        </w:tc>
        <w:tc>
          <w:tcPr>
            <w:tcW w:w="544" w:type="dxa"/>
            <w:vAlign w:val="center"/>
          </w:tcPr>
          <w:p w:rsidR="00F82564" w:rsidRPr="008D40BA" w:rsidRDefault="00E703D4" w:rsidP="00334A89">
            <w:pPr>
              <w:rPr>
                <w:rFonts w:eastAsia="Times New Roman" w:cstheme="minorHAnsi"/>
                <w:iCs/>
                <w:sz w:val="18"/>
                <w:szCs w:val="18"/>
                <w:lang w:eastAsia="en-US"/>
              </w:rPr>
            </w:pPr>
            <w:r w:rsidRPr="008D40BA">
              <w:rPr>
                <w:rFonts w:eastAsia="Times New Roman" w:cstheme="minorHAnsi"/>
                <w:iCs/>
                <w:sz w:val="18"/>
                <w:szCs w:val="18"/>
                <w:lang w:eastAsia="en-US"/>
              </w:rPr>
              <w:t>S</w:t>
            </w:r>
          </w:p>
        </w:tc>
        <w:tc>
          <w:tcPr>
            <w:tcW w:w="3260" w:type="dxa"/>
            <w:vAlign w:val="center"/>
          </w:tcPr>
          <w:p w:rsidR="00F82564" w:rsidRPr="00A66F93" w:rsidRDefault="00F82564" w:rsidP="006F24A7">
            <w:pPr>
              <w:rPr>
                <w:rFonts w:eastAsia="Times New Roman" w:cstheme="minorHAnsi"/>
                <w:iCs/>
                <w:sz w:val="20"/>
                <w:szCs w:val="20"/>
                <w:lang w:eastAsia="en-US"/>
              </w:rPr>
            </w:pPr>
            <w:r w:rsidRPr="00A66F93">
              <w:rPr>
                <w:rFonts w:eastAsia="Times New Roman" w:cstheme="minorHAnsi"/>
                <w:iCs/>
                <w:sz w:val="20"/>
                <w:szCs w:val="20"/>
                <w:lang w:eastAsia="en-US"/>
              </w:rPr>
              <w:t xml:space="preserve">Belgium, </w:t>
            </w:r>
            <w:r w:rsidRPr="006F24A7">
              <w:rPr>
                <w:rFonts w:eastAsia="Times New Roman" w:cstheme="minorHAnsi"/>
                <w:iCs/>
                <w:sz w:val="20"/>
                <w:szCs w:val="20"/>
                <w:lang w:eastAsia="en-US"/>
              </w:rPr>
              <w:t>Czech Republic,</w:t>
            </w:r>
            <w:r w:rsidRPr="006F24A7">
              <w:rPr>
                <w:rFonts w:eastAsia="Times New Roman" w:cstheme="minorHAnsi"/>
                <w:i/>
                <w:iCs/>
                <w:sz w:val="20"/>
                <w:szCs w:val="20"/>
                <w:lang w:eastAsia="en-US"/>
              </w:rPr>
              <w:t xml:space="preserve"> </w:t>
            </w:r>
            <w:r w:rsidRPr="00A66F93">
              <w:rPr>
                <w:rFonts w:eastAsia="Times New Roman" w:cstheme="minorHAnsi"/>
                <w:iCs/>
                <w:sz w:val="20"/>
                <w:szCs w:val="20"/>
                <w:lang w:eastAsia="en-US"/>
              </w:rPr>
              <w:t xml:space="preserve">Finland, France, Germany, Hungary, Ireland, Netherlands, </w:t>
            </w:r>
            <w:r w:rsidRPr="006F24A7">
              <w:rPr>
                <w:rFonts w:eastAsia="Times New Roman" w:cstheme="minorHAnsi"/>
                <w:iCs/>
                <w:sz w:val="20"/>
                <w:szCs w:val="20"/>
                <w:lang w:eastAsia="en-US"/>
              </w:rPr>
              <w:t>Poland,</w:t>
            </w:r>
            <w:r w:rsidRPr="006F24A7">
              <w:rPr>
                <w:rFonts w:eastAsia="Times New Roman" w:cstheme="minorHAnsi"/>
                <w:i/>
                <w:iCs/>
                <w:sz w:val="20"/>
                <w:szCs w:val="20"/>
                <w:lang w:eastAsia="en-US"/>
              </w:rPr>
              <w:t xml:space="preserve"> </w:t>
            </w:r>
            <w:r w:rsidR="006F24A7" w:rsidRPr="006F24A7">
              <w:rPr>
                <w:rFonts w:eastAsia="Times New Roman" w:cstheme="minorHAnsi"/>
                <w:iCs/>
                <w:sz w:val="20"/>
                <w:szCs w:val="20"/>
                <w:lang w:eastAsia="en-US"/>
              </w:rPr>
              <w:t xml:space="preserve">Slovakia, </w:t>
            </w:r>
            <w:r w:rsidRPr="006F24A7">
              <w:rPr>
                <w:rFonts w:eastAsia="Times New Roman" w:cstheme="minorHAnsi"/>
                <w:iCs/>
                <w:sz w:val="20"/>
                <w:szCs w:val="20"/>
                <w:lang w:eastAsia="en-US"/>
              </w:rPr>
              <w:t xml:space="preserve">Sweden, </w:t>
            </w:r>
            <w:r w:rsidRPr="00A66F93">
              <w:rPr>
                <w:rFonts w:eastAsia="Times New Roman" w:cstheme="minorHAnsi"/>
                <w:iCs/>
                <w:sz w:val="20"/>
                <w:szCs w:val="20"/>
                <w:lang w:eastAsia="en-US"/>
              </w:rPr>
              <w:t>UK</w:t>
            </w:r>
          </w:p>
        </w:tc>
        <w:tc>
          <w:tcPr>
            <w:tcW w:w="709" w:type="dxa"/>
            <w:vAlign w:val="center"/>
          </w:tcPr>
          <w:p w:rsidR="00F82564" w:rsidRPr="00DF4FB8" w:rsidRDefault="00F82564" w:rsidP="00DF4FB8">
            <w:pPr>
              <w:jc w:val="right"/>
              <w:rPr>
                <w:rFonts w:eastAsia="Times New Roman" w:cstheme="minorHAnsi"/>
                <w:b/>
                <w:iCs/>
                <w:sz w:val="20"/>
                <w:szCs w:val="20"/>
                <w:lang w:eastAsia="en-US"/>
              </w:rPr>
            </w:pPr>
            <w:r w:rsidRPr="00DF4FB8">
              <w:rPr>
                <w:rFonts w:eastAsia="Times New Roman" w:cstheme="minorHAnsi"/>
                <w:b/>
                <w:iCs/>
                <w:sz w:val="20"/>
                <w:szCs w:val="20"/>
                <w:lang w:eastAsia="en-US"/>
              </w:rPr>
              <w:t>6</w:t>
            </w:r>
            <w:r w:rsidR="0038327A" w:rsidRPr="00DF4FB8">
              <w:rPr>
                <w:rFonts w:eastAsia="Times New Roman" w:cstheme="minorHAnsi"/>
                <w:b/>
                <w:iCs/>
                <w:sz w:val="20"/>
                <w:szCs w:val="20"/>
                <w:lang w:eastAsia="en-US"/>
              </w:rPr>
              <w:t>6</w:t>
            </w:r>
            <w:r w:rsidRPr="00DF4FB8">
              <w:rPr>
                <w:rFonts w:eastAsia="Times New Roman" w:cstheme="minorHAnsi"/>
                <w:b/>
                <w:iCs/>
                <w:sz w:val="20"/>
                <w:szCs w:val="20"/>
                <w:lang w:eastAsia="en-US"/>
              </w:rPr>
              <w:t>795</w:t>
            </w:r>
          </w:p>
        </w:tc>
        <w:tc>
          <w:tcPr>
            <w:tcW w:w="850" w:type="dxa"/>
            <w:vAlign w:val="center"/>
          </w:tcPr>
          <w:p w:rsidR="00F82564" w:rsidRPr="0038327A" w:rsidRDefault="0038327A" w:rsidP="00334A89">
            <w:pPr>
              <w:rPr>
                <w:rFonts w:eastAsia="Times New Roman" w:cstheme="minorHAnsi"/>
                <w:iCs/>
                <w:sz w:val="18"/>
                <w:szCs w:val="18"/>
                <w:lang w:eastAsia="en-US"/>
              </w:rPr>
            </w:pPr>
            <w:r w:rsidRPr="0038327A">
              <w:rPr>
                <w:rFonts w:eastAsia="Times New Roman" w:cstheme="minorHAnsi"/>
                <w:iCs/>
                <w:sz w:val="18"/>
                <w:szCs w:val="18"/>
                <w:lang w:eastAsia="en-US"/>
              </w:rPr>
              <w:t>2011 (waste, Europe)</w:t>
            </w:r>
          </w:p>
        </w:tc>
      </w:tr>
      <w:tr w:rsidR="00F82564" w:rsidRPr="00A66F93" w:rsidTr="00661B28">
        <w:trPr>
          <w:trHeight w:val="375"/>
        </w:trPr>
        <w:tc>
          <w:tcPr>
            <w:tcW w:w="1526" w:type="dxa"/>
            <w:shd w:val="clear" w:color="auto" w:fill="FFFF99"/>
            <w:vAlign w:val="center"/>
          </w:tcPr>
          <w:p w:rsidR="00F82564" w:rsidRPr="00A66F93" w:rsidRDefault="00F82564" w:rsidP="00334A89">
            <w:pPr>
              <w:rPr>
                <w:rFonts w:eastAsia="Times New Roman" w:cstheme="minorHAnsi"/>
                <w:b/>
                <w:iCs/>
                <w:sz w:val="20"/>
                <w:szCs w:val="20"/>
                <w:lang w:eastAsia="en-US"/>
              </w:rPr>
            </w:pPr>
            <w:r w:rsidRPr="00A66F93">
              <w:rPr>
                <w:rFonts w:eastAsia="Times New Roman" w:cstheme="minorHAnsi"/>
                <w:b/>
                <w:iCs/>
                <w:sz w:val="20"/>
                <w:szCs w:val="20"/>
                <w:lang w:eastAsia="en-US"/>
              </w:rPr>
              <w:t>Urbaser</w:t>
            </w:r>
          </w:p>
        </w:tc>
        <w:tc>
          <w:tcPr>
            <w:tcW w:w="402" w:type="dxa"/>
            <w:vAlign w:val="center"/>
          </w:tcPr>
          <w:p w:rsidR="00F82564" w:rsidRPr="008D40BA" w:rsidRDefault="00F82564" w:rsidP="00334A89">
            <w:pPr>
              <w:rPr>
                <w:rFonts w:eastAsia="Times New Roman" w:cstheme="minorHAnsi"/>
                <w:iCs/>
                <w:sz w:val="18"/>
                <w:szCs w:val="18"/>
                <w:lang w:eastAsia="en-US"/>
              </w:rPr>
            </w:pPr>
            <w:r w:rsidRPr="008D40BA">
              <w:rPr>
                <w:rFonts w:eastAsia="Times New Roman" w:cstheme="minorHAnsi"/>
                <w:iCs/>
                <w:sz w:val="18"/>
                <w:szCs w:val="18"/>
                <w:lang w:eastAsia="en-US"/>
              </w:rPr>
              <w:t>ES</w:t>
            </w:r>
          </w:p>
        </w:tc>
        <w:tc>
          <w:tcPr>
            <w:tcW w:w="2575" w:type="dxa"/>
            <w:vAlign w:val="center"/>
          </w:tcPr>
          <w:p w:rsidR="00F82564" w:rsidRPr="00A66F93" w:rsidRDefault="00F82564" w:rsidP="00334A89">
            <w:pPr>
              <w:rPr>
                <w:rFonts w:eastAsia="Times New Roman" w:cstheme="minorHAnsi"/>
                <w:iCs/>
                <w:sz w:val="20"/>
                <w:szCs w:val="20"/>
                <w:lang w:eastAsia="en-US"/>
              </w:rPr>
            </w:pPr>
            <w:r w:rsidRPr="00A66F93">
              <w:rPr>
                <w:rFonts w:eastAsia="Times New Roman" w:cstheme="minorHAnsi"/>
                <w:iCs/>
                <w:sz w:val="20"/>
                <w:szCs w:val="20"/>
                <w:lang w:eastAsia="en-US"/>
              </w:rPr>
              <w:t xml:space="preserve">ACS  </w:t>
            </w:r>
            <w:hyperlink r:id="rId45" w:history="1">
              <w:r w:rsidRPr="00A66F93">
                <w:rPr>
                  <w:rFonts w:eastAsia="Times New Roman" w:cstheme="minorHAnsi"/>
                  <w:iCs/>
                  <w:color w:val="0000FF"/>
                  <w:sz w:val="20"/>
                  <w:szCs w:val="20"/>
                  <w:u w:val="single"/>
                  <w:lang w:eastAsia="en-US"/>
                </w:rPr>
                <w:t>www.urbaser.es</w:t>
              </w:r>
            </w:hyperlink>
            <w:r w:rsidRPr="00A66F93">
              <w:rPr>
                <w:rFonts w:eastAsia="Times New Roman" w:cstheme="minorHAnsi"/>
                <w:iCs/>
                <w:sz w:val="20"/>
                <w:szCs w:val="20"/>
                <w:lang w:eastAsia="en-US"/>
              </w:rPr>
              <w:t xml:space="preserve"> </w:t>
            </w:r>
          </w:p>
        </w:tc>
        <w:tc>
          <w:tcPr>
            <w:tcW w:w="544" w:type="dxa"/>
            <w:vAlign w:val="center"/>
          </w:tcPr>
          <w:p w:rsidR="00F82564" w:rsidRPr="008D40BA" w:rsidRDefault="00E703D4" w:rsidP="00334A89">
            <w:pPr>
              <w:rPr>
                <w:rFonts w:eastAsia="Times New Roman" w:cstheme="minorHAnsi"/>
                <w:iCs/>
                <w:sz w:val="18"/>
                <w:szCs w:val="18"/>
                <w:lang w:eastAsia="en-US"/>
              </w:rPr>
            </w:pPr>
            <w:r w:rsidRPr="008D40BA">
              <w:rPr>
                <w:rFonts w:eastAsia="Times New Roman" w:cstheme="minorHAnsi"/>
                <w:iCs/>
                <w:sz w:val="18"/>
                <w:szCs w:val="18"/>
                <w:lang w:eastAsia="en-US"/>
              </w:rPr>
              <w:t>S</w:t>
            </w:r>
          </w:p>
        </w:tc>
        <w:tc>
          <w:tcPr>
            <w:tcW w:w="3260" w:type="dxa"/>
            <w:vAlign w:val="center"/>
          </w:tcPr>
          <w:p w:rsidR="00F82564" w:rsidRPr="00A66F93" w:rsidRDefault="00F82564" w:rsidP="00334A89">
            <w:pPr>
              <w:rPr>
                <w:rFonts w:eastAsia="Times New Roman" w:cstheme="minorHAnsi"/>
                <w:iCs/>
                <w:sz w:val="20"/>
                <w:szCs w:val="20"/>
                <w:lang w:eastAsia="en-US"/>
              </w:rPr>
            </w:pPr>
            <w:r w:rsidRPr="00A66F93">
              <w:rPr>
                <w:rFonts w:eastAsia="Times New Roman" w:cstheme="minorHAnsi"/>
                <w:iCs/>
                <w:sz w:val="20"/>
                <w:szCs w:val="20"/>
                <w:lang w:eastAsia="en-US"/>
              </w:rPr>
              <w:t>France,Greece, Italy,  Portugal, Spain, UK</w:t>
            </w:r>
          </w:p>
        </w:tc>
        <w:tc>
          <w:tcPr>
            <w:tcW w:w="709" w:type="dxa"/>
            <w:vAlign w:val="center"/>
          </w:tcPr>
          <w:p w:rsidR="00F82564" w:rsidRPr="00DF4FB8" w:rsidRDefault="00F82564" w:rsidP="00DF4FB8">
            <w:pPr>
              <w:jc w:val="right"/>
              <w:rPr>
                <w:rFonts w:eastAsia="Times New Roman" w:cstheme="minorHAnsi"/>
                <w:b/>
                <w:iCs/>
                <w:sz w:val="20"/>
                <w:szCs w:val="20"/>
                <w:lang w:eastAsia="en-US"/>
              </w:rPr>
            </w:pPr>
            <w:r w:rsidRPr="00DF4FB8">
              <w:rPr>
                <w:rFonts w:eastAsia="Times New Roman" w:cstheme="minorHAnsi"/>
                <w:b/>
                <w:iCs/>
                <w:sz w:val="20"/>
                <w:szCs w:val="20"/>
                <w:lang w:eastAsia="en-US"/>
              </w:rPr>
              <w:t>34354</w:t>
            </w:r>
          </w:p>
        </w:tc>
        <w:tc>
          <w:tcPr>
            <w:tcW w:w="850" w:type="dxa"/>
            <w:vAlign w:val="center"/>
          </w:tcPr>
          <w:p w:rsidR="00F82564" w:rsidRPr="0038327A" w:rsidRDefault="00334A89" w:rsidP="00334A89">
            <w:pPr>
              <w:rPr>
                <w:rFonts w:eastAsia="Times New Roman" w:cstheme="minorHAnsi"/>
                <w:iCs/>
                <w:sz w:val="18"/>
                <w:szCs w:val="18"/>
                <w:lang w:eastAsia="en-US"/>
              </w:rPr>
            </w:pPr>
            <w:r>
              <w:rPr>
                <w:rFonts w:eastAsia="Times New Roman" w:cstheme="minorHAnsi"/>
                <w:iCs/>
                <w:sz w:val="18"/>
                <w:szCs w:val="18"/>
                <w:lang w:eastAsia="en-US"/>
              </w:rPr>
              <w:t>2011 (Urbaser only)</w:t>
            </w:r>
          </w:p>
        </w:tc>
      </w:tr>
      <w:tr w:rsidR="00F82564" w:rsidRPr="00A66F93" w:rsidTr="00661B28">
        <w:tblPrEx>
          <w:tblLook w:val="01E0" w:firstRow="1" w:lastRow="1" w:firstColumn="1" w:lastColumn="1" w:noHBand="0" w:noVBand="0"/>
        </w:tblPrEx>
        <w:trPr>
          <w:trHeight w:val="360"/>
        </w:trPr>
        <w:tc>
          <w:tcPr>
            <w:tcW w:w="1526" w:type="dxa"/>
            <w:shd w:val="clear" w:color="auto" w:fill="FFFF99"/>
            <w:vAlign w:val="center"/>
          </w:tcPr>
          <w:p w:rsidR="00F82564" w:rsidRPr="00A66F93" w:rsidRDefault="00F82564" w:rsidP="00334A89">
            <w:pPr>
              <w:rPr>
                <w:rFonts w:eastAsia="Times New Roman" w:cstheme="minorHAnsi"/>
                <w:b/>
                <w:sz w:val="20"/>
                <w:szCs w:val="20"/>
                <w:lang w:eastAsia="en-US"/>
              </w:rPr>
            </w:pPr>
            <w:r w:rsidRPr="00A66F93">
              <w:rPr>
                <w:rFonts w:eastAsia="Times New Roman" w:cstheme="minorHAnsi"/>
                <w:b/>
                <w:bCs/>
                <w:sz w:val="20"/>
                <w:szCs w:val="20"/>
                <w:lang w:eastAsia="en-US"/>
              </w:rPr>
              <w:t>Veolia</w:t>
            </w:r>
          </w:p>
        </w:tc>
        <w:tc>
          <w:tcPr>
            <w:tcW w:w="402" w:type="dxa"/>
            <w:vAlign w:val="center"/>
          </w:tcPr>
          <w:p w:rsidR="00F82564" w:rsidRPr="008D40BA" w:rsidRDefault="00F82564" w:rsidP="00334A89">
            <w:pPr>
              <w:rPr>
                <w:rFonts w:eastAsia="Times New Roman" w:cstheme="minorHAnsi"/>
                <w:sz w:val="18"/>
                <w:szCs w:val="18"/>
                <w:lang w:eastAsia="en-US"/>
              </w:rPr>
            </w:pPr>
            <w:r w:rsidRPr="008D40BA">
              <w:rPr>
                <w:rFonts w:eastAsia="Times New Roman" w:cstheme="minorHAnsi"/>
                <w:sz w:val="18"/>
                <w:szCs w:val="18"/>
                <w:lang w:eastAsia="en-US"/>
              </w:rPr>
              <w:t>FR</w:t>
            </w:r>
          </w:p>
        </w:tc>
        <w:tc>
          <w:tcPr>
            <w:tcW w:w="2575"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sz w:val="20"/>
                <w:szCs w:val="20"/>
                <w:lang w:eastAsia="en-US"/>
              </w:rPr>
              <w:t>Veolia</w:t>
            </w:r>
          </w:p>
          <w:p w:rsidR="00F82564" w:rsidRPr="00A66F93" w:rsidRDefault="00081F2D" w:rsidP="00334A89">
            <w:pPr>
              <w:rPr>
                <w:rFonts w:eastAsia="Times New Roman" w:cstheme="minorHAnsi"/>
                <w:sz w:val="20"/>
                <w:szCs w:val="20"/>
                <w:lang w:eastAsia="en-US"/>
              </w:rPr>
            </w:pPr>
            <w:hyperlink r:id="rId46" w:history="1">
              <w:r w:rsidR="00F82564" w:rsidRPr="00A66F93">
                <w:rPr>
                  <w:rFonts w:eastAsia="Times New Roman" w:cstheme="minorHAnsi"/>
                  <w:color w:val="0000FF"/>
                  <w:sz w:val="20"/>
                  <w:szCs w:val="20"/>
                  <w:u w:val="single"/>
                  <w:lang w:eastAsia="en-US"/>
                </w:rPr>
                <w:t>www.veoliaenvironnement.com/</w:t>
              </w:r>
            </w:hyperlink>
            <w:r w:rsidR="00F82564" w:rsidRPr="00A66F93">
              <w:rPr>
                <w:rFonts w:eastAsia="Times New Roman" w:cstheme="minorHAnsi"/>
                <w:sz w:val="20"/>
                <w:szCs w:val="20"/>
                <w:lang w:eastAsia="en-US"/>
              </w:rPr>
              <w:t xml:space="preserve"> </w:t>
            </w:r>
          </w:p>
        </w:tc>
        <w:tc>
          <w:tcPr>
            <w:tcW w:w="544" w:type="dxa"/>
            <w:vAlign w:val="center"/>
          </w:tcPr>
          <w:p w:rsidR="00F82564" w:rsidRPr="008D40BA" w:rsidRDefault="00E703D4" w:rsidP="00334A89">
            <w:pPr>
              <w:rPr>
                <w:rFonts w:eastAsia="Times New Roman" w:cstheme="minorHAnsi"/>
                <w:sz w:val="18"/>
                <w:szCs w:val="18"/>
                <w:lang w:eastAsia="en-US"/>
              </w:rPr>
            </w:pPr>
            <w:r w:rsidRPr="008D40BA">
              <w:rPr>
                <w:rFonts w:eastAsia="Times New Roman" w:cstheme="minorHAnsi"/>
                <w:sz w:val="18"/>
                <w:szCs w:val="18"/>
                <w:lang w:eastAsia="en-US"/>
              </w:rPr>
              <w:t>S</w:t>
            </w:r>
          </w:p>
        </w:tc>
        <w:tc>
          <w:tcPr>
            <w:tcW w:w="3260" w:type="dxa"/>
            <w:vAlign w:val="center"/>
          </w:tcPr>
          <w:p w:rsidR="00F82564" w:rsidRPr="00A66F93" w:rsidRDefault="00F82564" w:rsidP="00334A89">
            <w:pPr>
              <w:rPr>
                <w:rFonts w:eastAsia="Times New Roman" w:cstheme="minorHAnsi"/>
                <w:sz w:val="20"/>
                <w:szCs w:val="20"/>
                <w:lang w:eastAsia="en-US"/>
              </w:rPr>
            </w:pPr>
            <w:r w:rsidRPr="00A66F93">
              <w:rPr>
                <w:rFonts w:eastAsia="Times New Roman" w:cstheme="minorHAnsi"/>
                <w:bCs/>
                <w:iCs/>
                <w:sz w:val="20"/>
                <w:szCs w:val="20"/>
                <w:lang w:eastAsia="en-US"/>
              </w:rPr>
              <w:t xml:space="preserve">Austria, </w:t>
            </w:r>
            <w:r w:rsidRPr="00A66F93">
              <w:rPr>
                <w:rFonts w:eastAsia="Times New Roman" w:cstheme="minorHAnsi"/>
                <w:sz w:val="20"/>
                <w:szCs w:val="20"/>
                <w:lang w:eastAsia="en-US"/>
              </w:rPr>
              <w:t xml:space="preserve">Belgium, Czech Republic, Denmark, </w:t>
            </w:r>
            <w:r w:rsidRPr="00A66F93">
              <w:rPr>
                <w:rFonts w:eastAsia="Times New Roman" w:cstheme="minorHAnsi"/>
                <w:bCs/>
                <w:iCs/>
                <w:sz w:val="20"/>
                <w:szCs w:val="20"/>
                <w:lang w:eastAsia="en-US"/>
              </w:rPr>
              <w:t xml:space="preserve">Estonia, </w:t>
            </w:r>
            <w:r w:rsidRPr="00A66F93">
              <w:rPr>
                <w:rFonts w:eastAsia="Times New Roman" w:cstheme="minorHAnsi"/>
                <w:sz w:val="20"/>
                <w:szCs w:val="20"/>
                <w:lang w:eastAsia="en-US"/>
              </w:rPr>
              <w:t xml:space="preserve">France, Germany, Hungary, Ireland, Italy, Norway, Poland, Switzerland, UK, </w:t>
            </w:r>
            <w:r w:rsidRPr="00A66F93">
              <w:rPr>
                <w:rFonts w:eastAsia="Times New Roman" w:cstheme="minorHAnsi"/>
                <w:bCs/>
                <w:iCs/>
                <w:sz w:val="20"/>
                <w:szCs w:val="20"/>
                <w:lang w:eastAsia="en-US"/>
              </w:rPr>
              <w:t>Ukraine</w:t>
            </w:r>
          </w:p>
        </w:tc>
        <w:tc>
          <w:tcPr>
            <w:tcW w:w="709" w:type="dxa"/>
            <w:vAlign w:val="center"/>
          </w:tcPr>
          <w:p w:rsidR="00F82564" w:rsidRPr="00DF4FB8" w:rsidRDefault="00F82564" w:rsidP="00DF4FB8">
            <w:pPr>
              <w:jc w:val="right"/>
              <w:rPr>
                <w:rFonts w:eastAsia="Times New Roman" w:cstheme="minorHAnsi"/>
                <w:b/>
                <w:sz w:val="20"/>
                <w:szCs w:val="20"/>
                <w:lang w:eastAsia="en-US"/>
              </w:rPr>
            </w:pPr>
            <w:r w:rsidRPr="00DF4FB8">
              <w:rPr>
                <w:rFonts w:eastAsia="Times New Roman" w:cstheme="minorHAnsi"/>
                <w:b/>
                <w:sz w:val="20"/>
                <w:szCs w:val="20"/>
                <w:lang w:eastAsia="en-US"/>
              </w:rPr>
              <w:t>52105</w:t>
            </w:r>
          </w:p>
        </w:tc>
        <w:tc>
          <w:tcPr>
            <w:tcW w:w="850" w:type="dxa"/>
            <w:vAlign w:val="center"/>
          </w:tcPr>
          <w:p w:rsidR="00F82564" w:rsidRPr="0038327A" w:rsidRDefault="0038327A" w:rsidP="00334A89">
            <w:pPr>
              <w:rPr>
                <w:rFonts w:eastAsia="Times New Roman" w:cstheme="minorHAnsi"/>
                <w:sz w:val="18"/>
                <w:szCs w:val="18"/>
                <w:lang w:eastAsia="en-US"/>
              </w:rPr>
            </w:pPr>
            <w:r w:rsidRPr="0038327A">
              <w:rPr>
                <w:rFonts w:eastAsia="Times New Roman" w:cstheme="minorHAnsi"/>
                <w:sz w:val="18"/>
                <w:szCs w:val="18"/>
                <w:lang w:eastAsia="en-US"/>
              </w:rPr>
              <w:t>2011 (waste, Europe)</w:t>
            </w:r>
          </w:p>
        </w:tc>
      </w:tr>
    </w:tbl>
    <w:p w:rsidR="00535522" w:rsidRDefault="00535522" w:rsidP="00A66F93">
      <w:pPr>
        <w:jc w:val="both"/>
        <w:rPr>
          <w:rFonts w:ascii="Calibri" w:eastAsia="Times New Roman" w:hAnsi="Calibri" w:cs="Times New Roman"/>
          <w:szCs w:val="24"/>
          <w:lang w:eastAsia="en-US"/>
        </w:rPr>
      </w:pPr>
    </w:p>
    <w:p w:rsidR="00535522" w:rsidRDefault="00535522" w:rsidP="00A66F93">
      <w:pPr>
        <w:jc w:val="both"/>
        <w:rPr>
          <w:rFonts w:ascii="Calibri" w:eastAsia="Times New Roman" w:hAnsi="Calibri" w:cs="Times New Roman"/>
          <w:szCs w:val="24"/>
          <w:lang w:eastAsia="en-US"/>
        </w:rPr>
      </w:pPr>
    </w:p>
    <w:p w:rsidR="007074B4" w:rsidRDefault="007074B4" w:rsidP="007074B4"/>
    <w:p w:rsidR="00535522" w:rsidRDefault="00535522" w:rsidP="007074B4">
      <w:pPr>
        <w:pStyle w:val="Heading2"/>
      </w:pPr>
      <w:bookmarkStart w:id="9" w:name="_Toc336267596"/>
      <w:r>
        <w:lastRenderedPageBreak/>
        <w:t>Major companies</w:t>
      </w:r>
      <w:bookmarkEnd w:id="9"/>
    </w:p>
    <w:p w:rsidR="00535522" w:rsidRDefault="00535522" w:rsidP="00535522">
      <w:pPr>
        <w:pStyle w:val="Heading3"/>
      </w:pPr>
      <w:bookmarkStart w:id="10" w:name="_Toc336267597"/>
      <w:r>
        <w:t>Veolia</w:t>
      </w:r>
      <w:bookmarkEnd w:id="10"/>
    </w:p>
    <w:p w:rsidR="0081577E" w:rsidRDefault="000C0CA1" w:rsidP="000C0CA1">
      <w:pPr>
        <w:rPr>
          <w:rFonts w:eastAsia="Times New Roman"/>
        </w:rPr>
      </w:pPr>
      <w:r w:rsidRPr="000C0CA1">
        <w:rPr>
          <w:rFonts w:eastAsia="Times New Roman"/>
        </w:rPr>
        <w:t>Veolia operates in water, environmental services, energy services and public transport. It is one of the two leading multinationals in each of these sectors (the other being GDF-Suez). In 2011 Veolia had total sales of $29.6 billion.</w:t>
      </w:r>
      <w:r w:rsidR="0081577E">
        <w:rPr>
          <w:rFonts w:eastAsia="Times New Roman"/>
        </w:rPr>
        <w:t xml:space="preserve"> </w:t>
      </w:r>
    </w:p>
    <w:p w:rsidR="0081577E" w:rsidRDefault="0081577E" w:rsidP="000C0CA1">
      <w:pPr>
        <w:rPr>
          <w:rFonts w:eastAsia="Times New Roman"/>
        </w:rPr>
      </w:pPr>
    </w:p>
    <w:p w:rsidR="000C0CA1" w:rsidRPr="000C0CA1" w:rsidRDefault="000C0CA1" w:rsidP="000C0CA1">
      <w:pPr>
        <w:rPr>
          <w:rFonts w:eastAsia="Times New Roman"/>
        </w:rPr>
      </w:pPr>
      <w:r w:rsidRPr="000C0CA1">
        <w:rPr>
          <w:rFonts w:eastAsia="Times New Roman"/>
        </w:rPr>
        <w:t xml:space="preserve">It is 9.21% owned by the </w:t>
      </w:r>
      <w:r>
        <w:rPr>
          <w:rFonts w:eastAsia="Times New Roman"/>
        </w:rPr>
        <w:t xml:space="preserve">French </w:t>
      </w:r>
      <w:r w:rsidRPr="000C0CA1">
        <w:rPr>
          <w:rFonts w:eastAsia="Times New Roman"/>
        </w:rPr>
        <w:t>state financial group Caisse des depots, and 3.96% owned by EdF, which is itself 8</w:t>
      </w:r>
      <w:r w:rsidR="0081577E">
        <w:rPr>
          <w:rFonts w:eastAsia="Times New Roman"/>
        </w:rPr>
        <w:t>5</w:t>
      </w:r>
      <w:r w:rsidRPr="000C0CA1">
        <w:rPr>
          <w:rFonts w:eastAsia="Times New Roman"/>
        </w:rPr>
        <w:t xml:space="preserve">% state-owned. </w:t>
      </w:r>
    </w:p>
    <w:p w:rsidR="000C0CA1" w:rsidRPr="000C0CA1" w:rsidRDefault="000C0CA1" w:rsidP="000C0CA1">
      <w:pPr>
        <w:numPr>
          <w:ilvl w:val="0"/>
          <w:numId w:val="14"/>
        </w:numPr>
        <w:spacing w:before="240" w:after="60"/>
        <w:outlineLvl w:val="7"/>
        <w:rPr>
          <w:rFonts w:ascii="Trebuchet MS" w:eastAsia="Times New Roman" w:hAnsi="Trebuchet MS" w:cs="Times New Roman"/>
          <w:b/>
          <w:iCs/>
          <w:sz w:val="20"/>
          <w:szCs w:val="24"/>
          <w:lang w:eastAsia="en-US"/>
        </w:rPr>
      </w:pPr>
      <w:bookmarkStart w:id="11" w:name="_Toc331780858"/>
      <w:bookmarkStart w:id="12" w:name="_Toc332019162"/>
      <w:r w:rsidRPr="000C0CA1">
        <w:rPr>
          <w:rFonts w:ascii="Trebuchet MS" w:eastAsia="Times New Roman" w:hAnsi="Trebuchet MS" w:cs="Times New Roman"/>
          <w:b/>
          <w:iCs/>
          <w:sz w:val="20"/>
          <w:szCs w:val="24"/>
          <w:lang w:eastAsia="en-US"/>
        </w:rPr>
        <w:t>Ownership of Veolia shares 2012</w:t>
      </w:r>
      <w:bookmarkEnd w:id="11"/>
      <w:bookmarkEnd w:id="12"/>
    </w:p>
    <w:p w:rsidR="000C0CA1" w:rsidRPr="000C0CA1" w:rsidRDefault="000C0CA1" w:rsidP="000C0CA1">
      <w:pPr>
        <w:autoSpaceDE w:val="0"/>
        <w:autoSpaceDN w:val="0"/>
        <w:adjustRightInd w:val="0"/>
        <w:rPr>
          <w:rFonts w:ascii="Times New Roman" w:eastAsia="Times New Roman" w:hAnsi="Times New Roman" w:cs="Times New Roman"/>
          <w:szCs w:val="24"/>
        </w:rPr>
      </w:pPr>
      <w:r w:rsidRPr="000C0CA1">
        <w:rPr>
          <w:rFonts w:ascii="Times New Roman" w:eastAsia="Times New Roman" w:hAnsi="Times New Roman" w:cs="Times New Roman"/>
          <w:noProof/>
          <w:szCs w:val="24"/>
        </w:rPr>
        <w:drawing>
          <wp:inline distT="0" distB="0" distL="0" distR="0" wp14:anchorId="62866017" wp14:editId="58213CC1">
            <wp:extent cx="3401812" cy="2875402"/>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09292" cy="2881724"/>
                    </a:xfrm>
                    <a:prstGeom prst="rect">
                      <a:avLst/>
                    </a:prstGeom>
                    <a:noFill/>
                    <a:ln>
                      <a:noFill/>
                    </a:ln>
                  </pic:spPr>
                </pic:pic>
              </a:graphicData>
            </a:graphic>
          </wp:inline>
        </w:drawing>
      </w:r>
    </w:p>
    <w:p w:rsidR="00661B28" w:rsidRDefault="00661B28" w:rsidP="00661B28">
      <w:pPr>
        <w:rPr>
          <w:lang w:eastAsia="en-US"/>
        </w:rPr>
      </w:pPr>
    </w:p>
    <w:p w:rsidR="000C0CA1" w:rsidRPr="000C0CA1" w:rsidRDefault="000C0CA1" w:rsidP="000C0CA1">
      <w:pPr>
        <w:numPr>
          <w:ilvl w:val="0"/>
          <w:numId w:val="15"/>
        </w:numPr>
        <w:spacing w:before="240" w:after="60"/>
        <w:outlineLvl w:val="6"/>
        <w:rPr>
          <w:rFonts w:ascii="Trebuchet MS" w:eastAsia="Times New Roman" w:hAnsi="Trebuchet MS" w:cs="Times New Roman"/>
          <w:b/>
          <w:sz w:val="20"/>
          <w:szCs w:val="24"/>
          <w:lang w:eastAsia="en-US"/>
        </w:rPr>
      </w:pPr>
      <w:bookmarkStart w:id="13" w:name="_Toc331780864"/>
      <w:bookmarkStart w:id="14" w:name="_Toc332019168"/>
      <w:r w:rsidRPr="000C0CA1">
        <w:rPr>
          <w:rFonts w:ascii="Trebuchet MS" w:eastAsia="Times New Roman" w:hAnsi="Trebuchet MS" w:cs="Times New Roman"/>
          <w:b/>
          <w:sz w:val="20"/>
          <w:szCs w:val="24"/>
          <w:lang w:eastAsia="en-US"/>
        </w:rPr>
        <w:t>Veolia sales revenue 2011</w:t>
      </w:r>
      <w:bookmarkEnd w:id="13"/>
      <w:bookmarkEnd w:id="14"/>
    </w:p>
    <w:tbl>
      <w:tblPr>
        <w:tblStyle w:val="TableGrid10"/>
        <w:tblW w:w="10031" w:type="dxa"/>
        <w:tblLayout w:type="fixed"/>
        <w:tblLook w:val="04A0" w:firstRow="1" w:lastRow="0" w:firstColumn="1" w:lastColumn="0" w:noHBand="0" w:noVBand="1"/>
      </w:tblPr>
      <w:tblGrid>
        <w:gridCol w:w="1101"/>
        <w:gridCol w:w="903"/>
        <w:gridCol w:w="785"/>
        <w:gridCol w:w="785"/>
        <w:gridCol w:w="785"/>
        <w:gridCol w:w="785"/>
        <w:gridCol w:w="785"/>
        <w:gridCol w:w="785"/>
        <w:gridCol w:w="785"/>
        <w:gridCol w:w="785"/>
        <w:gridCol w:w="785"/>
        <w:gridCol w:w="962"/>
      </w:tblGrid>
      <w:tr w:rsidR="000C0CA1" w:rsidRPr="000C0CA1" w:rsidTr="009445AD">
        <w:trPr>
          <w:trHeight w:val="914"/>
        </w:trPr>
        <w:tc>
          <w:tcPr>
            <w:tcW w:w="1101"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i/>
                <w:iCs/>
                <w:sz w:val="18"/>
                <w:szCs w:val="18"/>
                <w:lang w:eastAsia="en-US"/>
              </w:rPr>
              <w:t xml:space="preserve">(€ million) </w:t>
            </w:r>
          </w:p>
          <w:p w:rsidR="000C0CA1" w:rsidRPr="000C0CA1" w:rsidRDefault="000C0CA1" w:rsidP="000C0CA1">
            <w:pPr>
              <w:autoSpaceDE w:val="0"/>
              <w:autoSpaceDN w:val="0"/>
              <w:adjustRightInd w:val="0"/>
              <w:rPr>
                <w:rFonts w:eastAsia="Times New Roman" w:cstheme="minorHAnsi"/>
                <w:sz w:val="18"/>
                <w:szCs w:val="18"/>
                <w:lang w:eastAsia="en-US"/>
              </w:rPr>
            </w:pPr>
          </w:p>
        </w:tc>
        <w:tc>
          <w:tcPr>
            <w:tcW w:w="903"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France</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Germany</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United</w:t>
            </w:r>
          </w:p>
          <w:p w:rsidR="000C0CA1" w:rsidRPr="000C0CA1" w:rsidRDefault="000C0CA1" w:rsidP="009445AD">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Kingdom</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Central</w:t>
            </w:r>
          </w:p>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and</w:t>
            </w:r>
          </w:p>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Eastern</w:t>
            </w:r>
          </w:p>
          <w:p w:rsidR="000C0CA1" w:rsidRPr="000C0CA1" w:rsidRDefault="000C0CA1" w:rsidP="009445AD">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Europe</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Other</w:t>
            </w:r>
          </w:p>
          <w:p w:rsidR="000C0CA1" w:rsidRPr="000C0CA1" w:rsidRDefault="000C0CA1" w:rsidP="009445AD">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Europe</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United</w:t>
            </w:r>
          </w:p>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States</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Oceania</w:t>
            </w: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Asia</w:t>
            </w:r>
          </w:p>
          <w:p w:rsidR="000C0CA1" w:rsidRPr="000C0CA1" w:rsidRDefault="000C0CA1" w:rsidP="000C0CA1">
            <w:pPr>
              <w:autoSpaceDE w:val="0"/>
              <w:autoSpaceDN w:val="0"/>
              <w:adjustRightInd w:val="0"/>
              <w:rPr>
                <w:rFonts w:eastAsia="Times New Roman" w:cstheme="minorHAnsi"/>
                <w:sz w:val="18"/>
                <w:szCs w:val="18"/>
                <w:lang w:eastAsia="en-US"/>
              </w:rPr>
            </w:pP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Middle</w:t>
            </w:r>
          </w:p>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East</w:t>
            </w:r>
          </w:p>
          <w:p w:rsidR="000C0CA1" w:rsidRPr="000C0CA1" w:rsidRDefault="000C0CA1" w:rsidP="000C0CA1">
            <w:pPr>
              <w:autoSpaceDE w:val="0"/>
              <w:autoSpaceDN w:val="0"/>
              <w:adjustRightInd w:val="0"/>
              <w:rPr>
                <w:rFonts w:eastAsia="Times New Roman" w:cstheme="minorHAnsi"/>
                <w:sz w:val="18"/>
                <w:szCs w:val="18"/>
                <w:lang w:eastAsia="en-US"/>
              </w:rPr>
            </w:pPr>
          </w:p>
        </w:tc>
        <w:tc>
          <w:tcPr>
            <w:tcW w:w="785" w:type="dxa"/>
            <w:shd w:val="clear" w:color="auto" w:fill="FFFF00"/>
          </w:tcPr>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Rest</w:t>
            </w:r>
          </w:p>
          <w:p w:rsidR="000C0CA1" w:rsidRPr="000C0CA1" w:rsidRDefault="000C0CA1" w:rsidP="000C0CA1">
            <w:pPr>
              <w:autoSpaceDE w:val="0"/>
              <w:autoSpaceDN w:val="0"/>
              <w:adjustRightInd w:val="0"/>
              <w:rPr>
                <w:rFonts w:eastAsia="Times New Roman" w:cstheme="minorHAnsi"/>
                <w:bCs/>
                <w:sz w:val="18"/>
                <w:szCs w:val="18"/>
                <w:lang w:eastAsia="en-US"/>
              </w:rPr>
            </w:pPr>
            <w:r w:rsidRPr="000C0CA1">
              <w:rPr>
                <w:rFonts w:eastAsia="Times New Roman" w:cstheme="minorHAnsi"/>
                <w:bCs/>
                <w:sz w:val="18"/>
                <w:szCs w:val="18"/>
                <w:lang w:eastAsia="en-US"/>
              </w:rPr>
              <w:t>of the</w:t>
            </w:r>
          </w:p>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bCs/>
                <w:sz w:val="18"/>
                <w:szCs w:val="18"/>
                <w:lang w:eastAsia="en-US"/>
              </w:rPr>
              <w:t>world</w:t>
            </w:r>
          </w:p>
        </w:tc>
        <w:tc>
          <w:tcPr>
            <w:tcW w:w="962" w:type="dxa"/>
            <w:shd w:val="clear" w:color="auto" w:fill="FFFF00"/>
          </w:tcPr>
          <w:p w:rsidR="000C0CA1" w:rsidRPr="000C0CA1" w:rsidRDefault="000C0CA1" w:rsidP="000C0CA1">
            <w:pPr>
              <w:autoSpaceDE w:val="0"/>
              <w:autoSpaceDN w:val="0"/>
              <w:adjustRightInd w:val="0"/>
              <w:rPr>
                <w:rFonts w:eastAsia="Times New Roman" w:cstheme="minorHAnsi"/>
                <w:b/>
                <w:bCs/>
                <w:sz w:val="18"/>
                <w:szCs w:val="18"/>
                <w:lang w:eastAsia="en-US"/>
              </w:rPr>
            </w:pPr>
            <w:r w:rsidRPr="000C0CA1">
              <w:rPr>
                <w:rFonts w:eastAsia="Times New Roman" w:cstheme="minorHAnsi"/>
                <w:b/>
                <w:bCs/>
                <w:sz w:val="18"/>
                <w:szCs w:val="18"/>
                <w:lang w:eastAsia="en-US"/>
              </w:rPr>
              <w:t>Total</w:t>
            </w:r>
          </w:p>
        </w:tc>
      </w:tr>
      <w:tr w:rsidR="000C0CA1" w:rsidRPr="000C0CA1" w:rsidTr="000C0CA1">
        <w:tc>
          <w:tcPr>
            <w:tcW w:w="1101"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sz w:val="18"/>
                <w:szCs w:val="18"/>
                <w:lang w:eastAsia="en-US"/>
              </w:rPr>
              <w:t>Water</w:t>
            </w:r>
          </w:p>
          <w:p w:rsidR="000C0CA1" w:rsidRPr="000C0CA1" w:rsidRDefault="000C0CA1" w:rsidP="000C0CA1">
            <w:pPr>
              <w:autoSpaceDE w:val="0"/>
              <w:autoSpaceDN w:val="0"/>
              <w:adjustRightInd w:val="0"/>
              <w:rPr>
                <w:rFonts w:eastAsia="Times New Roman" w:cstheme="minorHAnsi"/>
                <w:sz w:val="18"/>
                <w:szCs w:val="18"/>
                <w:lang w:eastAsia="en-US"/>
              </w:rPr>
            </w:pPr>
          </w:p>
        </w:tc>
        <w:tc>
          <w:tcPr>
            <w:tcW w:w="903"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4,560.1</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1,519.3</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811.6</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1,066.1</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775.7</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743.0</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238.6</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1,573.3</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281.0</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1,048.4</w:t>
            </w:r>
          </w:p>
        </w:tc>
        <w:tc>
          <w:tcPr>
            <w:tcW w:w="962" w:type="dxa"/>
          </w:tcPr>
          <w:p w:rsidR="000C0CA1" w:rsidRPr="000C0CA1" w:rsidRDefault="000C0CA1" w:rsidP="000C0CA1">
            <w:pPr>
              <w:autoSpaceDE w:val="0"/>
              <w:autoSpaceDN w:val="0"/>
              <w:adjustRightInd w:val="0"/>
              <w:jc w:val="right"/>
              <w:rPr>
                <w:rFonts w:eastAsia="Times New Roman" w:cstheme="minorHAnsi"/>
                <w:b/>
                <w:bCs/>
                <w:sz w:val="18"/>
                <w:szCs w:val="18"/>
                <w:lang w:eastAsia="en-US"/>
              </w:rPr>
            </w:pPr>
            <w:r w:rsidRPr="000C0CA1">
              <w:rPr>
                <w:rFonts w:eastAsia="Times New Roman" w:cstheme="minorHAnsi"/>
                <w:b/>
                <w:bCs/>
                <w:sz w:val="18"/>
                <w:szCs w:val="18"/>
                <w:lang w:eastAsia="en-US"/>
              </w:rPr>
              <w:t>12,617.1</w:t>
            </w:r>
          </w:p>
        </w:tc>
      </w:tr>
      <w:tr w:rsidR="000C0CA1" w:rsidRPr="000C0CA1" w:rsidTr="000C0CA1">
        <w:tc>
          <w:tcPr>
            <w:tcW w:w="1101"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sz w:val="18"/>
                <w:szCs w:val="18"/>
                <w:lang w:eastAsia="en-US"/>
              </w:rPr>
              <w:t>Waste services</w:t>
            </w:r>
          </w:p>
        </w:tc>
        <w:tc>
          <w:tcPr>
            <w:tcW w:w="903"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3,384.2</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1,210.2</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1,626.0</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309.7</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568.6</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1,230.3</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704.6</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237.8</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105.1</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363.7</w:t>
            </w:r>
          </w:p>
        </w:tc>
        <w:tc>
          <w:tcPr>
            <w:tcW w:w="962" w:type="dxa"/>
          </w:tcPr>
          <w:p w:rsidR="000C0CA1" w:rsidRPr="000C0CA1" w:rsidRDefault="000C0CA1" w:rsidP="000C0CA1">
            <w:pPr>
              <w:autoSpaceDE w:val="0"/>
              <w:autoSpaceDN w:val="0"/>
              <w:adjustRightInd w:val="0"/>
              <w:jc w:val="right"/>
              <w:rPr>
                <w:rFonts w:eastAsia="Times New Roman" w:cstheme="minorHAnsi"/>
                <w:b/>
                <w:bCs/>
                <w:sz w:val="18"/>
                <w:szCs w:val="18"/>
                <w:lang w:eastAsia="en-US"/>
              </w:rPr>
            </w:pPr>
            <w:r w:rsidRPr="000C0CA1">
              <w:rPr>
                <w:rFonts w:eastAsia="Times New Roman" w:cstheme="minorHAnsi"/>
                <w:b/>
                <w:bCs/>
                <w:sz w:val="18"/>
                <w:szCs w:val="18"/>
                <w:lang w:eastAsia="en-US"/>
              </w:rPr>
              <w:t>9,740.2</w:t>
            </w:r>
          </w:p>
        </w:tc>
      </w:tr>
      <w:tr w:rsidR="000C0CA1" w:rsidRPr="000C0CA1" w:rsidTr="000C0CA1">
        <w:tc>
          <w:tcPr>
            <w:tcW w:w="1101" w:type="dxa"/>
            <w:shd w:val="clear" w:color="auto" w:fill="FFFF00"/>
          </w:tcPr>
          <w:p w:rsidR="000C0CA1" w:rsidRPr="000C0CA1" w:rsidRDefault="000C0CA1" w:rsidP="000C0CA1">
            <w:pPr>
              <w:autoSpaceDE w:val="0"/>
              <w:autoSpaceDN w:val="0"/>
              <w:adjustRightInd w:val="0"/>
              <w:rPr>
                <w:rFonts w:eastAsia="Times New Roman" w:cstheme="minorHAnsi"/>
                <w:sz w:val="18"/>
                <w:szCs w:val="18"/>
                <w:lang w:eastAsia="en-US"/>
              </w:rPr>
            </w:pPr>
            <w:r w:rsidRPr="000C0CA1">
              <w:rPr>
                <w:rFonts w:eastAsia="Times New Roman" w:cstheme="minorHAnsi"/>
                <w:sz w:val="18"/>
                <w:szCs w:val="18"/>
                <w:lang w:eastAsia="en-US"/>
              </w:rPr>
              <w:t>Energy Services</w:t>
            </w:r>
          </w:p>
        </w:tc>
        <w:tc>
          <w:tcPr>
            <w:tcW w:w="903"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3,515.1</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9.5</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194.2</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1,414.1</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1,401.4</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314.0</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49.8</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100.6</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93.4</w:t>
            </w:r>
          </w:p>
        </w:tc>
        <w:tc>
          <w:tcPr>
            <w:tcW w:w="785" w:type="dxa"/>
          </w:tcPr>
          <w:p w:rsidR="000C0CA1" w:rsidRPr="000C0CA1" w:rsidRDefault="000C0CA1" w:rsidP="000C0CA1">
            <w:pPr>
              <w:autoSpaceDE w:val="0"/>
              <w:autoSpaceDN w:val="0"/>
              <w:adjustRightInd w:val="0"/>
              <w:jc w:val="right"/>
              <w:rPr>
                <w:rFonts w:eastAsia="Times New Roman" w:cstheme="minorHAnsi"/>
                <w:sz w:val="18"/>
                <w:szCs w:val="18"/>
                <w:lang w:eastAsia="en-US"/>
              </w:rPr>
            </w:pPr>
            <w:r w:rsidRPr="000C0CA1">
              <w:rPr>
                <w:rFonts w:eastAsia="Times New Roman" w:cstheme="minorHAnsi"/>
                <w:sz w:val="18"/>
                <w:szCs w:val="18"/>
                <w:lang w:eastAsia="en-US"/>
              </w:rPr>
              <w:t>197.9</w:t>
            </w:r>
          </w:p>
        </w:tc>
        <w:tc>
          <w:tcPr>
            <w:tcW w:w="962" w:type="dxa"/>
          </w:tcPr>
          <w:p w:rsidR="000C0CA1" w:rsidRPr="000C0CA1" w:rsidRDefault="000C0CA1" w:rsidP="000C0CA1">
            <w:pPr>
              <w:autoSpaceDE w:val="0"/>
              <w:autoSpaceDN w:val="0"/>
              <w:adjustRightInd w:val="0"/>
              <w:jc w:val="right"/>
              <w:rPr>
                <w:rFonts w:eastAsia="Times New Roman" w:cstheme="minorHAnsi"/>
                <w:b/>
                <w:bCs/>
                <w:sz w:val="18"/>
                <w:szCs w:val="18"/>
                <w:lang w:eastAsia="en-US"/>
              </w:rPr>
            </w:pPr>
            <w:r w:rsidRPr="000C0CA1">
              <w:rPr>
                <w:rFonts w:eastAsia="Times New Roman" w:cstheme="minorHAnsi"/>
                <w:b/>
                <w:bCs/>
                <w:sz w:val="18"/>
                <w:szCs w:val="18"/>
                <w:lang w:eastAsia="en-US"/>
              </w:rPr>
              <w:t>7,290.0</w:t>
            </w:r>
          </w:p>
        </w:tc>
      </w:tr>
      <w:tr w:rsidR="000C0CA1" w:rsidRPr="000C0CA1" w:rsidTr="000C0CA1">
        <w:tc>
          <w:tcPr>
            <w:tcW w:w="1101" w:type="dxa"/>
            <w:shd w:val="clear" w:color="auto" w:fill="FFFF00"/>
          </w:tcPr>
          <w:p w:rsidR="000C0CA1" w:rsidRPr="000C0CA1" w:rsidRDefault="000C0CA1" w:rsidP="000C0CA1">
            <w:pPr>
              <w:rPr>
                <w:rFonts w:eastAsia="Times New Roman" w:cstheme="minorHAnsi"/>
                <w:b/>
                <w:bCs/>
                <w:sz w:val="18"/>
                <w:szCs w:val="18"/>
                <w:lang w:eastAsia="en-US"/>
              </w:rPr>
            </w:pPr>
            <w:r w:rsidRPr="000C0CA1">
              <w:rPr>
                <w:rFonts w:eastAsia="Times New Roman" w:cstheme="minorHAnsi"/>
                <w:b/>
                <w:bCs/>
                <w:sz w:val="18"/>
                <w:szCs w:val="18"/>
                <w:lang w:eastAsia="en-US"/>
              </w:rPr>
              <w:t>TOTAL</w:t>
            </w:r>
          </w:p>
        </w:tc>
        <w:tc>
          <w:tcPr>
            <w:tcW w:w="903"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11,459.4</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2,739.0</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2,631.8</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2,789.9</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2,745.7</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2,287.3</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993.0</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1,911.7</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479.5</w:t>
            </w:r>
          </w:p>
        </w:tc>
        <w:tc>
          <w:tcPr>
            <w:tcW w:w="785" w:type="dxa"/>
          </w:tcPr>
          <w:p w:rsidR="000C0CA1" w:rsidRPr="000C0CA1" w:rsidRDefault="000C0CA1" w:rsidP="000C0CA1">
            <w:pPr>
              <w:jc w:val="right"/>
              <w:rPr>
                <w:rFonts w:eastAsia="Times New Roman" w:cstheme="minorHAnsi"/>
                <w:b/>
                <w:bCs/>
                <w:sz w:val="18"/>
                <w:szCs w:val="18"/>
                <w:lang w:eastAsia="en-US"/>
              </w:rPr>
            </w:pPr>
            <w:r w:rsidRPr="000C0CA1">
              <w:rPr>
                <w:rFonts w:eastAsia="Times New Roman" w:cstheme="minorHAnsi"/>
                <w:b/>
                <w:bCs/>
                <w:sz w:val="18"/>
                <w:szCs w:val="18"/>
                <w:lang w:eastAsia="en-US"/>
              </w:rPr>
              <w:t>1,610.0</w:t>
            </w:r>
          </w:p>
        </w:tc>
        <w:tc>
          <w:tcPr>
            <w:tcW w:w="962" w:type="dxa"/>
          </w:tcPr>
          <w:p w:rsidR="000C0CA1" w:rsidRPr="000C0CA1" w:rsidRDefault="000C0CA1" w:rsidP="000C0CA1">
            <w:pPr>
              <w:jc w:val="right"/>
              <w:rPr>
                <w:rFonts w:eastAsia="Times New Roman" w:cstheme="minorHAnsi"/>
                <w:b/>
                <w:sz w:val="18"/>
                <w:szCs w:val="18"/>
                <w:lang w:val="en-US" w:eastAsia="en-US"/>
              </w:rPr>
            </w:pPr>
            <w:r w:rsidRPr="000C0CA1">
              <w:rPr>
                <w:rFonts w:eastAsia="Times New Roman" w:cstheme="minorHAnsi"/>
                <w:b/>
                <w:bCs/>
                <w:sz w:val="18"/>
                <w:szCs w:val="18"/>
                <w:lang w:eastAsia="en-US"/>
              </w:rPr>
              <w:t>29,647.3</w:t>
            </w:r>
          </w:p>
        </w:tc>
      </w:tr>
    </w:tbl>
    <w:p w:rsidR="000C0CA1" w:rsidRPr="000C0CA1" w:rsidRDefault="000C0CA1" w:rsidP="000C0CA1">
      <w:pPr>
        <w:rPr>
          <w:rFonts w:eastAsia="Times New Roman" w:cstheme="minorHAnsi"/>
          <w:sz w:val="18"/>
          <w:szCs w:val="18"/>
          <w:lang w:val="en-US" w:eastAsia="en-US"/>
        </w:rPr>
      </w:pPr>
      <w:r w:rsidRPr="000C0CA1">
        <w:rPr>
          <w:rFonts w:eastAsia="Times New Roman" w:cstheme="minorHAnsi"/>
          <w:sz w:val="18"/>
          <w:szCs w:val="18"/>
          <w:lang w:val="en-US" w:eastAsia="en-US"/>
        </w:rPr>
        <w:t xml:space="preserve">Source: Veolia Report 20F 2011 </w:t>
      </w:r>
      <w:hyperlink r:id="rId48" w:history="1">
        <w:r w:rsidRPr="000C0CA1">
          <w:rPr>
            <w:rFonts w:eastAsia="Times New Roman" w:cstheme="minorHAnsi"/>
            <w:color w:val="0000FF"/>
            <w:sz w:val="18"/>
            <w:szCs w:val="18"/>
            <w:u w:val="single"/>
            <w:lang w:val="en-US" w:eastAsia="en-US"/>
          </w:rPr>
          <w:t>http://www.finance.veolia.com/docs/VE-20-F-2011-EN.pdf</w:t>
        </w:r>
      </w:hyperlink>
      <w:r w:rsidRPr="000C0CA1">
        <w:rPr>
          <w:rFonts w:eastAsia="Times New Roman" w:cstheme="minorHAnsi"/>
          <w:sz w:val="18"/>
          <w:szCs w:val="18"/>
          <w:lang w:val="en-US" w:eastAsia="en-US"/>
        </w:rPr>
        <w:t xml:space="preserve"> </w:t>
      </w:r>
    </w:p>
    <w:p w:rsidR="000C0CA1" w:rsidRPr="000C0CA1" w:rsidRDefault="000C0CA1" w:rsidP="000C0CA1">
      <w:pPr>
        <w:numPr>
          <w:ilvl w:val="0"/>
          <w:numId w:val="15"/>
        </w:numPr>
        <w:spacing w:before="240" w:after="60"/>
        <w:outlineLvl w:val="6"/>
        <w:rPr>
          <w:rFonts w:ascii="Trebuchet MS" w:eastAsia="Times New Roman" w:hAnsi="Trebuchet MS" w:cs="Times New Roman"/>
          <w:b/>
          <w:sz w:val="20"/>
          <w:szCs w:val="24"/>
          <w:lang w:eastAsia="en-US"/>
        </w:rPr>
      </w:pPr>
      <w:bookmarkStart w:id="15" w:name="_Toc331780865"/>
      <w:bookmarkStart w:id="16" w:name="_Toc332019169"/>
      <w:r w:rsidRPr="000C0CA1">
        <w:rPr>
          <w:rFonts w:ascii="Trebuchet MS" w:eastAsia="Times New Roman" w:hAnsi="Trebuchet MS" w:cs="Times New Roman"/>
          <w:b/>
          <w:sz w:val="20"/>
          <w:szCs w:val="24"/>
          <w:lang w:eastAsia="en-US"/>
        </w:rPr>
        <w:t>Veolia employees 2011</w:t>
      </w:r>
      <w:bookmarkEnd w:id="15"/>
      <w:bookmarkEnd w:id="16"/>
    </w:p>
    <w:tbl>
      <w:tblPr>
        <w:tblStyle w:val="TableGrid20"/>
        <w:tblW w:w="0" w:type="auto"/>
        <w:tblLook w:val="04A0" w:firstRow="1" w:lastRow="0" w:firstColumn="1" w:lastColumn="0" w:noHBand="0" w:noVBand="1"/>
      </w:tblPr>
      <w:tblGrid>
        <w:gridCol w:w="2235"/>
        <w:gridCol w:w="954"/>
        <w:gridCol w:w="1409"/>
        <w:gridCol w:w="1457"/>
        <w:gridCol w:w="1460"/>
        <w:gridCol w:w="1093"/>
        <w:gridCol w:w="872"/>
        <w:gridCol w:w="374"/>
      </w:tblGrid>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Area</w:t>
            </w:r>
          </w:p>
        </w:tc>
        <w:tc>
          <w:tcPr>
            <w:tcW w:w="954"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Water</w:t>
            </w:r>
          </w:p>
        </w:tc>
        <w:tc>
          <w:tcPr>
            <w:tcW w:w="1409"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Environmental Services</w:t>
            </w:r>
          </w:p>
        </w:tc>
        <w:tc>
          <w:tcPr>
            <w:tcW w:w="1457"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Energy Services</w:t>
            </w:r>
          </w:p>
        </w:tc>
        <w:tc>
          <w:tcPr>
            <w:tcW w:w="1460"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Transportation</w:t>
            </w:r>
          </w:p>
        </w:tc>
        <w:tc>
          <w:tcPr>
            <w:tcW w:w="1093" w:type="dxa"/>
            <w:shd w:val="clear" w:color="auto" w:fill="FFFF00"/>
          </w:tcPr>
          <w:p w:rsidR="000C0CA1" w:rsidRPr="000C0CA1" w:rsidRDefault="000C0CA1" w:rsidP="000C0CA1">
            <w:pPr>
              <w:autoSpaceDE w:val="0"/>
              <w:autoSpaceDN w:val="0"/>
              <w:adjustRightInd w:val="0"/>
              <w:rPr>
                <w:rFonts w:eastAsia="Times New Roman" w:cstheme="minorHAnsi"/>
                <w:b/>
                <w:bCs/>
                <w:sz w:val="20"/>
                <w:szCs w:val="20"/>
              </w:rPr>
            </w:pPr>
            <w:r w:rsidRPr="000C0CA1">
              <w:rPr>
                <w:rFonts w:eastAsia="Times New Roman" w:cstheme="minorHAnsi"/>
                <w:b/>
                <w:bCs/>
                <w:sz w:val="20"/>
                <w:szCs w:val="20"/>
              </w:rPr>
              <w:t>TOTAL</w:t>
            </w:r>
          </w:p>
        </w:tc>
        <w:tc>
          <w:tcPr>
            <w:tcW w:w="872"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w:t>
            </w:r>
          </w:p>
        </w:tc>
        <w:tc>
          <w:tcPr>
            <w:tcW w:w="374"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Europe</w:t>
            </w:r>
          </w:p>
        </w:tc>
        <w:tc>
          <w:tcPr>
            <w:tcW w:w="954"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57,832</w:t>
            </w:r>
          </w:p>
        </w:tc>
        <w:tc>
          <w:tcPr>
            <w:tcW w:w="1409"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52,629</w:t>
            </w:r>
          </w:p>
        </w:tc>
        <w:tc>
          <w:tcPr>
            <w:tcW w:w="1457"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37,110</w:t>
            </w:r>
          </w:p>
        </w:tc>
        <w:tc>
          <w:tcPr>
            <w:tcW w:w="1460"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77,910</w:t>
            </w:r>
          </w:p>
        </w:tc>
        <w:tc>
          <w:tcPr>
            <w:tcW w:w="1093" w:type="dxa"/>
          </w:tcPr>
          <w:p w:rsidR="000C0CA1" w:rsidRPr="000C0CA1" w:rsidRDefault="000C0CA1" w:rsidP="000C0CA1">
            <w:pPr>
              <w:autoSpaceDE w:val="0"/>
              <w:autoSpaceDN w:val="0"/>
              <w:adjustRightInd w:val="0"/>
              <w:jc w:val="right"/>
              <w:rPr>
                <w:rFonts w:eastAsia="Times New Roman" w:cstheme="minorHAnsi"/>
                <w:b/>
                <w:sz w:val="20"/>
                <w:szCs w:val="20"/>
              </w:rPr>
            </w:pPr>
            <w:r w:rsidRPr="000C0CA1">
              <w:rPr>
                <w:rFonts w:eastAsia="Times New Roman" w:cstheme="minorHAnsi"/>
                <w:b/>
                <w:sz w:val="20"/>
                <w:szCs w:val="20"/>
              </w:rPr>
              <w:t>228,179</w:t>
            </w:r>
          </w:p>
        </w:tc>
        <w:tc>
          <w:tcPr>
            <w:tcW w:w="872"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68.88%</w:t>
            </w:r>
          </w:p>
        </w:tc>
        <w:tc>
          <w:tcPr>
            <w:tcW w:w="374" w:type="dxa"/>
          </w:tcPr>
          <w:p w:rsidR="000C0CA1" w:rsidRPr="000C0CA1" w:rsidRDefault="000C0CA1" w:rsidP="000C0CA1">
            <w:pPr>
              <w:autoSpaceDE w:val="0"/>
              <w:autoSpaceDN w:val="0"/>
              <w:adjustRightInd w:val="0"/>
              <w:rPr>
                <w:rFonts w:eastAsia="Times New Roman" w:cstheme="minorHAns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i/>
                <w:sz w:val="20"/>
                <w:szCs w:val="20"/>
              </w:rPr>
            </w:pPr>
            <w:r w:rsidRPr="000C0CA1">
              <w:rPr>
                <w:rFonts w:eastAsia="Times New Roman" w:cstheme="minorHAnsi"/>
                <w:i/>
                <w:sz w:val="20"/>
                <w:szCs w:val="20"/>
              </w:rPr>
              <w:t xml:space="preserve"> Of which France</w:t>
            </w:r>
          </w:p>
        </w:tc>
        <w:tc>
          <w:tcPr>
            <w:tcW w:w="954" w:type="dxa"/>
          </w:tcPr>
          <w:p w:rsidR="000C0CA1" w:rsidRPr="000C0CA1" w:rsidRDefault="000C0CA1" w:rsidP="000C0CA1">
            <w:pPr>
              <w:autoSpaceDE w:val="0"/>
              <w:autoSpaceDN w:val="0"/>
              <w:adjustRightInd w:val="0"/>
              <w:jc w:val="right"/>
              <w:rPr>
                <w:rFonts w:eastAsia="Times New Roman" w:cstheme="minorHAnsi"/>
                <w:i/>
                <w:sz w:val="20"/>
                <w:szCs w:val="20"/>
              </w:rPr>
            </w:pPr>
            <w:r w:rsidRPr="000C0CA1">
              <w:rPr>
                <w:rFonts w:eastAsia="Times New Roman" w:cstheme="minorHAnsi"/>
                <w:i/>
                <w:sz w:val="20"/>
                <w:szCs w:val="20"/>
              </w:rPr>
              <w:t>26,937</w:t>
            </w:r>
          </w:p>
        </w:tc>
        <w:tc>
          <w:tcPr>
            <w:tcW w:w="1409" w:type="dxa"/>
          </w:tcPr>
          <w:p w:rsidR="000C0CA1" w:rsidRPr="000C0CA1" w:rsidRDefault="000C0CA1" w:rsidP="000C0CA1">
            <w:pPr>
              <w:autoSpaceDE w:val="0"/>
              <w:autoSpaceDN w:val="0"/>
              <w:adjustRightInd w:val="0"/>
              <w:jc w:val="right"/>
              <w:rPr>
                <w:rFonts w:eastAsia="Times New Roman" w:cstheme="minorHAnsi"/>
                <w:i/>
                <w:sz w:val="20"/>
                <w:szCs w:val="20"/>
              </w:rPr>
            </w:pPr>
            <w:r w:rsidRPr="000C0CA1">
              <w:rPr>
                <w:rFonts w:eastAsia="Times New Roman" w:cstheme="minorHAnsi"/>
                <w:i/>
                <w:sz w:val="20"/>
                <w:szCs w:val="20"/>
              </w:rPr>
              <w:t>23,569</w:t>
            </w:r>
          </w:p>
        </w:tc>
        <w:tc>
          <w:tcPr>
            <w:tcW w:w="1457" w:type="dxa"/>
          </w:tcPr>
          <w:p w:rsidR="000C0CA1" w:rsidRPr="000C0CA1" w:rsidRDefault="000C0CA1" w:rsidP="000C0CA1">
            <w:pPr>
              <w:autoSpaceDE w:val="0"/>
              <w:autoSpaceDN w:val="0"/>
              <w:adjustRightInd w:val="0"/>
              <w:jc w:val="right"/>
              <w:rPr>
                <w:rFonts w:eastAsia="Times New Roman" w:cstheme="minorHAnsi"/>
                <w:i/>
                <w:sz w:val="20"/>
                <w:szCs w:val="20"/>
              </w:rPr>
            </w:pPr>
            <w:r w:rsidRPr="000C0CA1">
              <w:rPr>
                <w:rFonts w:eastAsia="Times New Roman" w:cstheme="minorHAnsi"/>
                <w:i/>
                <w:sz w:val="20"/>
                <w:szCs w:val="20"/>
              </w:rPr>
              <w:t>13,688</w:t>
            </w:r>
          </w:p>
        </w:tc>
        <w:tc>
          <w:tcPr>
            <w:tcW w:w="1460" w:type="dxa"/>
          </w:tcPr>
          <w:p w:rsidR="000C0CA1" w:rsidRPr="000C0CA1" w:rsidRDefault="000C0CA1" w:rsidP="000C0CA1">
            <w:pPr>
              <w:autoSpaceDE w:val="0"/>
              <w:autoSpaceDN w:val="0"/>
              <w:adjustRightInd w:val="0"/>
              <w:jc w:val="right"/>
              <w:rPr>
                <w:rFonts w:eastAsia="Times New Roman" w:cstheme="minorHAnsi"/>
                <w:i/>
                <w:sz w:val="20"/>
                <w:szCs w:val="20"/>
              </w:rPr>
            </w:pPr>
            <w:r w:rsidRPr="000C0CA1">
              <w:rPr>
                <w:rFonts w:eastAsia="Times New Roman" w:cstheme="minorHAnsi"/>
                <w:i/>
                <w:sz w:val="20"/>
                <w:szCs w:val="20"/>
              </w:rPr>
              <w:t>38,607</w:t>
            </w:r>
          </w:p>
        </w:tc>
        <w:tc>
          <w:tcPr>
            <w:tcW w:w="1093" w:type="dxa"/>
          </w:tcPr>
          <w:p w:rsidR="000C0CA1" w:rsidRPr="000C0CA1" w:rsidRDefault="000C0CA1" w:rsidP="000C0CA1">
            <w:pPr>
              <w:autoSpaceDE w:val="0"/>
              <w:autoSpaceDN w:val="0"/>
              <w:adjustRightInd w:val="0"/>
              <w:jc w:val="right"/>
              <w:rPr>
                <w:rFonts w:eastAsia="Times New Roman" w:cstheme="minorHAnsi"/>
                <w:b/>
                <w:i/>
                <w:sz w:val="20"/>
                <w:szCs w:val="20"/>
              </w:rPr>
            </w:pPr>
            <w:r w:rsidRPr="000C0CA1">
              <w:rPr>
                <w:rFonts w:eastAsia="Times New Roman" w:cstheme="minorHAnsi"/>
                <w:b/>
                <w:i/>
                <w:sz w:val="20"/>
                <w:szCs w:val="20"/>
              </w:rPr>
              <w:t>105,499</w:t>
            </w:r>
          </w:p>
        </w:tc>
        <w:tc>
          <w:tcPr>
            <w:tcW w:w="872" w:type="dxa"/>
          </w:tcPr>
          <w:p w:rsidR="000C0CA1" w:rsidRPr="000C0CA1" w:rsidRDefault="000C0CA1" w:rsidP="000C0CA1">
            <w:pPr>
              <w:autoSpaceDE w:val="0"/>
              <w:autoSpaceDN w:val="0"/>
              <w:adjustRightInd w:val="0"/>
              <w:jc w:val="right"/>
              <w:rPr>
                <w:rFonts w:eastAsia="Times New Roman" w:cstheme="minorHAnsi"/>
                <w:i/>
                <w:sz w:val="20"/>
                <w:szCs w:val="20"/>
              </w:rPr>
            </w:pPr>
            <w:r w:rsidRPr="000C0CA1">
              <w:rPr>
                <w:rFonts w:eastAsia="Times New Roman" w:cstheme="minorHAnsi"/>
                <w:i/>
                <w:sz w:val="20"/>
                <w:szCs w:val="20"/>
              </w:rPr>
              <w:t>31.85%</w:t>
            </w:r>
          </w:p>
        </w:tc>
        <w:tc>
          <w:tcPr>
            <w:tcW w:w="374" w:type="dxa"/>
          </w:tcPr>
          <w:p w:rsidR="000C0CA1" w:rsidRPr="000C0CA1" w:rsidRDefault="000C0CA1" w:rsidP="000C0CA1">
            <w:pPr>
              <w:autoSpaceDE w:val="0"/>
              <w:autoSpaceDN w:val="0"/>
              <w:adjustRightInd w:val="0"/>
              <w:rPr>
                <w:rFonts w:eastAsia="Times New Roman" w:cstheme="minorHAnsi"/>
                <w: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North America</w:t>
            </w:r>
          </w:p>
        </w:tc>
        <w:tc>
          <w:tcPr>
            <w:tcW w:w="954"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3,563</w:t>
            </w:r>
          </w:p>
        </w:tc>
        <w:tc>
          <w:tcPr>
            <w:tcW w:w="1409"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9,062</w:t>
            </w:r>
          </w:p>
        </w:tc>
        <w:tc>
          <w:tcPr>
            <w:tcW w:w="1457"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700</w:t>
            </w:r>
          </w:p>
        </w:tc>
        <w:tc>
          <w:tcPr>
            <w:tcW w:w="1460"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17,375</w:t>
            </w:r>
          </w:p>
        </w:tc>
        <w:tc>
          <w:tcPr>
            <w:tcW w:w="1093" w:type="dxa"/>
          </w:tcPr>
          <w:p w:rsidR="000C0CA1" w:rsidRPr="000C0CA1" w:rsidRDefault="000C0CA1" w:rsidP="000C0CA1">
            <w:pPr>
              <w:autoSpaceDE w:val="0"/>
              <w:autoSpaceDN w:val="0"/>
              <w:adjustRightInd w:val="0"/>
              <w:jc w:val="right"/>
              <w:rPr>
                <w:rFonts w:eastAsia="Times New Roman" w:cstheme="minorHAnsi"/>
                <w:b/>
                <w:sz w:val="20"/>
                <w:szCs w:val="20"/>
              </w:rPr>
            </w:pPr>
            <w:r w:rsidRPr="000C0CA1">
              <w:rPr>
                <w:rFonts w:eastAsia="Times New Roman" w:cstheme="minorHAnsi"/>
                <w:b/>
                <w:sz w:val="20"/>
                <w:szCs w:val="20"/>
              </w:rPr>
              <w:t>30,700</w:t>
            </w:r>
          </w:p>
        </w:tc>
        <w:tc>
          <w:tcPr>
            <w:tcW w:w="872"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9.27%</w:t>
            </w:r>
          </w:p>
        </w:tc>
        <w:tc>
          <w:tcPr>
            <w:tcW w:w="374" w:type="dxa"/>
          </w:tcPr>
          <w:p w:rsidR="000C0CA1" w:rsidRPr="000C0CA1" w:rsidRDefault="000C0CA1" w:rsidP="000C0CA1">
            <w:pPr>
              <w:autoSpaceDE w:val="0"/>
              <w:autoSpaceDN w:val="0"/>
              <w:adjustRightInd w:val="0"/>
              <w:rPr>
                <w:rFonts w:eastAsia="Times New Roman" w:cstheme="minorHAns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South America</w:t>
            </w:r>
          </w:p>
        </w:tc>
        <w:tc>
          <w:tcPr>
            <w:tcW w:w="954"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6,743</w:t>
            </w:r>
          </w:p>
        </w:tc>
        <w:tc>
          <w:tcPr>
            <w:tcW w:w="1409"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7,395</w:t>
            </w:r>
          </w:p>
        </w:tc>
        <w:tc>
          <w:tcPr>
            <w:tcW w:w="1457"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7,865</w:t>
            </w:r>
          </w:p>
        </w:tc>
        <w:tc>
          <w:tcPr>
            <w:tcW w:w="1460"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1,212</w:t>
            </w:r>
          </w:p>
        </w:tc>
        <w:tc>
          <w:tcPr>
            <w:tcW w:w="1093" w:type="dxa"/>
          </w:tcPr>
          <w:p w:rsidR="000C0CA1" w:rsidRPr="000C0CA1" w:rsidRDefault="000C0CA1" w:rsidP="000C0CA1">
            <w:pPr>
              <w:autoSpaceDE w:val="0"/>
              <w:autoSpaceDN w:val="0"/>
              <w:adjustRightInd w:val="0"/>
              <w:jc w:val="right"/>
              <w:rPr>
                <w:rFonts w:eastAsia="Times New Roman" w:cstheme="minorHAnsi"/>
                <w:b/>
                <w:sz w:val="20"/>
                <w:szCs w:val="20"/>
              </w:rPr>
            </w:pPr>
            <w:r w:rsidRPr="000C0CA1">
              <w:rPr>
                <w:rFonts w:eastAsia="Times New Roman" w:cstheme="minorHAnsi"/>
                <w:b/>
                <w:sz w:val="20"/>
                <w:szCs w:val="20"/>
              </w:rPr>
              <w:t>23,215</w:t>
            </w:r>
          </w:p>
        </w:tc>
        <w:tc>
          <w:tcPr>
            <w:tcW w:w="872"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7.00%</w:t>
            </w:r>
          </w:p>
        </w:tc>
        <w:tc>
          <w:tcPr>
            <w:tcW w:w="374" w:type="dxa"/>
          </w:tcPr>
          <w:p w:rsidR="000C0CA1" w:rsidRPr="000C0CA1" w:rsidRDefault="000C0CA1" w:rsidP="000C0CA1">
            <w:pPr>
              <w:autoSpaceDE w:val="0"/>
              <w:autoSpaceDN w:val="0"/>
              <w:adjustRightInd w:val="0"/>
              <w:rPr>
                <w:rFonts w:eastAsia="Times New Roman" w:cstheme="minorHAns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Africa/ Middle East</w:t>
            </w:r>
          </w:p>
        </w:tc>
        <w:tc>
          <w:tcPr>
            <w:tcW w:w="954"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8,761</w:t>
            </w:r>
          </w:p>
        </w:tc>
        <w:tc>
          <w:tcPr>
            <w:tcW w:w="1409"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2,670</w:t>
            </w:r>
          </w:p>
        </w:tc>
        <w:tc>
          <w:tcPr>
            <w:tcW w:w="1457"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2,125</w:t>
            </w:r>
          </w:p>
        </w:tc>
        <w:tc>
          <w:tcPr>
            <w:tcW w:w="1460"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971</w:t>
            </w:r>
          </w:p>
        </w:tc>
        <w:tc>
          <w:tcPr>
            <w:tcW w:w="1093" w:type="dxa"/>
          </w:tcPr>
          <w:p w:rsidR="000C0CA1" w:rsidRPr="000C0CA1" w:rsidRDefault="000C0CA1" w:rsidP="000C0CA1">
            <w:pPr>
              <w:autoSpaceDE w:val="0"/>
              <w:autoSpaceDN w:val="0"/>
              <w:adjustRightInd w:val="0"/>
              <w:jc w:val="right"/>
              <w:rPr>
                <w:rFonts w:eastAsia="Times New Roman" w:cstheme="minorHAnsi"/>
                <w:b/>
                <w:sz w:val="20"/>
                <w:szCs w:val="20"/>
              </w:rPr>
            </w:pPr>
            <w:r w:rsidRPr="000C0CA1">
              <w:rPr>
                <w:rFonts w:eastAsia="Times New Roman" w:cstheme="minorHAnsi"/>
                <w:b/>
                <w:sz w:val="20"/>
                <w:szCs w:val="20"/>
              </w:rPr>
              <w:t>14,527</w:t>
            </w:r>
          </w:p>
        </w:tc>
        <w:tc>
          <w:tcPr>
            <w:tcW w:w="872"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4.39%</w:t>
            </w:r>
          </w:p>
        </w:tc>
        <w:tc>
          <w:tcPr>
            <w:tcW w:w="374" w:type="dxa"/>
          </w:tcPr>
          <w:p w:rsidR="000C0CA1" w:rsidRPr="000C0CA1" w:rsidRDefault="000C0CA1" w:rsidP="000C0CA1">
            <w:pPr>
              <w:autoSpaceDE w:val="0"/>
              <w:autoSpaceDN w:val="0"/>
              <w:adjustRightInd w:val="0"/>
              <w:rPr>
                <w:rFonts w:eastAsia="Times New Roman" w:cstheme="minorHAns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Cs/>
                <w:sz w:val="20"/>
                <w:szCs w:val="20"/>
              </w:rPr>
            </w:pPr>
            <w:r w:rsidRPr="000C0CA1">
              <w:rPr>
                <w:rFonts w:eastAsia="Times New Roman" w:cstheme="minorHAnsi"/>
                <w:bCs/>
                <w:sz w:val="20"/>
                <w:szCs w:val="20"/>
              </w:rPr>
              <w:t>Asia/Pacific</w:t>
            </w:r>
          </w:p>
        </w:tc>
        <w:tc>
          <w:tcPr>
            <w:tcW w:w="954"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19,752</w:t>
            </w:r>
          </w:p>
        </w:tc>
        <w:tc>
          <w:tcPr>
            <w:tcW w:w="1409"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5,665</w:t>
            </w:r>
          </w:p>
        </w:tc>
        <w:tc>
          <w:tcPr>
            <w:tcW w:w="1457"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4,898</w:t>
            </w:r>
          </w:p>
        </w:tc>
        <w:tc>
          <w:tcPr>
            <w:tcW w:w="1460"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4,330</w:t>
            </w:r>
          </w:p>
        </w:tc>
        <w:tc>
          <w:tcPr>
            <w:tcW w:w="1093" w:type="dxa"/>
          </w:tcPr>
          <w:p w:rsidR="000C0CA1" w:rsidRPr="000C0CA1" w:rsidRDefault="000C0CA1" w:rsidP="000C0CA1">
            <w:pPr>
              <w:autoSpaceDE w:val="0"/>
              <w:autoSpaceDN w:val="0"/>
              <w:adjustRightInd w:val="0"/>
              <w:jc w:val="right"/>
              <w:rPr>
                <w:rFonts w:eastAsia="Times New Roman" w:cstheme="minorHAnsi"/>
                <w:b/>
                <w:sz w:val="20"/>
                <w:szCs w:val="20"/>
              </w:rPr>
            </w:pPr>
            <w:r w:rsidRPr="000C0CA1">
              <w:rPr>
                <w:rFonts w:eastAsia="Times New Roman" w:cstheme="minorHAnsi"/>
                <w:b/>
                <w:sz w:val="20"/>
                <w:szCs w:val="20"/>
              </w:rPr>
              <w:t>34,645</w:t>
            </w:r>
          </w:p>
        </w:tc>
        <w:tc>
          <w:tcPr>
            <w:tcW w:w="872" w:type="dxa"/>
          </w:tcPr>
          <w:p w:rsidR="000C0CA1" w:rsidRPr="000C0CA1" w:rsidRDefault="000C0CA1" w:rsidP="000C0CA1">
            <w:pPr>
              <w:autoSpaceDE w:val="0"/>
              <w:autoSpaceDN w:val="0"/>
              <w:adjustRightInd w:val="0"/>
              <w:jc w:val="right"/>
              <w:rPr>
                <w:rFonts w:eastAsia="Times New Roman" w:cstheme="minorHAnsi"/>
                <w:sz w:val="20"/>
                <w:szCs w:val="20"/>
              </w:rPr>
            </w:pPr>
            <w:r w:rsidRPr="000C0CA1">
              <w:rPr>
                <w:rFonts w:eastAsia="Times New Roman" w:cstheme="minorHAnsi"/>
                <w:sz w:val="20"/>
                <w:szCs w:val="20"/>
              </w:rPr>
              <w:t>10.46%</w:t>
            </w:r>
          </w:p>
        </w:tc>
        <w:tc>
          <w:tcPr>
            <w:tcW w:w="374" w:type="dxa"/>
          </w:tcPr>
          <w:p w:rsidR="000C0CA1" w:rsidRPr="000C0CA1" w:rsidRDefault="000C0CA1" w:rsidP="000C0CA1">
            <w:pPr>
              <w:autoSpaceDE w:val="0"/>
              <w:autoSpaceDN w:val="0"/>
              <w:adjustRightInd w:val="0"/>
              <w:rPr>
                <w:rFonts w:eastAsia="Times New Roman" w:cstheme="minorHAnsi"/>
                <w:sz w:val="20"/>
                <w:szCs w:val="20"/>
              </w:rPr>
            </w:pPr>
          </w:p>
        </w:tc>
      </w:tr>
      <w:tr w:rsidR="000C0CA1" w:rsidRPr="000C0CA1" w:rsidTr="000C0CA1">
        <w:tc>
          <w:tcPr>
            <w:tcW w:w="2235" w:type="dxa"/>
            <w:shd w:val="clear" w:color="auto" w:fill="FFFF00"/>
          </w:tcPr>
          <w:p w:rsidR="000C0CA1" w:rsidRPr="000C0CA1" w:rsidRDefault="000C0CA1" w:rsidP="000C0CA1">
            <w:pPr>
              <w:autoSpaceDE w:val="0"/>
              <w:autoSpaceDN w:val="0"/>
              <w:adjustRightInd w:val="0"/>
              <w:rPr>
                <w:rFonts w:eastAsia="Times New Roman" w:cstheme="minorHAnsi"/>
                <w:b/>
                <w:bCs/>
                <w:sz w:val="20"/>
                <w:szCs w:val="20"/>
              </w:rPr>
            </w:pPr>
            <w:r w:rsidRPr="000C0CA1">
              <w:rPr>
                <w:rFonts w:eastAsia="Times New Roman" w:cstheme="minorHAnsi"/>
                <w:b/>
                <w:bCs/>
                <w:sz w:val="20"/>
                <w:szCs w:val="20"/>
              </w:rPr>
              <w:t>TOTAL</w:t>
            </w:r>
          </w:p>
        </w:tc>
        <w:tc>
          <w:tcPr>
            <w:tcW w:w="954"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96,651</w:t>
            </w:r>
          </w:p>
        </w:tc>
        <w:tc>
          <w:tcPr>
            <w:tcW w:w="1409"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77,421</w:t>
            </w:r>
          </w:p>
        </w:tc>
        <w:tc>
          <w:tcPr>
            <w:tcW w:w="1457"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52,698</w:t>
            </w:r>
          </w:p>
        </w:tc>
        <w:tc>
          <w:tcPr>
            <w:tcW w:w="1460"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101,798</w:t>
            </w:r>
          </w:p>
        </w:tc>
        <w:tc>
          <w:tcPr>
            <w:tcW w:w="1093"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331,266</w:t>
            </w:r>
          </w:p>
        </w:tc>
        <w:tc>
          <w:tcPr>
            <w:tcW w:w="872" w:type="dxa"/>
          </w:tcPr>
          <w:p w:rsidR="000C0CA1" w:rsidRPr="000C0CA1" w:rsidRDefault="000C0CA1" w:rsidP="000C0CA1">
            <w:pPr>
              <w:autoSpaceDE w:val="0"/>
              <w:autoSpaceDN w:val="0"/>
              <w:adjustRightInd w:val="0"/>
              <w:jc w:val="right"/>
              <w:rPr>
                <w:rFonts w:eastAsia="Times New Roman" w:cstheme="minorHAnsi"/>
                <w:b/>
                <w:bCs/>
                <w:sz w:val="20"/>
                <w:szCs w:val="20"/>
              </w:rPr>
            </w:pPr>
            <w:r w:rsidRPr="000C0CA1">
              <w:rPr>
                <w:rFonts w:eastAsia="Times New Roman" w:cstheme="minorHAnsi"/>
                <w:b/>
                <w:bCs/>
                <w:sz w:val="20"/>
                <w:szCs w:val="20"/>
              </w:rPr>
              <w:t>100%</w:t>
            </w:r>
          </w:p>
        </w:tc>
        <w:tc>
          <w:tcPr>
            <w:tcW w:w="374" w:type="dxa"/>
          </w:tcPr>
          <w:p w:rsidR="000C0CA1" w:rsidRPr="000C0CA1" w:rsidRDefault="000C0CA1" w:rsidP="000C0CA1">
            <w:pPr>
              <w:autoSpaceDE w:val="0"/>
              <w:autoSpaceDN w:val="0"/>
              <w:adjustRightInd w:val="0"/>
              <w:rPr>
                <w:rFonts w:eastAsia="Times New Roman" w:cstheme="minorHAnsi"/>
                <w:b/>
                <w:bCs/>
                <w:sz w:val="20"/>
                <w:szCs w:val="20"/>
              </w:rPr>
            </w:pPr>
          </w:p>
        </w:tc>
      </w:tr>
      <w:tr w:rsidR="000C0CA1" w:rsidRPr="000C0CA1" w:rsidTr="000C0CA1">
        <w:tc>
          <w:tcPr>
            <w:tcW w:w="2235" w:type="dxa"/>
            <w:shd w:val="clear" w:color="auto" w:fill="FFFF00"/>
          </w:tcPr>
          <w:p w:rsidR="000C0CA1" w:rsidRPr="000C0CA1" w:rsidRDefault="000C0CA1" w:rsidP="000C0CA1">
            <w:pPr>
              <w:rPr>
                <w:rFonts w:eastAsia="Times New Roman" w:cstheme="minorHAnsi"/>
                <w:sz w:val="20"/>
                <w:szCs w:val="20"/>
              </w:rPr>
            </w:pPr>
            <w:r w:rsidRPr="000C0CA1">
              <w:rPr>
                <w:rFonts w:eastAsia="Times New Roman" w:cstheme="minorHAnsi"/>
                <w:sz w:val="20"/>
                <w:szCs w:val="20"/>
              </w:rPr>
              <w:t>%</w:t>
            </w:r>
          </w:p>
        </w:tc>
        <w:tc>
          <w:tcPr>
            <w:tcW w:w="954" w:type="dxa"/>
          </w:tcPr>
          <w:p w:rsidR="000C0CA1" w:rsidRPr="000C0CA1" w:rsidRDefault="000C0CA1" w:rsidP="000C0CA1">
            <w:pPr>
              <w:jc w:val="right"/>
              <w:rPr>
                <w:rFonts w:eastAsia="Times New Roman" w:cstheme="minorHAnsi"/>
                <w:sz w:val="20"/>
                <w:szCs w:val="20"/>
              </w:rPr>
            </w:pPr>
            <w:r w:rsidRPr="000C0CA1">
              <w:rPr>
                <w:rFonts w:eastAsia="Times New Roman" w:cstheme="minorHAnsi"/>
                <w:sz w:val="20"/>
                <w:szCs w:val="20"/>
              </w:rPr>
              <w:t>29%</w:t>
            </w:r>
          </w:p>
        </w:tc>
        <w:tc>
          <w:tcPr>
            <w:tcW w:w="1409" w:type="dxa"/>
          </w:tcPr>
          <w:p w:rsidR="000C0CA1" w:rsidRPr="000C0CA1" w:rsidRDefault="000C0CA1" w:rsidP="000C0CA1">
            <w:pPr>
              <w:jc w:val="right"/>
              <w:rPr>
                <w:rFonts w:eastAsia="Times New Roman" w:cstheme="minorHAnsi"/>
                <w:sz w:val="20"/>
                <w:szCs w:val="20"/>
              </w:rPr>
            </w:pPr>
            <w:r w:rsidRPr="000C0CA1">
              <w:rPr>
                <w:rFonts w:eastAsia="Times New Roman" w:cstheme="minorHAnsi"/>
                <w:sz w:val="20"/>
                <w:szCs w:val="20"/>
              </w:rPr>
              <w:t>24%</w:t>
            </w:r>
          </w:p>
        </w:tc>
        <w:tc>
          <w:tcPr>
            <w:tcW w:w="1457" w:type="dxa"/>
          </w:tcPr>
          <w:p w:rsidR="000C0CA1" w:rsidRPr="000C0CA1" w:rsidRDefault="000C0CA1" w:rsidP="000C0CA1">
            <w:pPr>
              <w:jc w:val="right"/>
              <w:rPr>
                <w:rFonts w:eastAsia="Times New Roman" w:cstheme="minorHAnsi"/>
                <w:sz w:val="20"/>
                <w:szCs w:val="20"/>
              </w:rPr>
            </w:pPr>
            <w:r w:rsidRPr="000C0CA1">
              <w:rPr>
                <w:rFonts w:eastAsia="Times New Roman" w:cstheme="minorHAnsi"/>
                <w:sz w:val="20"/>
                <w:szCs w:val="20"/>
              </w:rPr>
              <w:t>16%</w:t>
            </w:r>
          </w:p>
        </w:tc>
        <w:tc>
          <w:tcPr>
            <w:tcW w:w="1460" w:type="dxa"/>
          </w:tcPr>
          <w:p w:rsidR="000C0CA1" w:rsidRPr="000C0CA1" w:rsidRDefault="000C0CA1" w:rsidP="000C0CA1">
            <w:pPr>
              <w:jc w:val="right"/>
              <w:rPr>
                <w:rFonts w:eastAsia="Times New Roman" w:cstheme="minorHAnsi"/>
                <w:sz w:val="20"/>
                <w:szCs w:val="20"/>
              </w:rPr>
            </w:pPr>
            <w:r w:rsidRPr="000C0CA1">
              <w:rPr>
                <w:rFonts w:eastAsia="Times New Roman" w:cstheme="minorHAnsi"/>
                <w:sz w:val="20"/>
                <w:szCs w:val="20"/>
              </w:rPr>
              <w:t>31%</w:t>
            </w:r>
          </w:p>
        </w:tc>
        <w:tc>
          <w:tcPr>
            <w:tcW w:w="1093" w:type="dxa"/>
          </w:tcPr>
          <w:p w:rsidR="000C0CA1" w:rsidRPr="000C0CA1" w:rsidRDefault="000C0CA1" w:rsidP="000C0CA1">
            <w:pPr>
              <w:jc w:val="right"/>
              <w:rPr>
                <w:rFonts w:eastAsia="Times New Roman" w:cstheme="minorHAnsi"/>
                <w:b/>
                <w:sz w:val="20"/>
                <w:szCs w:val="20"/>
                <w:lang w:val="en-US"/>
              </w:rPr>
            </w:pPr>
            <w:r w:rsidRPr="000C0CA1">
              <w:rPr>
                <w:rFonts w:eastAsia="Times New Roman" w:cstheme="minorHAnsi"/>
                <w:b/>
                <w:sz w:val="20"/>
                <w:szCs w:val="20"/>
              </w:rPr>
              <w:t>100%</w:t>
            </w:r>
          </w:p>
        </w:tc>
        <w:tc>
          <w:tcPr>
            <w:tcW w:w="872" w:type="dxa"/>
          </w:tcPr>
          <w:p w:rsidR="000C0CA1" w:rsidRPr="000C0CA1" w:rsidRDefault="000C0CA1" w:rsidP="000C0CA1">
            <w:pPr>
              <w:jc w:val="right"/>
              <w:rPr>
                <w:rFonts w:eastAsia="Times New Roman" w:cstheme="minorHAnsi"/>
                <w:sz w:val="20"/>
                <w:szCs w:val="20"/>
                <w:lang w:val="en-US"/>
              </w:rPr>
            </w:pPr>
          </w:p>
        </w:tc>
        <w:tc>
          <w:tcPr>
            <w:tcW w:w="374" w:type="dxa"/>
          </w:tcPr>
          <w:p w:rsidR="000C0CA1" w:rsidRPr="000C0CA1" w:rsidRDefault="000C0CA1" w:rsidP="000C0CA1">
            <w:pPr>
              <w:rPr>
                <w:rFonts w:eastAsia="Times New Roman" w:cstheme="minorHAnsi"/>
                <w:sz w:val="20"/>
                <w:szCs w:val="20"/>
                <w:lang w:val="en-US"/>
              </w:rPr>
            </w:pPr>
          </w:p>
        </w:tc>
      </w:tr>
    </w:tbl>
    <w:p w:rsidR="000C0CA1" w:rsidRPr="000C0CA1" w:rsidRDefault="000C0CA1" w:rsidP="000C0CA1">
      <w:pPr>
        <w:rPr>
          <w:rFonts w:eastAsia="Times New Roman" w:cstheme="minorHAnsi"/>
          <w:sz w:val="20"/>
          <w:szCs w:val="20"/>
          <w:lang w:val="en-US"/>
        </w:rPr>
      </w:pPr>
      <w:r w:rsidRPr="000C0CA1">
        <w:rPr>
          <w:rFonts w:eastAsia="Times New Roman" w:cstheme="minorHAnsi"/>
          <w:sz w:val="20"/>
          <w:szCs w:val="20"/>
          <w:lang w:val="en-US"/>
        </w:rPr>
        <w:t xml:space="preserve">Source: Veolia Report 20F 2011 </w:t>
      </w:r>
      <w:hyperlink r:id="rId49" w:history="1">
        <w:r w:rsidRPr="000C0CA1">
          <w:rPr>
            <w:rFonts w:eastAsia="Times New Roman" w:cstheme="minorHAnsi"/>
            <w:color w:val="0000FF"/>
            <w:sz w:val="20"/>
            <w:szCs w:val="20"/>
            <w:u w:val="single"/>
            <w:lang w:val="en-US"/>
          </w:rPr>
          <w:t>http://www.finance.veolia.com/docs/VE-20-F-2011-EN.pdf</w:t>
        </w:r>
      </w:hyperlink>
      <w:r w:rsidRPr="000C0CA1">
        <w:rPr>
          <w:rFonts w:eastAsia="Times New Roman" w:cstheme="minorHAnsi"/>
          <w:sz w:val="20"/>
          <w:szCs w:val="20"/>
          <w:lang w:val="en-US"/>
        </w:rPr>
        <w:t xml:space="preserve"> </w:t>
      </w:r>
    </w:p>
    <w:p w:rsidR="00EF0448" w:rsidRDefault="00EF0448" w:rsidP="000C0CA1">
      <w:pPr>
        <w:rPr>
          <w:lang w:eastAsia="en-US"/>
        </w:rPr>
      </w:pPr>
    </w:p>
    <w:p w:rsidR="000C0CA1" w:rsidRDefault="000C0CA1" w:rsidP="000C0CA1">
      <w:pPr>
        <w:rPr>
          <w:lang w:eastAsia="en-US"/>
        </w:rPr>
      </w:pPr>
      <w:r>
        <w:rPr>
          <w:lang w:eastAsia="en-US"/>
        </w:rPr>
        <w:lastRenderedPageBreak/>
        <w:t>In 2011 Veolia wrote off  €818million, and continued to carry high debt. Veolia is trying to deal with this through cutting costs and restructuring the company. This includes:</w:t>
      </w:r>
    </w:p>
    <w:p w:rsidR="000C0CA1" w:rsidRPr="00B12E82" w:rsidRDefault="000C0CA1" w:rsidP="00B12E82">
      <w:pPr>
        <w:pStyle w:val="ListParagraph"/>
        <w:numPr>
          <w:ilvl w:val="0"/>
          <w:numId w:val="33"/>
        </w:numPr>
        <w:rPr>
          <w:rFonts w:asciiTheme="minorHAnsi" w:hAnsiTheme="minorHAnsi" w:cstheme="minorHAnsi"/>
        </w:rPr>
      </w:pPr>
      <w:r w:rsidRPr="00B12E82">
        <w:rPr>
          <w:rFonts w:asciiTheme="minorHAnsi" w:hAnsiTheme="minorHAnsi" w:cstheme="minorHAnsi"/>
        </w:rPr>
        <w:t>Selling €5billion worth of subsidiaries in order to reduce debt.</w:t>
      </w:r>
      <w:r w:rsidR="00B12E82" w:rsidRPr="00B12E82">
        <w:rPr>
          <w:rFonts w:asciiTheme="minorHAnsi" w:hAnsiTheme="minorHAnsi" w:cstheme="minorHAnsi"/>
        </w:rPr>
        <w:t xml:space="preserve"> This included the sale of waste activities in Norway and Belgium</w:t>
      </w:r>
    </w:p>
    <w:p w:rsidR="000C0CA1" w:rsidRPr="00B12E82" w:rsidRDefault="000C0CA1" w:rsidP="00B12E82">
      <w:pPr>
        <w:pStyle w:val="ListParagraph"/>
        <w:numPr>
          <w:ilvl w:val="0"/>
          <w:numId w:val="33"/>
        </w:numPr>
        <w:rPr>
          <w:rFonts w:asciiTheme="minorHAnsi" w:hAnsiTheme="minorHAnsi" w:cstheme="minorHAnsi"/>
        </w:rPr>
      </w:pPr>
      <w:r w:rsidRPr="00B12E82">
        <w:rPr>
          <w:rFonts w:asciiTheme="minorHAnsi" w:hAnsiTheme="minorHAnsi" w:cstheme="minorHAnsi"/>
        </w:rPr>
        <w:t xml:space="preserve">Withdrawal from transport services, so that the business is reduced to three core </w:t>
      </w:r>
    </w:p>
    <w:p w:rsidR="000C0CA1" w:rsidRPr="00B12E82" w:rsidRDefault="000C0CA1" w:rsidP="00B12E82">
      <w:pPr>
        <w:pStyle w:val="ListParagraph"/>
        <w:numPr>
          <w:ilvl w:val="0"/>
          <w:numId w:val="33"/>
        </w:numPr>
        <w:rPr>
          <w:rFonts w:asciiTheme="minorHAnsi" w:hAnsiTheme="minorHAnsi" w:cstheme="minorHAnsi"/>
        </w:rPr>
      </w:pPr>
      <w:r w:rsidRPr="00B12E82">
        <w:rPr>
          <w:rFonts w:asciiTheme="minorHAnsi" w:hAnsiTheme="minorHAnsi" w:cstheme="minorHAnsi"/>
        </w:rPr>
        <w:t>Reducing the number of countries in which it operates from 77 to less than 40</w:t>
      </w:r>
    </w:p>
    <w:p w:rsidR="000C0CA1" w:rsidRPr="00B12E82" w:rsidRDefault="000C0CA1" w:rsidP="00B12E82">
      <w:pPr>
        <w:pStyle w:val="ListParagraph"/>
        <w:numPr>
          <w:ilvl w:val="0"/>
          <w:numId w:val="33"/>
        </w:numPr>
        <w:rPr>
          <w:rFonts w:asciiTheme="minorHAnsi" w:hAnsiTheme="minorHAnsi" w:cstheme="minorHAnsi"/>
        </w:rPr>
      </w:pPr>
      <w:r w:rsidRPr="00B12E82">
        <w:rPr>
          <w:rFonts w:asciiTheme="minorHAnsi" w:hAnsiTheme="minorHAnsi" w:cstheme="minorHAnsi"/>
        </w:rPr>
        <w:t>Specifically, to reduce its presence in southern Europe (especially Italy) and North Africa</w:t>
      </w:r>
      <w:r w:rsidR="00A86A74">
        <w:rPr>
          <w:rFonts w:asciiTheme="minorHAnsi" w:hAnsiTheme="minorHAnsi" w:cstheme="minorHAnsi"/>
        </w:rPr>
        <w:t xml:space="preserve"> </w:t>
      </w:r>
    </w:p>
    <w:p w:rsidR="00A86A74" w:rsidRDefault="00A86A74" w:rsidP="00A86A74">
      <w:pPr>
        <w:rPr>
          <w:lang w:eastAsia="en-US"/>
        </w:rPr>
      </w:pPr>
    </w:p>
    <w:p w:rsidR="000C0CA1" w:rsidRDefault="000C0CA1" w:rsidP="00A86A74">
      <w:r>
        <w:rPr>
          <w:lang w:eastAsia="en-US"/>
        </w:rPr>
        <w:t>In 2012 it carried out further sales of major parts of its business</w:t>
      </w:r>
      <w:r w:rsidR="00A86A74">
        <w:rPr>
          <w:lang w:eastAsia="en-US"/>
        </w:rPr>
        <w:t xml:space="preserve">, including the sale of </w:t>
      </w:r>
      <w:r>
        <w:t>its waste companies in the US for €1.9 billion Euros</w:t>
      </w:r>
      <w:r w:rsidR="00A86A74">
        <w:t xml:space="preserve">, and </w:t>
      </w:r>
      <w:r w:rsidR="00A86A74">
        <w:rPr>
          <w:rFonts w:cstheme="minorHAnsi"/>
        </w:rPr>
        <w:t>withdrawing from its waste businesses in Egypt, Morocco and Senegal.</w:t>
      </w:r>
      <w:r w:rsidR="00A86A74">
        <w:rPr>
          <w:rStyle w:val="EndnoteReference"/>
          <w:rFonts w:cstheme="minorHAnsi"/>
        </w:rPr>
        <w:endnoteReference w:id="1"/>
      </w:r>
    </w:p>
    <w:p w:rsidR="000C0CA1" w:rsidRDefault="000C0CA1" w:rsidP="000C0CA1">
      <w:pPr>
        <w:pStyle w:val="ListParagraph"/>
        <w:numPr>
          <w:ilvl w:val="0"/>
          <w:numId w:val="32"/>
        </w:numPr>
      </w:pPr>
      <w:r>
        <w:t>Veolia is in the process of selling its 50% stake in Transdev, its transport division.</w:t>
      </w:r>
    </w:p>
    <w:p w:rsidR="000C0CA1" w:rsidRDefault="000C0CA1" w:rsidP="000C0CA1">
      <w:pPr>
        <w:pStyle w:val="ListParagraph"/>
        <w:numPr>
          <w:ilvl w:val="0"/>
          <w:numId w:val="32"/>
        </w:numPr>
      </w:pPr>
      <w:r>
        <w:t>Veolia is also planning to sell its 25% stake in Berlinwasser, after the exit of RWE.</w:t>
      </w:r>
      <w:r>
        <w:rPr>
          <w:rStyle w:val="EndnoteReference"/>
        </w:rPr>
        <w:endnoteReference w:id="2"/>
      </w:r>
    </w:p>
    <w:p w:rsidR="00EF0448" w:rsidRDefault="00EF0448" w:rsidP="00661B28"/>
    <w:p w:rsidR="000C0CA1" w:rsidRDefault="00EE1822" w:rsidP="00661B28">
      <w:pPr>
        <w:rPr>
          <w:lang w:eastAsia="en-US"/>
        </w:rPr>
      </w:pPr>
      <w:r>
        <w:t>Veolia has no clear strategy for waste management apart from sale of subsidiaries, cost cutting and PFI (PPP) contracts in the UK.</w:t>
      </w:r>
      <w:r w:rsidRPr="00EE1822">
        <w:rPr>
          <w:lang w:eastAsia="en-US"/>
        </w:rPr>
        <w:t xml:space="preserve"> </w:t>
      </w:r>
      <w:r>
        <w:rPr>
          <w:lang w:eastAsia="en-US"/>
        </w:rPr>
        <w:t xml:space="preserve">Veolia is pleased with the profitability of its 12 PFI waste treatment contracts in the UK, with 25 year terms, guaranteed volumes, exclusive rights to municipal waste treatment, and as a result “high return on capital employed”.  But in general, the crisis had reduced returns from recycled materials, and Veolia responded by cutting costs by €198m in 2009 and €61m. in 2010, including: </w:t>
      </w:r>
    </w:p>
    <w:p w:rsidR="00EE1822" w:rsidRPr="009445AD" w:rsidRDefault="00EE1822" w:rsidP="009445AD">
      <w:pPr>
        <w:pStyle w:val="ListParagraph"/>
        <w:numPr>
          <w:ilvl w:val="0"/>
          <w:numId w:val="35"/>
        </w:numPr>
        <w:ind w:left="714" w:hanging="357"/>
        <w:rPr>
          <w:rFonts w:cs="Calibri"/>
        </w:rPr>
      </w:pPr>
      <w:r w:rsidRPr="00EE1822">
        <w:t xml:space="preserve">Staff reduction in North America, UK and France </w:t>
      </w:r>
    </w:p>
    <w:p w:rsidR="009445AD" w:rsidRPr="009445AD" w:rsidRDefault="00EE1822" w:rsidP="009445AD">
      <w:pPr>
        <w:pStyle w:val="ListParagraph"/>
        <w:numPr>
          <w:ilvl w:val="0"/>
          <w:numId w:val="35"/>
        </w:numPr>
        <w:ind w:left="714" w:hanging="357"/>
        <w:rPr>
          <w:color w:val="818181"/>
          <w:sz w:val="32"/>
          <w:szCs w:val="32"/>
        </w:rPr>
      </w:pPr>
      <w:r w:rsidRPr="00EE1822">
        <w:t>Specific restructuring in Germany</w:t>
      </w:r>
    </w:p>
    <w:p w:rsidR="00EE1822" w:rsidRPr="009445AD" w:rsidRDefault="00EE1822" w:rsidP="009445AD">
      <w:pPr>
        <w:pStyle w:val="ListParagraph"/>
        <w:numPr>
          <w:ilvl w:val="0"/>
          <w:numId w:val="35"/>
        </w:numPr>
        <w:ind w:left="714" w:hanging="357"/>
        <w:rPr>
          <w:color w:val="818181"/>
          <w:sz w:val="32"/>
          <w:szCs w:val="32"/>
        </w:rPr>
      </w:pPr>
      <w:r w:rsidRPr="00EE1822">
        <w:t xml:space="preserve">Efficiency measures (terminated loss-making operations, waste internalization, SG&amp;A, etc.) </w:t>
      </w:r>
      <w:r>
        <w:rPr>
          <w:rStyle w:val="EndnoteReference"/>
        </w:rPr>
        <w:endnoteReference w:id="3"/>
      </w:r>
      <w:r>
        <w:t xml:space="preserve">  </w:t>
      </w:r>
    </w:p>
    <w:p w:rsidR="00535522" w:rsidRDefault="00535522" w:rsidP="00535522">
      <w:pPr>
        <w:pStyle w:val="Heading3"/>
      </w:pPr>
      <w:bookmarkStart w:id="17" w:name="_Toc336267598"/>
      <w:r>
        <w:t>Suez</w:t>
      </w:r>
      <w:bookmarkEnd w:id="17"/>
    </w:p>
    <w:p w:rsidR="00A86A74" w:rsidRDefault="00A86A74" w:rsidP="00A86A74">
      <w:pPr>
        <w:autoSpaceDE w:val="0"/>
        <w:autoSpaceDN w:val="0"/>
        <w:adjustRightInd w:val="0"/>
        <w:rPr>
          <w:rFonts w:eastAsia="SimSun"/>
          <w:lang w:eastAsia="zh-CN"/>
        </w:rPr>
      </w:pPr>
      <w:r w:rsidRPr="000418E3">
        <w:rPr>
          <w:rFonts w:eastAsia="SimSun"/>
          <w:lang w:eastAsia="zh-CN"/>
        </w:rPr>
        <w:t>Suez Environnement</w:t>
      </w:r>
      <w:r>
        <w:rPr>
          <w:rFonts w:eastAsia="SimSun"/>
          <w:lang w:eastAsia="zh-CN"/>
        </w:rPr>
        <w:t xml:space="preserve">   </w:t>
      </w:r>
      <w:hyperlink r:id="rId50" w:history="1">
        <w:r w:rsidRPr="0015756B">
          <w:rPr>
            <w:rStyle w:val="Hyperlink"/>
            <w:rFonts w:eastAsia="SimSun"/>
            <w:lang w:eastAsia="zh-CN"/>
          </w:rPr>
          <w:t>http://www.suez-environnement.com</w:t>
        </w:r>
      </w:hyperlink>
      <w:r>
        <w:rPr>
          <w:rFonts w:eastAsia="SimSun"/>
          <w:lang w:eastAsia="zh-CN"/>
        </w:rPr>
        <w:t xml:space="preserve"> </w:t>
      </w:r>
      <w:r w:rsidRPr="000418E3">
        <w:rPr>
          <w:rFonts w:eastAsia="SimSun"/>
          <w:lang w:eastAsia="zh-CN"/>
        </w:rPr>
        <w:t>, consisting of the water and waste divisions of Suez, was spun off as a separate company in 2008. It is 35.</w:t>
      </w:r>
      <w:r>
        <w:rPr>
          <w:rFonts w:eastAsia="SimSun"/>
          <w:lang w:eastAsia="zh-CN"/>
        </w:rPr>
        <w:t>7</w:t>
      </w:r>
      <w:r w:rsidRPr="000418E3">
        <w:rPr>
          <w:rFonts w:eastAsia="SimSun"/>
          <w:lang w:eastAsia="zh-CN"/>
        </w:rPr>
        <w:t xml:space="preserve">% owned by GdF-Suez, the company formed by the merger of Suez’ energy division with GdF. GdF is itself 35.7% owned by the French state. </w:t>
      </w:r>
    </w:p>
    <w:p w:rsidR="00A86A74" w:rsidRDefault="00A86A74" w:rsidP="00A86A74">
      <w:pPr>
        <w:autoSpaceDE w:val="0"/>
        <w:autoSpaceDN w:val="0"/>
        <w:adjustRightInd w:val="0"/>
        <w:rPr>
          <w:color w:val="1A171C"/>
        </w:rPr>
      </w:pPr>
      <w:r w:rsidRPr="000418E3">
        <w:rPr>
          <w:rFonts w:eastAsia="SimSun"/>
          <w:lang w:eastAsia="zh-CN"/>
        </w:rPr>
        <w:t>In 20</w:t>
      </w:r>
      <w:r>
        <w:rPr>
          <w:rFonts w:eastAsia="SimSun"/>
          <w:lang w:eastAsia="zh-CN"/>
        </w:rPr>
        <w:t>11</w:t>
      </w:r>
      <w:r w:rsidRPr="000418E3">
        <w:rPr>
          <w:rFonts w:eastAsia="SimSun"/>
          <w:lang w:eastAsia="zh-CN"/>
        </w:rPr>
        <w:t xml:space="preserve"> it had total sales of </w:t>
      </w:r>
      <w:r>
        <w:rPr>
          <w:rFonts w:eastAsia="SimSun"/>
          <w:lang w:eastAsia="zh-CN"/>
        </w:rPr>
        <w:t xml:space="preserve"> </w:t>
      </w:r>
      <w:r w:rsidRPr="000418E3">
        <w:rPr>
          <w:rFonts w:eastAsia="SimSun"/>
          <w:lang w:eastAsia="zh-CN"/>
        </w:rPr>
        <w:t>€1</w:t>
      </w:r>
      <w:r>
        <w:rPr>
          <w:rFonts w:eastAsia="SimSun"/>
          <w:lang w:eastAsia="zh-CN"/>
        </w:rPr>
        <w:t>4.8</w:t>
      </w:r>
      <w:r w:rsidRPr="000418E3">
        <w:rPr>
          <w:rFonts w:eastAsia="SimSun"/>
          <w:lang w:eastAsia="zh-CN"/>
        </w:rPr>
        <w:t xml:space="preserve"> billion</w:t>
      </w:r>
      <w:r>
        <w:rPr>
          <w:rFonts w:eastAsia="SimSun"/>
          <w:lang w:eastAsia="zh-CN"/>
        </w:rPr>
        <w:t xml:space="preserve"> – 28%  (€4.2 billion) from water in Europe, 44% from waste in Europe, and 28% from activities outside Europe. </w:t>
      </w:r>
      <w:r w:rsidRPr="000418E3">
        <w:rPr>
          <w:rStyle w:val="EndnoteReference"/>
          <w:rFonts w:eastAsia="SimSun"/>
          <w:lang w:eastAsia="zh-CN"/>
        </w:rPr>
        <w:endnoteReference w:id="4"/>
      </w:r>
      <w:r>
        <w:rPr>
          <w:color w:val="1A171C"/>
        </w:rPr>
        <w:t xml:space="preserve"> </w:t>
      </w:r>
    </w:p>
    <w:p w:rsidR="0081577E" w:rsidRDefault="0081577E" w:rsidP="00A86A74">
      <w:pPr>
        <w:autoSpaceDE w:val="0"/>
        <w:autoSpaceDN w:val="0"/>
        <w:adjustRightInd w:val="0"/>
        <w:rPr>
          <w:color w:val="1A171C"/>
        </w:rPr>
      </w:pPr>
    </w:p>
    <w:p w:rsidR="007704F5" w:rsidRPr="000418E3" w:rsidRDefault="007704F5" w:rsidP="00A86A74">
      <w:pPr>
        <w:autoSpaceDE w:val="0"/>
        <w:autoSpaceDN w:val="0"/>
        <w:adjustRightInd w:val="0"/>
        <w:rPr>
          <w:rFonts w:eastAsia="SimSun"/>
          <w:lang w:eastAsia="zh-CN"/>
        </w:rPr>
      </w:pPr>
      <w:r>
        <w:rPr>
          <w:color w:val="1A171C"/>
        </w:rPr>
        <w:t xml:space="preserve">In 2011 and the first half of 2012 Suez waste </w:t>
      </w:r>
      <w:r w:rsidR="0081577E">
        <w:rPr>
          <w:color w:val="1A171C"/>
        </w:rPr>
        <w:t>profits</w:t>
      </w:r>
      <w:r>
        <w:rPr>
          <w:color w:val="1A171C"/>
        </w:rPr>
        <w:t xml:space="preserve"> in Europe suffered because of continued economic recession holding down waste volumes</w:t>
      </w:r>
      <w:r w:rsidR="0081577E">
        <w:rPr>
          <w:color w:val="1A171C"/>
        </w:rPr>
        <w:t>;</w:t>
      </w:r>
      <w:r>
        <w:rPr>
          <w:color w:val="1A171C"/>
        </w:rPr>
        <w:t xml:space="preserve"> competition </w:t>
      </w:r>
      <w:r w:rsidR="0081577E">
        <w:rPr>
          <w:color w:val="1A171C"/>
        </w:rPr>
        <w:t xml:space="preserve">(specifically </w:t>
      </w:r>
      <w:r>
        <w:rPr>
          <w:color w:val="1A171C"/>
        </w:rPr>
        <w:t>in the Netherlands</w:t>
      </w:r>
      <w:r w:rsidR="0081577E">
        <w:rPr>
          <w:color w:val="1A171C"/>
        </w:rPr>
        <w:t>)</w:t>
      </w:r>
      <w:r>
        <w:rPr>
          <w:color w:val="1A171C"/>
        </w:rPr>
        <w:t xml:space="preserve">, and higher landfill tax in the UK.  Like Veolia, however, Suez’ main strategy is to continue cutting costs, specifically including cutting overtime and not replacing workers who leave. </w:t>
      </w:r>
      <w:r>
        <w:rPr>
          <w:rStyle w:val="EndnoteReference"/>
          <w:color w:val="1A171C"/>
        </w:rPr>
        <w:endnoteReference w:id="5"/>
      </w:r>
    </w:p>
    <w:p w:rsidR="00A86A74" w:rsidRPr="00A86A74" w:rsidRDefault="00A86A74" w:rsidP="00A86A74">
      <w:pPr>
        <w:numPr>
          <w:ilvl w:val="0"/>
          <w:numId w:val="15"/>
        </w:numPr>
        <w:spacing w:before="240" w:after="60"/>
        <w:outlineLvl w:val="6"/>
        <w:rPr>
          <w:rFonts w:ascii="Trebuchet MS" w:eastAsia="Times New Roman" w:hAnsi="Trebuchet MS" w:cs="Times New Roman"/>
          <w:b/>
          <w:sz w:val="20"/>
          <w:szCs w:val="24"/>
          <w:lang w:eastAsia="en-US"/>
        </w:rPr>
      </w:pPr>
      <w:bookmarkStart w:id="18" w:name="_Toc332019175"/>
      <w:bookmarkStart w:id="19" w:name="_Toc331780855"/>
      <w:r w:rsidRPr="00A86A74">
        <w:rPr>
          <w:rFonts w:ascii="Trebuchet MS" w:eastAsia="Times New Roman" w:hAnsi="Trebuchet MS" w:cs="Times New Roman"/>
          <w:b/>
          <w:sz w:val="20"/>
          <w:szCs w:val="24"/>
          <w:lang w:eastAsia="en-US"/>
        </w:rPr>
        <w:t>Suez revenues (sales) and operating income (profits) by segment 2011</w:t>
      </w:r>
      <w:bookmarkEnd w:id="18"/>
      <w:r w:rsidRPr="00A86A74">
        <w:rPr>
          <w:rFonts w:ascii="Trebuchet MS" w:eastAsia="Times New Roman" w:hAnsi="Trebuchet MS" w:cs="Times New Roman"/>
          <w:b/>
          <w:sz w:val="20"/>
          <w:szCs w:val="24"/>
          <w:lang w:eastAsia="en-US"/>
        </w:rPr>
        <w:t xml:space="preserve"> </w:t>
      </w:r>
    </w:p>
    <w:tbl>
      <w:tblPr>
        <w:tblStyle w:val="TableGrid30"/>
        <w:tblW w:w="0" w:type="auto"/>
        <w:tblLook w:val="04A0" w:firstRow="1" w:lastRow="0" w:firstColumn="1" w:lastColumn="0" w:noHBand="0" w:noVBand="1"/>
      </w:tblPr>
      <w:tblGrid>
        <w:gridCol w:w="1951"/>
        <w:gridCol w:w="2975"/>
        <w:gridCol w:w="3687"/>
      </w:tblGrid>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Segment</w:t>
            </w:r>
          </w:p>
        </w:tc>
        <w:tc>
          <w:tcPr>
            <w:tcW w:w="2975"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Revenues</w:t>
            </w:r>
            <w:r w:rsidR="009445AD">
              <w:rPr>
                <w:rFonts w:eastAsia="Times New Roman" w:cstheme="minorHAnsi"/>
                <w:sz w:val="20"/>
                <w:szCs w:val="20"/>
                <w:lang w:eastAsia="en-US"/>
              </w:rPr>
              <w:t xml:space="preserve"> </w:t>
            </w:r>
            <w:r w:rsidR="009445AD" w:rsidRPr="00A86A74">
              <w:rPr>
                <w:rFonts w:ascii="Times New Roman" w:eastAsia="Times New Roman" w:hAnsi="Times New Roman" w:cs="Times New Roman"/>
                <w:szCs w:val="24"/>
              </w:rPr>
              <w:t>(€million Euros)</w:t>
            </w:r>
          </w:p>
        </w:tc>
        <w:tc>
          <w:tcPr>
            <w:tcW w:w="3687" w:type="dxa"/>
            <w:shd w:val="clear" w:color="auto" w:fill="FFFF99"/>
          </w:tcPr>
          <w:p w:rsidR="00A86A74" w:rsidRPr="00A86A74" w:rsidRDefault="00A86A74" w:rsidP="009445AD">
            <w:pPr>
              <w:rPr>
                <w:rFonts w:eastAsia="Times New Roman" w:cstheme="minorHAnsi"/>
                <w:sz w:val="20"/>
                <w:szCs w:val="20"/>
                <w:lang w:eastAsia="en-US"/>
              </w:rPr>
            </w:pPr>
            <w:r w:rsidRPr="00A86A74">
              <w:rPr>
                <w:rFonts w:eastAsia="Times New Roman" w:cstheme="minorHAnsi"/>
                <w:sz w:val="20"/>
                <w:szCs w:val="20"/>
                <w:lang w:eastAsia="en-US"/>
              </w:rPr>
              <w:t xml:space="preserve">Operating </w:t>
            </w:r>
            <w:r w:rsidR="009445AD">
              <w:rPr>
                <w:rFonts w:eastAsia="Times New Roman" w:cstheme="minorHAnsi"/>
                <w:sz w:val="20"/>
                <w:szCs w:val="20"/>
                <w:lang w:eastAsia="en-US"/>
              </w:rPr>
              <w:t xml:space="preserve">profit </w:t>
            </w:r>
            <w:r w:rsidR="009445AD" w:rsidRPr="00A86A74">
              <w:rPr>
                <w:rFonts w:ascii="Times New Roman" w:eastAsia="Times New Roman" w:hAnsi="Times New Roman" w:cs="Times New Roman"/>
                <w:szCs w:val="24"/>
              </w:rPr>
              <w:t>(€million Euros)</w:t>
            </w:r>
          </w:p>
        </w:tc>
      </w:tr>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Water Europe</w:t>
            </w:r>
          </w:p>
        </w:tc>
        <w:tc>
          <w:tcPr>
            <w:tcW w:w="2975"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4206</w:t>
            </w:r>
          </w:p>
        </w:tc>
        <w:tc>
          <w:tcPr>
            <w:tcW w:w="3687"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608</w:t>
            </w:r>
          </w:p>
        </w:tc>
      </w:tr>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Waste Europe</w:t>
            </w:r>
          </w:p>
        </w:tc>
        <w:tc>
          <w:tcPr>
            <w:tcW w:w="2975"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6417</w:t>
            </w:r>
          </w:p>
        </w:tc>
        <w:tc>
          <w:tcPr>
            <w:tcW w:w="3687"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388</w:t>
            </w:r>
          </w:p>
        </w:tc>
      </w:tr>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International</w:t>
            </w:r>
          </w:p>
        </w:tc>
        <w:tc>
          <w:tcPr>
            <w:tcW w:w="2975"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4197</w:t>
            </w:r>
          </w:p>
        </w:tc>
        <w:tc>
          <w:tcPr>
            <w:tcW w:w="3687"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131</w:t>
            </w:r>
          </w:p>
        </w:tc>
      </w:tr>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Other</w:t>
            </w:r>
          </w:p>
        </w:tc>
        <w:tc>
          <w:tcPr>
            <w:tcW w:w="2975"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10</w:t>
            </w:r>
          </w:p>
        </w:tc>
        <w:tc>
          <w:tcPr>
            <w:tcW w:w="3687"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(-87)</w:t>
            </w:r>
          </w:p>
        </w:tc>
      </w:tr>
      <w:tr w:rsidR="00A86A74" w:rsidRPr="00A86A74" w:rsidTr="009445AD">
        <w:tc>
          <w:tcPr>
            <w:tcW w:w="1951" w:type="dxa"/>
            <w:shd w:val="clear" w:color="auto" w:fill="FFFF99"/>
          </w:tcPr>
          <w:p w:rsidR="00A86A74" w:rsidRPr="00A86A74" w:rsidRDefault="00A86A74" w:rsidP="00A86A74">
            <w:pPr>
              <w:rPr>
                <w:rFonts w:eastAsia="Times New Roman" w:cstheme="minorHAnsi"/>
                <w:sz w:val="20"/>
                <w:szCs w:val="20"/>
                <w:lang w:eastAsia="en-US"/>
              </w:rPr>
            </w:pPr>
            <w:r w:rsidRPr="00A86A74">
              <w:rPr>
                <w:rFonts w:eastAsia="Times New Roman" w:cstheme="minorHAnsi"/>
                <w:sz w:val="20"/>
                <w:szCs w:val="20"/>
                <w:lang w:eastAsia="en-US"/>
              </w:rPr>
              <w:t>TOTAL</w:t>
            </w:r>
          </w:p>
        </w:tc>
        <w:tc>
          <w:tcPr>
            <w:tcW w:w="2975"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14830</w:t>
            </w:r>
          </w:p>
        </w:tc>
        <w:tc>
          <w:tcPr>
            <w:tcW w:w="3687" w:type="dxa"/>
          </w:tcPr>
          <w:p w:rsidR="00A86A74" w:rsidRPr="00A86A74" w:rsidRDefault="00A86A74" w:rsidP="00A86A74">
            <w:pPr>
              <w:jc w:val="right"/>
              <w:rPr>
                <w:rFonts w:eastAsia="Times New Roman" w:cstheme="minorHAnsi"/>
                <w:sz w:val="20"/>
                <w:szCs w:val="20"/>
                <w:lang w:eastAsia="en-US"/>
              </w:rPr>
            </w:pPr>
            <w:r w:rsidRPr="00A86A74">
              <w:rPr>
                <w:rFonts w:eastAsia="Times New Roman" w:cstheme="minorHAnsi"/>
                <w:sz w:val="20"/>
                <w:szCs w:val="20"/>
                <w:lang w:eastAsia="en-US"/>
              </w:rPr>
              <w:t>1039</w:t>
            </w:r>
          </w:p>
        </w:tc>
      </w:tr>
    </w:tbl>
    <w:p w:rsidR="00A86A74" w:rsidRPr="00573FC9" w:rsidRDefault="00A86A74" w:rsidP="00A86A74">
      <w:pPr>
        <w:rPr>
          <w:rFonts w:ascii="Times New Roman" w:eastAsia="Times New Roman" w:hAnsi="Times New Roman" w:cs="Times New Roman"/>
          <w:sz w:val="20"/>
          <w:szCs w:val="20"/>
        </w:rPr>
      </w:pPr>
      <w:r w:rsidRPr="00573FC9">
        <w:rPr>
          <w:rFonts w:ascii="Times New Roman" w:eastAsia="Times New Roman" w:hAnsi="Times New Roman" w:cs="Times New Roman"/>
          <w:sz w:val="20"/>
          <w:szCs w:val="20"/>
        </w:rPr>
        <w:t xml:space="preserve">Source: Suez Reference Document 2011 p. 111, 113 </w:t>
      </w:r>
      <w:hyperlink r:id="rId51" w:history="1">
        <w:r w:rsidRPr="00573FC9">
          <w:rPr>
            <w:rFonts w:ascii="Times New Roman" w:eastAsia="Times New Roman" w:hAnsi="Times New Roman" w:cs="Times New Roman"/>
            <w:color w:val="0000FF"/>
            <w:sz w:val="20"/>
            <w:szCs w:val="20"/>
            <w:u w:val="single"/>
          </w:rPr>
          <w:t>http://www.suez-environnement.com/wp-content/uploads/2012/04/DDR-SEC-2011-Version-anglaise-d%C3%A9finitive.pdf</w:t>
        </w:r>
      </w:hyperlink>
      <w:r w:rsidRPr="00573FC9">
        <w:rPr>
          <w:rFonts w:ascii="Times New Roman" w:eastAsia="Times New Roman" w:hAnsi="Times New Roman" w:cs="Times New Roman"/>
          <w:sz w:val="20"/>
          <w:szCs w:val="20"/>
        </w:rPr>
        <w:t xml:space="preserve"> </w:t>
      </w:r>
    </w:p>
    <w:p w:rsidR="00A86A74" w:rsidRPr="00A86A74" w:rsidRDefault="00A86A74" w:rsidP="00A86A74">
      <w:pPr>
        <w:numPr>
          <w:ilvl w:val="0"/>
          <w:numId w:val="15"/>
        </w:numPr>
        <w:spacing w:before="240" w:after="60"/>
        <w:outlineLvl w:val="6"/>
        <w:rPr>
          <w:rFonts w:ascii="Trebuchet MS" w:eastAsia="Times New Roman" w:hAnsi="Trebuchet MS" w:cs="Times New Roman"/>
          <w:b/>
          <w:sz w:val="20"/>
          <w:szCs w:val="24"/>
          <w:lang w:eastAsia="en-US"/>
        </w:rPr>
      </w:pPr>
      <w:bookmarkStart w:id="20" w:name="_Toc332019176"/>
      <w:r w:rsidRPr="00A86A74">
        <w:rPr>
          <w:rFonts w:ascii="Trebuchet MS" w:eastAsia="Times New Roman" w:hAnsi="Trebuchet MS" w:cs="Times New Roman"/>
          <w:b/>
          <w:sz w:val="20"/>
          <w:szCs w:val="24"/>
          <w:lang w:eastAsia="en-US"/>
        </w:rPr>
        <w:t>Suez Environnement: Employees by region (waste &amp; water) 20</w:t>
      </w:r>
      <w:bookmarkEnd w:id="19"/>
      <w:r w:rsidRPr="00A86A74">
        <w:rPr>
          <w:rFonts w:ascii="Trebuchet MS" w:eastAsia="Times New Roman" w:hAnsi="Trebuchet MS" w:cs="Times New Roman"/>
          <w:b/>
          <w:sz w:val="20"/>
          <w:szCs w:val="24"/>
          <w:lang w:eastAsia="en-US"/>
        </w:rPr>
        <w:t>11</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tblGrid>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p>
        </w:tc>
        <w:tc>
          <w:tcPr>
            <w:tcW w:w="1971" w:type="dxa"/>
            <w:shd w:val="clear" w:color="auto" w:fill="FFFF99"/>
          </w:tcPr>
          <w:p w:rsidR="00A86A74" w:rsidRPr="00A86A74" w:rsidRDefault="007704F5" w:rsidP="00A86A74">
            <w:pPr>
              <w:autoSpaceDE w:val="0"/>
              <w:autoSpaceDN w:val="0"/>
              <w:adjustRightInd w:val="0"/>
              <w:jc w:val="right"/>
              <w:rPr>
                <w:rFonts w:eastAsia="Times New Roman" w:cstheme="minorHAnsi"/>
                <w:b/>
                <w:bCs/>
                <w:sz w:val="20"/>
                <w:szCs w:val="20"/>
              </w:rPr>
            </w:pPr>
            <w:r>
              <w:rPr>
                <w:rFonts w:eastAsia="Times New Roman" w:cstheme="minorHAnsi"/>
                <w:b/>
                <w:bCs/>
                <w:sz w:val="20"/>
                <w:szCs w:val="20"/>
              </w:rPr>
              <w:t>2011</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France</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35,654</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Rest of Europe</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31,141</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North America</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3,362</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Latin America</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238</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Africa-Middle East</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5,137</w:t>
            </w:r>
          </w:p>
        </w:tc>
      </w:tr>
      <w:tr w:rsidR="00A86A74" w:rsidRPr="00A86A74" w:rsidTr="00A86A74">
        <w:tc>
          <w:tcPr>
            <w:tcW w:w="1970" w:type="dxa"/>
            <w:shd w:val="clear" w:color="auto" w:fill="FFFF99"/>
          </w:tcPr>
          <w:p w:rsidR="00A86A74" w:rsidRPr="00A86A74" w:rsidRDefault="00A86A74" w:rsidP="00A86A74">
            <w:pPr>
              <w:autoSpaceDE w:val="0"/>
              <w:autoSpaceDN w:val="0"/>
              <w:adjustRightInd w:val="0"/>
              <w:rPr>
                <w:rFonts w:eastAsia="Times New Roman" w:cstheme="minorHAnsi"/>
                <w:b/>
                <w:bCs/>
                <w:sz w:val="20"/>
                <w:szCs w:val="20"/>
              </w:rPr>
            </w:pPr>
            <w:r w:rsidRPr="00A86A74">
              <w:rPr>
                <w:rFonts w:eastAsia="Times New Roman" w:cstheme="minorHAnsi"/>
                <w:b/>
                <w:bCs/>
                <w:sz w:val="20"/>
                <w:szCs w:val="20"/>
              </w:rPr>
              <w:t>Asia-Oceania</w:t>
            </w:r>
          </w:p>
        </w:tc>
        <w:tc>
          <w:tcPr>
            <w:tcW w:w="1971" w:type="dxa"/>
            <w:shd w:val="clear" w:color="auto" w:fill="auto"/>
          </w:tcPr>
          <w:p w:rsidR="00A86A74" w:rsidRPr="00A86A74" w:rsidRDefault="00A86A74" w:rsidP="00A86A74">
            <w:pPr>
              <w:autoSpaceDE w:val="0"/>
              <w:autoSpaceDN w:val="0"/>
              <w:adjustRightInd w:val="0"/>
              <w:jc w:val="right"/>
              <w:rPr>
                <w:rFonts w:eastAsia="Times New Roman" w:cstheme="minorHAnsi"/>
                <w:sz w:val="20"/>
                <w:szCs w:val="20"/>
              </w:rPr>
            </w:pPr>
            <w:r w:rsidRPr="00A86A74">
              <w:rPr>
                <w:rFonts w:eastAsia="Times New Roman" w:cstheme="minorHAnsi"/>
                <w:sz w:val="20"/>
                <w:szCs w:val="20"/>
              </w:rPr>
              <w:t>4,878</w:t>
            </w:r>
          </w:p>
        </w:tc>
      </w:tr>
      <w:tr w:rsidR="00A86A74" w:rsidRPr="00A86A74" w:rsidTr="00A86A74">
        <w:tc>
          <w:tcPr>
            <w:tcW w:w="1970" w:type="dxa"/>
            <w:shd w:val="clear" w:color="auto" w:fill="FFFF99"/>
          </w:tcPr>
          <w:p w:rsidR="00A86A74" w:rsidRPr="00A86A74" w:rsidRDefault="00A86A74" w:rsidP="00A86A74">
            <w:pPr>
              <w:rPr>
                <w:rFonts w:eastAsia="Times New Roman" w:cstheme="minorHAnsi"/>
                <w:b/>
                <w:bCs/>
                <w:sz w:val="20"/>
                <w:szCs w:val="20"/>
              </w:rPr>
            </w:pPr>
            <w:r w:rsidRPr="00A86A74">
              <w:rPr>
                <w:rFonts w:eastAsia="Times New Roman" w:cstheme="minorHAnsi"/>
                <w:b/>
                <w:bCs/>
                <w:sz w:val="20"/>
                <w:szCs w:val="20"/>
              </w:rPr>
              <w:t>TOTAL</w:t>
            </w:r>
          </w:p>
        </w:tc>
        <w:tc>
          <w:tcPr>
            <w:tcW w:w="1971" w:type="dxa"/>
            <w:shd w:val="clear" w:color="auto" w:fill="auto"/>
          </w:tcPr>
          <w:p w:rsidR="00A86A74" w:rsidRPr="00A86A74" w:rsidRDefault="00A86A74" w:rsidP="00A86A74">
            <w:pPr>
              <w:jc w:val="right"/>
              <w:rPr>
                <w:rFonts w:eastAsia="Times New Roman" w:cstheme="minorHAnsi"/>
                <w:sz w:val="20"/>
                <w:szCs w:val="20"/>
              </w:rPr>
            </w:pPr>
            <w:r w:rsidRPr="00A86A74">
              <w:rPr>
                <w:rFonts w:eastAsia="Times New Roman" w:cstheme="minorHAnsi"/>
                <w:sz w:val="20"/>
                <w:szCs w:val="20"/>
              </w:rPr>
              <w:t>80,410</w:t>
            </w:r>
          </w:p>
        </w:tc>
      </w:tr>
    </w:tbl>
    <w:p w:rsidR="00661B28" w:rsidRPr="00573FC9" w:rsidRDefault="00A86A74" w:rsidP="00661B28">
      <w:pPr>
        <w:rPr>
          <w:rFonts w:ascii="Times New Roman" w:eastAsia="Times New Roman" w:hAnsi="Times New Roman" w:cs="Times New Roman"/>
          <w:color w:val="0000FF"/>
          <w:sz w:val="20"/>
          <w:szCs w:val="20"/>
          <w:u w:val="single"/>
        </w:rPr>
      </w:pPr>
      <w:r w:rsidRPr="00573FC9">
        <w:rPr>
          <w:rFonts w:ascii="Times New Roman" w:eastAsia="Times New Roman" w:hAnsi="Times New Roman" w:cs="Times New Roman"/>
          <w:sz w:val="20"/>
          <w:szCs w:val="20"/>
        </w:rPr>
        <w:t xml:space="preserve">Source: Suez Reference Document 2011 p. 160 </w:t>
      </w:r>
      <w:hyperlink r:id="rId52" w:history="1">
        <w:r w:rsidRPr="00573FC9">
          <w:rPr>
            <w:rFonts w:ascii="Times New Roman" w:eastAsia="Times New Roman" w:hAnsi="Times New Roman" w:cs="Times New Roman"/>
            <w:color w:val="0000FF"/>
            <w:sz w:val="20"/>
            <w:szCs w:val="20"/>
            <w:u w:val="single"/>
          </w:rPr>
          <w:t>http://www.suez-environnement.com/wp-content/uploads/2012/04/DDR-SEC-2011-Version-anglaise-d%C3%A9finitive.pdf</w:t>
        </w:r>
      </w:hyperlink>
    </w:p>
    <w:p w:rsidR="007704F5" w:rsidRPr="00573FC9" w:rsidRDefault="007704F5" w:rsidP="00661B28">
      <w:pPr>
        <w:rPr>
          <w:lang w:eastAsia="en-US"/>
        </w:rPr>
      </w:pPr>
    </w:p>
    <w:p w:rsidR="00535522" w:rsidRDefault="00843965" w:rsidP="00535522">
      <w:pPr>
        <w:pStyle w:val="Heading3"/>
      </w:pPr>
      <w:bookmarkStart w:id="21" w:name="_Toc336267599"/>
      <w:r>
        <w:t>R</w:t>
      </w:r>
      <w:r w:rsidR="00535522">
        <w:t>emondis</w:t>
      </w:r>
      <w:bookmarkEnd w:id="21"/>
    </w:p>
    <w:p w:rsidR="00843965" w:rsidRDefault="00843965" w:rsidP="00843965">
      <w:r w:rsidRPr="009A7D76">
        <w:rPr>
          <w:rFonts w:eastAsia="SimSun"/>
          <w:lang w:eastAsia="zh-CN"/>
        </w:rPr>
        <w:t>Remondis is the waste division of Rethmann, a privately owned German company. It bought the waste man</w:t>
      </w:r>
      <w:r>
        <w:rPr>
          <w:rFonts w:eastAsia="SimSun"/>
          <w:lang w:eastAsia="zh-CN"/>
        </w:rPr>
        <w:t>agement division of RWE in 2005; i</w:t>
      </w:r>
      <w:r w:rsidRPr="009A7D76">
        <w:rPr>
          <w:rFonts w:eastAsia="SimSun"/>
          <w:lang w:eastAsia="zh-CN"/>
        </w:rPr>
        <w:t xml:space="preserve">n 2006 it bought 40% of the Dutch municipal waste company ARN. It operates in </w:t>
      </w:r>
      <w:r>
        <w:t>20 European countries, and has also expanded outside Europe to Australia and Egypt.</w:t>
      </w:r>
      <w:r w:rsidR="00F6342A">
        <w:t xml:space="preserve"> It has expanded into eastern Europe, including a waste management PPP in Minsk, the capiutal of Belarus. </w:t>
      </w:r>
    </w:p>
    <w:p w:rsidR="008A2B21" w:rsidRDefault="008A2B21" w:rsidP="00843965">
      <w:r>
        <w:t xml:space="preserve">Remondis is aware that environmental legislation creates more business opportunities, and in 2011 criticised the progress of the new environmental law in Germany for not being ambitious enough – the recycling rate of 65% for municipal waste was “not much more than the current levels today”, and 70% for </w:t>
      </w:r>
      <w:r w:rsidRPr="000D4BE5">
        <w:t xml:space="preserve">construction waste was “way below what </w:t>
      </w:r>
      <w:r w:rsidR="000D4BE5" w:rsidRPr="000D4BE5">
        <w:t>was ac</w:t>
      </w:r>
      <w:r w:rsidR="00671179" w:rsidRPr="000D4BE5">
        <w:t>h</w:t>
      </w:r>
      <w:r w:rsidR="000D4BE5">
        <w:t>i</w:t>
      </w:r>
      <w:r w:rsidR="00671179" w:rsidRPr="000D4BE5">
        <w:t>evable</w:t>
      </w:r>
      <w:r w:rsidRPr="000D4BE5">
        <w:t>”. The company argued higher recycling rates</w:t>
      </w:r>
      <w:r>
        <w:t xml:space="preserve"> would help ensure that “the German recycling sector maintains its technical edge”.    But it also argued strongly against municipalities operating their own services: “the amendments to the law aim to disproportionately strengthen the position of local authorities in the area of collecting recyclables”.</w:t>
      </w:r>
      <w:r>
        <w:rPr>
          <w:rStyle w:val="EndnoteReference"/>
        </w:rPr>
        <w:endnoteReference w:id="6"/>
      </w:r>
      <w:r w:rsidR="007A6A44">
        <w:t xml:space="preserve"> </w:t>
      </w:r>
    </w:p>
    <w:p w:rsidR="00843965" w:rsidRPr="00843965" w:rsidRDefault="00843965" w:rsidP="00843965">
      <w:pPr>
        <w:rPr>
          <w:lang w:eastAsia="en-US"/>
        </w:rPr>
      </w:pPr>
    </w:p>
    <w:p w:rsidR="00F41A9A" w:rsidRPr="009A7D76" w:rsidRDefault="00F41A9A" w:rsidP="00F41A9A">
      <w:pPr>
        <w:pStyle w:val="Heading3"/>
      </w:pPr>
      <w:bookmarkStart w:id="22" w:name="_Toc336267600"/>
      <w:r w:rsidRPr="009A7D76">
        <w:t>FCC</w:t>
      </w:r>
      <w:bookmarkEnd w:id="22"/>
    </w:p>
    <w:p w:rsidR="00F41A9A" w:rsidRPr="00925572" w:rsidRDefault="00F41A9A" w:rsidP="00925572">
      <w:pPr>
        <w:rPr>
          <w:rFonts w:cstheme="minorHAnsi"/>
          <w:iCs/>
        </w:rPr>
      </w:pPr>
      <w:r w:rsidRPr="00925572">
        <w:rPr>
          <w:rFonts w:eastAsia="SimSun" w:cstheme="minorHAnsi"/>
          <w:lang w:eastAsia="zh-CN"/>
        </w:rPr>
        <w:t xml:space="preserve">FCC is a large Spanish construction and services company with a large environmental services division, including ASA, an Austrian group with extensive contracts in central and eastern Europe. For some years it was indirectly controlled by Veolia, but their interests were sold back to the main Spanish shareholder, Esther Koplowitz, in 2004.  FCC and Veolia still have a 50-50 joint venture in water and waste in Latin America. FCC is the leading waste management company in both Spain and the UK, and operates in </w:t>
      </w:r>
      <w:r w:rsidRPr="00925572">
        <w:rPr>
          <w:rFonts w:cstheme="minorHAnsi"/>
        </w:rPr>
        <w:t xml:space="preserve">France, Portugal, Spain, UK, </w:t>
      </w:r>
      <w:r w:rsidRPr="00925572">
        <w:rPr>
          <w:rFonts w:cstheme="minorHAnsi"/>
          <w:iCs/>
        </w:rPr>
        <w:t xml:space="preserve">Austria, Bosnia, Croatia, Czech Republic, Hungary, Poland, and Slovakia. </w:t>
      </w:r>
    </w:p>
    <w:p w:rsidR="00925572" w:rsidRPr="00925572" w:rsidRDefault="00925572" w:rsidP="00925572">
      <w:pPr>
        <w:rPr>
          <w:rStyle w:val="ft"/>
          <w:rFonts w:cstheme="minorHAnsi"/>
        </w:rPr>
      </w:pPr>
      <w:r w:rsidRPr="00925572">
        <w:rPr>
          <w:rFonts w:cstheme="minorHAnsi"/>
          <w:iCs/>
        </w:rPr>
        <w:t>It also operates internationally in Latin America through</w:t>
      </w:r>
      <w:r>
        <w:rPr>
          <w:rFonts w:cstheme="minorHAnsi"/>
          <w:iCs/>
        </w:rPr>
        <w:t xml:space="preserve"> Proactiva Medio Ambiente</w:t>
      </w:r>
      <w:r w:rsidRPr="00925572">
        <w:rPr>
          <w:rStyle w:val="ft"/>
          <w:rFonts w:cstheme="minorHAnsi"/>
        </w:rPr>
        <w:t>, a 50-50 joint venture with Veolia.</w:t>
      </w:r>
    </w:p>
    <w:p w:rsidR="00925572" w:rsidRDefault="00925572" w:rsidP="00F41A9A">
      <w:pPr>
        <w:jc w:val="both"/>
        <w:rPr>
          <w:iCs/>
        </w:rPr>
      </w:pPr>
      <w:r>
        <w:rPr>
          <w:rStyle w:val="ft"/>
          <w:rFonts w:ascii="Arial" w:hAnsi="Arial" w:cs="Arial"/>
          <w:color w:val="222222"/>
        </w:rPr>
        <w:t xml:space="preserve"> </w:t>
      </w:r>
    </w:p>
    <w:p w:rsidR="0035688D" w:rsidRPr="0035688D" w:rsidRDefault="0035688D" w:rsidP="0035688D">
      <w:pPr>
        <w:numPr>
          <w:ilvl w:val="0"/>
          <w:numId w:val="15"/>
        </w:numPr>
        <w:spacing w:before="240" w:after="60"/>
        <w:outlineLvl w:val="6"/>
        <w:rPr>
          <w:rFonts w:ascii="Trebuchet MS" w:eastAsia="Times New Roman" w:hAnsi="Trebuchet MS" w:cs="Times New Roman"/>
          <w:b/>
          <w:sz w:val="20"/>
          <w:szCs w:val="24"/>
          <w:lang w:eastAsia="en-US"/>
        </w:rPr>
      </w:pPr>
      <w:bookmarkStart w:id="23" w:name="_Toc332019182"/>
      <w:r w:rsidRPr="0035688D">
        <w:rPr>
          <w:rFonts w:ascii="Trebuchet MS" w:eastAsia="Times New Roman" w:hAnsi="Trebuchet MS" w:cs="Times New Roman"/>
          <w:b/>
          <w:sz w:val="20"/>
          <w:szCs w:val="24"/>
          <w:lang w:eastAsia="en-US"/>
        </w:rPr>
        <w:t>FCC water and waste business 2011 (€millions)</w:t>
      </w:r>
      <w:bookmarkEnd w:id="23"/>
    </w:p>
    <w:tbl>
      <w:tblPr>
        <w:tblStyle w:val="TableGrid40"/>
        <w:tblW w:w="0" w:type="auto"/>
        <w:tblLayout w:type="fixed"/>
        <w:tblLook w:val="04A0" w:firstRow="1" w:lastRow="0" w:firstColumn="1" w:lastColumn="0" w:noHBand="0" w:noVBand="1"/>
      </w:tblPr>
      <w:tblGrid>
        <w:gridCol w:w="1101"/>
        <w:gridCol w:w="1436"/>
        <w:gridCol w:w="2249"/>
        <w:gridCol w:w="992"/>
        <w:gridCol w:w="993"/>
        <w:gridCol w:w="747"/>
        <w:gridCol w:w="1042"/>
        <w:gridCol w:w="1098"/>
      </w:tblGrid>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p>
        </w:tc>
        <w:tc>
          <w:tcPr>
            <w:tcW w:w="1436" w:type="dxa"/>
            <w:shd w:val="clear" w:color="auto" w:fill="FFFF99"/>
          </w:tcPr>
          <w:p w:rsidR="0035688D" w:rsidRPr="0035688D" w:rsidRDefault="0035688D" w:rsidP="0035688D">
            <w:pPr>
              <w:rPr>
                <w:rFonts w:eastAsia="Times New Roman" w:cstheme="minorHAnsi"/>
                <w:sz w:val="20"/>
                <w:szCs w:val="20"/>
              </w:rPr>
            </w:pPr>
          </w:p>
        </w:tc>
        <w:tc>
          <w:tcPr>
            <w:tcW w:w="2249" w:type="dxa"/>
            <w:shd w:val="clear" w:color="auto" w:fill="FFFF99"/>
          </w:tcPr>
          <w:p w:rsidR="0035688D" w:rsidRPr="0035688D" w:rsidRDefault="0035688D" w:rsidP="0035688D">
            <w:pPr>
              <w:rPr>
                <w:rFonts w:eastAsia="Times New Roman" w:cstheme="minorHAnsi"/>
                <w:sz w:val="20"/>
                <w:szCs w:val="20"/>
              </w:rPr>
            </w:pPr>
          </w:p>
        </w:tc>
        <w:tc>
          <w:tcPr>
            <w:tcW w:w="992"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Revenue</w:t>
            </w:r>
          </w:p>
        </w:tc>
        <w:tc>
          <w:tcPr>
            <w:tcW w:w="993" w:type="dxa"/>
            <w:shd w:val="clear" w:color="auto" w:fill="FFFF99"/>
          </w:tcPr>
          <w:p w:rsidR="0035688D" w:rsidRPr="0035688D" w:rsidRDefault="0035688D" w:rsidP="0035688D">
            <w:pPr>
              <w:rPr>
                <w:rFonts w:eastAsia="Times New Roman" w:cstheme="minorHAnsi"/>
                <w:sz w:val="20"/>
                <w:szCs w:val="20"/>
              </w:rPr>
            </w:pPr>
          </w:p>
        </w:tc>
        <w:tc>
          <w:tcPr>
            <w:tcW w:w="747" w:type="dxa"/>
            <w:shd w:val="clear" w:color="auto" w:fill="FFFF99"/>
          </w:tcPr>
          <w:p w:rsidR="0035688D" w:rsidRPr="0035688D" w:rsidRDefault="0035688D" w:rsidP="0035688D">
            <w:pPr>
              <w:rPr>
                <w:rFonts w:eastAsia="Times New Roman" w:cstheme="minorHAnsi"/>
                <w:sz w:val="20"/>
                <w:szCs w:val="20"/>
              </w:rPr>
            </w:pPr>
          </w:p>
        </w:tc>
        <w:tc>
          <w:tcPr>
            <w:tcW w:w="1042" w:type="dxa"/>
            <w:shd w:val="clear" w:color="auto" w:fill="FFFF99"/>
          </w:tcPr>
          <w:p w:rsidR="0035688D" w:rsidRPr="0035688D" w:rsidRDefault="0035688D" w:rsidP="00D24D53">
            <w:pPr>
              <w:rPr>
                <w:rFonts w:eastAsia="Times New Roman" w:cstheme="minorHAnsi"/>
                <w:sz w:val="20"/>
                <w:szCs w:val="20"/>
              </w:rPr>
            </w:pPr>
            <w:r w:rsidRPr="0035688D">
              <w:rPr>
                <w:rFonts w:eastAsia="Times New Roman" w:cstheme="minorHAnsi"/>
                <w:sz w:val="20"/>
                <w:szCs w:val="20"/>
              </w:rPr>
              <w:t xml:space="preserve">Profit </w:t>
            </w:r>
          </w:p>
        </w:tc>
        <w:tc>
          <w:tcPr>
            <w:tcW w:w="1098"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Employees</w:t>
            </w:r>
          </w:p>
        </w:tc>
      </w:tr>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p>
        </w:tc>
        <w:tc>
          <w:tcPr>
            <w:tcW w:w="1436" w:type="dxa"/>
            <w:shd w:val="clear" w:color="auto" w:fill="FFFF99"/>
          </w:tcPr>
          <w:p w:rsidR="0035688D" w:rsidRPr="0035688D" w:rsidRDefault="0035688D" w:rsidP="0035688D">
            <w:pPr>
              <w:rPr>
                <w:rFonts w:eastAsia="Times New Roman" w:cstheme="minorHAnsi"/>
                <w:sz w:val="20"/>
                <w:szCs w:val="20"/>
              </w:rPr>
            </w:pPr>
          </w:p>
        </w:tc>
        <w:tc>
          <w:tcPr>
            <w:tcW w:w="2249" w:type="dxa"/>
            <w:shd w:val="clear" w:color="auto" w:fill="FFFF99"/>
          </w:tcPr>
          <w:p w:rsidR="0035688D" w:rsidRPr="0035688D" w:rsidRDefault="0035688D" w:rsidP="0035688D">
            <w:pPr>
              <w:rPr>
                <w:rFonts w:eastAsia="Times New Roman" w:cstheme="minorHAnsi"/>
                <w:sz w:val="20"/>
                <w:szCs w:val="20"/>
              </w:rPr>
            </w:pPr>
          </w:p>
        </w:tc>
        <w:tc>
          <w:tcPr>
            <w:tcW w:w="992" w:type="dxa"/>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Spain</w:t>
            </w:r>
          </w:p>
        </w:tc>
        <w:tc>
          <w:tcPr>
            <w:tcW w:w="993" w:type="dxa"/>
          </w:tcPr>
          <w:p w:rsidR="0035688D" w:rsidRPr="0035688D" w:rsidRDefault="0035688D" w:rsidP="007704F5">
            <w:pPr>
              <w:rPr>
                <w:rFonts w:eastAsia="Times New Roman" w:cstheme="minorHAnsi"/>
                <w:sz w:val="20"/>
                <w:szCs w:val="20"/>
              </w:rPr>
            </w:pPr>
            <w:r w:rsidRPr="0035688D">
              <w:rPr>
                <w:rFonts w:eastAsia="Times New Roman" w:cstheme="minorHAnsi"/>
                <w:sz w:val="20"/>
                <w:szCs w:val="20"/>
              </w:rPr>
              <w:t>Internat</w:t>
            </w:r>
          </w:p>
        </w:tc>
        <w:tc>
          <w:tcPr>
            <w:tcW w:w="747" w:type="dxa"/>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Total</w:t>
            </w:r>
          </w:p>
        </w:tc>
        <w:tc>
          <w:tcPr>
            <w:tcW w:w="1042" w:type="dxa"/>
          </w:tcPr>
          <w:p w:rsidR="0035688D" w:rsidRPr="0035688D" w:rsidRDefault="00D24D53" w:rsidP="0035688D">
            <w:pPr>
              <w:rPr>
                <w:rFonts w:eastAsia="Times New Roman" w:cstheme="minorHAnsi"/>
                <w:sz w:val="20"/>
                <w:szCs w:val="20"/>
              </w:rPr>
            </w:pPr>
            <w:r w:rsidRPr="0035688D">
              <w:rPr>
                <w:rFonts w:eastAsia="Times New Roman" w:cstheme="minorHAnsi"/>
                <w:sz w:val="20"/>
                <w:szCs w:val="20"/>
              </w:rPr>
              <w:t>(EBITDA)</w:t>
            </w:r>
          </w:p>
        </w:tc>
        <w:tc>
          <w:tcPr>
            <w:tcW w:w="1098" w:type="dxa"/>
          </w:tcPr>
          <w:p w:rsidR="0035688D" w:rsidRPr="0035688D" w:rsidRDefault="0035688D" w:rsidP="0035688D">
            <w:pPr>
              <w:rPr>
                <w:rFonts w:eastAsia="Times New Roman" w:cstheme="minorHAnsi"/>
                <w:sz w:val="20"/>
                <w:szCs w:val="20"/>
              </w:rPr>
            </w:pPr>
          </w:p>
        </w:tc>
      </w:tr>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Total FCC</w:t>
            </w:r>
          </w:p>
        </w:tc>
        <w:tc>
          <w:tcPr>
            <w:tcW w:w="1436" w:type="dxa"/>
            <w:shd w:val="clear" w:color="auto" w:fill="FFFF99"/>
          </w:tcPr>
          <w:p w:rsidR="0035688D" w:rsidRPr="0035688D" w:rsidRDefault="0035688D" w:rsidP="0035688D">
            <w:pPr>
              <w:rPr>
                <w:rFonts w:eastAsia="Times New Roman" w:cstheme="minorHAnsi"/>
                <w:sz w:val="20"/>
                <w:szCs w:val="20"/>
              </w:rPr>
            </w:pPr>
          </w:p>
        </w:tc>
        <w:tc>
          <w:tcPr>
            <w:tcW w:w="2249" w:type="dxa"/>
            <w:shd w:val="clear" w:color="auto" w:fill="FFFF99"/>
          </w:tcPr>
          <w:p w:rsidR="0035688D" w:rsidRPr="0035688D" w:rsidRDefault="0035688D" w:rsidP="0035688D">
            <w:pPr>
              <w:rPr>
                <w:rFonts w:eastAsia="Times New Roman" w:cstheme="minorHAnsi"/>
                <w:sz w:val="20"/>
                <w:szCs w:val="20"/>
              </w:rPr>
            </w:pPr>
          </w:p>
        </w:tc>
        <w:tc>
          <w:tcPr>
            <w:tcW w:w="99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5592</w:t>
            </w:r>
          </w:p>
        </w:tc>
        <w:tc>
          <w:tcPr>
            <w:tcW w:w="993"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6163</w:t>
            </w:r>
          </w:p>
        </w:tc>
        <w:tc>
          <w:tcPr>
            <w:tcW w:w="747"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11755</w:t>
            </w:r>
          </w:p>
        </w:tc>
        <w:tc>
          <w:tcPr>
            <w:tcW w:w="104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1252</w:t>
            </w:r>
          </w:p>
        </w:tc>
        <w:tc>
          <w:tcPr>
            <w:tcW w:w="1098"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91,291</w:t>
            </w:r>
          </w:p>
        </w:tc>
      </w:tr>
      <w:tr w:rsidR="007704F5" w:rsidRPr="0035688D" w:rsidTr="007704F5">
        <w:tc>
          <w:tcPr>
            <w:tcW w:w="1101" w:type="dxa"/>
            <w:shd w:val="clear" w:color="auto" w:fill="FFFF99"/>
          </w:tcPr>
          <w:p w:rsidR="0035688D" w:rsidRPr="0035688D" w:rsidRDefault="0035688D" w:rsidP="0035688D">
            <w:pPr>
              <w:jc w:val="right"/>
              <w:rPr>
                <w:rFonts w:eastAsia="Times New Roman" w:cstheme="minorHAnsi"/>
                <w:i/>
                <w:sz w:val="20"/>
                <w:szCs w:val="20"/>
              </w:rPr>
            </w:pPr>
            <w:r w:rsidRPr="0035688D">
              <w:rPr>
                <w:rFonts w:eastAsia="Times New Roman" w:cstheme="minorHAnsi"/>
                <w:i/>
                <w:sz w:val="20"/>
                <w:szCs w:val="20"/>
              </w:rPr>
              <w:t>of which:</w:t>
            </w:r>
          </w:p>
        </w:tc>
        <w:tc>
          <w:tcPr>
            <w:tcW w:w="1436"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Environmental services</w:t>
            </w:r>
          </w:p>
        </w:tc>
        <w:tc>
          <w:tcPr>
            <w:tcW w:w="2249" w:type="dxa"/>
            <w:shd w:val="clear" w:color="auto" w:fill="FFFF99"/>
          </w:tcPr>
          <w:p w:rsidR="0035688D" w:rsidRPr="0035688D" w:rsidRDefault="0035688D" w:rsidP="0035688D">
            <w:pPr>
              <w:rPr>
                <w:rFonts w:eastAsia="Times New Roman" w:cstheme="minorHAnsi"/>
                <w:sz w:val="20"/>
                <w:szCs w:val="20"/>
              </w:rPr>
            </w:pPr>
          </w:p>
        </w:tc>
        <w:tc>
          <w:tcPr>
            <w:tcW w:w="99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2321</w:t>
            </w:r>
          </w:p>
        </w:tc>
        <w:tc>
          <w:tcPr>
            <w:tcW w:w="993"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1414</w:t>
            </w:r>
          </w:p>
        </w:tc>
        <w:tc>
          <w:tcPr>
            <w:tcW w:w="747"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3735</w:t>
            </w:r>
          </w:p>
        </w:tc>
        <w:tc>
          <w:tcPr>
            <w:tcW w:w="104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698</w:t>
            </w:r>
          </w:p>
        </w:tc>
        <w:tc>
          <w:tcPr>
            <w:tcW w:w="1098"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49,345</w:t>
            </w:r>
          </w:p>
        </w:tc>
      </w:tr>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p>
        </w:tc>
        <w:tc>
          <w:tcPr>
            <w:tcW w:w="1436"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i/>
                <w:sz w:val="20"/>
                <w:szCs w:val="20"/>
              </w:rPr>
              <w:t>of which:</w:t>
            </w:r>
          </w:p>
        </w:tc>
        <w:tc>
          <w:tcPr>
            <w:tcW w:w="2249" w:type="dxa"/>
            <w:shd w:val="clear" w:color="auto" w:fill="FFFF99"/>
          </w:tcPr>
          <w:p w:rsidR="0035688D" w:rsidRPr="0035688D" w:rsidRDefault="007704F5" w:rsidP="007704F5">
            <w:pPr>
              <w:rPr>
                <w:rFonts w:eastAsia="Times New Roman" w:cstheme="minorHAnsi"/>
                <w:sz w:val="20"/>
                <w:szCs w:val="20"/>
              </w:rPr>
            </w:pPr>
            <w:r>
              <w:rPr>
                <w:rFonts w:eastAsia="Times New Roman" w:cstheme="minorHAnsi"/>
                <w:sz w:val="20"/>
                <w:szCs w:val="20"/>
              </w:rPr>
              <w:t>Waste management</w:t>
            </w:r>
          </w:p>
        </w:tc>
        <w:tc>
          <w:tcPr>
            <w:tcW w:w="99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1493</w:t>
            </w:r>
          </w:p>
        </w:tc>
        <w:tc>
          <w:tcPr>
            <w:tcW w:w="993"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1078</w:t>
            </w:r>
          </w:p>
        </w:tc>
        <w:tc>
          <w:tcPr>
            <w:tcW w:w="747"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2571</w:t>
            </w:r>
          </w:p>
        </w:tc>
        <w:tc>
          <w:tcPr>
            <w:tcW w:w="1042" w:type="dxa"/>
          </w:tcPr>
          <w:p w:rsidR="0035688D" w:rsidRPr="0035688D" w:rsidRDefault="0035688D" w:rsidP="0035688D">
            <w:pPr>
              <w:jc w:val="right"/>
              <w:rPr>
                <w:rFonts w:eastAsia="Times New Roman" w:cstheme="minorHAnsi"/>
                <w:sz w:val="20"/>
                <w:szCs w:val="20"/>
              </w:rPr>
            </w:pPr>
          </w:p>
        </w:tc>
        <w:tc>
          <w:tcPr>
            <w:tcW w:w="1098" w:type="dxa"/>
          </w:tcPr>
          <w:p w:rsidR="0035688D" w:rsidRPr="0035688D" w:rsidRDefault="0035688D" w:rsidP="0035688D">
            <w:pPr>
              <w:jc w:val="right"/>
              <w:rPr>
                <w:rFonts w:eastAsia="Times New Roman" w:cstheme="minorHAnsi"/>
                <w:sz w:val="20"/>
                <w:szCs w:val="20"/>
              </w:rPr>
            </w:pPr>
          </w:p>
        </w:tc>
      </w:tr>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p>
        </w:tc>
        <w:tc>
          <w:tcPr>
            <w:tcW w:w="1436" w:type="dxa"/>
            <w:shd w:val="clear" w:color="auto" w:fill="FFFF99"/>
          </w:tcPr>
          <w:p w:rsidR="0035688D" w:rsidRPr="0035688D" w:rsidRDefault="0035688D" w:rsidP="0035688D">
            <w:pPr>
              <w:rPr>
                <w:rFonts w:eastAsia="Times New Roman" w:cstheme="minorHAnsi"/>
                <w:sz w:val="20"/>
                <w:szCs w:val="20"/>
              </w:rPr>
            </w:pPr>
          </w:p>
        </w:tc>
        <w:tc>
          <w:tcPr>
            <w:tcW w:w="2249"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Water</w:t>
            </w:r>
          </w:p>
        </w:tc>
        <w:tc>
          <w:tcPr>
            <w:tcW w:w="99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668</w:t>
            </w:r>
          </w:p>
        </w:tc>
        <w:tc>
          <w:tcPr>
            <w:tcW w:w="993"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177</w:t>
            </w:r>
          </w:p>
        </w:tc>
        <w:tc>
          <w:tcPr>
            <w:tcW w:w="747"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845</w:t>
            </w:r>
          </w:p>
        </w:tc>
        <w:tc>
          <w:tcPr>
            <w:tcW w:w="1042" w:type="dxa"/>
          </w:tcPr>
          <w:p w:rsidR="0035688D" w:rsidRPr="0035688D" w:rsidRDefault="0035688D" w:rsidP="0035688D">
            <w:pPr>
              <w:jc w:val="right"/>
              <w:rPr>
                <w:rFonts w:eastAsia="Times New Roman" w:cstheme="minorHAnsi"/>
                <w:sz w:val="20"/>
                <w:szCs w:val="20"/>
              </w:rPr>
            </w:pPr>
          </w:p>
        </w:tc>
        <w:tc>
          <w:tcPr>
            <w:tcW w:w="1098" w:type="dxa"/>
          </w:tcPr>
          <w:p w:rsidR="0035688D" w:rsidRPr="0035688D" w:rsidRDefault="0035688D" w:rsidP="0035688D">
            <w:pPr>
              <w:jc w:val="right"/>
              <w:rPr>
                <w:rFonts w:eastAsia="Times New Roman" w:cstheme="minorHAnsi"/>
                <w:sz w:val="20"/>
                <w:szCs w:val="20"/>
              </w:rPr>
            </w:pPr>
          </w:p>
        </w:tc>
      </w:tr>
      <w:tr w:rsidR="007704F5" w:rsidRPr="0035688D" w:rsidTr="007704F5">
        <w:tc>
          <w:tcPr>
            <w:tcW w:w="1101" w:type="dxa"/>
            <w:shd w:val="clear" w:color="auto" w:fill="FFFF99"/>
          </w:tcPr>
          <w:p w:rsidR="0035688D" w:rsidRPr="0035688D" w:rsidRDefault="0035688D" w:rsidP="0035688D">
            <w:pPr>
              <w:rPr>
                <w:rFonts w:eastAsia="Times New Roman" w:cstheme="minorHAnsi"/>
                <w:sz w:val="20"/>
                <w:szCs w:val="20"/>
              </w:rPr>
            </w:pPr>
          </w:p>
        </w:tc>
        <w:tc>
          <w:tcPr>
            <w:tcW w:w="1436" w:type="dxa"/>
            <w:shd w:val="clear" w:color="auto" w:fill="FFFF99"/>
          </w:tcPr>
          <w:p w:rsidR="0035688D" w:rsidRPr="0035688D" w:rsidRDefault="0035688D" w:rsidP="0035688D">
            <w:pPr>
              <w:rPr>
                <w:rFonts w:eastAsia="Times New Roman" w:cstheme="minorHAnsi"/>
                <w:sz w:val="20"/>
                <w:szCs w:val="20"/>
              </w:rPr>
            </w:pPr>
          </w:p>
        </w:tc>
        <w:tc>
          <w:tcPr>
            <w:tcW w:w="2249" w:type="dxa"/>
            <w:shd w:val="clear" w:color="auto" w:fill="FFFF99"/>
          </w:tcPr>
          <w:p w:rsidR="0035688D" w:rsidRPr="0035688D" w:rsidRDefault="0035688D" w:rsidP="0035688D">
            <w:pPr>
              <w:rPr>
                <w:rFonts w:eastAsia="Times New Roman" w:cstheme="minorHAnsi"/>
                <w:sz w:val="20"/>
                <w:szCs w:val="20"/>
              </w:rPr>
            </w:pPr>
            <w:r w:rsidRPr="0035688D">
              <w:rPr>
                <w:rFonts w:eastAsia="Times New Roman" w:cstheme="minorHAnsi"/>
                <w:sz w:val="20"/>
                <w:szCs w:val="20"/>
              </w:rPr>
              <w:t>Industrial waste</w:t>
            </w:r>
          </w:p>
        </w:tc>
        <w:tc>
          <w:tcPr>
            <w:tcW w:w="992"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159</w:t>
            </w:r>
          </w:p>
        </w:tc>
        <w:tc>
          <w:tcPr>
            <w:tcW w:w="993"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159</w:t>
            </w:r>
          </w:p>
        </w:tc>
        <w:tc>
          <w:tcPr>
            <w:tcW w:w="747" w:type="dxa"/>
          </w:tcPr>
          <w:p w:rsidR="0035688D" w:rsidRPr="0035688D" w:rsidRDefault="0035688D" w:rsidP="0035688D">
            <w:pPr>
              <w:jc w:val="right"/>
              <w:rPr>
                <w:rFonts w:eastAsia="Times New Roman" w:cstheme="minorHAnsi"/>
                <w:sz w:val="20"/>
                <w:szCs w:val="20"/>
              </w:rPr>
            </w:pPr>
            <w:r w:rsidRPr="0035688D">
              <w:rPr>
                <w:rFonts w:eastAsia="Times New Roman" w:cstheme="minorHAnsi"/>
                <w:sz w:val="20"/>
                <w:szCs w:val="20"/>
              </w:rPr>
              <w:t>318</w:t>
            </w:r>
          </w:p>
        </w:tc>
        <w:tc>
          <w:tcPr>
            <w:tcW w:w="1042" w:type="dxa"/>
          </w:tcPr>
          <w:p w:rsidR="0035688D" w:rsidRPr="0035688D" w:rsidRDefault="0035688D" w:rsidP="0035688D">
            <w:pPr>
              <w:jc w:val="right"/>
              <w:rPr>
                <w:rFonts w:eastAsia="Times New Roman" w:cstheme="minorHAnsi"/>
                <w:sz w:val="20"/>
                <w:szCs w:val="20"/>
              </w:rPr>
            </w:pPr>
          </w:p>
        </w:tc>
        <w:tc>
          <w:tcPr>
            <w:tcW w:w="1098" w:type="dxa"/>
          </w:tcPr>
          <w:p w:rsidR="0035688D" w:rsidRPr="0035688D" w:rsidRDefault="0035688D" w:rsidP="0035688D">
            <w:pPr>
              <w:jc w:val="right"/>
              <w:rPr>
                <w:rFonts w:eastAsia="Times New Roman" w:cstheme="minorHAnsi"/>
                <w:sz w:val="20"/>
                <w:szCs w:val="20"/>
              </w:rPr>
            </w:pPr>
          </w:p>
        </w:tc>
      </w:tr>
    </w:tbl>
    <w:p w:rsidR="0035688D" w:rsidRDefault="0035688D" w:rsidP="00D24D53">
      <w:pPr>
        <w:rPr>
          <w:rStyle w:val="Hyperlink"/>
          <w:rFonts w:eastAsia="Times New Roman"/>
          <w:lang w:val="fr-FR"/>
        </w:rPr>
      </w:pPr>
      <w:r w:rsidRPr="00D24D53">
        <w:rPr>
          <w:rFonts w:eastAsia="Times New Roman"/>
          <w:lang w:val="fr-FR"/>
        </w:rPr>
        <w:t xml:space="preserve">Source: </w:t>
      </w:r>
      <w:hyperlink r:id="rId53" w:history="1">
        <w:r w:rsidR="00D24D53" w:rsidRPr="00D24D53">
          <w:rPr>
            <w:rStyle w:val="Hyperlink"/>
            <w:rFonts w:eastAsia="Times New Roman"/>
            <w:lang w:val="fr-FR"/>
          </w:rPr>
          <w:t>FCC Annual Report 2011</w:t>
        </w:r>
      </w:hyperlink>
    </w:p>
    <w:p w:rsidR="009445AD" w:rsidRPr="00D24D53" w:rsidRDefault="009445AD" w:rsidP="00D24D53">
      <w:pPr>
        <w:rPr>
          <w:iCs/>
          <w:lang w:val="fr-FR"/>
        </w:rPr>
      </w:pPr>
    </w:p>
    <w:p w:rsidR="00F41A9A" w:rsidRDefault="00F41A9A" w:rsidP="00F41A9A">
      <w:pPr>
        <w:pStyle w:val="Heading3"/>
      </w:pPr>
      <w:bookmarkStart w:id="24" w:name="_Toc336267601"/>
      <w:r w:rsidRPr="00F41A9A">
        <w:t>Van Gansewinkel/AVR</w:t>
      </w:r>
      <w:bookmarkEnd w:id="24"/>
    </w:p>
    <w:p w:rsidR="00CC780D" w:rsidRDefault="00CC780D" w:rsidP="00F00E29"/>
    <w:p w:rsidR="00373201" w:rsidRDefault="00F41A9A" w:rsidP="00862986">
      <w:pPr>
        <w:autoSpaceDE w:val="0"/>
        <w:autoSpaceDN w:val="0"/>
        <w:adjustRightInd w:val="0"/>
        <w:rPr>
          <w:bCs/>
          <w:iCs/>
        </w:rPr>
      </w:pPr>
      <w:r w:rsidRPr="00F41A9A">
        <w:rPr>
          <w:iCs/>
        </w:rPr>
        <w:t xml:space="preserve">The group </w:t>
      </w:r>
      <w:r w:rsidR="00862986">
        <w:rPr>
          <w:iCs/>
        </w:rPr>
        <w:t>was bought in 2007 by</w:t>
      </w:r>
      <w:r w:rsidRPr="00F41A9A">
        <w:rPr>
          <w:iCs/>
        </w:rPr>
        <w:t xml:space="preserve"> two private equity funds, KKR and CVC. </w:t>
      </w:r>
      <w:r w:rsidR="00862986">
        <w:rPr>
          <w:rFonts w:ascii="CorporateA-Light" w:eastAsia="Times New Roman" w:hAnsi="CorporateA-Light" w:cs="CorporateA-Light"/>
          <w:sz w:val="20"/>
          <w:szCs w:val="20"/>
        </w:rPr>
        <w:t>CVC own 38.2%, KKR own  32.5%, and the remaining shares are owned by Oranje-Nassau Groep (6.9%), Intermediate Capital Group (6.4%) and company management (16%).</w:t>
      </w:r>
      <w:r w:rsidRPr="00F41A9A">
        <w:rPr>
          <w:iCs/>
        </w:rPr>
        <w:t xml:space="preserve"> The Van Gansewinkel name remains as the brand covering the company’s waste collection services whilst the AVR brand stays to include all of the organisation’s treatment activities.  AVR - Van Gansewinkel operates in nine countries (the Benelux, Poland, the Czech Republic, France, England, Ireland and Portugal). </w:t>
      </w:r>
    </w:p>
    <w:p w:rsidR="00862986" w:rsidRDefault="00862986" w:rsidP="000343C2">
      <w:pPr>
        <w:jc w:val="both"/>
        <w:rPr>
          <w:bCs/>
          <w:iCs/>
        </w:rPr>
      </w:pPr>
    </w:p>
    <w:p w:rsidR="000343C2" w:rsidRDefault="00F41A9A" w:rsidP="000343C2">
      <w:pPr>
        <w:jc w:val="both"/>
        <w:rPr>
          <w:bCs/>
          <w:iCs/>
        </w:rPr>
      </w:pPr>
      <w:r w:rsidRPr="00F41A9A">
        <w:rPr>
          <w:bCs/>
          <w:iCs/>
        </w:rPr>
        <w:t xml:space="preserve">The group </w:t>
      </w:r>
      <w:r w:rsidR="00373201">
        <w:rPr>
          <w:bCs/>
          <w:iCs/>
        </w:rPr>
        <w:t xml:space="preserve">has problems in dealing with the changes in market conditions and with the debt it carries because of the PE takeover. </w:t>
      </w:r>
    </w:p>
    <w:p w:rsidR="000343C2" w:rsidRPr="000343C2" w:rsidRDefault="00373201" w:rsidP="000343C2">
      <w:pPr>
        <w:pStyle w:val="ListParagraph"/>
        <w:numPr>
          <w:ilvl w:val="0"/>
          <w:numId w:val="29"/>
        </w:numPr>
        <w:jc w:val="both"/>
        <w:rPr>
          <w:bCs/>
          <w:iCs/>
        </w:rPr>
      </w:pPr>
      <w:r w:rsidRPr="000343C2">
        <w:rPr>
          <w:bCs/>
          <w:iCs/>
        </w:rPr>
        <w:t xml:space="preserve">It </w:t>
      </w:r>
      <w:r w:rsidR="00F41A9A" w:rsidRPr="000343C2">
        <w:rPr>
          <w:bCs/>
          <w:iCs/>
        </w:rPr>
        <w:t xml:space="preserve">closed a waste processing plant in 2009, with the loss of 128 jobs, citing a drastic fall in the prices obtained for secondary materials and processing over-capacity in Europe. </w:t>
      </w:r>
    </w:p>
    <w:p w:rsidR="000343C2" w:rsidRPr="000343C2" w:rsidRDefault="00373201" w:rsidP="000343C2">
      <w:pPr>
        <w:pStyle w:val="ListParagraph"/>
        <w:numPr>
          <w:ilvl w:val="0"/>
          <w:numId w:val="29"/>
        </w:numPr>
        <w:jc w:val="both"/>
        <w:rPr>
          <w:bCs/>
          <w:iCs/>
        </w:rPr>
      </w:pPr>
      <w:r w:rsidRPr="000343C2">
        <w:rPr>
          <w:bCs/>
          <w:iCs/>
        </w:rPr>
        <w:t xml:space="preserve">In 2010 it closed one of its 3 incineration plants. </w:t>
      </w:r>
      <w:r w:rsidR="000343C2" w:rsidRPr="000343C2">
        <w:rPr>
          <w:bCs/>
          <w:iCs/>
        </w:rPr>
        <w:t xml:space="preserve">In 2011, the group bought the waste business of Veolia in Belgium. It also says that its profitability was cut by €30m. </w:t>
      </w:r>
    </w:p>
    <w:p w:rsidR="000343C2" w:rsidRPr="000343C2" w:rsidRDefault="000343C2" w:rsidP="000343C2">
      <w:pPr>
        <w:pStyle w:val="ListParagraph"/>
        <w:numPr>
          <w:ilvl w:val="0"/>
          <w:numId w:val="29"/>
        </w:numPr>
        <w:jc w:val="both"/>
        <w:rPr>
          <w:bCs/>
          <w:iCs/>
        </w:rPr>
      </w:pPr>
      <w:r w:rsidRPr="000343C2">
        <w:rPr>
          <w:bCs/>
          <w:iCs/>
        </w:rPr>
        <w:t xml:space="preserve">In 2011 because of competition, which it dealt with by: “the vigorous efficiency programme Fit for the Future throughout the entire Group, which served to limit the drop in our profit margin. We </w:t>
      </w:r>
      <w:r w:rsidRPr="000343C2">
        <w:rPr>
          <w:bCs/>
          <w:iCs/>
        </w:rPr>
        <w:lastRenderedPageBreak/>
        <w:t xml:space="preserve">succeeded in realising the savings targeted with that programme: truly an outstanding achievement.” </w:t>
      </w:r>
    </w:p>
    <w:p w:rsidR="000343C2" w:rsidRPr="000343C2" w:rsidRDefault="000343C2" w:rsidP="000343C2">
      <w:pPr>
        <w:pStyle w:val="ListParagraph"/>
        <w:numPr>
          <w:ilvl w:val="0"/>
          <w:numId w:val="29"/>
        </w:numPr>
        <w:jc w:val="both"/>
        <w:rPr>
          <w:bCs/>
          <w:iCs/>
        </w:rPr>
      </w:pPr>
      <w:r w:rsidRPr="000343C2">
        <w:rPr>
          <w:bCs/>
          <w:iCs/>
        </w:rPr>
        <w:t>It had to renegotiate its debt with its banks in 2011 but is under pressure to reduce its debt further.</w:t>
      </w:r>
    </w:p>
    <w:p w:rsidR="00373201" w:rsidRPr="000343C2" w:rsidRDefault="00373201" w:rsidP="000343C2">
      <w:pPr>
        <w:pStyle w:val="ListParagraph"/>
        <w:numPr>
          <w:ilvl w:val="0"/>
          <w:numId w:val="29"/>
        </w:numPr>
        <w:jc w:val="both"/>
        <w:rPr>
          <w:bCs/>
          <w:iCs/>
        </w:rPr>
      </w:pPr>
      <w:r w:rsidRPr="000343C2">
        <w:rPr>
          <w:bCs/>
          <w:iCs/>
        </w:rPr>
        <w:t>In 2012 it now takes the view that incineration is no longer the main growth area:</w:t>
      </w:r>
    </w:p>
    <w:p w:rsidR="00373201" w:rsidRDefault="00373201" w:rsidP="00373201">
      <w:pPr>
        <w:ind w:left="720"/>
        <w:jc w:val="both"/>
        <w:rPr>
          <w:bCs/>
          <w:iCs/>
        </w:rPr>
      </w:pPr>
      <w:r>
        <w:rPr>
          <w:bCs/>
          <w:iCs/>
        </w:rPr>
        <w:t>“</w:t>
      </w:r>
      <w:r w:rsidRPr="00373201">
        <w:rPr>
          <w:bCs/>
          <w:iCs/>
        </w:rPr>
        <w:t>Regrettably, we were unable to sufficiently compensate</w:t>
      </w:r>
      <w:r>
        <w:rPr>
          <w:bCs/>
          <w:iCs/>
        </w:rPr>
        <w:t xml:space="preserve"> </w:t>
      </w:r>
      <w:r w:rsidRPr="00373201">
        <w:rPr>
          <w:bCs/>
          <w:iCs/>
        </w:rPr>
        <w:t>the erosion of rates at the Dutch collection activities.</w:t>
      </w:r>
      <w:r>
        <w:rPr>
          <w:bCs/>
          <w:iCs/>
        </w:rPr>
        <w:t xml:space="preserve"> </w:t>
      </w:r>
      <w:r w:rsidRPr="00373201">
        <w:rPr>
          <w:bCs/>
          <w:iCs/>
        </w:rPr>
        <w:t>The prices are under pressure as a result of the overcapacity</w:t>
      </w:r>
      <w:r>
        <w:rPr>
          <w:bCs/>
          <w:iCs/>
        </w:rPr>
        <w:t xml:space="preserve"> </w:t>
      </w:r>
      <w:r w:rsidRPr="00373201">
        <w:rPr>
          <w:bCs/>
          <w:iCs/>
        </w:rPr>
        <w:t>in the incineration market. Van Gansewinkel</w:t>
      </w:r>
      <w:r>
        <w:rPr>
          <w:bCs/>
          <w:iCs/>
        </w:rPr>
        <w:t xml:space="preserve"> </w:t>
      </w:r>
      <w:r w:rsidRPr="00373201">
        <w:rPr>
          <w:bCs/>
          <w:iCs/>
        </w:rPr>
        <w:t>expects this market to regain more balance in the future,</w:t>
      </w:r>
      <w:r>
        <w:rPr>
          <w:bCs/>
          <w:iCs/>
        </w:rPr>
        <w:t xml:space="preserve"> </w:t>
      </w:r>
      <w:r w:rsidRPr="00373201">
        <w:rPr>
          <w:bCs/>
          <w:iCs/>
        </w:rPr>
        <w:t>as a result of the considerable volumes of waste</w:t>
      </w:r>
      <w:r>
        <w:rPr>
          <w:bCs/>
          <w:iCs/>
        </w:rPr>
        <w:t xml:space="preserve"> </w:t>
      </w:r>
      <w:r w:rsidRPr="00373201">
        <w:rPr>
          <w:bCs/>
          <w:iCs/>
        </w:rPr>
        <w:t>imported from abroad. This is good and a cause for optimism</w:t>
      </w:r>
      <w:r>
        <w:rPr>
          <w:bCs/>
          <w:iCs/>
        </w:rPr>
        <w:t xml:space="preserve"> </w:t>
      </w:r>
      <w:r w:rsidRPr="00373201">
        <w:rPr>
          <w:bCs/>
          <w:iCs/>
        </w:rPr>
        <w:t>in the short term. However, in the long term it</w:t>
      </w:r>
      <w:r>
        <w:rPr>
          <w:bCs/>
          <w:iCs/>
        </w:rPr>
        <w:t xml:space="preserve"> </w:t>
      </w:r>
      <w:r w:rsidRPr="00373201">
        <w:rPr>
          <w:bCs/>
          <w:iCs/>
        </w:rPr>
        <w:t>does not offer a proper structural solution. T he global</w:t>
      </w:r>
      <w:r>
        <w:rPr>
          <w:bCs/>
          <w:iCs/>
        </w:rPr>
        <w:t xml:space="preserve"> </w:t>
      </w:r>
      <w:r w:rsidRPr="00373201">
        <w:rPr>
          <w:bCs/>
          <w:iCs/>
        </w:rPr>
        <w:t>scarcity of raw materials will cause the importance of</w:t>
      </w:r>
      <w:r>
        <w:rPr>
          <w:bCs/>
          <w:iCs/>
        </w:rPr>
        <w:t xml:space="preserve"> </w:t>
      </w:r>
      <w:r w:rsidRPr="00373201">
        <w:rPr>
          <w:bCs/>
          <w:iCs/>
        </w:rPr>
        <w:t>waste incineration to diminish and that of high-quality</w:t>
      </w:r>
      <w:r>
        <w:rPr>
          <w:bCs/>
          <w:iCs/>
        </w:rPr>
        <w:t xml:space="preserve"> </w:t>
      </w:r>
      <w:r w:rsidRPr="00373201">
        <w:rPr>
          <w:bCs/>
          <w:iCs/>
        </w:rPr>
        <w:t>reuse of materials to increase.</w:t>
      </w:r>
      <w:r>
        <w:rPr>
          <w:bCs/>
          <w:iCs/>
        </w:rPr>
        <w:t xml:space="preserve"> </w:t>
      </w:r>
      <w:r w:rsidRPr="00373201">
        <w:rPr>
          <w:bCs/>
          <w:iCs/>
        </w:rPr>
        <w:t>In our view, the latter argument is the main reason for</w:t>
      </w:r>
      <w:r>
        <w:rPr>
          <w:bCs/>
          <w:iCs/>
        </w:rPr>
        <w:t xml:space="preserve"> </w:t>
      </w:r>
      <w:r w:rsidRPr="00373201">
        <w:rPr>
          <w:bCs/>
          <w:iCs/>
        </w:rPr>
        <w:t>structurally phasing out capacity in the Netherlands.</w:t>
      </w:r>
      <w:r>
        <w:rPr>
          <w:bCs/>
          <w:iCs/>
        </w:rPr>
        <w:t xml:space="preserve"> </w:t>
      </w:r>
      <w:r w:rsidRPr="00373201">
        <w:rPr>
          <w:bCs/>
          <w:iCs/>
        </w:rPr>
        <w:t>Waste incineration will become less important in our</w:t>
      </w:r>
      <w:r>
        <w:rPr>
          <w:bCs/>
          <w:iCs/>
        </w:rPr>
        <w:t xml:space="preserve"> </w:t>
      </w:r>
      <w:r w:rsidRPr="00373201">
        <w:rPr>
          <w:bCs/>
          <w:iCs/>
        </w:rPr>
        <w:t>industry.</w:t>
      </w:r>
      <w:r>
        <w:rPr>
          <w:bCs/>
          <w:iCs/>
        </w:rPr>
        <w:t xml:space="preserve"> </w:t>
      </w:r>
      <w:r w:rsidRPr="00373201">
        <w:rPr>
          <w:bCs/>
          <w:iCs/>
        </w:rPr>
        <w:t>As a consequence, plants not located centrally,</w:t>
      </w:r>
      <w:r>
        <w:rPr>
          <w:bCs/>
          <w:iCs/>
        </w:rPr>
        <w:t xml:space="preserve"> </w:t>
      </w:r>
      <w:r w:rsidRPr="00373201">
        <w:rPr>
          <w:bCs/>
          <w:iCs/>
        </w:rPr>
        <w:t>that lack the necessary scale and have limited possibilities</w:t>
      </w:r>
      <w:r>
        <w:rPr>
          <w:bCs/>
          <w:iCs/>
        </w:rPr>
        <w:t xml:space="preserve"> </w:t>
      </w:r>
      <w:r w:rsidRPr="00373201">
        <w:rPr>
          <w:bCs/>
          <w:iCs/>
        </w:rPr>
        <w:t>to access grids for heating (households) and steam</w:t>
      </w:r>
      <w:r>
        <w:rPr>
          <w:bCs/>
          <w:iCs/>
        </w:rPr>
        <w:t xml:space="preserve"> </w:t>
      </w:r>
      <w:r w:rsidRPr="00373201">
        <w:rPr>
          <w:bCs/>
          <w:iCs/>
        </w:rPr>
        <w:t>(businesses), will be particularly concerned about the</w:t>
      </w:r>
      <w:r>
        <w:rPr>
          <w:bCs/>
          <w:iCs/>
        </w:rPr>
        <w:t xml:space="preserve"> </w:t>
      </w:r>
      <w:r w:rsidRPr="00373201">
        <w:rPr>
          <w:bCs/>
          <w:iCs/>
        </w:rPr>
        <w:t>future.</w:t>
      </w:r>
      <w:r>
        <w:rPr>
          <w:bCs/>
          <w:iCs/>
        </w:rPr>
        <w:t xml:space="preserve">” </w:t>
      </w:r>
      <w:r w:rsidR="000343C2">
        <w:rPr>
          <w:rStyle w:val="EndnoteReference"/>
          <w:bCs/>
          <w:iCs/>
        </w:rPr>
        <w:endnoteReference w:id="7"/>
      </w:r>
      <w:r>
        <w:rPr>
          <w:bCs/>
          <w:iCs/>
        </w:rPr>
        <w:t xml:space="preserve">  </w:t>
      </w:r>
    </w:p>
    <w:p w:rsidR="00862986" w:rsidRDefault="00862986" w:rsidP="00F41A9A">
      <w:pPr>
        <w:jc w:val="both"/>
        <w:rPr>
          <w:bCs/>
          <w:iCs/>
        </w:rPr>
      </w:pPr>
    </w:p>
    <w:p w:rsidR="00F41A9A" w:rsidRDefault="00F41A9A" w:rsidP="00F41A9A">
      <w:pPr>
        <w:jc w:val="both"/>
        <w:rPr>
          <w:bCs/>
          <w:iCs/>
        </w:rPr>
      </w:pPr>
      <w:r w:rsidRPr="00F41A9A">
        <w:rPr>
          <w:bCs/>
          <w:iCs/>
        </w:rPr>
        <w:t>In 2012 there was a split on the board of directors when the independent directors opposed the appointment of Cees van Gent as CEO, who was seen as a ‘hard man’ chosen by KKR and CVC, but the directors were forced to resign and</w:t>
      </w:r>
      <w:r w:rsidR="00373201">
        <w:rPr>
          <w:bCs/>
          <w:iCs/>
        </w:rPr>
        <w:t xml:space="preserve"> Van Gent was appointed as CEO.</w:t>
      </w:r>
    </w:p>
    <w:p w:rsidR="00925572" w:rsidRDefault="00925572" w:rsidP="00F41A9A">
      <w:pPr>
        <w:jc w:val="both"/>
        <w:rPr>
          <w:bCs/>
          <w:iCs/>
        </w:rPr>
      </w:pPr>
    </w:p>
    <w:p w:rsidR="009445AD" w:rsidRDefault="009445AD" w:rsidP="00F41A9A">
      <w:pPr>
        <w:jc w:val="both"/>
        <w:rPr>
          <w:bCs/>
          <w:iCs/>
        </w:rPr>
      </w:pPr>
    </w:p>
    <w:p w:rsidR="009445AD" w:rsidRDefault="009445AD" w:rsidP="00F41A9A">
      <w:pPr>
        <w:jc w:val="both"/>
        <w:rPr>
          <w:bCs/>
          <w:iCs/>
        </w:rPr>
      </w:pPr>
    </w:p>
    <w:p w:rsidR="009C5510" w:rsidRDefault="00C71D47" w:rsidP="009C5510">
      <w:pPr>
        <w:pStyle w:val="Heading1"/>
      </w:pPr>
      <w:bookmarkStart w:id="25" w:name="_Toc336267602"/>
      <w:r>
        <w:t>Employment</w:t>
      </w:r>
      <w:bookmarkEnd w:id="25"/>
    </w:p>
    <w:p w:rsidR="009F369B" w:rsidRDefault="008A39C6" w:rsidP="009B7F90">
      <w:pPr>
        <w:pStyle w:val="Heading2"/>
      </w:pPr>
      <w:bookmarkStart w:id="26" w:name="_Toc336267603"/>
      <w:r>
        <w:t>E</w:t>
      </w:r>
      <w:r w:rsidR="009B7F90">
        <w:t>mployment in waste management</w:t>
      </w:r>
      <w:r>
        <w:t xml:space="preserve"> in EU countries</w:t>
      </w:r>
      <w:bookmarkEnd w:id="26"/>
    </w:p>
    <w:p w:rsidR="00136A4D" w:rsidRDefault="00D554CC" w:rsidP="00D554CC">
      <w:pPr>
        <w:rPr>
          <w:lang w:eastAsia="en-US"/>
        </w:rPr>
      </w:pPr>
      <w:r>
        <w:rPr>
          <w:lang w:eastAsia="en-US"/>
        </w:rPr>
        <w:t>The lates</w:t>
      </w:r>
      <w:r w:rsidR="00BA7B12">
        <w:rPr>
          <w:lang w:eastAsia="en-US"/>
        </w:rPr>
        <w:t>t Eurostat data shows that over 900,000</w:t>
      </w:r>
      <w:r>
        <w:rPr>
          <w:lang w:eastAsia="en-US"/>
        </w:rPr>
        <w:t xml:space="preserve"> people are employed in the waste sector across the EU,</w:t>
      </w:r>
      <w:r w:rsidR="00BA7B12">
        <w:rPr>
          <w:lang w:eastAsia="en-US"/>
        </w:rPr>
        <w:t xml:space="preserve"> including in materials recovery. This represents about 0.44% of the total numbers employed in the EU as a whole</w:t>
      </w:r>
      <w:r w:rsidR="00F16831">
        <w:rPr>
          <w:lang w:eastAsia="en-US"/>
        </w:rPr>
        <w:t xml:space="preserve">, but the </w:t>
      </w:r>
      <w:r w:rsidR="00BA7B12">
        <w:rPr>
          <w:lang w:eastAsia="en-US"/>
        </w:rPr>
        <w:t xml:space="preserve">percentage varies across countries. </w:t>
      </w:r>
    </w:p>
    <w:p w:rsidR="002F1E7C" w:rsidRDefault="002F1E7C" w:rsidP="00D554CC">
      <w:pPr>
        <w:rPr>
          <w:lang w:eastAsia="en-US"/>
        </w:rPr>
      </w:pPr>
    </w:p>
    <w:p w:rsidR="00D554CC" w:rsidRDefault="00BA7B12" w:rsidP="00D554CC">
      <w:pPr>
        <w:rPr>
          <w:lang w:eastAsia="en-US"/>
        </w:rPr>
      </w:pPr>
      <w:r>
        <w:rPr>
          <w:lang w:eastAsia="en-US"/>
        </w:rPr>
        <w:t xml:space="preserve"> In the EU as a whole, employment in this sector </w:t>
      </w:r>
      <w:r w:rsidR="009D737F">
        <w:rPr>
          <w:lang w:eastAsia="en-US"/>
        </w:rPr>
        <w:t>apparently</w:t>
      </w:r>
      <w:r w:rsidR="00136A4D">
        <w:rPr>
          <w:lang w:eastAsia="en-US"/>
        </w:rPr>
        <w:t xml:space="preserve"> fell sharply </w:t>
      </w:r>
      <w:r w:rsidR="009D737F">
        <w:rPr>
          <w:lang w:eastAsia="en-US"/>
        </w:rPr>
        <w:t xml:space="preserve">between </w:t>
      </w:r>
      <w:r w:rsidR="00136A4D">
        <w:rPr>
          <w:lang w:eastAsia="en-US"/>
        </w:rPr>
        <w:t>2008</w:t>
      </w:r>
      <w:r w:rsidR="009D737F">
        <w:rPr>
          <w:lang w:eastAsia="en-US"/>
        </w:rPr>
        <w:t xml:space="preserve"> and 2009</w:t>
      </w:r>
      <w:r w:rsidR="00136A4D">
        <w:rPr>
          <w:lang w:eastAsia="en-US"/>
        </w:rPr>
        <w:t xml:space="preserve">, but </w:t>
      </w:r>
      <w:r w:rsidR="009D737F">
        <w:rPr>
          <w:lang w:eastAsia="en-US"/>
        </w:rPr>
        <w:t xml:space="preserve">all of this was due to a very sharp fall in the UK figures – for the rest of the EU, employment in the sector continued to rise, and </w:t>
      </w:r>
      <w:r w:rsidR="004B6DE7">
        <w:rPr>
          <w:lang w:eastAsia="en-US"/>
        </w:rPr>
        <w:t>rose</w:t>
      </w:r>
      <w:r w:rsidR="00136A4D">
        <w:rPr>
          <w:lang w:eastAsia="en-US"/>
        </w:rPr>
        <w:t xml:space="preserve"> </w:t>
      </w:r>
      <w:r w:rsidR="009D737F">
        <w:rPr>
          <w:lang w:eastAsia="en-US"/>
        </w:rPr>
        <w:t>even more sharply</w:t>
      </w:r>
      <w:r w:rsidR="00136A4D">
        <w:rPr>
          <w:lang w:eastAsia="en-US"/>
        </w:rPr>
        <w:t xml:space="preserve"> between 2010 and 2011.   </w:t>
      </w:r>
      <w:r w:rsidR="004B6DE7">
        <w:rPr>
          <w:lang w:eastAsia="en-US"/>
        </w:rPr>
        <w:t>I</w:t>
      </w:r>
      <w:r w:rsidR="00136A4D">
        <w:rPr>
          <w:lang w:eastAsia="en-US"/>
        </w:rPr>
        <w:t xml:space="preserve">ndividual countries </w:t>
      </w:r>
      <w:r w:rsidR="004B6DE7">
        <w:rPr>
          <w:lang w:eastAsia="en-US"/>
        </w:rPr>
        <w:t xml:space="preserve">other than the UK followed </w:t>
      </w:r>
      <w:r w:rsidR="00F16831">
        <w:rPr>
          <w:lang w:eastAsia="en-US"/>
        </w:rPr>
        <w:t>a range of different patterns</w:t>
      </w:r>
      <w:r w:rsidR="0046472F">
        <w:rPr>
          <w:lang w:eastAsia="en-US"/>
        </w:rPr>
        <w:t>, as can be seen in the table and the chart</w:t>
      </w:r>
      <w:r w:rsidR="00F16831">
        <w:rPr>
          <w:lang w:eastAsia="en-US"/>
        </w:rPr>
        <w:t xml:space="preserve">: in Germany and France there was little or no fall, followed by a rise; in Italy, there was a steep rise, followed by a </w:t>
      </w:r>
      <w:r w:rsidR="004B6DE7">
        <w:rPr>
          <w:lang w:eastAsia="en-US"/>
        </w:rPr>
        <w:t xml:space="preserve">sharp </w:t>
      </w:r>
      <w:r w:rsidR="00F16831">
        <w:rPr>
          <w:lang w:eastAsia="en-US"/>
        </w:rPr>
        <w:t>fall; in Spain and Poland, there was a rise in 2009, a fall in 2010, and a rise in 2011; in both Greece and Hungary, there was a steady rise followed by a sharp fall in 2011</w:t>
      </w:r>
      <w:r w:rsidR="00FD10E4">
        <w:rPr>
          <w:lang w:eastAsia="en-US"/>
        </w:rPr>
        <w:t>; in Turkey, the extremely sharp rise may reflect the introduction of EU legislation</w:t>
      </w:r>
      <w:r w:rsidR="0046472F">
        <w:rPr>
          <w:lang w:eastAsia="en-US"/>
        </w:rPr>
        <w:t xml:space="preserve"> in the sector</w:t>
      </w:r>
      <w:r w:rsidR="00FD10E4">
        <w:rPr>
          <w:lang w:eastAsia="en-US"/>
        </w:rPr>
        <w:t>.</w:t>
      </w:r>
    </w:p>
    <w:p w:rsidR="002F1E7C" w:rsidRDefault="002F1E7C" w:rsidP="00D554CC">
      <w:pPr>
        <w:rPr>
          <w:lang w:eastAsia="en-US"/>
        </w:rPr>
      </w:pPr>
    </w:p>
    <w:p w:rsidR="00F16831" w:rsidRDefault="00F16831" w:rsidP="00D554CC">
      <w:pPr>
        <w:rPr>
          <w:lang w:eastAsia="en-US"/>
        </w:rPr>
      </w:pPr>
      <w:r>
        <w:rPr>
          <w:lang w:eastAsia="en-US"/>
        </w:rPr>
        <w:t xml:space="preserve">The variations </w:t>
      </w:r>
      <w:r w:rsidR="00C41130">
        <w:rPr>
          <w:lang w:eastAsia="en-US"/>
        </w:rPr>
        <w:t xml:space="preserve">between countries </w:t>
      </w:r>
      <w:r>
        <w:rPr>
          <w:lang w:eastAsia="en-US"/>
        </w:rPr>
        <w:t>may be partly due to people using diffe</w:t>
      </w:r>
      <w:r w:rsidR="00C41130">
        <w:rPr>
          <w:lang w:eastAsia="en-US"/>
        </w:rPr>
        <w:t xml:space="preserve">rent definitions of the sector, but this is less likely to change within each country over the space of a few years. </w:t>
      </w:r>
      <w:r w:rsidR="0015143C">
        <w:rPr>
          <w:lang w:eastAsia="en-US"/>
        </w:rPr>
        <w:t>So this variety in patterns</w:t>
      </w:r>
      <w:r w:rsidR="004B6DE7">
        <w:rPr>
          <w:lang w:eastAsia="en-US"/>
        </w:rPr>
        <w:t xml:space="preserve"> of change suggests that country specific factors – such as the public-private mix - can be at least as important as general economic factors, like recession, or general political factors, like EU environmental policies.  The recession might have suppressed demand for </w:t>
      </w:r>
      <w:r w:rsidR="00B24073">
        <w:rPr>
          <w:lang w:eastAsia="en-US"/>
        </w:rPr>
        <w:t xml:space="preserve">recycled ‘secondary’ materials, which depressed employment in the recycling segments, but national and local commitment to implementing EU waste policies has continued to create extra jobs in many countries. </w:t>
      </w:r>
    </w:p>
    <w:p w:rsidR="009445AD" w:rsidRDefault="009445AD" w:rsidP="00D554CC">
      <w:pPr>
        <w:rPr>
          <w:lang w:eastAsia="en-US"/>
        </w:rPr>
      </w:pPr>
    </w:p>
    <w:p w:rsidR="009445AD" w:rsidRDefault="009445AD" w:rsidP="00D554CC">
      <w:pPr>
        <w:rPr>
          <w:lang w:eastAsia="en-US"/>
        </w:rPr>
      </w:pPr>
    </w:p>
    <w:p w:rsidR="009445AD" w:rsidRDefault="009445AD" w:rsidP="00D554CC">
      <w:pPr>
        <w:rPr>
          <w:lang w:eastAsia="en-US"/>
        </w:rPr>
      </w:pPr>
    </w:p>
    <w:p w:rsidR="009445AD" w:rsidRDefault="009445AD" w:rsidP="00D554CC">
      <w:pPr>
        <w:rPr>
          <w:lang w:eastAsia="en-US"/>
        </w:rPr>
      </w:pPr>
    </w:p>
    <w:p w:rsidR="009445AD" w:rsidRDefault="009445AD" w:rsidP="00D554CC">
      <w:pPr>
        <w:rPr>
          <w:lang w:eastAsia="en-US"/>
        </w:rPr>
      </w:pPr>
    </w:p>
    <w:p w:rsidR="009445AD" w:rsidRDefault="009445AD" w:rsidP="00D554CC">
      <w:pPr>
        <w:rPr>
          <w:lang w:eastAsia="en-US"/>
        </w:rPr>
      </w:pPr>
    </w:p>
    <w:p w:rsidR="009445AD" w:rsidRDefault="009445AD" w:rsidP="00D554CC">
      <w:pPr>
        <w:rPr>
          <w:lang w:eastAsia="en-US"/>
        </w:rPr>
      </w:pPr>
    </w:p>
    <w:p w:rsidR="00D554CC" w:rsidRDefault="00D554CC" w:rsidP="00BA7B12">
      <w:pPr>
        <w:pStyle w:val="Heading7"/>
      </w:pPr>
      <w:r>
        <w:lastRenderedPageBreak/>
        <w:t xml:space="preserve"> </w:t>
      </w:r>
      <w:bookmarkStart w:id="27" w:name="_Toc336267604"/>
      <w:r w:rsidR="00BA7B12">
        <w:t xml:space="preserve">Employment in waste sector by country, EU, 2008 </w:t>
      </w:r>
      <w:r w:rsidR="00B24073">
        <w:t>to</w:t>
      </w:r>
      <w:r w:rsidR="00BA7B12">
        <w:t xml:space="preserve"> 20011</w:t>
      </w:r>
      <w:bookmarkEnd w:id="27"/>
    </w:p>
    <w:tbl>
      <w:tblPr>
        <w:tblW w:w="9267" w:type="dxa"/>
        <w:tblInd w:w="93" w:type="dxa"/>
        <w:tblLook w:val="04A0" w:firstRow="1" w:lastRow="0" w:firstColumn="1" w:lastColumn="0" w:noHBand="0" w:noVBand="1"/>
      </w:tblPr>
      <w:tblGrid>
        <w:gridCol w:w="2440"/>
        <w:gridCol w:w="1080"/>
        <w:gridCol w:w="1080"/>
        <w:gridCol w:w="1080"/>
        <w:gridCol w:w="1080"/>
        <w:gridCol w:w="1279"/>
        <w:gridCol w:w="1275"/>
      </w:tblGrid>
      <w:tr w:rsidR="0015143C" w:rsidRPr="00B24073" w:rsidTr="0015143C">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5143C" w:rsidRPr="00B24073" w:rsidRDefault="0015143C" w:rsidP="00C41130">
            <w:pPr>
              <w:rPr>
                <w:rFonts w:eastAsia="Times New Roman" w:cstheme="minorHAnsi"/>
                <w:b/>
                <w:sz w:val="20"/>
                <w:szCs w:val="20"/>
              </w:rPr>
            </w:pPr>
          </w:p>
        </w:tc>
        <w:tc>
          <w:tcPr>
            <w:tcW w:w="4320" w:type="dxa"/>
            <w:gridSpan w:val="4"/>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5143C" w:rsidRPr="00B24073" w:rsidRDefault="0015143C" w:rsidP="00C41130">
            <w:pPr>
              <w:rPr>
                <w:rFonts w:eastAsia="Times New Roman" w:cstheme="minorHAnsi"/>
                <w:b/>
                <w:sz w:val="20"/>
                <w:szCs w:val="20"/>
              </w:rPr>
            </w:pPr>
            <w:r w:rsidRPr="00B24073">
              <w:rPr>
                <w:rFonts w:eastAsia="Times New Roman" w:cstheme="minorHAnsi"/>
                <w:b/>
                <w:sz w:val="20"/>
                <w:szCs w:val="20"/>
              </w:rPr>
              <w:t>Employment in waste sector</w:t>
            </w:r>
          </w:p>
        </w:tc>
        <w:tc>
          <w:tcPr>
            <w:tcW w:w="125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5143C" w:rsidRPr="00B24073" w:rsidRDefault="0015143C" w:rsidP="00C41130">
            <w:pPr>
              <w:rPr>
                <w:rFonts w:eastAsia="Times New Roman" w:cstheme="minorHAnsi"/>
                <w:b/>
                <w:sz w:val="20"/>
                <w:szCs w:val="20"/>
              </w:rPr>
            </w:pPr>
            <w:r w:rsidRPr="00B24073">
              <w:rPr>
                <w:rFonts w:eastAsia="Times New Roman" w:cstheme="minorHAnsi"/>
                <w:b/>
                <w:sz w:val="20"/>
                <w:szCs w:val="20"/>
              </w:rPr>
              <w:t>Total employment all sectors  (millions)</w:t>
            </w:r>
          </w:p>
        </w:tc>
        <w:tc>
          <w:tcPr>
            <w:tcW w:w="12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15143C" w:rsidRPr="00B24073" w:rsidRDefault="0015143C" w:rsidP="00C41130">
            <w:pPr>
              <w:rPr>
                <w:rFonts w:eastAsia="Times New Roman" w:cstheme="minorHAnsi"/>
                <w:b/>
                <w:sz w:val="20"/>
                <w:szCs w:val="20"/>
              </w:rPr>
            </w:pPr>
            <w:r w:rsidRPr="00B24073">
              <w:rPr>
                <w:rFonts w:eastAsia="Times New Roman" w:cstheme="minorHAnsi"/>
                <w:b/>
                <w:sz w:val="20"/>
                <w:szCs w:val="20"/>
              </w:rPr>
              <w:t>Employment in waste sector as % of total</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15143C">
            <w:pPr>
              <w:jc w:val="right"/>
              <w:rPr>
                <w:rFonts w:eastAsia="Times New Roman" w:cstheme="minorHAnsi"/>
                <w:b/>
                <w:sz w:val="20"/>
                <w:szCs w:val="20"/>
              </w:rPr>
            </w:pPr>
            <w:r w:rsidRPr="00B24073">
              <w:rPr>
                <w:rFonts w:eastAsia="Times New Roman" w:cstheme="minorHAnsi"/>
                <w:b/>
                <w:sz w:val="20"/>
                <w:szCs w:val="20"/>
              </w:rPr>
              <w:t>Year</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2008</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2009</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2010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2011</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2011</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2011</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European Union (EU27)</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914800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893300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885800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928600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213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0.44%</w:t>
            </w:r>
          </w:p>
        </w:tc>
      </w:tr>
      <w:tr w:rsidR="009D737F" w:rsidRPr="009D737F"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9D737F" w:rsidRPr="00B24073" w:rsidRDefault="009D737F" w:rsidP="00C41130">
            <w:pPr>
              <w:rPr>
                <w:rFonts w:eastAsia="Times New Roman" w:cstheme="minorHAnsi"/>
                <w:b/>
                <w:i/>
                <w:sz w:val="20"/>
                <w:szCs w:val="20"/>
              </w:rPr>
            </w:pPr>
            <w:r w:rsidRPr="00B24073">
              <w:rPr>
                <w:rFonts w:eastAsia="Times New Roman" w:cstheme="minorHAnsi"/>
                <w:b/>
                <w:i/>
                <w:sz w:val="20"/>
                <w:szCs w:val="20"/>
              </w:rPr>
              <w:t>EU27 excluding UK</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766000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777300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781100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810000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184.8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37F" w:rsidRPr="009D737F" w:rsidRDefault="009D737F" w:rsidP="009D737F">
            <w:pPr>
              <w:jc w:val="right"/>
              <w:rPr>
                <w:rFonts w:eastAsia="Times New Roman" w:cstheme="minorHAnsi"/>
                <w:i/>
                <w:sz w:val="20"/>
                <w:szCs w:val="20"/>
              </w:rPr>
            </w:pPr>
            <w:r>
              <w:rPr>
                <w:rFonts w:eastAsia="Times New Roman" w:cstheme="minorHAnsi"/>
                <w:i/>
                <w:sz w:val="20"/>
                <w:szCs w:val="20"/>
              </w:rPr>
              <w:t>0.44%</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Austria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4.1</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0.28%</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Belgium</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15500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26200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22800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4.5</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0.51%</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Bulgaria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18300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0.63%</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Cyprus</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0.19%</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Czech Republic</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29100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26600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25900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24000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0.50%</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Denmark</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16500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0.33%</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Estonia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Finland</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6300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0.26%</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France</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106900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104500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103700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113100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25.6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0.44%</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Germany</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134000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138100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132800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146200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39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0.38%</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Greece</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19800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23300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20200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0.50%</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Hungary</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17400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19300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3.8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0.46%</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Ireland</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0.46%</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Italy</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128800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140900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155900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148500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22.6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0.66%</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Latvia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5200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Lithuania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5700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0.45%</w:t>
            </w:r>
          </w:p>
        </w:tc>
      </w:tr>
      <w:tr w:rsidR="0015143C"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5143C" w:rsidRPr="00B24073" w:rsidRDefault="0015143C" w:rsidP="00C41130">
            <w:pPr>
              <w:rPr>
                <w:rFonts w:eastAsia="Times New Roman" w:cstheme="minorHAnsi"/>
                <w:b/>
                <w:sz w:val="20"/>
                <w:szCs w:val="20"/>
              </w:rPr>
            </w:pPr>
            <w:r w:rsidRPr="00B24073">
              <w:rPr>
                <w:rFonts w:eastAsia="Times New Roman" w:cstheme="minorHAnsi"/>
                <w:b/>
                <w:sz w:val="20"/>
                <w:szCs w:val="20"/>
              </w:rPr>
              <w:t>Luxembourg</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43C" w:rsidRPr="00C41130" w:rsidRDefault="0015143C" w:rsidP="00C41130">
            <w:pPr>
              <w:jc w:val="right"/>
              <w:rPr>
                <w:rFonts w:eastAsia="Times New Roman" w:cstheme="minorHAnsi"/>
                <w:sz w:val="20"/>
                <w:szCs w:val="20"/>
              </w:rPr>
            </w:pPr>
            <w:r>
              <w:rPr>
                <w:rFonts w:eastAsia="Times New Roman" w:cstheme="minorHAnsi"/>
                <w:sz w:val="20"/>
                <w:szCs w:val="20"/>
              </w:rPr>
              <w:t>0.2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43C" w:rsidRPr="00C41130" w:rsidRDefault="0015143C"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Malta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Netherlands</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25700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26900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25000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21600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0.26%</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Poland</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58500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65300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61200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67000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15.9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0.42%</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Portugal</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23100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15000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15700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0.39%</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Romania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32800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28700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33300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34800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0.40%</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Slovakia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17100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2.3</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0.62%</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Slovenia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5800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8100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0.89%</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Spain</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67900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75800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61900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75700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0.42%</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Sweden</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12700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14100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4.5</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0.31%</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United Kingdom</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148800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116000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104700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118600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28.2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0.42%</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Iceland</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rPr>
                <w:rFonts w:eastAsia="Times New Roman" w:cstheme="minorHAnsi"/>
                <w:sz w:val="20"/>
                <w:szCs w:val="20"/>
              </w:rPr>
            </w:pP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Norway</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9800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2.5</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0.40%</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Switzerland</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7900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8300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7200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4.2</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0.17%</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Croatia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13600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11500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10800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11100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1.4</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0.77%</w:t>
            </w:r>
          </w:p>
        </w:tc>
      </w:tr>
      <w:tr w:rsidR="0015143C"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5143C" w:rsidRPr="00B24073" w:rsidRDefault="0015143C" w:rsidP="00C41130">
            <w:pPr>
              <w:rPr>
                <w:rFonts w:eastAsia="Times New Roman" w:cstheme="minorHAnsi"/>
                <w:b/>
                <w:sz w:val="20"/>
                <w:szCs w:val="20"/>
              </w:rPr>
            </w:pPr>
            <w:r w:rsidRPr="00B24073">
              <w:rPr>
                <w:rFonts w:eastAsia="Times New Roman" w:cstheme="minorHAnsi"/>
                <w:b/>
                <w:sz w:val="20"/>
                <w:szCs w:val="20"/>
              </w:rPr>
              <w:t>Macedonia</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jc w:val="right"/>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jc w:val="right"/>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tcPr>
          <w:p w:rsidR="0015143C" w:rsidRPr="00C41130" w:rsidRDefault="0015143C" w:rsidP="00C41130">
            <w:pPr>
              <w:jc w:val="right"/>
              <w:rPr>
                <w:rFonts w:eastAsia="Times New Roman" w:cstheme="minorHAnsi"/>
                <w:sz w:val="20"/>
                <w:szCs w:val="20"/>
              </w:rPr>
            </w:pPr>
            <w:r>
              <w:rPr>
                <w:rFonts w:eastAsia="Times New Roman" w:cstheme="minorHAnsi"/>
                <w:sz w:val="20"/>
                <w:szCs w:val="20"/>
              </w:rPr>
              <w:t>5400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43C" w:rsidRPr="00C41130" w:rsidRDefault="0015143C" w:rsidP="00C41130">
            <w:pPr>
              <w:jc w:val="right"/>
              <w:rPr>
                <w:rFonts w:eastAsia="Times New Roman" w:cstheme="minorHAnsi"/>
                <w:sz w:val="20"/>
                <w:szCs w:val="20"/>
              </w:rPr>
            </w:pPr>
            <w:r>
              <w:rPr>
                <w:rFonts w:eastAsia="Times New Roman" w:cstheme="minorHAnsi"/>
                <w:sz w:val="20"/>
                <w:szCs w:val="20"/>
              </w:rPr>
              <w:t>0.6</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143C" w:rsidRPr="00C41130" w:rsidRDefault="0015143C" w:rsidP="00C41130">
            <w:pPr>
              <w:jc w:val="right"/>
              <w:rPr>
                <w:rFonts w:eastAsia="Times New Roman" w:cstheme="minorHAnsi"/>
                <w:sz w:val="20"/>
                <w:szCs w:val="20"/>
              </w:rPr>
            </w:pPr>
            <w:r>
              <w:rPr>
                <w:rFonts w:eastAsia="Times New Roman" w:cstheme="minorHAnsi"/>
                <w:sz w:val="20"/>
                <w:szCs w:val="20"/>
              </w:rPr>
              <w:t>0.85%</w:t>
            </w:r>
          </w:p>
        </w:tc>
      </w:tr>
      <w:tr w:rsidR="00C41130" w:rsidRPr="00C41130" w:rsidTr="00B24073">
        <w:trPr>
          <w:trHeight w:val="285"/>
        </w:trPr>
        <w:tc>
          <w:tcPr>
            <w:tcW w:w="244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41130" w:rsidRPr="00B24073" w:rsidRDefault="00C41130" w:rsidP="00C41130">
            <w:pPr>
              <w:rPr>
                <w:rFonts w:eastAsia="Times New Roman" w:cstheme="minorHAnsi"/>
                <w:b/>
                <w:sz w:val="20"/>
                <w:szCs w:val="20"/>
              </w:rPr>
            </w:pPr>
            <w:r w:rsidRPr="00B24073">
              <w:rPr>
                <w:rFonts w:eastAsia="Times New Roman" w:cstheme="minorHAnsi"/>
                <w:b/>
                <w:sz w:val="20"/>
                <w:szCs w:val="20"/>
              </w:rPr>
              <w:t>Turkey</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rPr>
                <w:rFonts w:eastAsia="Times New Roman" w:cstheme="minorHAnsi"/>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28300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66100</w:t>
            </w:r>
          </w:p>
        </w:tc>
        <w:tc>
          <w:tcPr>
            <w:tcW w:w="1080"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93700</w:t>
            </w:r>
          </w:p>
        </w:tc>
        <w:tc>
          <w:tcPr>
            <w:tcW w:w="1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23.5</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1130" w:rsidRPr="00C41130" w:rsidRDefault="00C41130" w:rsidP="00C41130">
            <w:pPr>
              <w:jc w:val="right"/>
              <w:rPr>
                <w:rFonts w:eastAsia="Times New Roman" w:cstheme="minorHAnsi"/>
                <w:sz w:val="20"/>
                <w:szCs w:val="20"/>
              </w:rPr>
            </w:pPr>
            <w:r w:rsidRPr="00C41130">
              <w:rPr>
                <w:rFonts w:eastAsia="Times New Roman" w:cstheme="minorHAnsi"/>
                <w:sz w:val="20"/>
                <w:szCs w:val="20"/>
              </w:rPr>
              <w:t>0.40%</w:t>
            </w:r>
          </w:p>
        </w:tc>
      </w:tr>
    </w:tbl>
    <w:p w:rsidR="00D554CC" w:rsidRDefault="00D554CC" w:rsidP="00D554CC">
      <w:pPr>
        <w:rPr>
          <w:lang w:eastAsia="en-US"/>
        </w:rPr>
      </w:pPr>
      <w:r w:rsidRPr="00BA7B12">
        <w:rPr>
          <w:lang w:eastAsia="en-US"/>
        </w:rPr>
        <w:t>Source: Eurostat</w:t>
      </w:r>
      <w:r w:rsidR="00BA7B12">
        <w:rPr>
          <w:lang w:eastAsia="en-US"/>
        </w:rPr>
        <w:t>,</w:t>
      </w:r>
      <w:r w:rsidRPr="00BA7B12">
        <w:rPr>
          <w:lang w:eastAsia="en-US"/>
        </w:rPr>
        <w:t xml:space="preserve"> </w:t>
      </w:r>
      <w:r w:rsidR="00BA7B12" w:rsidRPr="00BA7B12">
        <w:rPr>
          <w:lang w:eastAsia="en-US"/>
        </w:rPr>
        <w:t>lfsa_egan22d   (</w:t>
      </w:r>
      <w:r w:rsidR="00BA7B12">
        <w:rPr>
          <w:lang w:eastAsia="en-US"/>
        </w:rPr>
        <w:t xml:space="preserve">Employment age 15-64 in </w:t>
      </w:r>
      <w:r w:rsidR="00BA7B12" w:rsidRPr="00BA7B12">
        <w:rPr>
          <w:rFonts w:ascii="Arial" w:eastAsia="Times New Roman" w:hAnsi="Arial" w:cs="Arial"/>
          <w:sz w:val="20"/>
          <w:szCs w:val="20"/>
        </w:rPr>
        <w:t>Waste collection, treatment and disposal activities; materials recovery</w:t>
      </w:r>
      <w:r w:rsidR="00022384">
        <w:rPr>
          <w:rFonts w:ascii="Arial" w:eastAsia="Times New Roman" w:hAnsi="Arial" w:cs="Arial"/>
          <w:sz w:val="20"/>
          <w:szCs w:val="20"/>
        </w:rPr>
        <w:t xml:space="preserve">, NACE 2 E38) </w:t>
      </w:r>
      <w:r w:rsidR="008A39C6">
        <w:rPr>
          <w:rFonts w:ascii="Arial" w:eastAsia="Times New Roman" w:hAnsi="Arial" w:cs="Arial"/>
          <w:sz w:val="20"/>
          <w:szCs w:val="20"/>
        </w:rPr>
        <w:t xml:space="preserve"> </w:t>
      </w:r>
      <w:hyperlink r:id="rId54" w:history="1">
        <w:r w:rsidRPr="00BA7B12">
          <w:rPr>
            <w:rStyle w:val="Hyperlink"/>
            <w:lang w:eastAsia="en-US"/>
          </w:rPr>
          <w:t>http://epp.eurostat.ec.europa.eu/portal/page/portal/employment_unemployment_lfs/data/database</w:t>
        </w:r>
      </w:hyperlink>
      <w:r w:rsidRPr="00BA7B12">
        <w:rPr>
          <w:lang w:eastAsia="en-US"/>
        </w:rPr>
        <w:t xml:space="preserve"> </w:t>
      </w:r>
    </w:p>
    <w:p w:rsidR="00FD10E4" w:rsidRDefault="00FD10E4" w:rsidP="00D554CC">
      <w:pPr>
        <w:rPr>
          <w:lang w:eastAsia="en-US"/>
        </w:rPr>
      </w:pPr>
    </w:p>
    <w:p w:rsidR="009445AD" w:rsidRPr="00BA7B12" w:rsidRDefault="009445AD" w:rsidP="00D554CC">
      <w:pPr>
        <w:rPr>
          <w:lang w:eastAsia="en-US"/>
        </w:rPr>
      </w:pPr>
    </w:p>
    <w:p w:rsidR="00D554CC" w:rsidRDefault="00FD10E4" w:rsidP="00FD10E4">
      <w:pPr>
        <w:pStyle w:val="Heading8"/>
      </w:pPr>
      <w:bookmarkStart w:id="28" w:name="_Toc336267605"/>
      <w:r>
        <w:lastRenderedPageBreak/>
        <w:t>Changes in employment in waste sector, largest EU countries + Turkey</w:t>
      </w:r>
      <w:bookmarkEnd w:id="28"/>
    </w:p>
    <w:p w:rsidR="00FD10E4" w:rsidRDefault="00FD10E4" w:rsidP="00D554CC">
      <w:pPr>
        <w:rPr>
          <w:lang w:eastAsia="en-US"/>
        </w:rPr>
      </w:pPr>
      <w:r>
        <w:rPr>
          <w:noProof/>
        </w:rPr>
        <w:drawing>
          <wp:inline distT="0" distB="0" distL="0" distR="0" wp14:anchorId="0989BD18" wp14:editId="04280455">
            <wp:extent cx="4235669" cy="4340772"/>
            <wp:effectExtent l="0" t="0" r="1270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2F1E7C" w:rsidRPr="00F00E29" w:rsidRDefault="00FD10E4" w:rsidP="00FD10E4">
      <w:pPr>
        <w:rPr>
          <w:lang w:eastAsia="en-US"/>
        </w:rPr>
      </w:pPr>
      <w:r w:rsidRPr="00BA7B12">
        <w:rPr>
          <w:lang w:eastAsia="en-US"/>
        </w:rPr>
        <w:t xml:space="preserve">Source: </w:t>
      </w:r>
      <w:r>
        <w:rPr>
          <w:lang w:eastAsia="en-US"/>
        </w:rPr>
        <w:t xml:space="preserve">PSIRU calculations from </w:t>
      </w:r>
      <w:r w:rsidRPr="00BA7B12">
        <w:rPr>
          <w:lang w:eastAsia="en-US"/>
        </w:rPr>
        <w:t>Eurostat</w:t>
      </w:r>
      <w:r>
        <w:rPr>
          <w:lang w:eastAsia="en-US"/>
        </w:rPr>
        <w:t>,</w:t>
      </w:r>
      <w:r w:rsidRPr="00BA7B12">
        <w:rPr>
          <w:lang w:eastAsia="en-US"/>
        </w:rPr>
        <w:t xml:space="preserve"> lfsa_egan22d   (</w:t>
      </w:r>
      <w:r>
        <w:rPr>
          <w:lang w:eastAsia="en-US"/>
        </w:rPr>
        <w:t xml:space="preserve">Employment age 15-64 in </w:t>
      </w:r>
      <w:r w:rsidRPr="00BA7B12">
        <w:rPr>
          <w:rFonts w:ascii="Arial" w:eastAsia="Times New Roman" w:hAnsi="Arial" w:cs="Arial"/>
          <w:sz w:val="20"/>
          <w:szCs w:val="20"/>
        </w:rPr>
        <w:t>Waste collection, treatment and disposal activities; materials recovery</w:t>
      </w:r>
      <w:r>
        <w:rPr>
          <w:rFonts w:ascii="Arial" w:eastAsia="Times New Roman" w:hAnsi="Arial" w:cs="Arial"/>
          <w:sz w:val="20"/>
          <w:szCs w:val="20"/>
        </w:rPr>
        <w:t xml:space="preserve">, NACE 2 E38)  </w:t>
      </w:r>
      <w:hyperlink r:id="rId56" w:history="1">
        <w:r w:rsidRPr="00BA7B12">
          <w:rPr>
            <w:rStyle w:val="Hyperlink"/>
            <w:lang w:eastAsia="en-US"/>
          </w:rPr>
          <w:t>http://epp.eurostat.ec.europa.eu/portal/page/portal/employment_unemployment_lfs/data/database</w:t>
        </w:r>
      </w:hyperlink>
    </w:p>
    <w:p w:rsidR="009445AD" w:rsidRPr="00D531A7" w:rsidRDefault="009445AD" w:rsidP="00FD10E4">
      <w:pPr>
        <w:rPr>
          <w:lang w:eastAsia="en-US"/>
        </w:rPr>
      </w:pPr>
    </w:p>
    <w:p w:rsidR="00670786" w:rsidRDefault="00FD10E4" w:rsidP="001841F9">
      <w:r w:rsidRPr="00BA7B12">
        <w:rPr>
          <w:lang w:eastAsia="en-US"/>
        </w:rPr>
        <w:t xml:space="preserve"> </w:t>
      </w:r>
      <w:r w:rsidR="00C41130">
        <w:t xml:space="preserve">The Eurostat data may underestimate the number of jobs in the sector. </w:t>
      </w:r>
      <w:r w:rsidR="00670786">
        <w:t>A 2009 EU paper estimated that the sector employed between 1.2 and 1.5million people – between 205 and 50% higher than the Eurostat data shows.</w:t>
      </w:r>
      <w:r w:rsidR="00670786">
        <w:rPr>
          <w:rStyle w:val="EndnoteReference"/>
        </w:rPr>
        <w:endnoteReference w:id="8"/>
      </w:r>
      <w:r w:rsidR="00670786">
        <w:t xml:space="preserve"> </w:t>
      </w:r>
      <w:r w:rsidR="00C41130">
        <w:t xml:space="preserve"> R</w:t>
      </w:r>
      <w:r w:rsidR="00B24073">
        <w:t xml:space="preserve">eports </w:t>
      </w:r>
      <w:r w:rsidR="00A53768">
        <w:t xml:space="preserve">in France and the UK </w:t>
      </w:r>
      <w:r w:rsidR="00E5764B">
        <w:t xml:space="preserve">estimate that </w:t>
      </w:r>
      <w:r w:rsidR="00B24073">
        <w:t>employment</w:t>
      </w:r>
      <w:r w:rsidR="00A53768">
        <w:t xml:space="preserve"> </w:t>
      </w:r>
      <w:r w:rsidR="00E5764B">
        <w:t xml:space="preserve">in each country </w:t>
      </w:r>
      <w:r w:rsidR="00C41130">
        <w:t>was</w:t>
      </w:r>
      <w:r w:rsidR="00A53768">
        <w:t xml:space="preserve"> about 150,000</w:t>
      </w:r>
      <w:r w:rsidR="00C41130">
        <w:t xml:space="preserve"> in 2009/2010, </w:t>
      </w:r>
      <w:r w:rsidR="00670786">
        <w:t xml:space="preserve">also </w:t>
      </w:r>
      <w:r w:rsidR="00B24073">
        <w:t xml:space="preserve">about 50% higher than Eurostat.  </w:t>
      </w:r>
      <w:r w:rsidR="00C41130">
        <w:t>The France and UK reports</w:t>
      </w:r>
      <w:r w:rsidR="00EB1E83">
        <w:t xml:space="preserve"> include separate figures </w:t>
      </w:r>
      <w:r w:rsidR="00C41130">
        <w:t xml:space="preserve">for </w:t>
      </w:r>
      <w:r w:rsidR="00EB1E83">
        <w:t xml:space="preserve">public sector (municipal) jobs– mainly in the collection of household waste (for more details on sub-sectoral breakdown see below). Many of these may be classified under a different sector in the Eurostat survey data. </w:t>
      </w:r>
    </w:p>
    <w:p w:rsidR="00B24073" w:rsidRDefault="00EB1E83" w:rsidP="001841F9">
      <w:r>
        <w:t xml:space="preserve"> </w:t>
      </w:r>
    </w:p>
    <w:p w:rsidR="002F1E7C" w:rsidRDefault="00EB1E83" w:rsidP="001841F9">
      <w:r>
        <w:t>It is therefore possible that the Eurostat data largely reflects private sector or even casual employment, which has been heavily affected by the recession, but understates the level of municipal employment, which is more stable as it is linked almost entirely to household waste collection and transfer.</w:t>
      </w:r>
      <w:r w:rsidR="00A53768">
        <w:t xml:space="preserve"> </w:t>
      </w:r>
      <w:r w:rsidR="0046472F">
        <w:t xml:space="preserve">The French and UK reports also estimate that about two-thirds of the waste sector represents spending on household waste by municipalities, and that this municipal spending is worth about 0.5% of GDP. </w:t>
      </w:r>
      <w:r w:rsidR="0046472F">
        <w:rPr>
          <w:rStyle w:val="EndnoteReference"/>
        </w:rPr>
        <w:endnoteReference w:id="9"/>
      </w:r>
    </w:p>
    <w:p w:rsidR="001841F9" w:rsidRDefault="00A53768" w:rsidP="001841F9">
      <w:pPr>
        <w:pStyle w:val="Heading7"/>
      </w:pPr>
      <w:bookmarkStart w:id="29" w:name="_Toc336267606"/>
      <w:r>
        <w:t>Employment in waste sector, 2009-2010, France and UK</w:t>
      </w:r>
      <w:r w:rsidR="00271C71">
        <w:t xml:space="preserve"> reports</w:t>
      </w:r>
      <w:bookmarkEnd w:id="29"/>
    </w:p>
    <w:tbl>
      <w:tblPr>
        <w:tblStyle w:val="TableGrid"/>
        <w:tblW w:w="9606" w:type="dxa"/>
        <w:tblLayout w:type="fixed"/>
        <w:tblLook w:val="04A0" w:firstRow="1" w:lastRow="0" w:firstColumn="1" w:lastColumn="0" w:noHBand="0" w:noVBand="1"/>
      </w:tblPr>
      <w:tblGrid>
        <w:gridCol w:w="959"/>
        <w:gridCol w:w="709"/>
        <w:gridCol w:w="1134"/>
        <w:gridCol w:w="1275"/>
        <w:gridCol w:w="1134"/>
        <w:gridCol w:w="1276"/>
        <w:gridCol w:w="3119"/>
      </w:tblGrid>
      <w:tr w:rsidR="00E5764B" w:rsidTr="0046472F">
        <w:tc>
          <w:tcPr>
            <w:tcW w:w="959" w:type="dxa"/>
          </w:tcPr>
          <w:p w:rsidR="00E5764B" w:rsidRPr="0046472F" w:rsidRDefault="00E5764B" w:rsidP="00317FA1">
            <w:pPr>
              <w:rPr>
                <w:sz w:val="20"/>
                <w:szCs w:val="20"/>
              </w:rPr>
            </w:pPr>
          </w:p>
        </w:tc>
        <w:tc>
          <w:tcPr>
            <w:tcW w:w="709" w:type="dxa"/>
          </w:tcPr>
          <w:p w:rsidR="00E5764B" w:rsidRPr="0046472F" w:rsidRDefault="00E5764B" w:rsidP="00317FA1">
            <w:pPr>
              <w:rPr>
                <w:sz w:val="20"/>
                <w:szCs w:val="20"/>
              </w:rPr>
            </w:pPr>
            <w:r w:rsidRPr="0046472F">
              <w:rPr>
                <w:sz w:val="20"/>
                <w:szCs w:val="20"/>
              </w:rPr>
              <w:t>Year</w:t>
            </w:r>
          </w:p>
        </w:tc>
        <w:tc>
          <w:tcPr>
            <w:tcW w:w="1134" w:type="dxa"/>
          </w:tcPr>
          <w:p w:rsidR="00E5764B" w:rsidRPr="0046472F" w:rsidRDefault="00E5764B" w:rsidP="00317FA1">
            <w:pPr>
              <w:rPr>
                <w:sz w:val="20"/>
                <w:szCs w:val="20"/>
              </w:rPr>
            </w:pPr>
            <w:r w:rsidRPr="0046472F">
              <w:rPr>
                <w:sz w:val="20"/>
                <w:szCs w:val="20"/>
              </w:rPr>
              <w:t>Total</w:t>
            </w:r>
          </w:p>
        </w:tc>
        <w:tc>
          <w:tcPr>
            <w:tcW w:w="1275" w:type="dxa"/>
          </w:tcPr>
          <w:p w:rsidR="00E5764B" w:rsidRPr="0046472F" w:rsidRDefault="00E5764B" w:rsidP="0046472F">
            <w:pPr>
              <w:rPr>
                <w:sz w:val="20"/>
                <w:szCs w:val="20"/>
              </w:rPr>
            </w:pPr>
            <w:r w:rsidRPr="0046472F">
              <w:rPr>
                <w:sz w:val="20"/>
                <w:szCs w:val="20"/>
              </w:rPr>
              <w:t xml:space="preserve">% of total </w:t>
            </w:r>
          </w:p>
        </w:tc>
        <w:tc>
          <w:tcPr>
            <w:tcW w:w="1134" w:type="dxa"/>
          </w:tcPr>
          <w:p w:rsidR="00E5764B" w:rsidRPr="0046472F" w:rsidRDefault="00E5764B" w:rsidP="00317FA1">
            <w:pPr>
              <w:rPr>
                <w:sz w:val="20"/>
                <w:szCs w:val="20"/>
              </w:rPr>
            </w:pPr>
            <w:r w:rsidRPr="0046472F">
              <w:rPr>
                <w:sz w:val="20"/>
                <w:szCs w:val="20"/>
              </w:rPr>
              <w:t>Private</w:t>
            </w:r>
          </w:p>
        </w:tc>
        <w:tc>
          <w:tcPr>
            <w:tcW w:w="1276" w:type="dxa"/>
          </w:tcPr>
          <w:p w:rsidR="00E5764B" w:rsidRPr="0046472F" w:rsidRDefault="00E5764B" w:rsidP="00317FA1">
            <w:pPr>
              <w:rPr>
                <w:sz w:val="20"/>
                <w:szCs w:val="20"/>
              </w:rPr>
            </w:pPr>
            <w:r w:rsidRPr="0046472F">
              <w:rPr>
                <w:sz w:val="20"/>
                <w:szCs w:val="20"/>
              </w:rPr>
              <w:t>Municipal</w:t>
            </w:r>
          </w:p>
        </w:tc>
        <w:tc>
          <w:tcPr>
            <w:tcW w:w="3119" w:type="dxa"/>
          </w:tcPr>
          <w:p w:rsidR="00E5764B" w:rsidRPr="0046472F" w:rsidRDefault="00E5764B" w:rsidP="00317FA1">
            <w:pPr>
              <w:rPr>
                <w:sz w:val="20"/>
                <w:szCs w:val="20"/>
              </w:rPr>
            </w:pPr>
            <w:r w:rsidRPr="0046472F">
              <w:rPr>
                <w:sz w:val="20"/>
                <w:szCs w:val="20"/>
              </w:rPr>
              <w:t>Source</w:t>
            </w:r>
          </w:p>
        </w:tc>
      </w:tr>
      <w:tr w:rsidR="00E5764B" w:rsidRPr="00D531A7" w:rsidTr="0046472F">
        <w:tc>
          <w:tcPr>
            <w:tcW w:w="959" w:type="dxa"/>
          </w:tcPr>
          <w:p w:rsidR="00E5764B" w:rsidRPr="0046472F" w:rsidRDefault="00E5764B" w:rsidP="00317FA1">
            <w:pPr>
              <w:rPr>
                <w:sz w:val="20"/>
                <w:szCs w:val="20"/>
              </w:rPr>
            </w:pPr>
            <w:r w:rsidRPr="0046472F">
              <w:rPr>
                <w:sz w:val="20"/>
                <w:szCs w:val="20"/>
              </w:rPr>
              <w:t>France</w:t>
            </w:r>
          </w:p>
        </w:tc>
        <w:tc>
          <w:tcPr>
            <w:tcW w:w="709" w:type="dxa"/>
          </w:tcPr>
          <w:p w:rsidR="00E5764B" w:rsidRPr="0046472F" w:rsidRDefault="00E5764B" w:rsidP="00317FA1">
            <w:pPr>
              <w:rPr>
                <w:sz w:val="20"/>
                <w:szCs w:val="20"/>
              </w:rPr>
            </w:pPr>
            <w:r w:rsidRPr="0046472F">
              <w:rPr>
                <w:sz w:val="20"/>
                <w:szCs w:val="20"/>
              </w:rPr>
              <w:t>2009</w:t>
            </w:r>
          </w:p>
        </w:tc>
        <w:tc>
          <w:tcPr>
            <w:tcW w:w="1134" w:type="dxa"/>
          </w:tcPr>
          <w:p w:rsidR="00E5764B" w:rsidRPr="0046472F" w:rsidRDefault="00E5764B" w:rsidP="00317FA1">
            <w:pPr>
              <w:jc w:val="right"/>
              <w:rPr>
                <w:sz w:val="20"/>
                <w:szCs w:val="20"/>
              </w:rPr>
            </w:pPr>
            <w:r w:rsidRPr="0046472F">
              <w:rPr>
                <w:sz w:val="20"/>
                <w:szCs w:val="20"/>
              </w:rPr>
              <w:t>151,000</w:t>
            </w:r>
          </w:p>
        </w:tc>
        <w:tc>
          <w:tcPr>
            <w:tcW w:w="1275" w:type="dxa"/>
          </w:tcPr>
          <w:p w:rsidR="00E5764B" w:rsidRPr="0046472F" w:rsidRDefault="00E5764B" w:rsidP="00317FA1">
            <w:pPr>
              <w:jc w:val="right"/>
              <w:rPr>
                <w:sz w:val="20"/>
                <w:szCs w:val="20"/>
              </w:rPr>
            </w:pPr>
            <w:r w:rsidRPr="0046472F">
              <w:rPr>
                <w:sz w:val="20"/>
                <w:szCs w:val="20"/>
              </w:rPr>
              <w:t>0.5%</w:t>
            </w:r>
          </w:p>
        </w:tc>
        <w:tc>
          <w:tcPr>
            <w:tcW w:w="1134" w:type="dxa"/>
          </w:tcPr>
          <w:p w:rsidR="00E5764B" w:rsidRPr="0046472F" w:rsidRDefault="00E5764B" w:rsidP="00317FA1">
            <w:pPr>
              <w:jc w:val="right"/>
              <w:rPr>
                <w:sz w:val="20"/>
                <w:szCs w:val="20"/>
              </w:rPr>
            </w:pPr>
            <w:r w:rsidRPr="0046472F">
              <w:rPr>
                <w:sz w:val="20"/>
                <w:szCs w:val="20"/>
              </w:rPr>
              <w:t>126,000</w:t>
            </w:r>
          </w:p>
        </w:tc>
        <w:tc>
          <w:tcPr>
            <w:tcW w:w="1276" w:type="dxa"/>
          </w:tcPr>
          <w:p w:rsidR="00E5764B" w:rsidRPr="0046472F" w:rsidRDefault="00E5764B" w:rsidP="00317FA1">
            <w:pPr>
              <w:jc w:val="right"/>
              <w:rPr>
                <w:sz w:val="20"/>
                <w:szCs w:val="20"/>
              </w:rPr>
            </w:pPr>
            <w:r w:rsidRPr="0046472F">
              <w:rPr>
                <w:sz w:val="20"/>
                <w:szCs w:val="20"/>
              </w:rPr>
              <w:t>25,000</w:t>
            </w:r>
          </w:p>
        </w:tc>
        <w:tc>
          <w:tcPr>
            <w:tcW w:w="3119" w:type="dxa"/>
          </w:tcPr>
          <w:p w:rsidR="00E5764B" w:rsidRPr="0046472F" w:rsidRDefault="00081F2D" w:rsidP="00317FA1">
            <w:pPr>
              <w:rPr>
                <w:sz w:val="20"/>
                <w:szCs w:val="20"/>
                <w:lang w:val="fr-FR"/>
              </w:rPr>
            </w:pPr>
            <w:hyperlink r:id="rId57" w:tooltip="Marchés et emplois des activités liées aux déchets (Français/Anglais)" w:history="1">
              <w:r w:rsidR="00E5764B" w:rsidRPr="0046472F">
                <w:rPr>
                  <w:rStyle w:val="Hyperlink"/>
                  <w:sz w:val="20"/>
                  <w:szCs w:val="20"/>
                  <w:lang w:val="fr-FR"/>
                </w:rPr>
                <w:t xml:space="preserve">Marchés et emplois des activités liées aux déchets </w:t>
              </w:r>
            </w:hyperlink>
          </w:p>
        </w:tc>
      </w:tr>
      <w:tr w:rsidR="00E5764B" w:rsidTr="0046472F">
        <w:tc>
          <w:tcPr>
            <w:tcW w:w="959" w:type="dxa"/>
          </w:tcPr>
          <w:p w:rsidR="00E5764B" w:rsidRPr="0046472F" w:rsidRDefault="00E5764B" w:rsidP="00317FA1">
            <w:pPr>
              <w:rPr>
                <w:sz w:val="20"/>
                <w:szCs w:val="20"/>
              </w:rPr>
            </w:pPr>
            <w:r w:rsidRPr="0046472F">
              <w:rPr>
                <w:sz w:val="20"/>
                <w:szCs w:val="20"/>
              </w:rPr>
              <w:t>UK</w:t>
            </w:r>
          </w:p>
        </w:tc>
        <w:tc>
          <w:tcPr>
            <w:tcW w:w="709" w:type="dxa"/>
          </w:tcPr>
          <w:p w:rsidR="00E5764B" w:rsidRPr="0046472F" w:rsidRDefault="00E5764B" w:rsidP="00317FA1">
            <w:pPr>
              <w:rPr>
                <w:sz w:val="20"/>
                <w:szCs w:val="20"/>
              </w:rPr>
            </w:pPr>
            <w:r w:rsidRPr="0046472F">
              <w:rPr>
                <w:sz w:val="20"/>
                <w:szCs w:val="20"/>
              </w:rPr>
              <w:t>2010</w:t>
            </w:r>
          </w:p>
        </w:tc>
        <w:tc>
          <w:tcPr>
            <w:tcW w:w="1134" w:type="dxa"/>
          </w:tcPr>
          <w:p w:rsidR="00E5764B" w:rsidRPr="0046472F" w:rsidRDefault="00E5764B" w:rsidP="00317FA1">
            <w:pPr>
              <w:jc w:val="right"/>
              <w:rPr>
                <w:sz w:val="20"/>
                <w:szCs w:val="20"/>
              </w:rPr>
            </w:pPr>
            <w:r w:rsidRPr="0046472F">
              <w:rPr>
                <w:sz w:val="20"/>
                <w:szCs w:val="20"/>
              </w:rPr>
              <w:t>150,000</w:t>
            </w:r>
          </w:p>
        </w:tc>
        <w:tc>
          <w:tcPr>
            <w:tcW w:w="1275" w:type="dxa"/>
          </w:tcPr>
          <w:p w:rsidR="00E5764B" w:rsidRPr="0046472F" w:rsidRDefault="00E5764B" w:rsidP="00317FA1">
            <w:pPr>
              <w:jc w:val="right"/>
              <w:rPr>
                <w:sz w:val="20"/>
                <w:szCs w:val="20"/>
              </w:rPr>
            </w:pPr>
            <w:r w:rsidRPr="0046472F">
              <w:rPr>
                <w:sz w:val="20"/>
                <w:szCs w:val="20"/>
              </w:rPr>
              <w:t>0.5%</w:t>
            </w:r>
          </w:p>
        </w:tc>
        <w:tc>
          <w:tcPr>
            <w:tcW w:w="1134" w:type="dxa"/>
          </w:tcPr>
          <w:p w:rsidR="00E5764B" w:rsidRPr="0046472F" w:rsidRDefault="00E5764B" w:rsidP="00317FA1">
            <w:pPr>
              <w:jc w:val="right"/>
              <w:rPr>
                <w:sz w:val="20"/>
                <w:szCs w:val="20"/>
              </w:rPr>
            </w:pPr>
            <w:r w:rsidRPr="0046472F">
              <w:rPr>
                <w:sz w:val="20"/>
                <w:szCs w:val="20"/>
              </w:rPr>
              <w:t>128,000</w:t>
            </w:r>
          </w:p>
        </w:tc>
        <w:tc>
          <w:tcPr>
            <w:tcW w:w="1276" w:type="dxa"/>
          </w:tcPr>
          <w:p w:rsidR="00E5764B" w:rsidRPr="0046472F" w:rsidRDefault="00E5764B" w:rsidP="00317FA1">
            <w:pPr>
              <w:jc w:val="right"/>
              <w:rPr>
                <w:sz w:val="20"/>
                <w:szCs w:val="20"/>
              </w:rPr>
            </w:pPr>
            <w:r w:rsidRPr="0046472F">
              <w:rPr>
                <w:sz w:val="20"/>
                <w:szCs w:val="20"/>
              </w:rPr>
              <w:t>22,000</w:t>
            </w:r>
          </w:p>
        </w:tc>
        <w:tc>
          <w:tcPr>
            <w:tcW w:w="3119" w:type="dxa"/>
          </w:tcPr>
          <w:p w:rsidR="00E5764B" w:rsidRPr="0046472F" w:rsidRDefault="00081F2D" w:rsidP="00317FA1">
            <w:pPr>
              <w:rPr>
                <w:sz w:val="20"/>
                <w:szCs w:val="20"/>
              </w:rPr>
            </w:pPr>
            <w:hyperlink r:id="rId58" w:history="1">
              <w:r w:rsidR="00E5764B" w:rsidRPr="0046472F">
                <w:rPr>
                  <w:rStyle w:val="Hyperlink"/>
                  <w:sz w:val="20"/>
                  <w:szCs w:val="20"/>
                </w:rPr>
                <w:t xml:space="preserve">From Waste Management to Resource Recovery </w:t>
              </w:r>
            </w:hyperlink>
            <w:r w:rsidR="00E5764B" w:rsidRPr="0046472F">
              <w:rPr>
                <w:sz w:val="20"/>
                <w:szCs w:val="20"/>
              </w:rPr>
              <w:t xml:space="preserve"> </w:t>
            </w:r>
          </w:p>
        </w:tc>
      </w:tr>
    </w:tbl>
    <w:p w:rsidR="00170D74" w:rsidRDefault="00170D74" w:rsidP="00170D74">
      <w:pPr>
        <w:pStyle w:val="Heading2"/>
        <w:jc w:val="both"/>
      </w:pPr>
      <w:bookmarkStart w:id="30" w:name="_Toc336267607"/>
      <w:r>
        <w:lastRenderedPageBreak/>
        <w:t>Overall estimate for Europe</w:t>
      </w:r>
      <w:bookmarkEnd w:id="30"/>
    </w:p>
    <w:p w:rsidR="0061438A" w:rsidRDefault="00484840" w:rsidP="00170D74">
      <w:pPr>
        <w:rPr>
          <w:lang w:eastAsia="en-US"/>
        </w:rPr>
      </w:pPr>
      <w:r>
        <w:rPr>
          <w:lang w:eastAsia="en-US"/>
        </w:rPr>
        <w:t>It is possible to make a reasonable approximate estimate of employment in the sector as a whole across Europe, between public sector, multinationals, and other smaller contractors. Total employment is nearly 1m. according to Eurostat</w:t>
      </w:r>
      <w:r w:rsidR="0061438A">
        <w:rPr>
          <w:lang w:eastAsia="en-US"/>
        </w:rPr>
        <w:t>. E</w:t>
      </w:r>
      <w:r w:rsidR="00170D74">
        <w:rPr>
          <w:lang w:eastAsia="en-US"/>
        </w:rPr>
        <w:t xml:space="preserve">mployment by multinationals in Table 2 </w:t>
      </w:r>
      <w:r>
        <w:rPr>
          <w:lang w:eastAsia="en-US"/>
        </w:rPr>
        <w:t xml:space="preserve"> is </w:t>
      </w:r>
      <w:r w:rsidR="00170D74">
        <w:rPr>
          <w:lang w:eastAsia="en-US"/>
        </w:rPr>
        <w:t>approximately 200,000, excluding employees of the companies in other sectors</w:t>
      </w:r>
      <w:r w:rsidR="0061438A">
        <w:rPr>
          <w:lang w:eastAsia="en-US"/>
        </w:rPr>
        <w:t>. D</w:t>
      </w:r>
      <w:r w:rsidR="00170D74">
        <w:rPr>
          <w:lang w:eastAsia="en-US"/>
        </w:rPr>
        <w:t>ata on the public private split in the next section</w:t>
      </w:r>
      <w:r>
        <w:rPr>
          <w:lang w:eastAsia="en-US"/>
        </w:rPr>
        <w:t xml:space="preserve"> suggests that public employees represent 20% </w:t>
      </w:r>
      <w:r w:rsidR="0061438A">
        <w:rPr>
          <w:lang w:eastAsia="en-US"/>
        </w:rPr>
        <w:t xml:space="preserve">or less </w:t>
      </w:r>
      <w:r>
        <w:rPr>
          <w:lang w:eastAsia="en-US"/>
        </w:rPr>
        <w:t xml:space="preserve"> of the total sector</w:t>
      </w:r>
      <w:r w:rsidR="0061438A">
        <w:rPr>
          <w:lang w:eastAsia="en-US"/>
        </w:rPr>
        <w:t xml:space="preserve">, based on the the pattern in France and estimating the EU average for public refuse collection as 50%, as in the largest three countries. </w:t>
      </w:r>
    </w:p>
    <w:p w:rsidR="0061438A" w:rsidRDefault="0061438A" w:rsidP="00170D74">
      <w:pPr>
        <w:rPr>
          <w:lang w:eastAsia="en-US"/>
        </w:rPr>
      </w:pPr>
    </w:p>
    <w:p w:rsidR="0061438A" w:rsidRDefault="0061438A" w:rsidP="00170D74">
      <w:pPr>
        <w:rPr>
          <w:lang w:eastAsia="en-US"/>
        </w:rPr>
      </w:pPr>
      <w:r>
        <w:rPr>
          <w:lang w:eastAsia="en-US"/>
        </w:rPr>
        <w:t>Combining this data, the EU picture is roughly:</w:t>
      </w:r>
    </w:p>
    <w:p w:rsidR="0061438A" w:rsidRDefault="0061438A" w:rsidP="0061438A">
      <w:pPr>
        <w:pStyle w:val="ListParagraph"/>
        <w:numPr>
          <w:ilvl w:val="0"/>
          <w:numId w:val="32"/>
        </w:numPr>
      </w:pPr>
      <w:r>
        <w:t>Total employment 1 million</w:t>
      </w:r>
    </w:p>
    <w:p w:rsidR="0061438A" w:rsidRDefault="0061438A" w:rsidP="0061438A">
      <w:pPr>
        <w:pStyle w:val="ListParagraph"/>
        <w:numPr>
          <w:ilvl w:val="0"/>
          <w:numId w:val="32"/>
        </w:numPr>
      </w:pPr>
      <w:r>
        <w:t>Of which:</w:t>
      </w:r>
    </w:p>
    <w:p w:rsidR="0061438A" w:rsidRDefault="0061438A" w:rsidP="0061438A">
      <w:pPr>
        <w:pStyle w:val="ListParagraph"/>
        <w:numPr>
          <w:ilvl w:val="1"/>
          <w:numId w:val="32"/>
        </w:numPr>
      </w:pPr>
      <w:r>
        <w:t>Public sector 200,000</w:t>
      </w:r>
    </w:p>
    <w:p w:rsidR="0061438A" w:rsidRDefault="0061438A" w:rsidP="0061438A">
      <w:pPr>
        <w:pStyle w:val="ListParagraph"/>
        <w:numPr>
          <w:ilvl w:val="1"/>
          <w:numId w:val="32"/>
        </w:numPr>
      </w:pPr>
      <w:r>
        <w:t>Multinationals 200,000</w:t>
      </w:r>
    </w:p>
    <w:p w:rsidR="00170D74" w:rsidRDefault="0061438A" w:rsidP="0061438A">
      <w:pPr>
        <w:pStyle w:val="ListParagraph"/>
        <w:numPr>
          <w:ilvl w:val="1"/>
          <w:numId w:val="32"/>
        </w:numPr>
      </w:pPr>
      <w:r>
        <w:t xml:space="preserve">Other private 600,000 </w:t>
      </w:r>
      <w:r w:rsidR="00484840">
        <w:t xml:space="preserve"> </w:t>
      </w:r>
      <w:r w:rsidR="00170D74">
        <w:t xml:space="preserve"> </w:t>
      </w:r>
    </w:p>
    <w:p w:rsidR="00E60F1A" w:rsidRDefault="00E60F1A" w:rsidP="00E60F1A">
      <w:pPr>
        <w:pStyle w:val="Heading2"/>
      </w:pPr>
      <w:bookmarkStart w:id="31" w:name="_Toc336267608"/>
      <w:r>
        <w:t xml:space="preserve">Employment </w:t>
      </w:r>
      <w:r w:rsidR="00A51E4B">
        <w:t>by</w:t>
      </w:r>
      <w:r>
        <w:t xml:space="preserve"> different segments</w:t>
      </w:r>
      <w:r w:rsidR="00A51E4B">
        <w:t xml:space="preserve"> and occupation</w:t>
      </w:r>
      <w:bookmarkEnd w:id="31"/>
    </w:p>
    <w:p w:rsidR="00E60F1A" w:rsidRDefault="00E60F1A" w:rsidP="00E60F1A">
      <w:pPr>
        <w:rPr>
          <w:rFonts w:cs="Calibri"/>
        </w:rPr>
      </w:pPr>
      <w:r w:rsidRPr="003C1AB5">
        <w:rPr>
          <w:rFonts w:cs="Calibri"/>
        </w:rPr>
        <w:t>A report o</w:t>
      </w:r>
      <w:r w:rsidRPr="00305772">
        <w:rPr>
          <w:rFonts w:cs="Calibri"/>
        </w:rPr>
        <w:t xml:space="preserve">n France </w:t>
      </w:r>
      <w:r w:rsidRPr="003C1AB5">
        <w:rPr>
          <w:rFonts w:cs="Calibri"/>
        </w:rPr>
        <w:t>prepared</w:t>
      </w:r>
      <w:r>
        <w:rPr>
          <w:rFonts w:cs="Calibri"/>
        </w:rPr>
        <w:t xml:space="preserve"> in 2010 </w:t>
      </w:r>
      <w:r w:rsidRPr="003C1AB5">
        <w:rPr>
          <w:rFonts w:cs="Calibri"/>
        </w:rPr>
        <w:t xml:space="preserve">by Ademe, the French government environment agency,  gives employment figures for the different stages and types of waste management. It also gives estimates of the number of employees per 1000 tonnes, and the proportion which is outsourced. </w:t>
      </w:r>
      <w:r w:rsidRPr="003C1AB5">
        <w:rPr>
          <w:rStyle w:val="EndnoteReference"/>
          <w:rFonts w:cs="Calibri"/>
        </w:rPr>
        <w:endnoteReference w:id="10"/>
      </w:r>
    </w:p>
    <w:p w:rsidR="002F1E7C" w:rsidRPr="003C1AB5" w:rsidRDefault="002F1E7C" w:rsidP="00E60F1A">
      <w:pPr>
        <w:rPr>
          <w:rFonts w:cs="Calibri"/>
        </w:rPr>
      </w:pPr>
    </w:p>
    <w:p w:rsidR="00A51E4B" w:rsidRDefault="00E60F1A" w:rsidP="00E2576F">
      <w:pPr>
        <w:rPr>
          <w:rFonts w:cs="Calibri"/>
        </w:rPr>
      </w:pPr>
      <w:r w:rsidRPr="003C1AB5">
        <w:rPr>
          <w:rFonts w:cs="Calibri"/>
        </w:rPr>
        <w:t xml:space="preserve">The biggest areas of employment are household waste collection and sorting and civic amenity sites, with over 51,000 jobs, one-third of the total.  These are also the segments in which a significant proportion of jobs are in the public sector. By comparison, landfill, incineration and composting combined  have about 8,000 jobs, and hazardous waste collection and treatment employs nearly 7,000 . </w:t>
      </w:r>
    </w:p>
    <w:p w:rsidR="002F1E7C" w:rsidRDefault="002F1E7C" w:rsidP="00E2576F">
      <w:pPr>
        <w:rPr>
          <w:rFonts w:cs="Calibri"/>
        </w:rPr>
      </w:pPr>
    </w:p>
    <w:p w:rsidR="002F1E7C" w:rsidRDefault="00E60F1A" w:rsidP="00E2576F">
      <w:pPr>
        <w:rPr>
          <w:rFonts w:cs="Calibri"/>
        </w:rPr>
      </w:pPr>
      <w:r w:rsidRPr="003C1AB5">
        <w:rPr>
          <w:rFonts w:cs="Calibri"/>
        </w:rPr>
        <w:t xml:space="preserve">Half of all jobs are in recovery of re-useable materials  </w:t>
      </w:r>
      <w:r w:rsidR="00F00E29">
        <w:rPr>
          <w:rFonts w:cs="Calibri"/>
        </w:rPr>
        <w:t>(</w:t>
      </w:r>
      <w:r w:rsidRPr="003C1AB5">
        <w:rPr>
          <w:rFonts w:cs="Calibri"/>
        </w:rPr>
        <w:t>30,000</w:t>
      </w:r>
      <w:r w:rsidR="00F00E29">
        <w:rPr>
          <w:rFonts w:cs="Calibri"/>
        </w:rPr>
        <w:t>)</w:t>
      </w:r>
      <w:r w:rsidRPr="003C1AB5">
        <w:rPr>
          <w:rFonts w:cs="Calibri"/>
        </w:rPr>
        <w:t xml:space="preserve"> and reprocessing into new products </w:t>
      </w:r>
      <w:r w:rsidR="00F00E29">
        <w:rPr>
          <w:rFonts w:cs="Calibri"/>
        </w:rPr>
        <w:t>(</w:t>
      </w:r>
      <w:r w:rsidRPr="003C1AB5">
        <w:rPr>
          <w:rFonts w:cs="Calibri"/>
        </w:rPr>
        <w:t>46,000</w:t>
      </w:r>
      <w:r w:rsidR="00F00E29">
        <w:rPr>
          <w:rFonts w:cs="Calibri"/>
        </w:rPr>
        <w:t xml:space="preserve">), and  </w:t>
      </w:r>
      <w:r w:rsidR="009445AD">
        <w:rPr>
          <w:rFonts w:cs="Calibri"/>
        </w:rPr>
        <w:t>t</w:t>
      </w:r>
      <w:r w:rsidR="00E2576F">
        <w:rPr>
          <w:rFonts w:cs="Calibri"/>
        </w:rPr>
        <w:t>he study implies that there are very fe</w:t>
      </w:r>
      <w:r w:rsidR="00A51E4B">
        <w:rPr>
          <w:rFonts w:cs="Calibri"/>
        </w:rPr>
        <w:t xml:space="preserve">w municipal jobs in this area. </w:t>
      </w:r>
      <w:r w:rsidR="00E2576F">
        <w:rPr>
          <w:rFonts w:cs="Calibri"/>
        </w:rPr>
        <w:t xml:space="preserve">The UK study also found that a high proportion of </w:t>
      </w:r>
      <w:r w:rsidR="009445AD">
        <w:rPr>
          <w:rFonts w:cs="Calibri"/>
        </w:rPr>
        <w:t xml:space="preserve"> these </w:t>
      </w:r>
      <w:r w:rsidR="00E2576F">
        <w:rPr>
          <w:rFonts w:cs="Calibri"/>
        </w:rPr>
        <w:t>jobs</w:t>
      </w:r>
      <w:r w:rsidR="00A51E4B">
        <w:rPr>
          <w:rFonts w:cs="Calibri"/>
        </w:rPr>
        <w:t xml:space="preserve"> are with very small companies</w:t>
      </w:r>
      <w:r w:rsidR="00E2576F">
        <w:rPr>
          <w:rFonts w:cs="Calibri"/>
        </w:rPr>
        <w:t xml:space="preserve">. </w:t>
      </w:r>
    </w:p>
    <w:p w:rsidR="00E2576F" w:rsidRDefault="0045681C" w:rsidP="00E2576F">
      <w:pPr>
        <w:rPr>
          <w:rFonts w:cs="Calibri"/>
        </w:rPr>
      </w:pPr>
      <w:r>
        <w:rPr>
          <w:rFonts w:cs="Calibri"/>
        </w:rPr>
        <w:t xml:space="preserve">  </w:t>
      </w:r>
    </w:p>
    <w:p w:rsidR="00CF298C" w:rsidRDefault="00CF298C" w:rsidP="00CF298C">
      <w:pPr>
        <w:rPr>
          <w:rFonts w:cs="Calibri"/>
        </w:rPr>
      </w:pPr>
      <w:r w:rsidRPr="003C1AB5">
        <w:rPr>
          <w:rFonts w:cs="Calibri"/>
        </w:rPr>
        <w:t xml:space="preserve">The </w:t>
      </w:r>
      <w:r>
        <w:rPr>
          <w:rFonts w:cs="Calibri"/>
        </w:rPr>
        <w:t>French report also estimates how much labour is required per</w:t>
      </w:r>
      <w:r w:rsidRPr="003C1AB5">
        <w:rPr>
          <w:rFonts w:cs="Calibri"/>
        </w:rPr>
        <w:t xml:space="preserve"> 1000 tonnes of waste</w:t>
      </w:r>
      <w:r>
        <w:rPr>
          <w:rFonts w:cs="Calibri"/>
        </w:rPr>
        <w:t xml:space="preserve"> by each element in the process. Household collection, mixed or separate, involves</w:t>
      </w:r>
      <w:r w:rsidRPr="003C1AB5">
        <w:rPr>
          <w:rFonts w:cs="Calibri"/>
        </w:rPr>
        <w:t xml:space="preserve"> about 1.4 fte jobs</w:t>
      </w:r>
      <w:r>
        <w:rPr>
          <w:rFonts w:cs="Calibri"/>
        </w:rPr>
        <w:t>, sorting centres 0.7 fte jobs, and civic amenity sites 1.0 fte jobs</w:t>
      </w:r>
      <w:r w:rsidRPr="003C1AB5">
        <w:rPr>
          <w:rFonts w:cs="Calibri"/>
        </w:rPr>
        <w:t>. By comparison, landfill sites require 0.1 fte per 1000 tonnes, and incinerators 0.3 fte</w:t>
      </w:r>
      <w:r>
        <w:rPr>
          <w:rFonts w:cs="Calibri"/>
        </w:rPr>
        <w:t>.</w:t>
      </w:r>
    </w:p>
    <w:p w:rsidR="00E2576F" w:rsidRDefault="00E2576F" w:rsidP="00E2576F">
      <w:pPr>
        <w:pStyle w:val="Heading8"/>
      </w:pPr>
      <w:bookmarkStart w:id="32" w:name="_Toc336267609"/>
      <w:r>
        <w:t>Employment in different segments of waste services (France, 2009)</w:t>
      </w:r>
      <w:bookmarkEnd w:id="32"/>
    </w:p>
    <w:p w:rsidR="00E2576F" w:rsidRDefault="00E2576F" w:rsidP="00317FA1">
      <w:pPr>
        <w:jc w:val="center"/>
      </w:pPr>
      <w:r>
        <w:rPr>
          <w:noProof/>
        </w:rPr>
        <w:drawing>
          <wp:inline distT="0" distB="0" distL="0" distR="0" wp14:anchorId="6B1D8775" wp14:editId="66E28551">
            <wp:extent cx="3106757" cy="2798285"/>
            <wp:effectExtent l="0" t="0" r="17780" b="2159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2576F" w:rsidRDefault="00E2576F" w:rsidP="00E2576F">
      <w:pPr>
        <w:rPr>
          <w:sz w:val="20"/>
          <w:szCs w:val="20"/>
        </w:rPr>
      </w:pPr>
      <w:r w:rsidRPr="00DB3D06">
        <w:rPr>
          <w:sz w:val="20"/>
          <w:szCs w:val="20"/>
        </w:rPr>
        <w:t xml:space="preserve">Source: </w:t>
      </w:r>
      <w:r>
        <w:rPr>
          <w:sz w:val="20"/>
          <w:szCs w:val="20"/>
        </w:rPr>
        <w:t xml:space="preserve">Calculated from </w:t>
      </w:r>
      <w:r w:rsidRPr="00DB3D06">
        <w:rPr>
          <w:sz w:val="20"/>
          <w:szCs w:val="20"/>
        </w:rPr>
        <w:t xml:space="preserve">ADEME Oct 2010 Markets and employment in waste related activities situation 2008/2009 - outlook 2010 </w:t>
      </w:r>
      <w:hyperlink r:id="rId60" w:history="1">
        <w:r w:rsidRPr="004538E3">
          <w:rPr>
            <w:rStyle w:val="Hyperlink"/>
            <w:sz w:val="20"/>
            <w:szCs w:val="20"/>
          </w:rPr>
          <w:t>http://www2.ademe.fr/servlet/getDoc?cid=96&amp;m=3&amp;id=80873&amp;p2=14227&amp;ref=14227</w:t>
        </w:r>
      </w:hyperlink>
      <w:r>
        <w:rPr>
          <w:sz w:val="20"/>
          <w:szCs w:val="20"/>
        </w:rPr>
        <w:t xml:space="preserve"> </w:t>
      </w:r>
    </w:p>
    <w:p w:rsidR="00E60F1A" w:rsidRPr="003C1AB5" w:rsidRDefault="00E60F1A" w:rsidP="00E60F1A">
      <w:pPr>
        <w:rPr>
          <w:rFonts w:cs="Calibri"/>
        </w:rPr>
      </w:pPr>
    </w:p>
    <w:p w:rsidR="00E60F1A" w:rsidRDefault="00670786" w:rsidP="00E60F1A">
      <w:pPr>
        <w:pStyle w:val="Heading7"/>
      </w:pPr>
      <w:bookmarkStart w:id="33" w:name="_Toc336267610"/>
      <w:r>
        <w:t>E</w:t>
      </w:r>
      <w:r w:rsidR="00E60F1A">
        <w:t xml:space="preserve">mployment and productivity in different waste segments </w:t>
      </w:r>
      <w:r w:rsidR="00317FA1">
        <w:t>(France, 2009)</w:t>
      </w:r>
      <w:bookmarkEnd w:id="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105"/>
        <w:gridCol w:w="1305"/>
        <w:gridCol w:w="907"/>
        <w:gridCol w:w="1106"/>
      </w:tblGrid>
      <w:tr w:rsidR="004B6DE7" w:rsidRPr="003C1AB5" w:rsidTr="00E34ACB">
        <w:tc>
          <w:tcPr>
            <w:tcW w:w="4219" w:type="dxa"/>
            <w:shd w:val="clear" w:color="auto" w:fill="auto"/>
          </w:tcPr>
          <w:p w:rsidR="004B6DE7" w:rsidRPr="00170D74" w:rsidRDefault="004B6DE7" w:rsidP="00317FA1">
            <w:pPr>
              <w:rPr>
                <w:rFonts w:cstheme="minorHAnsi"/>
                <w:sz w:val="20"/>
                <w:szCs w:val="20"/>
              </w:rPr>
            </w:pP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Jobs (fte) per 1000 tonnes</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Total private  jobs in France 2009</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Percent private</w:t>
            </w:r>
          </w:p>
        </w:tc>
        <w:tc>
          <w:tcPr>
            <w:tcW w:w="1106"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 xml:space="preserve">Total jobs </w:t>
            </w:r>
          </w:p>
        </w:tc>
      </w:tr>
      <w:tr w:rsidR="004B6DE7" w:rsidTr="00E34ACB">
        <w:tc>
          <w:tcPr>
            <w:tcW w:w="4219" w:type="dxa"/>
            <w:shd w:val="clear" w:color="auto" w:fill="auto"/>
          </w:tcPr>
          <w:p w:rsidR="004B6DE7" w:rsidRPr="00170D74" w:rsidRDefault="004B6DE7" w:rsidP="008A351D">
            <w:pPr>
              <w:numPr>
                <w:ilvl w:val="0"/>
                <w:numId w:val="19"/>
              </w:numPr>
              <w:ind w:firstLine="0"/>
              <w:rPr>
                <w:rFonts w:cstheme="minorHAnsi"/>
                <w:sz w:val="20"/>
                <w:szCs w:val="20"/>
              </w:rPr>
            </w:pPr>
            <w:r w:rsidRPr="00170D74">
              <w:rPr>
                <w:rFonts w:cstheme="minorHAnsi"/>
                <w:sz w:val="20"/>
                <w:szCs w:val="20"/>
              </w:rPr>
              <w:t>COLLECTION</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317FA1">
            <w:pPr>
              <w:jc w:val="right"/>
              <w:rPr>
                <w:rFonts w:cstheme="minorHAnsi"/>
                <w:sz w:val="20"/>
                <w:szCs w:val="20"/>
              </w:rPr>
            </w:pP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317FA1">
            <w:pPr>
              <w:jc w:val="right"/>
              <w:rPr>
                <w:rFonts w:cstheme="minorHAnsi"/>
                <w:sz w:val="20"/>
                <w:szCs w:val="20"/>
              </w:rPr>
            </w:pP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Mixed household waste collection</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1.4</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13653</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50%</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27306</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Separate household waste collection</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1.3</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4220</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60%</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7033</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Sorting centres for household waste</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0.7</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2493</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94%</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2652</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 xml:space="preserve">Transfer stations </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0.2</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1578</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70%</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2254</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Civic amenity sites</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1.0</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5446</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45%</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12102</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Mixed small business waste collection</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0.7</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5010</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90%</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5567</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Separate small business waste collection</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0.4</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1056</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95%</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1112</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Sorting centres for small business waste</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0.7</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1899</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97%</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1958</w:t>
            </w:r>
          </w:p>
        </w:tc>
      </w:tr>
      <w:tr w:rsidR="004B6DE7" w:rsidTr="00E34ACB">
        <w:tc>
          <w:tcPr>
            <w:tcW w:w="4219" w:type="dxa"/>
            <w:shd w:val="clear" w:color="auto" w:fill="auto"/>
          </w:tcPr>
          <w:p w:rsidR="004B6DE7" w:rsidRPr="00170D74" w:rsidRDefault="004B6DE7" w:rsidP="008A351D">
            <w:pPr>
              <w:numPr>
                <w:ilvl w:val="0"/>
                <w:numId w:val="19"/>
              </w:numPr>
              <w:ind w:firstLine="0"/>
              <w:rPr>
                <w:rFonts w:cstheme="minorHAnsi"/>
                <w:sz w:val="20"/>
                <w:szCs w:val="20"/>
              </w:rPr>
            </w:pPr>
            <w:r w:rsidRPr="00170D74">
              <w:rPr>
                <w:rFonts w:cstheme="minorHAnsi"/>
                <w:sz w:val="20"/>
                <w:szCs w:val="20"/>
              </w:rPr>
              <w:t>TREATMENT</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317FA1">
            <w:pPr>
              <w:jc w:val="right"/>
              <w:rPr>
                <w:rFonts w:cstheme="minorHAnsi"/>
                <w:sz w:val="20"/>
                <w:szCs w:val="20"/>
              </w:rPr>
            </w:pP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vAlign w:val="bottom"/>
          </w:tcPr>
          <w:p w:rsidR="004B6DE7" w:rsidRPr="00170D74" w:rsidRDefault="004B6DE7" w:rsidP="00317FA1">
            <w:pPr>
              <w:jc w:val="right"/>
              <w:rPr>
                <w:rFonts w:cstheme="minorHAnsi"/>
                <w:color w:val="000000"/>
                <w:sz w:val="20"/>
                <w:szCs w:val="20"/>
              </w:rPr>
            </w:pP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Incineration</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0.3</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3709</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93%</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3988</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Landfill</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0.1</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1778</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90%</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1976</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Biological treatment (composting)</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0.4</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1809</w:t>
            </w:r>
          </w:p>
        </w:tc>
        <w:tc>
          <w:tcPr>
            <w:tcW w:w="907"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84%</w:t>
            </w:r>
          </w:p>
        </w:tc>
        <w:tc>
          <w:tcPr>
            <w:tcW w:w="1106" w:type="dxa"/>
            <w:shd w:val="clear" w:color="auto" w:fill="auto"/>
            <w:vAlign w:val="bottom"/>
          </w:tcPr>
          <w:p w:rsidR="004B6DE7" w:rsidRPr="00170D74" w:rsidRDefault="004B6DE7" w:rsidP="00317FA1">
            <w:pPr>
              <w:jc w:val="right"/>
              <w:rPr>
                <w:rFonts w:cstheme="minorHAnsi"/>
                <w:color w:val="000000"/>
                <w:sz w:val="20"/>
                <w:szCs w:val="20"/>
              </w:rPr>
            </w:pPr>
            <w:r w:rsidRPr="00170D74">
              <w:rPr>
                <w:rFonts w:cstheme="minorHAnsi"/>
                <w:color w:val="000000"/>
                <w:sz w:val="20"/>
                <w:szCs w:val="20"/>
              </w:rPr>
              <w:t>2154</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Sewage sludge</w:t>
            </w:r>
          </w:p>
        </w:tc>
        <w:tc>
          <w:tcPr>
            <w:tcW w:w="11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0.5</w:t>
            </w: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753</w:t>
            </w: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317FA1">
            <w:pPr>
              <w:jc w:val="right"/>
              <w:rPr>
                <w:rFonts w:cstheme="minorHAnsi"/>
                <w:sz w:val="20"/>
                <w:szCs w:val="20"/>
              </w:rPr>
            </w:pPr>
          </w:p>
        </w:tc>
      </w:tr>
      <w:tr w:rsidR="004B6DE7" w:rsidTr="00E34ACB">
        <w:tc>
          <w:tcPr>
            <w:tcW w:w="4219" w:type="dxa"/>
            <w:shd w:val="clear" w:color="auto" w:fill="auto"/>
          </w:tcPr>
          <w:p w:rsidR="004B6DE7" w:rsidRPr="00170D74" w:rsidRDefault="004B6DE7" w:rsidP="008A351D">
            <w:pPr>
              <w:numPr>
                <w:ilvl w:val="0"/>
                <w:numId w:val="19"/>
              </w:numPr>
              <w:ind w:firstLine="0"/>
              <w:rPr>
                <w:rFonts w:cstheme="minorHAnsi"/>
                <w:sz w:val="20"/>
                <w:szCs w:val="20"/>
              </w:rPr>
            </w:pPr>
            <w:r w:rsidRPr="00170D74">
              <w:rPr>
                <w:rFonts w:cstheme="minorHAnsi"/>
                <w:sz w:val="20"/>
                <w:szCs w:val="20"/>
              </w:rPr>
              <w:t>RECOVERY</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30000</w:t>
            </w: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30000</w:t>
            </w:r>
          </w:p>
        </w:tc>
      </w:tr>
      <w:tr w:rsidR="004B6DE7" w:rsidTr="00E34ACB">
        <w:tc>
          <w:tcPr>
            <w:tcW w:w="4219" w:type="dxa"/>
            <w:shd w:val="clear" w:color="auto" w:fill="auto"/>
          </w:tcPr>
          <w:p w:rsidR="004B6DE7" w:rsidRPr="00170D74" w:rsidRDefault="004B6DE7" w:rsidP="008A351D">
            <w:pPr>
              <w:numPr>
                <w:ilvl w:val="0"/>
                <w:numId w:val="19"/>
              </w:numPr>
              <w:ind w:firstLine="0"/>
              <w:rPr>
                <w:rFonts w:cstheme="minorHAnsi"/>
                <w:sz w:val="20"/>
                <w:szCs w:val="20"/>
              </w:rPr>
            </w:pPr>
            <w:r w:rsidRPr="00170D74">
              <w:rPr>
                <w:rFonts w:cstheme="minorHAnsi"/>
                <w:sz w:val="20"/>
                <w:szCs w:val="20"/>
              </w:rPr>
              <w:t>RECYCLING (NEW PRODUCTS)</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CF298C">
            <w:pPr>
              <w:jc w:val="right"/>
              <w:rPr>
                <w:rFonts w:cstheme="minorHAnsi"/>
                <w:sz w:val="20"/>
                <w:szCs w:val="20"/>
              </w:rPr>
            </w:pPr>
            <w:r w:rsidRPr="00170D74">
              <w:rPr>
                <w:rFonts w:cstheme="minorHAnsi"/>
                <w:sz w:val="20"/>
                <w:szCs w:val="20"/>
              </w:rPr>
              <w:t>46000</w:t>
            </w: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CF298C">
            <w:pPr>
              <w:jc w:val="right"/>
              <w:rPr>
                <w:rFonts w:cstheme="minorHAnsi"/>
                <w:sz w:val="20"/>
                <w:szCs w:val="20"/>
              </w:rPr>
            </w:pPr>
            <w:r w:rsidRPr="00170D74">
              <w:rPr>
                <w:rFonts w:cstheme="minorHAnsi"/>
                <w:sz w:val="20"/>
                <w:szCs w:val="20"/>
              </w:rPr>
              <w:t>46000</w:t>
            </w:r>
          </w:p>
        </w:tc>
      </w:tr>
      <w:tr w:rsidR="004B6DE7" w:rsidTr="00E34ACB">
        <w:tc>
          <w:tcPr>
            <w:tcW w:w="4219" w:type="dxa"/>
            <w:shd w:val="clear" w:color="auto" w:fill="auto"/>
          </w:tcPr>
          <w:p w:rsidR="004B6DE7" w:rsidRPr="00170D74" w:rsidRDefault="004B6DE7" w:rsidP="008A351D">
            <w:pPr>
              <w:numPr>
                <w:ilvl w:val="0"/>
                <w:numId w:val="19"/>
              </w:numPr>
              <w:ind w:firstLine="0"/>
              <w:rPr>
                <w:rFonts w:cstheme="minorHAnsi"/>
                <w:sz w:val="20"/>
                <w:szCs w:val="20"/>
              </w:rPr>
            </w:pPr>
            <w:r w:rsidRPr="00170D74">
              <w:rPr>
                <w:rFonts w:cstheme="minorHAnsi"/>
                <w:sz w:val="20"/>
                <w:szCs w:val="20"/>
              </w:rPr>
              <w:t>HAZARDOUS WASTE</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6750</w:t>
            </w: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6750</w:t>
            </w:r>
          </w:p>
        </w:tc>
      </w:tr>
      <w:tr w:rsidR="004B6DE7" w:rsidTr="00E34ACB">
        <w:tc>
          <w:tcPr>
            <w:tcW w:w="4219" w:type="dxa"/>
            <w:shd w:val="clear" w:color="auto" w:fill="auto"/>
          </w:tcPr>
          <w:p w:rsidR="004B6DE7" w:rsidRPr="00170D74" w:rsidRDefault="004B6DE7" w:rsidP="00317FA1">
            <w:pPr>
              <w:rPr>
                <w:rFonts w:cstheme="minorHAnsi"/>
                <w:sz w:val="20"/>
                <w:szCs w:val="20"/>
              </w:rPr>
            </w:pPr>
            <w:r w:rsidRPr="00170D74">
              <w:rPr>
                <w:rFonts w:cstheme="minorHAnsi"/>
                <w:sz w:val="20"/>
                <w:szCs w:val="20"/>
              </w:rPr>
              <w:t>TOTAL (rounded)</w:t>
            </w:r>
          </w:p>
        </w:tc>
        <w:tc>
          <w:tcPr>
            <w:tcW w:w="1105" w:type="dxa"/>
            <w:shd w:val="clear" w:color="auto" w:fill="auto"/>
          </w:tcPr>
          <w:p w:rsidR="004B6DE7" w:rsidRPr="00170D74" w:rsidRDefault="004B6DE7" w:rsidP="00317FA1">
            <w:pPr>
              <w:jc w:val="right"/>
              <w:rPr>
                <w:rFonts w:cstheme="minorHAnsi"/>
                <w:sz w:val="20"/>
                <w:szCs w:val="20"/>
              </w:rPr>
            </w:pPr>
          </w:p>
        </w:tc>
        <w:tc>
          <w:tcPr>
            <w:tcW w:w="1305"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127000</w:t>
            </w:r>
          </w:p>
        </w:tc>
        <w:tc>
          <w:tcPr>
            <w:tcW w:w="907" w:type="dxa"/>
            <w:shd w:val="clear" w:color="auto" w:fill="auto"/>
          </w:tcPr>
          <w:p w:rsidR="004B6DE7" w:rsidRPr="00170D74" w:rsidRDefault="004B6DE7" w:rsidP="00317FA1">
            <w:pPr>
              <w:jc w:val="right"/>
              <w:rPr>
                <w:rFonts w:cstheme="minorHAnsi"/>
                <w:sz w:val="20"/>
                <w:szCs w:val="20"/>
              </w:rPr>
            </w:pPr>
          </w:p>
        </w:tc>
        <w:tc>
          <w:tcPr>
            <w:tcW w:w="1106" w:type="dxa"/>
            <w:shd w:val="clear" w:color="auto" w:fill="auto"/>
          </w:tcPr>
          <w:p w:rsidR="004B6DE7" w:rsidRPr="00170D74" w:rsidRDefault="004B6DE7" w:rsidP="00317FA1">
            <w:pPr>
              <w:jc w:val="right"/>
              <w:rPr>
                <w:rFonts w:cstheme="minorHAnsi"/>
                <w:sz w:val="20"/>
                <w:szCs w:val="20"/>
              </w:rPr>
            </w:pPr>
            <w:r w:rsidRPr="00170D74">
              <w:rPr>
                <w:rFonts w:cstheme="minorHAnsi"/>
                <w:sz w:val="20"/>
                <w:szCs w:val="20"/>
              </w:rPr>
              <w:t>151000</w:t>
            </w:r>
          </w:p>
        </w:tc>
      </w:tr>
    </w:tbl>
    <w:p w:rsidR="001841F9" w:rsidRDefault="001841F9" w:rsidP="001841F9">
      <w:pPr>
        <w:rPr>
          <w:sz w:val="20"/>
          <w:szCs w:val="20"/>
        </w:rPr>
      </w:pPr>
      <w:r w:rsidRPr="00DB3D06">
        <w:rPr>
          <w:sz w:val="20"/>
          <w:szCs w:val="20"/>
        </w:rPr>
        <w:t xml:space="preserve">Source: ADEME Oct 2010 Markets and employment in waste related activities situation 2008/2009 - outlook 2010 </w:t>
      </w:r>
      <w:hyperlink r:id="rId61" w:history="1">
        <w:r w:rsidRPr="004538E3">
          <w:rPr>
            <w:rStyle w:val="Hyperlink"/>
            <w:sz w:val="20"/>
            <w:szCs w:val="20"/>
          </w:rPr>
          <w:t>http://www2.ademe.fr/servlet/getDoc?cid=96&amp;m=3&amp;id=80873&amp;p2=14227&amp;ref=14227</w:t>
        </w:r>
      </w:hyperlink>
      <w:r>
        <w:rPr>
          <w:sz w:val="20"/>
          <w:szCs w:val="20"/>
        </w:rPr>
        <w:t xml:space="preserve"> </w:t>
      </w:r>
    </w:p>
    <w:p w:rsidR="00F00E29" w:rsidRDefault="00F00E29" w:rsidP="001841F9">
      <w:pPr>
        <w:rPr>
          <w:sz w:val="20"/>
          <w:szCs w:val="20"/>
        </w:rPr>
      </w:pPr>
    </w:p>
    <w:p w:rsidR="00F00E29" w:rsidRDefault="00F00E29" w:rsidP="001841F9">
      <w:pPr>
        <w:rPr>
          <w:sz w:val="20"/>
          <w:szCs w:val="20"/>
        </w:rPr>
      </w:pPr>
    </w:p>
    <w:p w:rsidR="00F53DD7" w:rsidRDefault="00F53DD7" w:rsidP="00F53DD7">
      <w:r>
        <w:t xml:space="preserve">A report on the UK shows why the private sector promotes incineration, as it has much higher ‘gross value added’ per worker than other processes, and so greater scope for profitability. Together with waste collection it represents about half of all the value added in the sector.     </w:t>
      </w:r>
    </w:p>
    <w:p w:rsidR="00F00E29" w:rsidRDefault="00F00E29" w:rsidP="00F53DD7"/>
    <w:p w:rsidR="00F53DD7" w:rsidRDefault="00F53DD7" w:rsidP="00F53DD7">
      <w:pPr>
        <w:pStyle w:val="Heading7"/>
      </w:pPr>
      <w:bookmarkStart w:id="34" w:name="_Toc336267611"/>
      <w:r>
        <w:t>Employment and value added by sub-sector: UK 2010</w:t>
      </w:r>
      <w:bookmarkEnd w:id="34"/>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49"/>
        <w:gridCol w:w="1219"/>
        <w:gridCol w:w="879"/>
        <w:gridCol w:w="1049"/>
        <w:gridCol w:w="1049"/>
      </w:tblGrid>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p>
        </w:tc>
        <w:tc>
          <w:tcPr>
            <w:tcW w:w="1049"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Empees</w:t>
            </w:r>
          </w:p>
        </w:tc>
        <w:tc>
          <w:tcPr>
            <w:tcW w:w="1219"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 Of all employees</w:t>
            </w:r>
          </w:p>
        </w:tc>
        <w:tc>
          <w:tcPr>
            <w:tcW w:w="879"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G</w:t>
            </w:r>
            <w:r>
              <w:rPr>
                <w:rFonts w:eastAsia="Times New Roman" w:cs="Calibri"/>
                <w:color w:val="000000"/>
                <w:sz w:val="20"/>
                <w:szCs w:val="20"/>
              </w:rPr>
              <w:t>ross value added (GVA)</w:t>
            </w:r>
          </w:p>
        </w:tc>
        <w:tc>
          <w:tcPr>
            <w:tcW w:w="1049"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 xml:space="preserve">% of </w:t>
            </w:r>
            <w:r>
              <w:rPr>
                <w:rFonts w:eastAsia="Times New Roman" w:cs="Calibri"/>
                <w:color w:val="000000"/>
                <w:sz w:val="20"/>
                <w:szCs w:val="20"/>
              </w:rPr>
              <w:t>all GVA</w:t>
            </w:r>
          </w:p>
        </w:tc>
        <w:tc>
          <w:tcPr>
            <w:tcW w:w="1049" w:type="dxa"/>
            <w:shd w:val="clear" w:color="auto" w:fill="FFFF99"/>
            <w:noWrap/>
            <w:vAlign w:val="bottom"/>
            <w:hideMark/>
          </w:tcPr>
          <w:p w:rsidR="00F53DD7" w:rsidRPr="000D75D6" w:rsidRDefault="00F53DD7" w:rsidP="00F53DD7">
            <w:pPr>
              <w:rPr>
                <w:rFonts w:eastAsia="Times New Roman" w:cs="Calibri"/>
                <w:color w:val="000000"/>
                <w:sz w:val="20"/>
                <w:szCs w:val="20"/>
              </w:rPr>
            </w:pPr>
            <w:r>
              <w:rPr>
                <w:rFonts w:eastAsia="Times New Roman" w:cs="Calibri"/>
                <w:color w:val="000000"/>
                <w:sz w:val="20"/>
                <w:szCs w:val="20"/>
              </w:rPr>
              <w:t>GVA</w:t>
            </w:r>
            <w:r w:rsidRPr="000D75D6">
              <w:rPr>
                <w:rFonts w:eastAsia="Times New Roman" w:cs="Calibri"/>
                <w:color w:val="000000"/>
                <w:sz w:val="20"/>
                <w:szCs w:val="20"/>
              </w:rPr>
              <w:t xml:space="preserve"> per empee (£000)</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Carrying and collection</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28160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22</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2025</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27</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72</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Sorting and sale</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21760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17</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1275</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17</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59</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Brokerage or dealing</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19200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15</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750</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10</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39</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Composting</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10240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8</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375</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5</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37</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Processing of recyclate</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21760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17</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900</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12</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41</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Incineration/energy recovery</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17920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14</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1800</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24</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100</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Landfill</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5120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4</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225</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44</w:t>
            </w:r>
          </w:p>
        </w:tc>
      </w:tr>
      <w:tr w:rsidR="00F53DD7" w:rsidRPr="000D75D6" w:rsidTr="00F53DD7">
        <w:trPr>
          <w:trHeight w:val="300"/>
        </w:trPr>
        <w:tc>
          <w:tcPr>
            <w:tcW w:w="2992" w:type="dxa"/>
            <w:shd w:val="clear" w:color="auto" w:fill="FFFF99"/>
            <w:noWrap/>
            <w:vAlign w:val="bottom"/>
            <w:hideMark/>
          </w:tcPr>
          <w:p w:rsidR="00F53DD7" w:rsidRPr="000D75D6" w:rsidRDefault="00F53DD7" w:rsidP="00F53DD7">
            <w:pPr>
              <w:rPr>
                <w:rFonts w:eastAsia="Times New Roman" w:cs="Calibri"/>
                <w:color w:val="000000"/>
                <w:sz w:val="20"/>
                <w:szCs w:val="20"/>
              </w:rPr>
            </w:pPr>
            <w:r w:rsidRPr="000D75D6">
              <w:rPr>
                <w:rFonts w:eastAsia="Times New Roman" w:cs="Calibri"/>
                <w:color w:val="000000"/>
                <w:sz w:val="20"/>
                <w:szCs w:val="20"/>
              </w:rPr>
              <w:t>Treatment</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3840</w:t>
            </w:r>
          </w:p>
        </w:tc>
        <w:tc>
          <w:tcPr>
            <w:tcW w:w="121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w:t>
            </w:r>
          </w:p>
        </w:tc>
        <w:tc>
          <w:tcPr>
            <w:tcW w:w="87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150</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2</w:t>
            </w:r>
          </w:p>
        </w:tc>
        <w:tc>
          <w:tcPr>
            <w:tcW w:w="1049" w:type="dxa"/>
            <w:shd w:val="clear" w:color="auto" w:fill="auto"/>
            <w:noWrap/>
            <w:vAlign w:val="bottom"/>
            <w:hideMark/>
          </w:tcPr>
          <w:p w:rsidR="00F53DD7" w:rsidRPr="000D75D6" w:rsidRDefault="00F53DD7" w:rsidP="00F53DD7">
            <w:pPr>
              <w:jc w:val="right"/>
              <w:rPr>
                <w:rFonts w:eastAsia="Times New Roman" w:cs="Calibri"/>
                <w:color w:val="000000"/>
                <w:sz w:val="20"/>
                <w:szCs w:val="20"/>
              </w:rPr>
            </w:pPr>
            <w:r w:rsidRPr="000D75D6">
              <w:rPr>
                <w:rFonts w:eastAsia="Times New Roman" w:cs="Calibri"/>
                <w:color w:val="000000"/>
                <w:sz w:val="20"/>
                <w:szCs w:val="20"/>
              </w:rPr>
              <w:t>39</w:t>
            </w:r>
          </w:p>
        </w:tc>
      </w:tr>
    </w:tbl>
    <w:p w:rsidR="00F53DD7" w:rsidRPr="000D75D6" w:rsidRDefault="00F53DD7" w:rsidP="00F53DD7">
      <w:r>
        <w:t xml:space="preserve">Source: </w:t>
      </w:r>
      <w:hyperlink r:id="rId62" w:history="1">
        <w:r w:rsidRPr="00E60F1A">
          <w:rPr>
            <w:rStyle w:val="Hyperlink"/>
          </w:rPr>
          <w:t xml:space="preserve">From Waste Management to Resource Recovery </w:t>
        </w:r>
      </w:hyperlink>
    </w:p>
    <w:p w:rsidR="00F53DD7" w:rsidRDefault="00F53DD7" w:rsidP="00E60F1A"/>
    <w:p w:rsidR="008F4CAD" w:rsidRDefault="008F4CAD">
      <w:pPr>
        <w:rPr>
          <w:lang w:eastAsia="en-US"/>
        </w:rPr>
      </w:pPr>
      <w:r>
        <w:rPr>
          <w:lang w:eastAsia="en-US"/>
        </w:rPr>
        <w:br w:type="page"/>
      </w:r>
    </w:p>
    <w:p w:rsidR="00670786" w:rsidRPr="00670786" w:rsidRDefault="00670786" w:rsidP="00670786">
      <w:pPr>
        <w:rPr>
          <w:lang w:eastAsia="en-US"/>
        </w:rPr>
      </w:pPr>
    </w:p>
    <w:p w:rsidR="009F528D" w:rsidRDefault="009F528D" w:rsidP="00670786">
      <w:pPr>
        <w:pStyle w:val="Heading1"/>
      </w:pPr>
      <w:bookmarkStart w:id="35" w:name="_Toc336267612"/>
      <w:r>
        <w:t>Public-private split</w:t>
      </w:r>
      <w:bookmarkEnd w:id="35"/>
    </w:p>
    <w:p w:rsidR="00670786" w:rsidRDefault="00670786" w:rsidP="0080416A">
      <w:pPr>
        <w:jc w:val="both"/>
      </w:pPr>
    </w:p>
    <w:p w:rsidR="00670786" w:rsidRDefault="00670786" w:rsidP="00670786">
      <w:pPr>
        <w:pStyle w:val="Heading2"/>
      </w:pPr>
      <w:bookmarkStart w:id="36" w:name="_Toc336267613"/>
      <w:r>
        <w:t>Public employment and public trust</w:t>
      </w:r>
      <w:bookmarkEnd w:id="36"/>
    </w:p>
    <w:p w:rsidR="002F1E7C" w:rsidRDefault="00132E52" w:rsidP="0080416A">
      <w:pPr>
        <w:jc w:val="both"/>
        <w:rPr>
          <w:rStyle w:val="Hyperlink"/>
        </w:rPr>
      </w:pPr>
      <w:r w:rsidRPr="00925572">
        <w:t xml:space="preserve">The split between public and private sector matters </w:t>
      </w:r>
      <w:r w:rsidR="00925572">
        <w:t xml:space="preserve">to workers </w:t>
      </w:r>
      <w:r w:rsidRPr="00925572">
        <w:t xml:space="preserve">in </w:t>
      </w:r>
      <w:r w:rsidR="00671179" w:rsidRPr="00925572">
        <w:t>terms of employment and conditions of work</w:t>
      </w:r>
      <w:r w:rsidR="00925572">
        <w:t xml:space="preserve">, </w:t>
      </w:r>
      <w:r w:rsidR="00786EBA">
        <w:t xml:space="preserve">as shown by the widespread disputes in the sector (reviewed in the previous report </w:t>
      </w:r>
      <w:hyperlink r:id="rId63" w:history="1">
        <w:r w:rsidR="00786EBA" w:rsidRPr="00FC12B4">
          <w:rPr>
            <w:rStyle w:val="Hyperlink"/>
          </w:rPr>
          <w:t>http://www.psiru.org/sites/default/files/2010-02-G-trends.doc</w:t>
        </w:r>
      </w:hyperlink>
      <w:r w:rsidR="00786EBA">
        <w:rPr>
          <w:rStyle w:val="Hyperlink"/>
        </w:rPr>
        <w:t xml:space="preserve">      ). </w:t>
      </w:r>
    </w:p>
    <w:p w:rsidR="00786EBA" w:rsidRDefault="00786EBA" w:rsidP="0080416A">
      <w:pPr>
        <w:jc w:val="both"/>
      </w:pPr>
    </w:p>
    <w:p w:rsidR="00132E52" w:rsidRDefault="00132E52" w:rsidP="0080416A">
      <w:pPr>
        <w:jc w:val="both"/>
      </w:pPr>
      <w:r w:rsidRPr="00925572">
        <w:t>There is also evidence that it matters to the public, who have greater confidence in the public sector</w:t>
      </w:r>
      <w:r w:rsidR="0080416A" w:rsidRPr="00925572">
        <w:t xml:space="preserve">, </w:t>
      </w:r>
      <w:r w:rsidR="00671179" w:rsidRPr="00925572">
        <w:t>even in</w:t>
      </w:r>
      <w:r w:rsidR="0080416A" w:rsidRPr="00925572">
        <w:t xml:space="preserve"> incineration</w:t>
      </w:r>
      <w:r w:rsidR="0045681C" w:rsidRPr="00925572">
        <w:t xml:space="preserve"> which is often controversial due to its environmental impact</w:t>
      </w:r>
      <w:r w:rsidR="0080416A" w:rsidRPr="00925572">
        <w:t xml:space="preserve">. </w:t>
      </w:r>
      <w:r w:rsidR="00670786">
        <w:t>Much of the recent re</w:t>
      </w:r>
      <w:r w:rsidR="00786EBA">
        <w:t>-</w:t>
      </w:r>
      <w:r w:rsidR="00670786">
        <w:t xml:space="preserve">municipalisation in Germany is supported by a generally higher public trust in municipal operators. </w:t>
      </w:r>
      <w:r>
        <w:t>Research</w:t>
      </w:r>
      <w:r w:rsidR="0080416A">
        <w:t xml:space="preserve"> carried out for the UK government </w:t>
      </w:r>
      <w:r>
        <w:t>by the opinion poll company Ipsos Mori found that the public</w:t>
      </w:r>
      <w:r w:rsidR="0080416A">
        <w:t xml:space="preserve"> opinion was wary of incineration, and:</w:t>
      </w:r>
      <w:r>
        <w:t xml:space="preserve"> </w:t>
      </w:r>
      <w:r w:rsidR="0080416A">
        <w:t>“</w:t>
      </w:r>
      <w:r w:rsidR="0080416A" w:rsidRPr="0080416A">
        <w:t xml:space="preserve">the </w:t>
      </w:r>
      <w:r w:rsidR="0080416A" w:rsidRPr="0080416A">
        <w:rPr>
          <w:i/>
          <w:iCs/>
        </w:rPr>
        <w:t>operator</w:t>
      </w:r>
      <w:r w:rsidR="0080416A">
        <w:rPr>
          <w:i/>
          <w:iCs/>
        </w:rPr>
        <w:t xml:space="preserve"> </w:t>
      </w:r>
      <w:r w:rsidR="0080416A" w:rsidRPr="0080416A">
        <w:t>of the incinerator appears significant; people want strict operating guidelines and</w:t>
      </w:r>
      <w:r w:rsidR="0080416A">
        <w:t xml:space="preserve"> </w:t>
      </w:r>
      <w:r w:rsidR="0080416A" w:rsidRPr="0080416A">
        <w:t>are more likely to support and trust incineration in the hands of the local</w:t>
      </w:r>
      <w:r w:rsidR="0080416A">
        <w:t xml:space="preserve"> </w:t>
      </w:r>
      <w:r w:rsidR="0080416A" w:rsidRPr="0080416A">
        <w:t>authority as opposed to a private contractor</w:t>
      </w:r>
      <w:r w:rsidR="0080416A">
        <w:t>.”</w:t>
      </w:r>
      <w:r w:rsidR="0080416A">
        <w:rPr>
          <w:rStyle w:val="EndnoteReference"/>
        </w:rPr>
        <w:endnoteReference w:id="11"/>
      </w:r>
    </w:p>
    <w:p w:rsidR="00670786" w:rsidRDefault="00670786" w:rsidP="0080416A">
      <w:pPr>
        <w:jc w:val="both"/>
      </w:pPr>
    </w:p>
    <w:p w:rsidR="00BA3B94" w:rsidRPr="000570A5" w:rsidRDefault="000570A5" w:rsidP="000570A5">
      <w:r>
        <w:t xml:space="preserve">The following table shows recent </w:t>
      </w:r>
      <w:r w:rsidR="002F1E7C">
        <w:t>data</w:t>
      </w:r>
      <w:r>
        <w:t xml:space="preserve"> for the public/private split in employment in the collection of municipal waste</w:t>
      </w:r>
      <w:r w:rsidR="00DD2166">
        <w:t xml:space="preserve"> in some EU countries.</w:t>
      </w:r>
      <w:r>
        <w:t xml:space="preserve"> </w:t>
      </w:r>
    </w:p>
    <w:p w:rsidR="007A6244" w:rsidRDefault="007A6244" w:rsidP="007A6244">
      <w:pPr>
        <w:pStyle w:val="Heading7"/>
      </w:pPr>
      <w:bookmarkStart w:id="37" w:name="_Toc336267614"/>
      <w:r>
        <w:t>Public/private split</w:t>
      </w:r>
      <w:r w:rsidR="00F414DF">
        <w:t xml:space="preserve"> in employment</w:t>
      </w:r>
      <w:r>
        <w:t>: municipal waste collection</w:t>
      </w:r>
      <w:bookmarkEnd w:id="37"/>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992"/>
        <w:gridCol w:w="1134"/>
        <w:gridCol w:w="709"/>
        <w:gridCol w:w="5386"/>
      </w:tblGrid>
      <w:tr w:rsidR="00F02A0D" w:rsidRPr="00D60A33" w:rsidTr="006B6D56">
        <w:tc>
          <w:tcPr>
            <w:tcW w:w="1101" w:type="dxa"/>
            <w:shd w:val="clear" w:color="auto" w:fill="FFFF99"/>
          </w:tcPr>
          <w:p w:rsidR="00F02A0D" w:rsidRPr="00317FA1" w:rsidRDefault="00F02A0D" w:rsidP="006B6D56">
            <w:r w:rsidRPr="00317FA1">
              <w:t>Country</w:t>
            </w:r>
          </w:p>
        </w:tc>
        <w:tc>
          <w:tcPr>
            <w:tcW w:w="992" w:type="dxa"/>
            <w:shd w:val="clear" w:color="auto" w:fill="FFFF99"/>
          </w:tcPr>
          <w:p w:rsidR="00F02A0D" w:rsidRPr="00317FA1" w:rsidRDefault="00F02A0D" w:rsidP="006B6D56">
            <w:r w:rsidRPr="00317FA1">
              <w:t>Public</w:t>
            </w:r>
            <w:r w:rsidR="005C0CD6" w:rsidRPr="00317FA1">
              <w:t xml:space="preserve"> %</w:t>
            </w:r>
          </w:p>
        </w:tc>
        <w:tc>
          <w:tcPr>
            <w:tcW w:w="1134" w:type="dxa"/>
            <w:shd w:val="clear" w:color="auto" w:fill="FFFF99"/>
          </w:tcPr>
          <w:p w:rsidR="00F02A0D" w:rsidRPr="00317FA1" w:rsidRDefault="00F02A0D" w:rsidP="006B6D56">
            <w:r w:rsidRPr="00317FA1">
              <w:t>Private</w:t>
            </w:r>
            <w:r w:rsidR="005C0CD6" w:rsidRPr="00317FA1">
              <w:t xml:space="preserve"> %</w:t>
            </w:r>
          </w:p>
        </w:tc>
        <w:tc>
          <w:tcPr>
            <w:tcW w:w="709" w:type="dxa"/>
            <w:shd w:val="clear" w:color="auto" w:fill="FFFF99"/>
          </w:tcPr>
          <w:p w:rsidR="00F02A0D" w:rsidRPr="00317FA1" w:rsidRDefault="00F02A0D" w:rsidP="006B6D56">
            <w:pPr>
              <w:rPr>
                <w:i/>
              </w:rPr>
            </w:pPr>
            <w:r w:rsidRPr="00317FA1">
              <w:rPr>
                <w:i/>
              </w:rPr>
              <w:t>year</w:t>
            </w:r>
          </w:p>
        </w:tc>
        <w:tc>
          <w:tcPr>
            <w:tcW w:w="5386" w:type="dxa"/>
            <w:shd w:val="clear" w:color="auto" w:fill="FFFF99"/>
          </w:tcPr>
          <w:p w:rsidR="00F02A0D" w:rsidRPr="00D60A33" w:rsidRDefault="00F02A0D" w:rsidP="006B6D56">
            <w:r>
              <w:t>Source</w:t>
            </w:r>
          </w:p>
        </w:tc>
      </w:tr>
      <w:tr w:rsidR="008A7167" w:rsidRPr="002C5598" w:rsidTr="006B6D56">
        <w:tc>
          <w:tcPr>
            <w:tcW w:w="1101" w:type="dxa"/>
            <w:shd w:val="clear" w:color="auto" w:fill="FFFF99"/>
          </w:tcPr>
          <w:p w:rsidR="008A7167" w:rsidRPr="00317FA1" w:rsidRDefault="008A7167" w:rsidP="006B6D56">
            <w:r w:rsidRPr="00317FA1">
              <w:t>Germany</w:t>
            </w:r>
          </w:p>
        </w:tc>
        <w:tc>
          <w:tcPr>
            <w:tcW w:w="992" w:type="dxa"/>
          </w:tcPr>
          <w:p w:rsidR="008A7167" w:rsidRPr="00317FA1" w:rsidRDefault="008A7167" w:rsidP="00B24073">
            <w:pPr>
              <w:jc w:val="right"/>
            </w:pPr>
            <w:r w:rsidRPr="00317FA1">
              <w:t>45</w:t>
            </w:r>
          </w:p>
        </w:tc>
        <w:tc>
          <w:tcPr>
            <w:tcW w:w="1134" w:type="dxa"/>
          </w:tcPr>
          <w:p w:rsidR="008A7167" w:rsidRPr="00317FA1" w:rsidRDefault="008A7167" w:rsidP="00B24073">
            <w:pPr>
              <w:jc w:val="right"/>
            </w:pPr>
            <w:r w:rsidRPr="00317FA1">
              <w:t>55</w:t>
            </w:r>
          </w:p>
        </w:tc>
        <w:tc>
          <w:tcPr>
            <w:tcW w:w="709" w:type="dxa"/>
          </w:tcPr>
          <w:p w:rsidR="008A7167" w:rsidRPr="00317FA1" w:rsidRDefault="008A7167" w:rsidP="00B24073">
            <w:pPr>
              <w:jc w:val="right"/>
              <w:rPr>
                <w:i/>
              </w:rPr>
            </w:pPr>
            <w:r w:rsidRPr="00317FA1">
              <w:rPr>
                <w:i/>
              </w:rPr>
              <w:t>2007</w:t>
            </w:r>
          </w:p>
        </w:tc>
        <w:tc>
          <w:tcPr>
            <w:tcW w:w="5386" w:type="dxa"/>
            <w:shd w:val="clear" w:color="auto" w:fill="auto"/>
          </w:tcPr>
          <w:p w:rsidR="008A7167" w:rsidRPr="00B52D2D" w:rsidRDefault="00081F2D" w:rsidP="002F1E7C">
            <w:pPr>
              <w:rPr>
                <w:lang w:val="de-DE"/>
              </w:rPr>
            </w:pPr>
            <w:hyperlink r:id="rId64" w:history="1">
              <w:r w:rsidR="002F1E7C" w:rsidRPr="00B52D2D">
                <w:rPr>
                  <w:rStyle w:val="Hyperlink"/>
                  <w:sz w:val="20"/>
                  <w:szCs w:val="20"/>
                  <w:lang w:val="de-DE"/>
                </w:rPr>
                <w:t>In- und Outsourcing in der kommunalen Abfallwirtschaft</w:t>
              </w:r>
            </w:hyperlink>
            <w:r w:rsidR="002F1E7C">
              <w:rPr>
                <w:sz w:val="20"/>
                <w:szCs w:val="20"/>
                <w:lang w:val="de-DE"/>
              </w:rPr>
              <w:t xml:space="preserve"> </w:t>
            </w:r>
          </w:p>
        </w:tc>
      </w:tr>
      <w:tr w:rsidR="00A61319" w:rsidRPr="00E60F1A" w:rsidTr="006B6D56">
        <w:tc>
          <w:tcPr>
            <w:tcW w:w="1101" w:type="dxa"/>
            <w:tcBorders>
              <w:top w:val="single" w:sz="4" w:space="0" w:color="000000"/>
              <w:left w:val="single" w:sz="4" w:space="0" w:color="000000"/>
              <w:bottom w:val="single" w:sz="4" w:space="0" w:color="000000"/>
              <w:right w:val="single" w:sz="4" w:space="0" w:color="000000"/>
            </w:tcBorders>
            <w:shd w:val="clear" w:color="auto" w:fill="FFFF99"/>
          </w:tcPr>
          <w:p w:rsidR="00A61319" w:rsidRPr="00317FA1" w:rsidRDefault="00A61319" w:rsidP="006B6D56">
            <w:r w:rsidRPr="00317FA1">
              <w:t>UK</w:t>
            </w:r>
          </w:p>
        </w:tc>
        <w:tc>
          <w:tcPr>
            <w:tcW w:w="992" w:type="dxa"/>
            <w:tcBorders>
              <w:top w:val="single" w:sz="4" w:space="0" w:color="000000"/>
              <w:left w:val="single" w:sz="4" w:space="0" w:color="000000"/>
              <w:bottom w:val="single" w:sz="4" w:space="0" w:color="000000"/>
              <w:right w:val="single" w:sz="4" w:space="0" w:color="000000"/>
            </w:tcBorders>
          </w:tcPr>
          <w:p w:rsidR="00A61319" w:rsidRPr="00317FA1" w:rsidRDefault="00A61319" w:rsidP="00B24073">
            <w:pPr>
              <w:jc w:val="right"/>
            </w:pPr>
            <w:r w:rsidRPr="00317FA1">
              <w:t>44</w:t>
            </w:r>
          </w:p>
        </w:tc>
        <w:tc>
          <w:tcPr>
            <w:tcW w:w="1134" w:type="dxa"/>
            <w:tcBorders>
              <w:top w:val="single" w:sz="4" w:space="0" w:color="000000"/>
              <w:left w:val="single" w:sz="4" w:space="0" w:color="000000"/>
              <w:bottom w:val="single" w:sz="4" w:space="0" w:color="000000"/>
              <w:right w:val="single" w:sz="4" w:space="0" w:color="000000"/>
            </w:tcBorders>
          </w:tcPr>
          <w:p w:rsidR="00A61319" w:rsidRPr="00317FA1" w:rsidRDefault="00A61319" w:rsidP="00B24073">
            <w:pPr>
              <w:jc w:val="right"/>
            </w:pPr>
            <w:r w:rsidRPr="00317FA1">
              <w:t>56</w:t>
            </w:r>
          </w:p>
        </w:tc>
        <w:tc>
          <w:tcPr>
            <w:tcW w:w="709" w:type="dxa"/>
            <w:tcBorders>
              <w:top w:val="single" w:sz="4" w:space="0" w:color="000000"/>
              <w:left w:val="single" w:sz="4" w:space="0" w:color="000000"/>
              <w:bottom w:val="single" w:sz="4" w:space="0" w:color="000000"/>
              <w:right w:val="single" w:sz="4" w:space="0" w:color="000000"/>
            </w:tcBorders>
          </w:tcPr>
          <w:p w:rsidR="00A61319" w:rsidRPr="00317FA1" w:rsidRDefault="00A61319" w:rsidP="00B24073">
            <w:pPr>
              <w:jc w:val="right"/>
              <w:rPr>
                <w:i/>
              </w:rPr>
            </w:pPr>
            <w:r w:rsidRPr="00317FA1">
              <w:rPr>
                <w:i/>
              </w:rPr>
              <w:t>2010</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A61319" w:rsidRPr="00E60F1A" w:rsidRDefault="00081F2D" w:rsidP="006B6D56">
            <w:hyperlink r:id="rId65" w:history="1">
              <w:r w:rsidR="00A61319" w:rsidRPr="008A7167">
                <w:rPr>
                  <w:rStyle w:val="Hyperlink"/>
                </w:rPr>
                <w:t xml:space="preserve">From Waste Management to Resource Recovery </w:t>
              </w:r>
            </w:hyperlink>
            <w:r w:rsidR="00A61319" w:rsidRPr="00E60F1A">
              <w:t xml:space="preserve"> </w:t>
            </w:r>
          </w:p>
        </w:tc>
      </w:tr>
      <w:tr w:rsidR="00B24073" w:rsidRPr="00D531A7" w:rsidTr="006B6D56">
        <w:tc>
          <w:tcPr>
            <w:tcW w:w="1101" w:type="dxa"/>
            <w:shd w:val="clear" w:color="auto" w:fill="FFFF99"/>
          </w:tcPr>
          <w:p w:rsidR="00B24073" w:rsidRPr="00317FA1" w:rsidRDefault="00B24073" w:rsidP="006B6D56">
            <w:r>
              <w:t>France</w:t>
            </w:r>
          </w:p>
        </w:tc>
        <w:tc>
          <w:tcPr>
            <w:tcW w:w="992" w:type="dxa"/>
          </w:tcPr>
          <w:p w:rsidR="00B24073" w:rsidRPr="00317FA1" w:rsidRDefault="00B24073" w:rsidP="00B24073">
            <w:pPr>
              <w:jc w:val="right"/>
            </w:pPr>
            <w:r>
              <w:t>54</w:t>
            </w:r>
          </w:p>
        </w:tc>
        <w:tc>
          <w:tcPr>
            <w:tcW w:w="1134" w:type="dxa"/>
          </w:tcPr>
          <w:p w:rsidR="00B24073" w:rsidRPr="00317FA1" w:rsidRDefault="00B24073" w:rsidP="00B24073">
            <w:pPr>
              <w:jc w:val="right"/>
            </w:pPr>
            <w:r w:rsidRPr="00317FA1">
              <w:t>46</w:t>
            </w:r>
          </w:p>
        </w:tc>
        <w:tc>
          <w:tcPr>
            <w:tcW w:w="709" w:type="dxa"/>
          </w:tcPr>
          <w:p w:rsidR="00B24073" w:rsidRPr="00317FA1" w:rsidRDefault="00B24073" w:rsidP="00B24073">
            <w:pPr>
              <w:jc w:val="right"/>
              <w:rPr>
                <w:i/>
              </w:rPr>
            </w:pPr>
            <w:r w:rsidRPr="00317FA1">
              <w:rPr>
                <w:i/>
              </w:rPr>
              <w:t>2010</w:t>
            </w:r>
          </w:p>
        </w:tc>
        <w:tc>
          <w:tcPr>
            <w:tcW w:w="5386" w:type="dxa"/>
            <w:shd w:val="clear" w:color="auto" w:fill="auto"/>
          </w:tcPr>
          <w:p w:rsidR="00B24073" w:rsidRPr="00B24073" w:rsidRDefault="00081F2D" w:rsidP="006B6D56">
            <w:pPr>
              <w:rPr>
                <w:lang w:val="fr-FR"/>
              </w:rPr>
            </w:pPr>
            <w:hyperlink r:id="rId66" w:tooltip="Marchés et emplois des activités liées aux déchets (Français/Anglais)" w:history="1">
              <w:r w:rsidR="00B24073" w:rsidRPr="00E34ACB">
                <w:rPr>
                  <w:rStyle w:val="Hyperlink"/>
                  <w:lang w:val="fr-FR"/>
                </w:rPr>
                <w:t xml:space="preserve">Marchés et emplois des activités liées aux déchets </w:t>
              </w:r>
            </w:hyperlink>
          </w:p>
        </w:tc>
      </w:tr>
      <w:tr w:rsidR="006F74A6" w:rsidRPr="00E34ACB" w:rsidTr="006B6D56">
        <w:tc>
          <w:tcPr>
            <w:tcW w:w="1101" w:type="dxa"/>
            <w:shd w:val="clear" w:color="auto" w:fill="FFFF99"/>
          </w:tcPr>
          <w:p w:rsidR="006F74A6" w:rsidRPr="00317FA1" w:rsidRDefault="006F74A6" w:rsidP="006B6D56">
            <w:r w:rsidRPr="00317FA1">
              <w:t>Spain</w:t>
            </w:r>
          </w:p>
        </w:tc>
        <w:tc>
          <w:tcPr>
            <w:tcW w:w="992" w:type="dxa"/>
          </w:tcPr>
          <w:p w:rsidR="006F74A6" w:rsidRPr="00317FA1" w:rsidRDefault="006F74A6" w:rsidP="00B24073">
            <w:pPr>
              <w:jc w:val="right"/>
            </w:pPr>
            <w:r w:rsidRPr="00317FA1">
              <w:t>2</w:t>
            </w:r>
            <w:r w:rsidR="00967607" w:rsidRPr="00317FA1">
              <w:t>4</w:t>
            </w:r>
          </w:p>
        </w:tc>
        <w:tc>
          <w:tcPr>
            <w:tcW w:w="1134" w:type="dxa"/>
          </w:tcPr>
          <w:p w:rsidR="006F74A6" w:rsidRPr="00317FA1" w:rsidRDefault="006F74A6" w:rsidP="00B24073">
            <w:pPr>
              <w:jc w:val="right"/>
            </w:pPr>
            <w:r w:rsidRPr="00317FA1">
              <w:t>7</w:t>
            </w:r>
            <w:r w:rsidR="00967607" w:rsidRPr="00317FA1">
              <w:t>6</w:t>
            </w:r>
          </w:p>
        </w:tc>
        <w:tc>
          <w:tcPr>
            <w:tcW w:w="709" w:type="dxa"/>
          </w:tcPr>
          <w:p w:rsidR="006F74A6" w:rsidRPr="00317FA1" w:rsidRDefault="005C0CD6" w:rsidP="00B24073">
            <w:pPr>
              <w:jc w:val="right"/>
              <w:rPr>
                <w:i/>
              </w:rPr>
            </w:pPr>
            <w:r w:rsidRPr="00317FA1">
              <w:rPr>
                <w:i/>
              </w:rPr>
              <w:t>2009</w:t>
            </w:r>
          </w:p>
        </w:tc>
        <w:tc>
          <w:tcPr>
            <w:tcW w:w="5386" w:type="dxa"/>
            <w:shd w:val="clear" w:color="auto" w:fill="auto"/>
          </w:tcPr>
          <w:p w:rsidR="006F74A6" w:rsidRPr="00E34ACB" w:rsidRDefault="00081F2D" w:rsidP="006B6D56">
            <w:pPr>
              <w:rPr>
                <w:lang w:val="es-ES_tradnl"/>
              </w:rPr>
            </w:pPr>
            <w:hyperlink r:id="rId67" w:history="1">
              <w:r w:rsidR="006F74A6" w:rsidRPr="00E34ACB">
                <w:rPr>
                  <w:rStyle w:val="Hyperlink"/>
                  <w:rFonts w:cs="Arial"/>
                  <w:sz w:val="20"/>
                  <w:szCs w:val="20"/>
                  <w:lang w:val="es-ES_tradnl"/>
                </w:rPr>
                <w:t xml:space="preserve">CIRIEC N° 2010/03 </w:t>
              </w:r>
            </w:hyperlink>
            <w:r w:rsidR="006F74A6" w:rsidRPr="00E34ACB">
              <w:rPr>
                <w:rFonts w:cs="Arial"/>
                <w:color w:val="000000"/>
                <w:sz w:val="20"/>
                <w:szCs w:val="20"/>
                <w:lang w:val="es-ES_tradnl"/>
              </w:rPr>
              <w:t xml:space="preserve"> </w:t>
            </w:r>
          </w:p>
        </w:tc>
      </w:tr>
      <w:tr w:rsidR="008A7167" w:rsidRPr="00E60F1A" w:rsidTr="006B6D56">
        <w:tc>
          <w:tcPr>
            <w:tcW w:w="1101" w:type="dxa"/>
            <w:tcBorders>
              <w:top w:val="single" w:sz="4" w:space="0" w:color="000000"/>
              <w:left w:val="single" w:sz="4" w:space="0" w:color="000000"/>
              <w:bottom w:val="single" w:sz="4" w:space="0" w:color="000000"/>
              <w:right w:val="single" w:sz="4" w:space="0" w:color="000000"/>
            </w:tcBorders>
            <w:shd w:val="clear" w:color="auto" w:fill="FFFF99"/>
          </w:tcPr>
          <w:p w:rsidR="008A7167" w:rsidRPr="00317FA1" w:rsidRDefault="008A7167" w:rsidP="006B6D56">
            <w:r w:rsidRPr="00317FA1">
              <w:t>Bulgaria</w:t>
            </w:r>
          </w:p>
        </w:tc>
        <w:tc>
          <w:tcPr>
            <w:tcW w:w="992" w:type="dxa"/>
            <w:tcBorders>
              <w:top w:val="single" w:sz="4" w:space="0" w:color="000000"/>
              <w:left w:val="single" w:sz="4" w:space="0" w:color="000000"/>
              <w:bottom w:val="single" w:sz="4" w:space="0" w:color="000000"/>
              <w:right w:val="single" w:sz="4" w:space="0" w:color="000000"/>
            </w:tcBorders>
          </w:tcPr>
          <w:p w:rsidR="008A7167" w:rsidRPr="00317FA1" w:rsidRDefault="008A7167" w:rsidP="00B24073">
            <w:pPr>
              <w:jc w:val="right"/>
            </w:pPr>
            <w:r w:rsidRPr="00317FA1">
              <w:t>25</w:t>
            </w:r>
          </w:p>
        </w:tc>
        <w:tc>
          <w:tcPr>
            <w:tcW w:w="1134" w:type="dxa"/>
            <w:tcBorders>
              <w:top w:val="single" w:sz="4" w:space="0" w:color="000000"/>
              <w:left w:val="single" w:sz="4" w:space="0" w:color="000000"/>
              <w:bottom w:val="single" w:sz="4" w:space="0" w:color="000000"/>
              <w:right w:val="single" w:sz="4" w:space="0" w:color="000000"/>
            </w:tcBorders>
          </w:tcPr>
          <w:p w:rsidR="008A7167" w:rsidRPr="00317FA1" w:rsidRDefault="008A7167" w:rsidP="00B24073">
            <w:pPr>
              <w:jc w:val="right"/>
            </w:pPr>
            <w:r w:rsidRPr="00317FA1">
              <w:t>75</w:t>
            </w:r>
          </w:p>
        </w:tc>
        <w:tc>
          <w:tcPr>
            <w:tcW w:w="709" w:type="dxa"/>
            <w:tcBorders>
              <w:top w:val="single" w:sz="4" w:space="0" w:color="000000"/>
              <w:left w:val="single" w:sz="4" w:space="0" w:color="000000"/>
              <w:bottom w:val="single" w:sz="4" w:space="0" w:color="000000"/>
              <w:right w:val="single" w:sz="4" w:space="0" w:color="000000"/>
            </w:tcBorders>
          </w:tcPr>
          <w:p w:rsidR="008A7167" w:rsidRPr="00317FA1" w:rsidRDefault="008A7167" w:rsidP="00B24073">
            <w:pPr>
              <w:jc w:val="right"/>
              <w:rPr>
                <w:i/>
              </w:rPr>
            </w:pPr>
            <w:r w:rsidRPr="00317FA1">
              <w:rPr>
                <w:i/>
              </w:rPr>
              <w:t>2009</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8A7167" w:rsidRPr="00085E8A" w:rsidRDefault="00081F2D" w:rsidP="006B6D56">
            <w:hyperlink r:id="rId68" w:history="1">
              <w:r w:rsidR="008A7167" w:rsidRPr="008A7167">
                <w:rPr>
                  <w:rStyle w:val="Hyperlink"/>
                </w:rPr>
                <w:t>Walqing 2011 The Sector of Waste Collection in Bulgaria</w:t>
              </w:r>
            </w:hyperlink>
            <w:r w:rsidR="008A7167" w:rsidRPr="00085E8A">
              <w:t xml:space="preserve"> </w:t>
            </w:r>
          </w:p>
        </w:tc>
      </w:tr>
    </w:tbl>
    <w:p w:rsidR="00BA3B94" w:rsidRDefault="00BA3B94" w:rsidP="00BA3B94">
      <w:pPr>
        <w:pStyle w:val="ListParagraph"/>
      </w:pPr>
    </w:p>
    <w:p w:rsidR="003B0EE2" w:rsidRDefault="008A7167" w:rsidP="008A351D">
      <w:pPr>
        <w:pStyle w:val="ListParagraph"/>
        <w:numPr>
          <w:ilvl w:val="0"/>
          <w:numId w:val="21"/>
        </w:numPr>
      </w:pPr>
      <w:r>
        <w:t xml:space="preserve">The figures for Germany </w:t>
      </w:r>
      <w:r w:rsidR="00D850E9">
        <w:t>come</w:t>
      </w:r>
      <w:r>
        <w:t xml:space="preserve"> from </w:t>
      </w:r>
      <w:r w:rsidR="003B0EE2">
        <w:t>a</w:t>
      </w:r>
      <w:r>
        <w:t xml:space="preserve"> Heinrich Boell Stiftung survey</w:t>
      </w:r>
      <w:r w:rsidR="003B0EE2">
        <w:t xml:space="preserve">, </w:t>
      </w:r>
      <w:r>
        <w:t>weighted by population, excluding null responses, and treating ‘mixed’ public-private providers as private</w:t>
      </w:r>
      <w:r w:rsidR="003B0EE2">
        <w:t xml:space="preserve"> (t</w:t>
      </w:r>
      <w:r w:rsidR="00683A25">
        <w:t>he survey found 36% municipal, 25% private, 19% mixed, and 20% ‘nicht zustaendig’</w:t>
      </w:r>
      <w:r w:rsidR="003B0EE2">
        <w:t>)</w:t>
      </w:r>
      <w:r w:rsidR="00683A25">
        <w:t xml:space="preserve">. The </w:t>
      </w:r>
      <w:r w:rsidR="00D850E9">
        <w:t xml:space="preserve">simple </w:t>
      </w:r>
      <w:r w:rsidR="00683A25">
        <w:t>numbers of municipalities, without weighting for population, showed a lower proportion of municipal services, indicating that the larger municipalities are more likely to carry out their own collection service.</w:t>
      </w:r>
      <w:r w:rsidR="00A61319">
        <w:rPr>
          <w:rStyle w:val="EndnoteReference"/>
        </w:rPr>
        <w:endnoteReference w:id="12"/>
      </w:r>
      <w:r w:rsidR="00683A25">
        <w:t xml:space="preserve"> </w:t>
      </w:r>
    </w:p>
    <w:p w:rsidR="008A7167" w:rsidRDefault="008A7167" w:rsidP="003B0EE2">
      <w:pPr>
        <w:pStyle w:val="ListParagraph"/>
      </w:pPr>
      <w:r>
        <w:t xml:space="preserve">  </w:t>
      </w:r>
    </w:p>
    <w:p w:rsidR="00132E52" w:rsidRDefault="000570A5" w:rsidP="008A351D">
      <w:pPr>
        <w:pStyle w:val="ListParagraph"/>
        <w:numPr>
          <w:ilvl w:val="0"/>
          <w:numId w:val="21"/>
        </w:numPr>
      </w:pPr>
      <w:r>
        <w:t xml:space="preserve">The report on the UK states that 57% of municipalities carry out refuse collection through an inhouse service, but the </w:t>
      </w:r>
      <w:r w:rsidR="006B6D56">
        <w:t>population</w:t>
      </w:r>
      <w:r>
        <w:t xml:space="preserve"> estimates suggest that </w:t>
      </w:r>
      <w:r w:rsidR="00A61319">
        <w:t>the larger municipalities are more likely to outsource (this is the opposite of the results for Germany, see above).</w:t>
      </w:r>
    </w:p>
    <w:p w:rsidR="008A7167" w:rsidRDefault="008A7167" w:rsidP="008A7167">
      <w:pPr>
        <w:pStyle w:val="ListParagraph"/>
      </w:pPr>
    </w:p>
    <w:p w:rsidR="00C21B92" w:rsidRDefault="008A7167" w:rsidP="008A351D">
      <w:pPr>
        <w:pStyle w:val="ListParagraph"/>
        <w:numPr>
          <w:ilvl w:val="0"/>
          <w:numId w:val="21"/>
        </w:numPr>
      </w:pPr>
      <w:r>
        <w:t xml:space="preserve">In Bulgaria, the public sector </w:t>
      </w:r>
      <w:r w:rsidR="00D850E9">
        <w:t>share</w:t>
      </w:r>
      <w:r>
        <w:t xml:space="preserve"> fell sharply in 6 years from 65% in 2003 to 25% in 2009.</w:t>
      </w:r>
      <w:r>
        <w:rPr>
          <w:rStyle w:val="EndnoteReference"/>
        </w:rPr>
        <w:endnoteReference w:id="13"/>
      </w:r>
    </w:p>
    <w:p w:rsidR="00C21B92" w:rsidRDefault="00C21B92" w:rsidP="00C21B92">
      <w:pPr>
        <w:pStyle w:val="ListParagraph"/>
      </w:pPr>
    </w:p>
    <w:p w:rsidR="00D850E9" w:rsidRDefault="008A7167" w:rsidP="008A351D">
      <w:pPr>
        <w:pStyle w:val="ListParagraph"/>
        <w:numPr>
          <w:ilvl w:val="0"/>
          <w:numId w:val="21"/>
        </w:numPr>
      </w:pPr>
      <w:r>
        <w:t xml:space="preserve">The report on Spain </w:t>
      </w:r>
      <w:r w:rsidR="00967607">
        <w:t xml:space="preserve">estimates that </w:t>
      </w:r>
      <w:r>
        <w:t xml:space="preserve">municipalities have a </w:t>
      </w:r>
      <w:r w:rsidR="00967607">
        <w:t>24</w:t>
      </w:r>
      <w:r>
        <w:t>%  share of collection of household waste</w:t>
      </w:r>
      <w:r w:rsidR="00967607">
        <w:t xml:space="preserve"> – significantly lower than in Germany, France and UK – but still carry out 21% of waste treatment and elimination, which is higher than France and UK.</w:t>
      </w:r>
    </w:p>
    <w:p w:rsidR="00D850E9" w:rsidRDefault="00D850E9" w:rsidP="00D850E9"/>
    <w:p w:rsidR="002F1E7C" w:rsidRDefault="00F414DF" w:rsidP="002F1E7C">
      <w:pPr>
        <w:pStyle w:val="ListParagraph"/>
        <w:numPr>
          <w:ilvl w:val="0"/>
          <w:numId w:val="21"/>
        </w:numPr>
      </w:pPr>
      <w:r>
        <w:t xml:space="preserve">The report on France </w:t>
      </w:r>
      <w:r w:rsidR="002F1E7C">
        <w:t xml:space="preserve">also </w:t>
      </w:r>
      <w:r>
        <w:t>estimates the public private split for a number of sub-sectors. The table shows that the sub-sectors with the greatest number of jobs – household waste collection, civic amenity sites – are also the areas where the public sector has its main presence.</w:t>
      </w:r>
    </w:p>
    <w:p w:rsidR="00B725C8" w:rsidRDefault="00B725C8" w:rsidP="00B725C8">
      <w:pPr>
        <w:pStyle w:val="ListParagraph"/>
      </w:pPr>
    </w:p>
    <w:p w:rsidR="002F1E7C" w:rsidRDefault="00B725C8" w:rsidP="002F1E7C">
      <w:pPr>
        <w:pStyle w:val="ListParagraph"/>
        <w:numPr>
          <w:ilvl w:val="0"/>
          <w:numId w:val="21"/>
        </w:numPr>
      </w:pPr>
      <w:r>
        <w:t>Data on Italy is less clear, as an apparently high level of municipally owned operators obscures the fact that many of these do not carry out the services using their own direct labour, but rather sub-contract work to private firms.</w:t>
      </w:r>
      <w:r>
        <w:rPr>
          <w:rStyle w:val="EndnoteReference"/>
        </w:rPr>
        <w:endnoteReference w:id="14"/>
      </w:r>
    </w:p>
    <w:p w:rsidR="00F414DF" w:rsidRDefault="00F414DF" w:rsidP="002F1E7C">
      <w:pPr>
        <w:pStyle w:val="ListParagraph"/>
      </w:pPr>
      <w:r>
        <w:t xml:space="preserve">  </w:t>
      </w:r>
    </w:p>
    <w:p w:rsidR="00F414DF" w:rsidRDefault="00F414DF" w:rsidP="00F414DF">
      <w:pPr>
        <w:pStyle w:val="Heading7"/>
      </w:pPr>
      <w:bookmarkStart w:id="38" w:name="_Toc336267615"/>
      <w:r>
        <w:lastRenderedPageBreak/>
        <w:t>Public-private jobs in waste management by sub-sector: France 2009</w:t>
      </w:r>
      <w:bookmarkEnd w:id="38"/>
    </w:p>
    <w:tbl>
      <w:tblPr>
        <w:tblW w:w="82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1275"/>
        <w:gridCol w:w="992"/>
        <w:gridCol w:w="992"/>
      </w:tblGrid>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p>
        </w:tc>
        <w:tc>
          <w:tcPr>
            <w:tcW w:w="1275" w:type="dxa"/>
            <w:shd w:val="clear" w:color="auto" w:fill="FFFF99"/>
            <w:vAlign w:val="bottom"/>
          </w:tcPr>
          <w:p w:rsidR="00F414DF" w:rsidRPr="00F414DF" w:rsidRDefault="00F414DF" w:rsidP="00132E52">
            <w:pPr>
              <w:rPr>
                <w:rFonts w:eastAsia="Times New Roman" w:cs="Calibri"/>
                <w:color w:val="000000"/>
              </w:rPr>
            </w:pPr>
            <w:r w:rsidRPr="00F414DF">
              <w:rPr>
                <w:rFonts w:eastAsia="Times New Roman" w:cs="Calibri"/>
                <w:color w:val="000000"/>
              </w:rPr>
              <w:t xml:space="preserve">Total jobs </w:t>
            </w:r>
          </w:p>
        </w:tc>
        <w:tc>
          <w:tcPr>
            <w:tcW w:w="992"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 xml:space="preserve">public </w:t>
            </w:r>
          </w:p>
        </w:tc>
        <w:tc>
          <w:tcPr>
            <w:tcW w:w="992" w:type="dxa"/>
            <w:shd w:val="clear" w:color="auto" w:fill="FFFF99"/>
            <w:vAlign w:val="bottom"/>
          </w:tcPr>
          <w:p w:rsidR="00F414DF" w:rsidRPr="00F414DF" w:rsidRDefault="00F414DF" w:rsidP="00132E52">
            <w:pPr>
              <w:rPr>
                <w:rFonts w:eastAsia="Times New Roman" w:cs="Calibri"/>
                <w:color w:val="000000"/>
              </w:rPr>
            </w:pPr>
            <w:r w:rsidRPr="00F414DF">
              <w:rPr>
                <w:rFonts w:eastAsia="Times New Roman" w:cs="Calibri"/>
                <w:color w:val="000000"/>
              </w:rPr>
              <w:t>private</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1. COLLECTION</w:t>
            </w:r>
          </w:p>
        </w:tc>
        <w:tc>
          <w:tcPr>
            <w:tcW w:w="1275" w:type="dxa"/>
            <w:vAlign w:val="bottom"/>
          </w:tcPr>
          <w:p w:rsidR="00F414DF" w:rsidRPr="00F414DF" w:rsidRDefault="00F414DF" w:rsidP="00132E52">
            <w:pPr>
              <w:rPr>
                <w:rFonts w:eastAsia="Times New Roman" w:cs="Calibri"/>
                <w:color w:val="000000"/>
              </w:rPr>
            </w:pPr>
          </w:p>
        </w:tc>
        <w:tc>
          <w:tcPr>
            <w:tcW w:w="992" w:type="dxa"/>
            <w:shd w:val="clear" w:color="auto" w:fill="auto"/>
            <w:noWrap/>
            <w:vAlign w:val="bottom"/>
            <w:hideMark/>
          </w:tcPr>
          <w:p w:rsidR="00F414DF" w:rsidRPr="00F414DF" w:rsidRDefault="00F414DF" w:rsidP="00132E52">
            <w:pPr>
              <w:rPr>
                <w:rFonts w:eastAsia="Times New Roman" w:cs="Calibri"/>
                <w:color w:val="000000"/>
              </w:rPr>
            </w:pPr>
          </w:p>
        </w:tc>
        <w:tc>
          <w:tcPr>
            <w:tcW w:w="992" w:type="dxa"/>
            <w:vAlign w:val="bottom"/>
          </w:tcPr>
          <w:p w:rsidR="00F414DF" w:rsidRPr="00F414DF" w:rsidRDefault="00F414DF" w:rsidP="00132E52">
            <w:pPr>
              <w:rPr>
                <w:rFonts w:eastAsia="Times New Roman" w:cs="Calibri"/>
                <w:color w:val="000000"/>
              </w:rPr>
            </w:pP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Mixed household waste collection</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27306</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50%</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50%</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Separate household waste collection</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7033</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40%</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60%</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Sorting centres for household waste</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2652</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6%</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94%</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 xml:space="preserve">Transfer stations </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2254</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30%</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70%</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Civic amenity sites</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12102</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55%</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45%</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Mixed small business waste collection</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5567</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10%</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90%</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Separate small business waste collection</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1112</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5%</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95%</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Sorting centres for small business waste</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1958</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3%</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97%</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2. TREATMENT</w:t>
            </w:r>
          </w:p>
        </w:tc>
        <w:tc>
          <w:tcPr>
            <w:tcW w:w="1275" w:type="dxa"/>
            <w:vAlign w:val="bottom"/>
          </w:tcPr>
          <w:p w:rsidR="00F414DF" w:rsidRPr="00F414DF" w:rsidRDefault="00F414DF" w:rsidP="00132E52">
            <w:pPr>
              <w:rPr>
                <w:rFonts w:eastAsia="Times New Roman" w:cs="Calibri"/>
                <w:color w:val="000000"/>
              </w:rPr>
            </w:pPr>
          </w:p>
        </w:tc>
        <w:tc>
          <w:tcPr>
            <w:tcW w:w="992" w:type="dxa"/>
            <w:shd w:val="clear" w:color="auto" w:fill="auto"/>
            <w:noWrap/>
            <w:vAlign w:val="bottom"/>
            <w:hideMark/>
          </w:tcPr>
          <w:p w:rsidR="00F414DF" w:rsidRPr="00F414DF" w:rsidRDefault="00F414DF" w:rsidP="00132E52">
            <w:pPr>
              <w:rPr>
                <w:rFonts w:eastAsia="Times New Roman" w:cs="Calibri"/>
                <w:color w:val="000000"/>
              </w:rPr>
            </w:pPr>
          </w:p>
        </w:tc>
        <w:tc>
          <w:tcPr>
            <w:tcW w:w="992" w:type="dxa"/>
            <w:vAlign w:val="bottom"/>
          </w:tcPr>
          <w:p w:rsidR="00F414DF" w:rsidRPr="00F414DF" w:rsidRDefault="00F414DF" w:rsidP="00132E52">
            <w:pPr>
              <w:rPr>
                <w:rFonts w:eastAsia="Times New Roman" w:cs="Calibri"/>
                <w:color w:val="000000"/>
              </w:rPr>
            </w:pP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Incineration</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3988</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7%</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93%</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Landfill</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1976</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10%</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90%</w:t>
            </w:r>
          </w:p>
        </w:tc>
      </w:tr>
      <w:tr w:rsidR="00F414DF" w:rsidRPr="00F414DF" w:rsidTr="006B6D56">
        <w:trPr>
          <w:trHeight w:val="300"/>
        </w:trPr>
        <w:tc>
          <w:tcPr>
            <w:tcW w:w="4977" w:type="dxa"/>
            <w:shd w:val="clear" w:color="auto" w:fill="FFFF99"/>
            <w:noWrap/>
            <w:vAlign w:val="bottom"/>
            <w:hideMark/>
          </w:tcPr>
          <w:p w:rsidR="00F414DF" w:rsidRPr="00F414DF" w:rsidRDefault="00F414DF" w:rsidP="00132E52">
            <w:pPr>
              <w:rPr>
                <w:rFonts w:eastAsia="Times New Roman" w:cs="Calibri"/>
                <w:color w:val="000000"/>
              </w:rPr>
            </w:pPr>
            <w:r w:rsidRPr="00F414DF">
              <w:rPr>
                <w:rFonts w:eastAsia="Times New Roman" w:cs="Calibri"/>
                <w:color w:val="000000"/>
              </w:rPr>
              <w:t>Biological treatment (composting)</w:t>
            </w:r>
          </w:p>
        </w:tc>
        <w:tc>
          <w:tcPr>
            <w:tcW w:w="1275"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2154</w:t>
            </w:r>
          </w:p>
        </w:tc>
        <w:tc>
          <w:tcPr>
            <w:tcW w:w="992" w:type="dxa"/>
            <w:shd w:val="clear" w:color="auto" w:fill="auto"/>
            <w:noWrap/>
            <w:vAlign w:val="bottom"/>
            <w:hideMark/>
          </w:tcPr>
          <w:p w:rsidR="00F414DF" w:rsidRPr="00F414DF" w:rsidRDefault="00F414DF" w:rsidP="00132E52">
            <w:pPr>
              <w:jc w:val="right"/>
              <w:rPr>
                <w:rFonts w:eastAsia="Times New Roman" w:cs="Calibri"/>
                <w:color w:val="000000"/>
              </w:rPr>
            </w:pPr>
            <w:r w:rsidRPr="00F414DF">
              <w:rPr>
                <w:rFonts w:eastAsia="Times New Roman" w:cs="Calibri"/>
                <w:color w:val="000000"/>
              </w:rPr>
              <w:t>16%</w:t>
            </w:r>
          </w:p>
        </w:tc>
        <w:tc>
          <w:tcPr>
            <w:tcW w:w="992" w:type="dxa"/>
            <w:vAlign w:val="bottom"/>
          </w:tcPr>
          <w:p w:rsidR="00F414DF" w:rsidRPr="00F414DF" w:rsidRDefault="00F414DF" w:rsidP="00132E52">
            <w:pPr>
              <w:jc w:val="right"/>
              <w:rPr>
                <w:rFonts w:eastAsia="Times New Roman" w:cs="Calibri"/>
                <w:color w:val="000000"/>
              </w:rPr>
            </w:pPr>
            <w:r w:rsidRPr="00F414DF">
              <w:rPr>
                <w:rFonts w:eastAsia="Times New Roman" w:cs="Calibri"/>
                <w:color w:val="000000"/>
              </w:rPr>
              <w:t>84%</w:t>
            </w:r>
          </w:p>
        </w:tc>
      </w:tr>
    </w:tbl>
    <w:p w:rsidR="000D75D6" w:rsidRPr="002D61D4" w:rsidRDefault="00F414DF" w:rsidP="000D75D6">
      <w:pPr>
        <w:rPr>
          <w:lang w:val="fr-FR"/>
        </w:rPr>
      </w:pPr>
      <w:r w:rsidRPr="002D61D4">
        <w:rPr>
          <w:lang w:val="fr-FR"/>
        </w:rPr>
        <w:t xml:space="preserve">Source: </w:t>
      </w:r>
      <w:hyperlink r:id="rId69" w:tooltip="Marchés et emplois des activités liées aux déchets (Français/Anglais)" w:history="1">
        <w:r w:rsidRPr="00E34ACB">
          <w:rPr>
            <w:rStyle w:val="Hyperlink"/>
            <w:lang w:val="fr-FR"/>
          </w:rPr>
          <w:t>Marchés et emplois des activités liées aux déchets</w:t>
        </w:r>
        <w:r>
          <w:rPr>
            <w:rStyle w:val="Hyperlink"/>
            <w:lang w:val="fr-FR"/>
          </w:rPr>
          <w:t> </w:t>
        </w:r>
      </w:hyperlink>
      <w:r w:rsidR="00500130">
        <w:rPr>
          <w:rStyle w:val="Hyperlink"/>
          <w:lang w:val="fr-FR"/>
        </w:rPr>
        <w:t>;</w:t>
      </w:r>
      <w:r w:rsidR="00500130" w:rsidRPr="002D61D4">
        <w:rPr>
          <w:lang w:val="fr-FR"/>
        </w:rPr>
        <w:t xml:space="preserve"> PSIRU calculations</w:t>
      </w:r>
    </w:p>
    <w:p w:rsidR="00340165" w:rsidRPr="00F00E29" w:rsidRDefault="00340165" w:rsidP="00340165">
      <w:pPr>
        <w:rPr>
          <w:lang w:val="fr-FR" w:eastAsia="en-US"/>
        </w:rPr>
      </w:pPr>
    </w:p>
    <w:p w:rsidR="002D500E" w:rsidRDefault="002D500E" w:rsidP="002D500E">
      <w:pPr>
        <w:pStyle w:val="Heading2"/>
        <w:jc w:val="both"/>
      </w:pPr>
      <w:bookmarkStart w:id="39" w:name="_Toc336267616"/>
      <w:r>
        <w:t>Remunicipalisation</w:t>
      </w:r>
      <w:bookmarkEnd w:id="39"/>
    </w:p>
    <w:p w:rsidR="00235978" w:rsidRDefault="00235978" w:rsidP="004645F1">
      <w:r>
        <w:t xml:space="preserve">The general rise of remunicipalisation in Europe can also be seen in the waste management sector (for general background on this trend, see </w:t>
      </w:r>
      <w:r w:rsidR="00B537AF">
        <w:t xml:space="preserve">the PSIRU report for EPSU on  </w:t>
      </w:r>
      <w:hyperlink r:id="rId70" w:history="1">
        <w:r w:rsidR="00B537AF">
          <w:rPr>
            <w:rStyle w:val="Hyperlink"/>
          </w:rPr>
          <w:t>Re-municipalising municipal services in Europe</w:t>
        </w:r>
      </w:hyperlink>
      <w:r w:rsidR="00B537AF">
        <w:t xml:space="preserve"> ) </w:t>
      </w:r>
    </w:p>
    <w:p w:rsidR="00235978" w:rsidRDefault="00235978" w:rsidP="004645F1"/>
    <w:p w:rsidR="00A61319" w:rsidRDefault="00A61319" w:rsidP="004645F1">
      <w:r>
        <w:t>Since the mid-2000s, t</w:t>
      </w:r>
      <w:r w:rsidR="002D500E">
        <w:t>here has been some re-municipalisation of refuse collection contracts</w:t>
      </w:r>
      <w:r>
        <w:t xml:space="preserve"> in Germany, France and the UK. The overall effect has certainly been to halt the earlier trend towards privatisation, although there are still cases of new privatisation, so it remains unclear if the overall result is towards public sector operation. </w:t>
      </w:r>
    </w:p>
    <w:p w:rsidR="00862986" w:rsidRDefault="00862986" w:rsidP="004645F1"/>
    <w:p w:rsidR="002D500E" w:rsidRDefault="004645F1" w:rsidP="004645F1">
      <w:r>
        <w:t>In Germany, there was a slight net remunicipalisation between 2004-2007. The key factors included improving the quality of service, greater control over policy, desire to avoid oligopolies, and social concerns for the workers’ pay and conditions.</w:t>
      </w:r>
      <w:r w:rsidR="00F62B3C">
        <w:t xml:space="preserve"> </w:t>
      </w:r>
      <w:r w:rsidR="00925572">
        <w:t>There was still</w:t>
      </w:r>
      <w:r w:rsidR="00F62B3C">
        <w:t xml:space="preserve"> a tendency to remunicipalisation</w:t>
      </w:r>
      <w:r w:rsidR="00925572">
        <w:t xml:space="preserve"> in 2011</w:t>
      </w:r>
      <w:r w:rsidR="00F62B3C">
        <w:t xml:space="preserve">. </w:t>
      </w:r>
      <w:r>
        <w:rPr>
          <w:rStyle w:val="EndnoteReference"/>
        </w:rPr>
        <w:endnoteReference w:id="15"/>
      </w:r>
      <w:r w:rsidR="0045681C">
        <w:t xml:space="preserve">  </w:t>
      </w:r>
    </w:p>
    <w:p w:rsidR="00670786" w:rsidRDefault="00670786" w:rsidP="004645F1">
      <w:pPr>
        <w:rPr>
          <w:rFonts w:cstheme="minorHAnsi"/>
        </w:rPr>
      </w:pPr>
    </w:p>
    <w:p w:rsidR="002D500E" w:rsidRDefault="005C2DFE" w:rsidP="004645F1">
      <w:pPr>
        <w:rPr>
          <w:rFonts w:cstheme="minorHAnsi"/>
        </w:rPr>
      </w:pPr>
      <w:r w:rsidRPr="00D850E9">
        <w:rPr>
          <w:rFonts w:cstheme="minorHAnsi"/>
        </w:rPr>
        <w:t xml:space="preserve">In the UK, </w:t>
      </w:r>
      <w:r w:rsidR="00925572">
        <w:rPr>
          <w:rFonts w:cstheme="minorHAnsi"/>
        </w:rPr>
        <w:t xml:space="preserve">a number of local councils have </w:t>
      </w:r>
      <w:r w:rsidR="00670786">
        <w:rPr>
          <w:rFonts w:cstheme="minorHAnsi"/>
        </w:rPr>
        <w:t xml:space="preserve">also </w:t>
      </w:r>
      <w:r w:rsidR="00925572">
        <w:rPr>
          <w:rFonts w:cstheme="minorHAnsi"/>
        </w:rPr>
        <w:t>remunicipalised refuse collection. O</w:t>
      </w:r>
      <w:r w:rsidR="00C21B92" w:rsidRPr="00D850E9">
        <w:rPr>
          <w:rFonts w:cstheme="minorHAnsi"/>
        </w:rPr>
        <w:t xml:space="preserve">ne example is </w:t>
      </w:r>
      <w:r w:rsidRPr="00D850E9">
        <w:rPr>
          <w:rFonts w:cstheme="minorHAnsi"/>
        </w:rPr>
        <w:t>Islington council in London</w:t>
      </w:r>
      <w:r w:rsidR="00C21B92" w:rsidRPr="00D850E9">
        <w:rPr>
          <w:rFonts w:cstheme="minorHAnsi"/>
        </w:rPr>
        <w:t>,</w:t>
      </w:r>
      <w:r w:rsidRPr="00D850E9">
        <w:rPr>
          <w:rFonts w:cstheme="minorHAnsi"/>
        </w:rPr>
        <w:t xml:space="preserve"> </w:t>
      </w:r>
      <w:r w:rsidR="00C21B92" w:rsidRPr="00D850E9">
        <w:rPr>
          <w:rFonts w:cstheme="minorHAnsi"/>
        </w:rPr>
        <w:t xml:space="preserve">which </w:t>
      </w:r>
      <w:r w:rsidRPr="00D850E9">
        <w:rPr>
          <w:rFonts w:cstheme="minorHAnsi"/>
        </w:rPr>
        <w:t>decided to re-municipalise its waste collection, recycling and street cleaning services.  Pay and conditions will be improved so that workers will earn at least the ‘London living wage’, but the inhouse service will still cost £3million per year less than the private contractor.</w:t>
      </w:r>
      <w:r w:rsidRPr="00D850E9">
        <w:rPr>
          <w:rStyle w:val="EndnoteReference"/>
          <w:rFonts w:cstheme="minorHAnsi"/>
        </w:rPr>
        <w:endnoteReference w:id="16"/>
      </w:r>
      <w:r w:rsidR="0045681C">
        <w:rPr>
          <w:rFonts w:cstheme="minorHAnsi"/>
        </w:rPr>
        <w:t xml:space="preserve">  </w:t>
      </w:r>
    </w:p>
    <w:p w:rsidR="00925572" w:rsidRPr="00D850E9" w:rsidRDefault="00925572" w:rsidP="004645F1">
      <w:pPr>
        <w:rPr>
          <w:rFonts w:cstheme="minorHAnsi"/>
        </w:rPr>
      </w:pPr>
    </w:p>
    <w:p w:rsidR="00C21B92" w:rsidRPr="00D850E9" w:rsidRDefault="00C21B92" w:rsidP="00D850E9">
      <w:pPr>
        <w:contextualSpacing/>
        <w:textAlignment w:val="baseline"/>
        <w:rPr>
          <w:rFonts w:eastAsia="Times New Roman" w:cstheme="minorHAnsi"/>
        </w:rPr>
      </w:pPr>
      <w:r w:rsidRPr="00D850E9">
        <w:rPr>
          <w:rFonts w:cstheme="minorHAnsi"/>
        </w:rPr>
        <w:t>In France, there is</w:t>
      </w:r>
      <w:r w:rsidR="00BC5D48" w:rsidRPr="00D850E9">
        <w:rPr>
          <w:rFonts w:cstheme="minorHAnsi"/>
        </w:rPr>
        <w:t xml:space="preserve"> also some remunicipalisation, which may be linked to continuing problems with managing the contractors –overwhelmingly Veolia and Suez. </w:t>
      </w:r>
      <w:r w:rsidR="00BC5D48" w:rsidRPr="00D850E9">
        <w:rPr>
          <w:rFonts w:cstheme="minorHAnsi"/>
          <w:lang w:val="fr-FR"/>
        </w:rPr>
        <w:t>A 2011 report by the Cour des comptes, France’s public sector audit commission,</w:t>
      </w:r>
      <w:r w:rsidR="00D850E9">
        <w:rPr>
          <w:rFonts w:cstheme="minorHAnsi"/>
          <w:lang w:val="fr-FR"/>
        </w:rPr>
        <w:t xml:space="preserve"> noted : </w:t>
      </w:r>
      <w:r w:rsidRPr="00D850E9">
        <w:rPr>
          <w:rFonts w:eastAsia="Times New Roman" w:cstheme="minorHAnsi"/>
          <w:lang w:val="fr-FR"/>
        </w:rPr>
        <w:t xml:space="preserve">“real problems in their relations with private contractors” </w:t>
      </w:r>
      <w:r w:rsidRPr="00D850E9">
        <w:rPr>
          <w:rFonts w:eastAsia="Times New Roman" w:cstheme="minorHAnsi"/>
          <w:i/>
          <w:lang w:val="fr-FR"/>
        </w:rPr>
        <w:t>(</w:t>
      </w:r>
      <w:r w:rsidR="00BC5D48" w:rsidRPr="00D850E9">
        <w:rPr>
          <w:rFonts w:eastAsia="Times New Roman" w:cstheme="minorHAnsi"/>
          <w:bCs/>
          <w:i/>
          <w:lang w:val="fr-FR"/>
        </w:rPr>
        <w:t>Une maîtrise difficile par les collectivités de leurs relations avec les prestataires privés</w:t>
      </w:r>
      <w:r w:rsidRPr="00D850E9">
        <w:rPr>
          <w:rFonts w:eastAsia="Times New Roman" w:cstheme="minorHAnsi"/>
          <w:i/>
          <w:lang w:val="fr-FR"/>
        </w:rPr>
        <w:t>)</w:t>
      </w:r>
      <w:r w:rsidR="00BC5D48" w:rsidRPr="00D850E9">
        <w:rPr>
          <w:rFonts w:eastAsia="Times New Roman" w:cstheme="minorHAnsi"/>
          <w:lang w:val="fr-FR"/>
        </w:rPr>
        <w:t xml:space="preserve"> including b</w:t>
      </w:r>
      <w:r w:rsidR="00B537AF">
        <w:rPr>
          <w:rFonts w:eastAsia="Times New Roman" w:cstheme="minorHAnsi"/>
          <w:lang w:val="fr-FR"/>
        </w:rPr>
        <w:t>r</w:t>
      </w:r>
      <w:r w:rsidR="00BC5D48" w:rsidRPr="00D850E9">
        <w:rPr>
          <w:rFonts w:eastAsia="Times New Roman" w:cstheme="minorHAnsi"/>
          <w:lang w:val="fr-FR"/>
        </w:rPr>
        <w:t xml:space="preserve">eaches of competition rules, and successive substantial modifications to contracts, in favour of the companies, after contracts have been awarded </w:t>
      </w:r>
      <w:r w:rsidR="00BC5D48" w:rsidRPr="00D850E9">
        <w:rPr>
          <w:rFonts w:eastAsia="Times New Roman" w:cstheme="minorHAnsi"/>
          <w:i/>
          <w:lang w:val="fr-FR"/>
        </w:rPr>
        <w:t>(des manquements aux respects des règles de la concurrence ou des cas de modification substantielle de l’équilibre des contrats initiaux dans le temps (délégations ou marchés publics) du fait d’avenants successifs généralement favorables aux entreprises.)</w:t>
      </w:r>
      <w:r w:rsidR="00D850E9">
        <w:rPr>
          <w:rFonts w:eastAsia="Times New Roman" w:cstheme="minorHAnsi"/>
          <w:i/>
          <w:lang w:val="fr-FR"/>
        </w:rPr>
        <w:t xml:space="preserve">. </w:t>
      </w:r>
      <w:r w:rsidR="00D850E9" w:rsidRPr="00D850E9">
        <w:rPr>
          <w:rFonts w:eastAsia="Times New Roman" w:cstheme="minorHAnsi"/>
        </w:rPr>
        <w:t>This inability to control the private companies properly was one reason w</w:t>
      </w:r>
      <w:r w:rsidR="00D850E9">
        <w:rPr>
          <w:rFonts w:eastAsia="Times New Roman" w:cstheme="minorHAnsi"/>
        </w:rPr>
        <w:t>hy costs were rising too rapidly.</w:t>
      </w:r>
      <w:r w:rsidR="00BC5D48" w:rsidRPr="00D850E9">
        <w:rPr>
          <w:rFonts w:eastAsia="Times New Roman" w:cstheme="minorHAnsi"/>
        </w:rPr>
        <w:t xml:space="preserve"> </w:t>
      </w:r>
      <w:r w:rsidR="00BC5D48" w:rsidRPr="00D850E9">
        <w:rPr>
          <w:rStyle w:val="EndnoteReference"/>
          <w:rFonts w:eastAsia="Times New Roman" w:cstheme="minorHAnsi"/>
          <w:lang w:val="fr-FR"/>
        </w:rPr>
        <w:endnoteReference w:id="17"/>
      </w:r>
    </w:p>
    <w:p w:rsidR="002D500E" w:rsidRDefault="002D500E" w:rsidP="002D500E">
      <w:pPr>
        <w:pStyle w:val="Heading2"/>
        <w:jc w:val="both"/>
      </w:pPr>
      <w:bookmarkStart w:id="42" w:name="_Toc336267617"/>
      <w:r>
        <w:t>No public/private efficiency differences</w:t>
      </w:r>
      <w:bookmarkEnd w:id="42"/>
    </w:p>
    <w:p w:rsidR="00670786" w:rsidRDefault="00670786" w:rsidP="00670786">
      <w:pPr>
        <w:autoSpaceDE w:val="0"/>
        <w:autoSpaceDN w:val="0"/>
        <w:adjustRightInd w:val="0"/>
        <w:jc w:val="both"/>
        <w:rPr>
          <w:lang w:eastAsia="en-US"/>
        </w:rPr>
      </w:pPr>
      <w:r>
        <w:rPr>
          <w:lang w:eastAsia="en-US"/>
        </w:rPr>
        <w:t xml:space="preserve">Empirical evidence </w:t>
      </w:r>
      <w:r w:rsidR="008F4CAD">
        <w:rPr>
          <w:lang w:eastAsia="en-US"/>
        </w:rPr>
        <w:t xml:space="preserve">now </w:t>
      </w:r>
      <w:r>
        <w:rPr>
          <w:lang w:eastAsia="en-US"/>
        </w:rPr>
        <w:t xml:space="preserve">strongly supports the view that the private sector is not generally more efficient than the public sector, in waste management as in other sectors. </w:t>
      </w:r>
    </w:p>
    <w:p w:rsidR="007074B4" w:rsidRDefault="007074B4" w:rsidP="007074B4">
      <w:pPr>
        <w:rPr>
          <w:lang w:eastAsia="en-US"/>
        </w:rPr>
      </w:pPr>
    </w:p>
    <w:p w:rsidR="007074B4" w:rsidRPr="007074B4" w:rsidRDefault="007074B4" w:rsidP="007074B4">
      <w:pPr>
        <w:pStyle w:val="Heading3"/>
      </w:pPr>
      <w:bookmarkStart w:id="43" w:name="_Toc336267618"/>
      <w:r>
        <w:lastRenderedPageBreak/>
        <w:t>Empirical evidence: overview</w:t>
      </w:r>
      <w:bookmarkEnd w:id="43"/>
    </w:p>
    <w:p w:rsidR="002D500E" w:rsidRPr="00613B41" w:rsidRDefault="002D500E" w:rsidP="002D500E">
      <w:pPr>
        <w:autoSpaceDE w:val="0"/>
        <w:autoSpaceDN w:val="0"/>
        <w:adjustRightInd w:val="0"/>
        <w:jc w:val="both"/>
      </w:pPr>
      <w:r w:rsidRPr="00613B41">
        <w:t>A Spanish-American team analysed all econometric empirical studies of efficiency and privatisation in waste management and in water, and found “</w:t>
      </w:r>
      <w:r w:rsidRPr="00613B41">
        <w:rPr>
          <w:rFonts w:eastAsia="Times New Roman"/>
        </w:rPr>
        <w:t xml:space="preserve">no systematic support for lower costs with private production…we do not find a genuine empirical effect of cost savings resulting from private production”. </w:t>
      </w:r>
      <w:r w:rsidRPr="00613B41">
        <w:rPr>
          <w:rStyle w:val="EndnoteReference"/>
          <w:rFonts w:eastAsia="Times New Roman"/>
        </w:rPr>
        <w:endnoteReference w:id="18"/>
      </w:r>
      <w:r w:rsidRPr="00613B41">
        <w:rPr>
          <w:rFonts w:eastAsia="Times New Roman"/>
        </w:rPr>
        <w:t xml:space="preserve">  Two of the authors carried out a further empirical study on waste management in rural areas, finding that inter-municipal arrangements reduce costs but outsourcing does not: “</w:t>
      </w:r>
      <w:r w:rsidRPr="00613B41">
        <w:rPr>
          <w:rFonts w:cs="TimesNewRomanPSMT"/>
        </w:rPr>
        <w:t xml:space="preserve">small towns that cooperate incur lower costs for their waste collection service. Cooperation also raises collection frequency and improves the quality of the service in small towns. By contrast, the form of production, whether it is public or private, does not result in systematic differences in costs.” </w:t>
      </w:r>
      <w:r w:rsidRPr="00613B41">
        <w:rPr>
          <w:rStyle w:val="EndnoteReference"/>
          <w:rFonts w:cs="TimesNewRomanPSMT"/>
        </w:rPr>
        <w:endnoteReference w:id="19"/>
      </w:r>
    </w:p>
    <w:p w:rsidR="002D500E" w:rsidRDefault="002D500E" w:rsidP="002D500E">
      <w:pPr>
        <w:jc w:val="both"/>
        <w:rPr>
          <w:rFonts w:eastAsia="Times New Roman"/>
        </w:rPr>
      </w:pPr>
      <w:r w:rsidRPr="00613B41">
        <w:t>This was further confirmed by a separate study in Spain, which found no efficiency difference between municipal and private: in “</w:t>
      </w:r>
      <w:r w:rsidRPr="00613B41">
        <w:rPr>
          <w:rFonts w:eastAsia="Times New Roman"/>
        </w:rPr>
        <w:t>street cleaning and waste collection</w:t>
      </w:r>
      <w:r w:rsidRPr="00613B41">
        <w:rPr>
          <w:rFonts w:eastAsia="Times New Roman"/>
          <w:vertAlign w:val="superscript"/>
        </w:rPr>
        <w:t xml:space="preserve"> </w:t>
      </w:r>
      <w:r w:rsidRPr="00613B41">
        <w:rPr>
          <w:rFonts w:eastAsia="Times New Roman"/>
        </w:rPr>
        <w:t>services in Spanish municipalities with a population exceeding</w:t>
      </w:r>
      <w:r w:rsidRPr="00613B41">
        <w:rPr>
          <w:rFonts w:eastAsia="Times New Roman"/>
          <w:vertAlign w:val="superscript"/>
        </w:rPr>
        <w:t xml:space="preserve"> </w:t>
      </w:r>
      <w:r w:rsidRPr="00613B41">
        <w:rPr>
          <w:rFonts w:eastAsia="Times New Roman"/>
        </w:rPr>
        <w:t>50 000…..There is no difference between the inefficiencies</w:t>
      </w:r>
      <w:r w:rsidRPr="00613B41">
        <w:rPr>
          <w:rFonts w:eastAsia="Times New Roman"/>
          <w:vertAlign w:val="superscript"/>
        </w:rPr>
        <w:t xml:space="preserve"> </w:t>
      </w:r>
      <w:r w:rsidRPr="00613B41">
        <w:rPr>
          <w:rFonts w:eastAsia="Times New Roman"/>
        </w:rPr>
        <w:t>observed in municipalities managed directly by town councils</w:t>
      </w:r>
      <w:r w:rsidRPr="00613B41">
        <w:rPr>
          <w:rFonts w:eastAsia="Times New Roman"/>
          <w:vertAlign w:val="superscript"/>
        </w:rPr>
        <w:t xml:space="preserve"> </w:t>
      </w:r>
      <w:r w:rsidRPr="00613B41">
        <w:rPr>
          <w:rFonts w:eastAsia="Times New Roman"/>
        </w:rPr>
        <w:t xml:space="preserve">and those which have been transferred to private companies.” </w:t>
      </w:r>
      <w:r w:rsidRPr="00613B41">
        <w:rPr>
          <w:rStyle w:val="EndnoteReference"/>
          <w:rFonts w:eastAsia="Times New Roman"/>
        </w:rPr>
        <w:endnoteReference w:id="20"/>
      </w:r>
    </w:p>
    <w:p w:rsidR="007074B4" w:rsidRDefault="007074B4" w:rsidP="002D500E">
      <w:pPr>
        <w:jc w:val="both"/>
        <w:rPr>
          <w:lang w:eastAsia="en-US"/>
        </w:rPr>
      </w:pPr>
    </w:p>
    <w:p w:rsidR="007074B4" w:rsidRPr="007074B4" w:rsidRDefault="007074B4" w:rsidP="007074B4">
      <w:pPr>
        <w:jc w:val="both"/>
        <w:rPr>
          <w:lang w:eastAsia="en-US"/>
        </w:rPr>
      </w:pPr>
      <w:r w:rsidRPr="007074B4">
        <w:rPr>
          <w:lang w:eastAsia="en-US"/>
        </w:rPr>
        <w:t xml:space="preserve">These findings are supported by other recent studies that show that the private sector has no better efficiency record than the public sector, especially when other factors such as quality of services, quality of pay and conditions, corruption etc are taken into account. </w:t>
      </w:r>
    </w:p>
    <w:p w:rsidR="007074B4" w:rsidRDefault="007074B4" w:rsidP="007074B4">
      <w:pPr>
        <w:jc w:val="both"/>
        <w:rPr>
          <w:lang w:eastAsia="en-US"/>
        </w:rPr>
      </w:pPr>
    </w:p>
    <w:p w:rsidR="002D500E" w:rsidRDefault="002D500E" w:rsidP="008F4CAD">
      <w:pPr>
        <w:pStyle w:val="Heading3"/>
      </w:pPr>
      <w:bookmarkStart w:id="44" w:name="_Toc336267619"/>
      <w:r>
        <w:t>Comparative expenses</w:t>
      </w:r>
      <w:r w:rsidR="003656A0">
        <w:t xml:space="preserve"> of inhouse or outsourced refuse collection</w:t>
      </w:r>
      <w:bookmarkEnd w:id="44"/>
    </w:p>
    <w:p w:rsidR="002D500E" w:rsidRDefault="000B1209" w:rsidP="002D500E">
      <w:r>
        <w:t>Recent d</w:t>
      </w:r>
      <w:r w:rsidR="002D500E">
        <w:t xml:space="preserve">ata from the UK </w:t>
      </w:r>
      <w:r>
        <w:t xml:space="preserve">also </w:t>
      </w:r>
      <w:r w:rsidR="002D500E">
        <w:t xml:space="preserve">shows that the average net total cost of waste collection is slightly lower (by about 3%) for municipalities which operate an in-house service.  Municipalities which outsource </w:t>
      </w:r>
      <w:r w:rsidR="00375647">
        <w:t>appear to have lower current expenditure</w:t>
      </w:r>
      <w:r w:rsidR="003656A0">
        <w:t>, but they:</w:t>
      </w:r>
    </w:p>
    <w:p w:rsidR="002D500E" w:rsidRDefault="002D500E" w:rsidP="008A351D">
      <w:pPr>
        <w:pStyle w:val="ListParagraph"/>
        <w:numPr>
          <w:ilvl w:val="0"/>
          <w:numId w:val="20"/>
        </w:numPr>
      </w:pPr>
      <w:r>
        <w:t>employ staff costing over 5% of the contract value, to monitor the service</w:t>
      </w:r>
    </w:p>
    <w:p w:rsidR="002D500E" w:rsidRDefault="002D500E" w:rsidP="008A351D">
      <w:pPr>
        <w:pStyle w:val="ListParagraph"/>
        <w:numPr>
          <w:ilvl w:val="0"/>
          <w:numId w:val="20"/>
        </w:numPr>
      </w:pPr>
      <w:r>
        <w:t>still pay for capital investments, with more than half of the capital costs of inhouse services</w:t>
      </w:r>
    </w:p>
    <w:p w:rsidR="002D500E" w:rsidRDefault="002D500E" w:rsidP="008A351D">
      <w:pPr>
        <w:pStyle w:val="ListParagraph"/>
        <w:numPr>
          <w:ilvl w:val="0"/>
          <w:numId w:val="20"/>
        </w:numPr>
      </w:pPr>
      <w:r>
        <w:t>lose income worth more than 7% of the cost of the service</w:t>
      </w:r>
    </w:p>
    <w:p w:rsidR="007074B4" w:rsidRDefault="007074B4" w:rsidP="002D500E"/>
    <w:p w:rsidR="00A61319" w:rsidRPr="00554C70" w:rsidRDefault="002D500E" w:rsidP="002D500E">
      <w:r>
        <w:t xml:space="preserve">These factors more than offset </w:t>
      </w:r>
      <w:r w:rsidR="003656A0">
        <w:t>the</w:t>
      </w:r>
      <w:r>
        <w:t xml:space="preserve"> apparent reduction in current expenditure. </w:t>
      </w:r>
      <w:r w:rsidR="000B1209">
        <w:t>The apparent cheapness of contractors’ operating costs is also frequently due to the low pay of private companies: i</w:t>
      </w:r>
      <w:r w:rsidR="00A61319">
        <w:t>n Germany</w:t>
      </w:r>
      <w:r w:rsidR="000B1209">
        <w:t xml:space="preserve"> in 2011</w:t>
      </w:r>
      <w:r w:rsidR="00A61319">
        <w:t>, some contractors pa</w:t>
      </w:r>
      <w:r w:rsidR="000B1209">
        <w:t>id</w:t>
      </w:r>
      <w:r w:rsidR="00A61319">
        <w:t xml:space="preserve"> such poor pay and conditions that their workers </w:t>
      </w:r>
      <w:r w:rsidR="004645F1">
        <w:t>claim</w:t>
      </w:r>
      <w:r w:rsidR="000B1209">
        <w:t>ed</w:t>
      </w:r>
      <w:r w:rsidR="004645F1">
        <w:t xml:space="preserve"> benefits</w:t>
      </w:r>
      <w:r w:rsidR="000B1209">
        <w:t>. (The German employers and trade union Ver.di have now agreed a minimum wage for the sector that has been declared generally binding, to prevent such cut throat competition).</w:t>
      </w:r>
      <w:r w:rsidR="004645F1">
        <w:rPr>
          <w:rStyle w:val="EndnoteReference"/>
        </w:rPr>
        <w:endnoteReference w:id="21"/>
      </w:r>
      <w:r w:rsidR="00FA15BA">
        <w:t xml:space="preserve">  </w:t>
      </w:r>
    </w:p>
    <w:p w:rsidR="002D500E" w:rsidRPr="00D13C85" w:rsidRDefault="002D500E" w:rsidP="002D500E">
      <w:pPr>
        <w:pStyle w:val="Heading7"/>
        <w:rPr>
          <w:lang w:eastAsia="en-GB"/>
        </w:rPr>
      </w:pPr>
      <w:bookmarkStart w:id="45" w:name="_Toc336267620"/>
      <w:r w:rsidRPr="00D13C85">
        <w:rPr>
          <w:rFonts w:cs="Trebuchet MS"/>
          <w:lang w:eastAsia="en-GB"/>
        </w:rPr>
        <w:t>﻿</w:t>
      </w:r>
      <w:r>
        <w:rPr>
          <w:rFonts w:cs="Trebuchet MS"/>
          <w:lang w:eastAsia="en-GB"/>
        </w:rPr>
        <w:t xml:space="preserve">Costs for municipalities </w:t>
      </w:r>
      <w:r>
        <w:rPr>
          <w:lang w:eastAsia="en-GB"/>
        </w:rPr>
        <w:t>in UK for in-house or outsourced waste collection</w:t>
      </w:r>
      <w:r w:rsidRPr="00D13C85">
        <w:rPr>
          <w:lang w:eastAsia="en-GB"/>
        </w:rPr>
        <w:t xml:space="preserve"> (£’000)</w:t>
      </w:r>
      <w:bookmarkEnd w:id="45"/>
      <w:r w:rsidRPr="00D13C85">
        <w:rPr>
          <w:lang w:eastAsia="en-GB"/>
        </w:rPr>
        <w:t xml:space="preserve"> </w:t>
      </w:r>
    </w:p>
    <w:tbl>
      <w:tblPr>
        <w:tblW w:w="97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07"/>
        <w:gridCol w:w="1207"/>
        <w:gridCol w:w="1208"/>
        <w:gridCol w:w="1207"/>
        <w:gridCol w:w="1208"/>
        <w:gridCol w:w="1207"/>
        <w:gridCol w:w="1208"/>
      </w:tblGrid>
      <w:tr w:rsidR="002D500E" w:rsidRPr="00D13C85" w:rsidTr="000B1209">
        <w:trPr>
          <w:trHeight w:val="240"/>
        </w:trPr>
        <w:tc>
          <w:tcPr>
            <w:tcW w:w="125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Collection </w:t>
            </w:r>
          </w:p>
        </w:tc>
        <w:tc>
          <w:tcPr>
            <w:tcW w:w="1207" w:type="dxa"/>
            <w:shd w:val="clear" w:color="auto" w:fill="FFFF99"/>
            <w:noWrap/>
            <w:vAlign w:val="bottom"/>
            <w:hideMark/>
          </w:tcPr>
          <w:p w:rsidR="002D500E" w:rsidRPr="00D13C85" w:rsidRDefault="000B1209" w:rsidP="000B1209">
            <w:pPr>
              <w:rPr>
                <w:rFonts w:eastAsia="Times New Roman" w:cs="Calibri"/>
                <w:color w:val="000000"/>
                <w:sz w:val="18"/>
                <w:szCs w:val="18"/>
              </w:rPr>
            </w:pPr>
            <w:r>
              <w:rPr>
                <w:rFonts w:eastAsia="Times New Roman" w:cs="Calibri"/>
                <w:color w:val="000000"/>
                <w:sz w:val="18"/>
                <w:szCs w:val="18"/>
              </w:rPr>
              <w:t>Municipal e</w:t>
            </w:r>
            <w:r w:rsidR="002D500E" w:rsidRPr="00D13C85">
              <w:rPr>
                <w:rFonts w:eastAsia="Times New Roman" w:cs="Calibri"/>
                <w:color w:val="000000"/>
                <w:sz w:val="18"/>
                <w:szCs w:val="18"/>
              </w:rPr>
              <w:t xml:space="preserve">mployment costs </w:t>
            </w:r>
          </w:p>
        </w:tc>
        <w:tc>
          <w:tcPr>
            <w:tcW w:w="120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Running Expenses </w:t>
            </w:r>
            <w:r w:rsidR="000B1209">
              <w:rPr>
                <w:rFonts w:eastAsia="Times New Roman" w:cs="Calibri"/>
                <w:color w:val="000000"/>
                <w:sz w:val="18"/>
                <w:szCs w:val="18"/>
              </w:rPr>
              <w:t>including contracts</w:t>
            </w:r>
          </w:p>
        </w:tc>
        <w:tc>
          <w:tcPr>
            <w:tcW w:w="1208"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Total Expenditure </w:t>
            </w:r>
          </w:p>
        </w:tc>
        <w:tc>
          <w:tcPr>
            <w:tcW w:w="120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Total Income* </w:t>
            </w:r>
          </w:p>
        </w:tc>
        <w:tc>
          <w:tcPr>
            <w:tcW w:w="1208"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Net Current Expenditure </w:t>
            </w:r>
          </w:p>
        </w:tc>
        <w:tc>
          <w:tcPr>
            <w:tcW w:w="120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Capital Charges </w:t>
            </w:r>
          </w:p>
        </w:tc>
        <w:tc>
          <w:tcPr>
            <w:tcW w:w="1208"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Net TotalCost </w:t>
            </w:r>
          </w:p>
        </w:tc>
      </w:tr>
      <w:tr w:rsidR="002D500E" w:rsidRPr="00D13C85" w:rsidTr="000B1209">
        <w:trPr>
          <w:trHeight w:val="240"/>
        </w:trPr>
        <w:tc>
          <w:tcPr>
            <w:tcW w:w="125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In house </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1626</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2,283</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3,909</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841</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3,068</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198</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3266.0</w:t>
            </w:r>
          </w:p>
        </w:tc>
      </w:tr>
      <w:tr w:rsidR="002D500E" w:rsidRPr="00D13C85" w:rsidTr="000B1209">
        <w:trPr>
          <w:trHeight w:val="240"/>
        </w:trPr>
        <w:tc>
          <w:tcPr>
            <w:tcW w:w="1257" w:type="dxa"/>
            <w:shd w:val="clear" w:color="auto" w:fill="FFFF99"/>
            <w:noWrap/>
            <w:vAlign w:val="bottom"/>
            <w:hideMark/>
          </w:tcPr>
          <w:p w:rsidR="002D500E" w:rsidRPr="00D13C85" w:rsidRDefault="002D500E" w:rsidP="00D33B73">
            <w:pPr>
              <w:rPr>
                <w:rFonts w:eastAsia="Times New Roman" w:cs="Calibri"/>
                <w:color w:val="000000"/>
                <w:sz w:val="18"/>
                <w:szCs w:val="18"/>
              </w:rPr>
            </w:pPr>
            <w:r w:rsidRPr="00D13C85">
              <w:rPr>
                <w:rFonts w:eastAsia="Times New Roman" w:cs="Calibri"/>
                <w:color w:val="000000"/>
                <w:sz w:val="18"/>
                <w:szCs w:val="18"/>
              </w:rPr>
              <w:t xml:space="preserve">Out sourced </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210</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3,604</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3,813</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553</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3,261</w:t>
            </w:r>
          </w:p>
        </w:tc>
        <w:tc>
          <w:tcPr>
            <w:tcW w:w="1207"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109</w:t>
            </w:r>
          </w:p>
        </w:tc>
        <w:tc>
          <w:tcPr>
            <w:tcW w:w="1208" w:type="dxa"/>
            <w:shd w:val="clear" w:color="auto" w:fill="auto"/>
            <w:noWrap/>
            <w:vAlign w:val="bottom"/>
            <w:hideMark/>
          </w:tcPr>
          <w:p w:rsidR="002D500E" w:rsidRPr="00D13C85" w:rsidRDefault="002D500E" w:rsidP="00D33B73">
            <w:pPr>
              <w:jc w:val="right"/>
              <w:rPr>
                <w:rFonts w:eastAsia="Times New Roman" w:cs="Calibri"/>
                <w:color w:val="000000"/>
                <w:sz w:val="18"/>
                <w:szCs w:val="18"/>
              </w:rPr>
            </w:pPr>
            <w:r w:rsidRPr="00D13C85">
              <w:rPr>
                <w:rFonts w:eastAsia="Times New Roman" w:cs="Calibri"/>
                <w:color w:val="000000"/>
                <w:sz w:val="18"/>
                <w:szCs w:val="18"/>
              </w:rPr>
              <w:t>3370.0</w:t>
            </w:r>
          </w:p>
        </w:tc>
      </w:tr>
    </w:tbl>
    <w:p w:rsidR="002D500E" w:rsidRDefault="002D500E" w:rsidP="002D500E">
      <w:r>
        <w:t xml:space="preserve">Source: </w:t>
      </w:r>
      <w:hyperlink r:id="rId71" w:history="1">
        <w:r w:rsidRPr="00E60F1A">
          <w:rPr>
            <w:rStyle w:val="Hyperlink"/>
          </w:rPr>
          <w:t>From Waste Management to Resource Recovery: A Developing Sector</w:t>
        </w:r>
      </w:hyperlink>
      <w:r w:rsidRPr="00E60F1A">
        <w:t xml:space="preserve"> </w:t>
      </w:r>
      <w:r>
        <w:t>2011 Table 3.4</w:t>
      </w:r>
    </w:p>
    <w:p w:rsidR="008F4CAD" w:rsidRDefault="008F4CAD" w:rsidP="002D500E"/>
    <w:p w:rsidR="00E2576F" w:rsidRDefault="00E2576F" w:rsidP="002D500E">
      <w:r>
        <w:t>The UK report highlights the potential for municipalities to get income from waste services</w:t>
      </w:r>
      <w:r w:rsidR="008F4CAD">
        <w:t xml:space="preserve"> (but does not note the risks of </w:t>
      </w:r>
      <w:r w:rsidR="000B1209">
        <w:t>a</w:t>
      </w:r>
      <w:r w:rsidR="008F4CAD">
        <w:t xml:space="preserve"> drop in demand that has been such a problem for the private companies)</w:t>
      </w:r>
      <w:r>
        <w:t>:</w:t>
      </w:r>
    </w:p>
    <w:p w:rsidR="008F4CAD" w:rsidRDefault="00E2576F" w:rsidP="000B1209">
      <w:pPr>
        <w:ind w:left="720"/>
      </w:pPr>
      <w:r>
        <w:t>“</w:t>
      </w:r>
      <w:r w:rsidRPr="006F6E96">
        <w:t>Local authorities can earn income from waste through the sale of recyclates, fines and penalties, and sale of energy from waste initiatives. However, this is likely to vary considerably by authority depending on their remit (waste collection authority or waste disposal authority), how they dispose of waste and the nature of the contracts. A key issue for waste collection authorities is that they often bear the cost of collection without necessarily seeing the benefit from the sale of recovered materials. The nature of contracts means that the beneficiary is often the waste disposal authority or private sector. The risk averse nature of local authorities is thought to diminish their ability to achieve income from their waste operations. In part, this explains why, as shown in Figure 3.6, local authority net costs on waste has been increasing since 2005/06 from £2,509m to £3,265m in 2009/10.</w:t>
      </w:r>
      <w:r>
        <w:t>”</w:t>
      </w:r>
      <w:r w:rsidRPr="006F6E96">
        <w:t xml:space="preserve"> </w:t>
      </w:r>
      <w:r>
        <w:t xml:space="preserve"> </w:t>
      </w:r>
      <w:r>
        <w:rPr>
          <w:rStyle w:val="EndnoteReference"/>
        </w:rPr>
        <w:endnoteReference w:id="22"/>
      </w:r>
      <w:r w:rsidR="008F4CAD">
        <w:br w:type="page"/>
      </w:r>
    </w:p>
    <w:p w:rsidR="008F4CAD" w:rsidRPr="00E60F1A" w:rsidRDefault="008F4CAD" w:rsidP="008F4CAD"/>
    <w:p w:rsidR="007074B4" w:rsidRDefault="007074B4" w:rsidP="007074B4">
      <w:pPr>
        <w:pStyle w:val="Heading1"/>
      </w:pPr>
      <w:bookmarkStart w:id="46" w:name="_Toc336267621"/>
      <w:r>
        <w:t>Municipal and commercial waste</w:t>
      </w:r>
      <w:r w:rsidR="008F4CAD">
        <w:t>:</w:t>
      </w:r>
      <w:bookmarkEnd w:id="46"/>
      <w:r w:rsidR="008F4CAD">
        <w:t xml:space="preserve"> </w:t>
      </w:r>
    </w:p>
    <w:p w:rsidR="008F4CAD" w:rsidRPr="008F4CAD" w:rsidRDefault="008F4CAD" w:rsidP="008F4CAD">
      <w:pPr>
        <w:rPr>
          <w:lang w:eastAsia="en-US"/>
        </w:rPr>
      </w:pPr>
    </w:p>
    <w:p w:rsidR="008F4CAD" w:rsidRPr="008F4CAD" w:rsidRDefault="008F4CAD" w:rsidP="008F4CAD">
      <w:pPr>
        <w:rPr>
          <w:lang w:eastAsia="en-US"/>
        </w:rPr>
      </w:pPr>
      <w:r>
        <w:rPr>
          <w:lang w:eastAsia="en-US"/>
        </w:rPr>
        <w:t xml:space="preserve">Although municipal collection and treatment of household waste is the main focus of public policy and contest over the relative role of public and private sector, the private companies also operates with the private sector, and problems here may spill over to create more pressure on employees of private companies working on municipal waste. </w:t>
      </w:r>
    </w:p>
    <w:p w:rsidR="007074B4" w:rsidRDefault="007074B4" w:rsidP="007074B4">
      <w:pPr>
        <w:pStyle w:val="Heading2"/>
        <w:rPr>
          <w:lang w:eastAsia="en-GB"/>
        </w:rPr>
      </w:pPr>
      <w:bookmarkStart w:id="47" w:name="_Toc336267622"/>
      <w:r>
        <w:rPr>
          <w:lang w:eastAsia="en-GB"/>
        </w:rPr>
        <w:t>Municipal waste</w:t>
      </w:r>
      <w:r w:rsidR="008F4CAD">
        <w:rPr>
          <w:lang w:eastAsia="en-GB"/>
        </w:rPr>
        <w:t xml:space="preserve"> and EU legislation</w:t>
      </w:r>
      <w:bookmarkEnd w:id="47"/>
    </w:p>
    <w:p w:rsidR="009035EC" w:rsidRDefault="008F4CAD" w:rsidP="007074B4">
      <w:pPr>
        <w:autoSpaceDE w:val="0"/>
        <w:autoSpaceDN w:val="0"/>
        <w:adjustRightInd w:val="0"/>
      </w:pPr>
      <w:r>
        <w:t xml:space="preserve">The EU legislation on waste management </w:t>
      </w:r>
      <w:r w:rsidR="009035EC">
        <w:t xml:space="preserve">continues to </w:t>
      </w:r>
      <w:r>
        <w:t xml:space="preserve">drive the growth of this </w:t>
      </w:r>
      <w:r w:rsidR="009035EC">
        <w:t>sector</w:t>
      </w:r>
      <w:r w:rsidR="00331EFD">
        <w:t xml:space="preserve">, including </w:t>
      </w:r>
      <w:r>
        <w:t>strict requirements to move away from landfill towards recycling or reuse. (See Annex B for a summary and references to th</w:t>
      </w:r>
      <w:r w:rsidR="00331EFD">
        <w:t xml:space="preserve">e </w:t>
      </w:r>
      <w:r w:rsidR="00E07A1B">
        <w:t xml:space="preserve">full range of </w:t>
      </w:r>
      <w:r w:rsidR="00331EFD">
        <w:t>EU</w:t>
      </w:r>
      <w:r>
        <w:t xml:space="preserve"> legislation</w:t>
      </w:r>
      <w:r w:rsidR="00331EFD">
        <w:t xml:space="preserve"> on waste management</w:t>
      </w:r>
      <w:r>
        <w:t xml:space="preserve">). </w:t>
      </w:r>
      <w:r w:rsidR="009035EC">
        <w:t xml:space="preserve"> </w:t>
      </w:r>
      <w:r w:rsidR="00331EFD">
        <w:t>This is enforced by the Commission, ultimately by bringing court cases to the ECJ: in 2010 there were 10 judgments in such cases against a range of member states, including the UK, France, Italy, Belgium, Portugal and Greece.</w:t>
      </w:r>
      <w:r w:rsidR="00E07A1B">
        <w:t xml:space="preserve">  </w:t>
      </w:r>
      <w:r w:rsidR="00331EFD">
        <w:rPr>
          <w:rStyle w:val="EndnoteReference"/>
        </w:rPr>
        <w:endnoteReference w:id="23"/>
      </w:r>
    </w:p>
    <w:p w:rsidR="009035EC" w:rsidRDefault="009035EC" w:rsidP="007074B4">
      <w:pPr>
        <w:autoSpaceDE w:val="0"/>
        <w:autoSpaceDN w:val="0"/>
        <w:adjustRightInd w:val="0"/>
      </w:pPr>
    </w:p>
    <w:p w:rsidR="00D531A7" w:rsidRDefault="009035EC" w:rsidP="007074B4">
      <w:pPr>
        <w:autoSpaceDE w:val="0"/>
        <w:autoSpaceDN w:val="0"/>
        <w:adjustRightInd w:val="0"/>
      </w:pPr>
      <w:r>
        <w:t xml:space="preserve">The latest general addition to the legislation is the new revised directive on e-waste, </w:t>
      </w:r>
      <w:r w:rsidRPr="009035EC">
        <w:t>i.e. waste electrical an</w:t>
      </w:r>
      <w:r>
        <w:t xml:space="preserve">d electronic equipment, or WEEE: </w:t>
      </w:r>
      <w:hyperlink r:id="rId72" w:history="1">
        <w:r>
          <w:rPr>
            <w:rStyle w:val="Hyperlink"/>
          </w:rPr>
          <w:t>WEEE Directive 2012/19/EU</w:t>
        </w:r>
      </w:hyperlink>
      <w:r>
        <w:t xml:space="preserve">.   This introduces a requirement </w:t>
      </w:r>
      <w:r w:rsidR="00331EFD">
        <w:t xml:space="preserve">from 2016 </w:t>
      </w:r>
      <w:r>
        <w:t xml:space="preserve">for separate collection of 45% of electronic equipment sold, rising by 2019 to </w:t>
      </w:r>
      <w:r w:rsidRPr="009035EC">
        <w:t>65 % of equipment sold, or 85 % of electronic waste generated</w:t>
      </w:r>
      <w:r w:rsidR="00331EFD">
        <w:t xml:space="preserve">. </w:t>
      </w:r>
      <w:r>
        <w:t xml:space="preserve"> </w:t>
      </w:r>
      <w:r>
        <w:rPr>
          <w:rStyle w:val="EndnoteReference"/>
        </w:rPr>
        <w:endnoteReference w:id="24"/>
      </w:r>
    </w:p>
    <w:p w:rsidR="00D531A7" w:rsidRDefault="00D531A7" w:rsidP="007074B4">
      <w:pPr>
        <w:autoSpaceDE w:val="0"/>
        <w:autoSpaceDN w:val="0"/>
        <w:adjustRightInd w:val="0"/>
      </w:pPr>
    </w:p>
    <w:p w:rsidR="00D531A7" w:rsidRDefault="00D531A7" w:rsidP="00D531A7">
      <w:pPr>
        <w:pStyle w:val="Heading2"/>
      </w:pPr>
      <w:bookmarkStart w:id="48" w:name="_Toc336267623"/>
      <w:r>
        <w:t>Trends in municipal waste generation and treatment</w:t>
      </w:r>
      <w:bookmarkEnd w:id="48"/>
    </w:p>
    <w:p w:rsidR="00786EBA" w:rsidRDefault="008F4CAD" w:rsidP="00786EBA">
      <w:pPr>
        <w:autoSpaceDE w:val="0"/>
        <w:autoSpaceDN w:val="0"/>
        <w:adjustRightInd w:val="0"/>
      </w:pPr>
      <w:r>
        <w:t>Th</w:t>
      </w:r>
      <w:r w:rsidR="00D531A7">
        <w:t>e</w:t>
      </w:r>
      <w:r>
        <w:t xml:space="preserve"> continu</w:t>
      </w:r>
      <w:r w:rsidR="00D531A7">
        <w:t xml:space="preserve">ing impact of the directives </w:t>
      </w:r>
      <w:r>
        <w:t xml:space="preserve">can be seen in the graphs below. </w:t>
      </w:r>
    </w:p>
    <w:p w:rsidR="00786EBA" w:rsidRDefault="00786EBA" w:rsidP="00786EBA">
      <w:pPr>
        <w:autoSpaceDE w:val="0"/>
        <w:autoSpaceDN w:val="0"/>
        <w:adjustRightInd w:val="0"/>
        <w:rPr>
          <w:rFonts w:eastAsia="Times New Roman" w:cs="Arial"/>
          <w:bCs/>
        </w:rPr>
      </w:pPr>
      <w:r>
        <w:rPr>
          <w:rFonts w:eastAsia="Times New Roman" w:cs="Arial"/>
          <w:bCs/>
        </w:rPr>
        <w:t>In 2009 m</w:t>
      </w:r>
      <w:r w:rsidRPr="00F42530">
        <w:rPr>
          <w:rFonts w:eastAsia="Times New Roman" w:cs="Arial"/>
          <w:bCs/>
        </w:rPr>
        <w:t xml:space="preserve">unicipal waste generated per person varied from </w:t>
      </w:r>
      <w:r>
        <w:rPr>
          <w:rFonts w:eastAsia="Times New Roman" w:cs="Arial"/>
          <w:bCs/>
        </w:rPr>
        <w:t>316</w:t>
      </w:r>
      <w:r w:rsidRPr="00F42530">
        <w:rPr>
          <w:rFonts w:eastAsia="Times New Roman" w:cs="Arial"/>
          <w:bCs/>
        </w:rPr>
        <w:t xml:space="preserve"> kg in the Czech Republic</w:t>
      </w:r>
      <w:r>
        <w:rPr>
          <w:rFonts w:eastAsia="Times New Roman" w:cs="Arial"/>
          <w:bCs/>
        </w:rPr>
        <w:t xml:space="preserve"> and Poland </w:t>
      </w:r>
      <w:r w:rsidRPr="00F42530">
        <w:rPr>
          <w:rFonts w:eastAsia="Times New Roman" w:cs="Arial"/>
          <w:bCs/>
        </w:rPr>
        <w:t>to 8</w:t>
      </w:r>
      <w:r>
        <w:rPr>
          <w:rFonts w:eastAsia="Times New Roman" w:cs="Arial"/>
          <w:bCs/>
        </w:rPr>
        <w:t>22</w:t>
      </w:r>
      <w:r w:rsidRPr="00F42530">
        <w:rPr>
          <w:rFonts w:eastAsia="Times New Roman" w:cs="Arial"/>
          <w:bCs/>
        </w:rPr>
        <w:t xml:space="preserve"> kg in Denmark</w:t>
      </w:r>
      <w:r>
        <w:rPr>
          <w:rFonts w:eastAsia="Times New Roman" w:cs="Arial"/>
          <w:bCs/>
        </w:rPr>
        <w:t xml:space="preserve"> and 778 in Cyprus. In general, countries with higher GDP per capita produce more waste, but there are variations between countries with similar levels of GDP.  Municipal waste generated per capita in the EU as a whole has risen very little since 1999. </w:t>
      </w:r>
      <w:r>
        <w:rPr>
          <w:rStyle w:val="EndnoteReference"/>
          <w:rFonts w:eastAsia="Times New Roman" w:cs="Arial"/>
          <w:bCs/>
        </w:rPr>
        <w:endnoteReference w:id="25"/>
      </w:r>
      <w:r>
        <w:rPr>
          <w:rFonts w:eastAsia="Times New Roman" w:cs="Arial"/>
          <w:bCs/>
        </w:rPr>
        <w:t xml:space="preserve"> </w:t>
      </w:r>
    </w:p>
    <w:p w:rsidR="00A17AE3" w:rsidRDefault="00A17AE3" w:rsidP="00786EBA">
      <w:pPr>
        <w:autoSpaceDE w:val="0"/>
        <w:autoSpaceDN w:val="0"/>
        <w:adjustRightInd w:val="0"/>
        <w:rPr>
          <w:rFonts w:eastAsia="Times New Roman" w:cs="Arial"/>
          <w:bCs/>
        </w:rPr>
      </w:pPr>
    </w:p>
    <w:p w:rsidR="007074B4" w:rsidRDefault="007074B4" w:rsidP="007074B4">
      <w:pPr>
        <w:autoSpaceDE w:val="0"/>
        <w:autoSpaceDN w:val="0"/>
        <w:adjustRightInd w:val="0"/>
      </w:pPr>
      <w:r w:rsidRPr="00F42530">
        <w:t xml:space="preserve">Out of all the municipal waste generated in the EU, </w:t>
      </w:r>
      <w:r>
        <w:t>37</w:t>
      </w:r>
      <w:r w:rsidRPr="00F42530">
        <w:t xml:space="preserve">% is </w:t>
      </w:r>
      <w:r w:rsidR="00786EBA">
        <w:t>still</w:t>
      </w:r>
      <w:r w:rsidR="008F4CAD">
        <w:t xml:space="preserve"> </w:t>
      </w:r>
      <w:r w:rsidRPr="00F42530">
        <w:t xml:space="preserve">landfilled, </w:t>
      </w:r>
      <w:r w:rsidR="00786EBA">
        <w:t xml:space="preserve">but </w:t>
      </w:r>
      <w:r>
        <w:t>20</w:t>
      </w:r>
      <w:r w:rsidRPr="00F42530">
        <w:t>% is rec</w:t>
      </w:r>
      <w:r>
        <w:t>ycled,</w:t>
      </w:r>
      <w:r w:rsidRPr="00F42530">
        <w:t xml:space="preserve"> 20% is incinerated</w:t>
      </w:r>
      <w:r>
        <w:t>, and 18% is composted. Many new member states</w:t>
      </w:r>
      <w:r w:rsidRPr="00F42530">
        <w:t xml:space="preserve"> still use landfill</w:t>
      </w:r>
      <w:r>
        <w:t xml:space="preserve"> for most or all municipal waste</w:t>
      </w:r>
      <w:r w:rsidRPr="00F42530">
        <w:t xml:space="preserve">, </w:t>
      </w:r>
      <w:r>
        <w:t>while EU-15 countries have mainly changed to using</w:t>
      </w:r>
      <w:r w:rsidRPr="00F42530">
        <w:t xml:space="preserve"> incineration</w:t>
      </w:r>
      <w:r>
        <w:t>, composting and recycling</w:t>
      </w:r>
      <w:r w:rsidRPr="00F42530">
        <w:t>.</w:t>
      </w:r>
      <w:r>
        <w:t xml:space="preserve"> </w:t>
      </w: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F00E29" w:rsidRDefault="00F00E29" w:rsidP="007074B4">
      <w:pPr>
        <w:autoSpaceDE w:val="0"/>
        <w:autoSpaceDN w:val="0"/>
        <w:adjustRightInd w:val="0"/>
      </w:pPr>
    </w:p>
    <w:p w:rsidR="007074B4" w:rsidRPr="00641417" w:rsidRDefault="007074B4" w:rsidP="007074B4">
      <w:pPr>
        <w:pStyle w:val="Heading8"/>
      </w:pPr>
      <w:bookmarkStart w:id="49" w:name="_Toc336267624"/>
      <w:r w:rsidRPr="00641417">
        <w:t xml:space="preserve">Municipal waste </w:t>
      </w:r>
      <w:r w:rsidR="00D531A7">
        <w:t xml:space="preserve">generated and </w:t>
      </w:r>
      <w:r w:rsidRPr="00641417">
        <w:t>treated in 2009 by country and treatment category</w:t>
      </w:r>
      <w:bookmarkEnd w:id="49"/>
    </w:p>
    <w:p w:rsidR="007074B4" w:rsidRDefault="007074B4" w:rsidP="007074B4">
      <w:pPr>
        <w:jc w:val="both"/>
      </w:pPr>
      <w:r>
        <w:rPr>
          <w:noProof/>
        </w:rPr>
        <w:lastRenderedPageBreak/>
        <w:drawing>
          <wp:inline distT="0" distB="0" distL="0" distR="0" wp14:anchorId="3BB7FEB2" wp14:editId="1CB2B640">
            <wp:extent cx="5407252" cy="3692105"/>
            <wp:effectExtent l="19050" t="19050" r="22225"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cstate="print">
                      <a:lum bright="-20000" contrast="20000"/>
                      <a:extLst>
                        <a:ext uri="{28A0092B-C50C-407E-A947-70E740481C1C}">
                          <a14:useLocalDpi xmlns:a14="http://schemas.microsoft.com/office/drawing/2010/main" val="0"/>
                        </a:ext>
                      </a:extLst>
                    </a:blip>
                    <a:srcRect/>
                    <a:stretch>
                      <a:fillRect/>
                    </a:stretch>
                  </pic:blipFill>
                  <pic:spPr bwMode="auto">
                    <a:xfrm>
                      <a:off x="0" y="0"/>
                      <a:ext cx="5411184" cy="3694790"/>
                    </a:xfrm>
                    <a:prstGeom prst="rect">
                      <a:avLst/>
                    </a:prstGeom>
                    <a:noFill/>
                    <a:ln>
                      <a:solidFill>
                        <a:schemeClr val="accent1"/>
                      </a:solidFill>
                    </a:ln>
                  </pic:spPr>
                </pic:pic>
              </a:graphicData>
            </a:graphic>
          </wp:inline>
        </w:drawing>
      </w:r>
    </w:p>
    <w:p w:rsidR="007074B4" w:rsidRDefault="007074B4" w:rsidP="007074B4">
      <w:pPr>
        <w:jc w:val="both"/>
      </w:pPr>
      <w:r w:rsidRPr="00F42530">
        <w:t> </w:t>
      </w:r>
      <w:r>
        <w:t xml:space="preserve">Source: Eurostat </w:t>
      </w:r>
      <w:r w:rsidRPr="00641417">
        <w:rPr>
          <w:i/>
          <w:iCs/>
        </w:rPr>
        <w:t xml:space="preserve">Statistics in focus </w:t>
      </w:r>
      <w:r w:rsidRPr="00641417">
        <w:t>— 31/2011</w:t>
      </w:r>
      <w:r>
        <w:t xml:space="preserve"> </w:t>
      </w:r>
      <w:r w:rsidRPr="00641417">
        <w:t>Generation and treatment of municipal waste</w:t>
      </w:r>
      <w:r>
        <w:t xml:space="preserve"> (figure 4) </w:t>
      </w:r>
      <w:hyperlink r:id="rId74" w:history="1">
        <w:r w:rsidRPr="00AD0A48">
          <w:rPr>
            <w:rStyle w:val="Hyperlink"/>
          </w:rPr>
          <w:t>http://epp.eurostat.ec.europa.eu/cache/ITY_OFFPUB/KS-SF-11-031/EN/KS-SF-11-031-EN.PDF</w:t>
        </w:r>
      </w:hyperlink>
      <w:r>
        <w:t xml:space="preserve"> </w:t>
      </w:r>
      <w:r w:rsidR="00E07A1B">
        <w:t>.</w:t>
      </w:r>
    </w:p>
    <w:p w:rsidR="00E07A1B" w:rsidRDefault="00E07A1B" w:rsidP="007074B4">
      <w:pPr>
        <w:jc w:val="both"/>
      </w:pPr>
      <w:r>
        <w:t xml:space="preserve">For 2010 figures, see </w:t>
      </w:r>
      <w:hyperlink r:id="rId75" w:history="1">
        <w:r>
          <w:rPr>
            <w:rStyle w:val="Hyperlink"/>
          </w:rPr>
          <w:t>STAT/12/48 27 March 2012 Landfill still accounted for nearly 40% of municipal waste treated in the EU27 in 2010</w:t>
        </w:r>
      </w:hyperlink>
      <w:r>
        <w:t xml:space="preserve"> </w:t>
      </w:r>
    </w:p>
    <w:p w:rsidR="008F4CAD" w:rsidRDefault="008F4CAD" w:rsidP="007074B4">
      <w:pPr>
        <w:jc w:val="both"/>
        <w:rPr>
          <w:rFonts w:eastAsia="Times New Roman"/>
          <w:color w:val="000000"/>
        </w:rPr>
      </w:pPr>
    </w:p>
    <w:p w:rsidR="007074B4" w:rsidRDefault="007074B4" w:rsidP="007074B4">
      <w:pPr>
        <w:pStyle w:val="Heading8"/>
        <w:rPr>
          <w:lang w:eastAsia="en-GB"/>
        </w:rPr>
      </w:pPr>
      <w:bookmarkStart w:id="50" w:name="_Toc336267625"/>
      <w:r>
        <w:rPr>
          <w:lang w:eastAsia="en-GB"/>
        </w:rPr>
        <w:t>Projected generation and management of municipal waste in EU +Norway/Switzerland</w:t>
      </w:r>
      <w:bookmarkEnd w:id="50"/>
    </w:p>
    <w:p w:rsidR="007074B4" w:rsidRDefault="007074B4" w:rsidP="007074B4">
      <w:pPr>
        <w:jc w:val="center"/>
        <w:rPr>
          <w:noProof/>
        </w:rPr>
      </w:pPr>
      <w:r>
        <w:rPr>
          <w:noProof/>
        </w:rPr>
        <w:drawing>
          <wp:inline distT="0" distB="0" distL="0" distR="0" wp14:anchorId="0F0688F3" wp14:editId="08C081A3">
            <wp:extent cx="5067759" cy="353366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lum bright="-20000" contrast="20000"/>
                      <a:extLst>
                        <a:ext uri="{28A0092B-C50C-407E-A947-70E740481C1C}">
                          <a14:useLocalDpi xmlns:a14="http://schemas.microsoft.com/office/drawing/2010/main" val="0"/>
                        </a:ext>
                      </a:extLst>
                    </a:blip>
                    <a:srcRect/>
                    <a:stretch>
                      <a:fillRect/>
                    </a:stretch>
                  </pic:blipFill>
                  <pic:spPr bwMode="auto">
                    <a:xfrm>
                      <a:off x="0" y="0"/>
                      <a:ext cx="5086130" cy="3546471"/>
                    </a:xfrm>
                    <a:prstGeom prst="rect">
                      <a:avLst/>
                    </a:prstGeom>
                    <a:noFill/>
                    <a:ln>
                      <a:noFill/>
                    </a:ln>
                  </pic:spPr>
                </pic:pic>
              </a:graphicData>
            </a:graphic>
          </wp:inline>
        </w:drawing>
      </w:r>
    </w:p>
    <w:p w:rsidR="007074B4" w:rsidRDefault="007074B4" w:rsidP="007074B4">
      <w:pPr>
        <w:rPr>
          <w:rFonts w:eastAsia="Times New Roman" w:hAnsi="Trebuchet MS"/>
          <w:color w:val="0000FF"/>
          <w:sz w:val="20"/>
          <w:szCs w:val="20"/>
        </w:rPr>
      </w:pPr>
      <w:r w:rsidRPr="00641417">
        <w:rPr>
          <w:sz w:val="20"/>
          <w:szCs w:val="20"/>
        </w:rPr>
        <w:t>Source:  ETC/SCP working paper 4/2011 Projections of Municipal Waste Management and Greenhouse Gases</w:t>
      </w:r>
      <w:r w:rsidRPr="00641417">
        <w:rPr>
          <w:rFonts w:eastAsia="Times New Roman" w:hAnsi="Trebuchet MS"/>
          <w:color w:val="0000FF"/>
          <w:sz w:val="20"/>
          <w:szCs w:val="20"/>
        </w:rPr>
        <w:t xml:space="preserve">  </w:t>
      </w:r>
      <w:hyperlink r:id="rId77" w:history="1">
        <w:r w:rsidRPr="00641417">
          <w:rPr>
            <w:rFonts w:eastAsia="Times New Roman" w:hAnsi="Trebuchet MS"/>
            <w:color w:val="0000FF"/>
            <w:sz w:val="20"/>
            <w:szCs w:val="20"/>
            <w:u w:val="single"/>
          </w:rPr>
          <w:t>http://scp.eionet.europa.eu/wp/2011wp4</w:t>
        </w:r>
      </w:hyperlink>
      <w:r w:rsidRPr="00641417">
        <w:rPr>
          <w:rFonts w:eastAsia="Times New Roman" w:hAnsi="Trebuchet MS"/>
          <w:color w:val="0000FF"/>
          <w:sz w:val="20"/>
          <w:szCs w:val="20"/>
        </w:rPr>
        <w:t xml:space="preserve">  </w:t>
      </w:r>
    </w:p>
    <w:p w:rsidR="007074B4" w:rsidRDefault="007074B4" w:rsidP="007074B4">
      <w:pPr>
        <w:rPr>
          <w:rFonts w:eastAsia="Times New Roman"/>
        </w:rPr>
      </w:pPr>
    </w:p>
    <w:p w:rsidR="00E66851" w:rsidRDefault="00E66851" w:rsidP="007074B4">
      <w:pPr>
        <w:pStyle w:val="Heading2"/>
      </w:pPr>
      <w:bookmarkStart w:id="51" w:name="_Toc336267626"/>
      <w:r>
        <w:lastRenderedPageBreak/>
        <w:t>EU promotion of PPPs</w:t>
      </w:r>
      <w:bookmarkEnd w:id="51"/>
    </w:p>
    <w:p w:rsidR="00E66851" w:rsidRDefault="00E66851" w:rsidP="00E66851">
      <w:pPr>
        <w:autoSpaceDE w:val="0"/>
        <w:autoSpaceDN w:val="0"/>
        <w:adjustRightInd w:val="0"/>
      </w:pPr>
      <w:r>
        <w:t>Despite the positive effects of the waste legislation, the EU continues to provide excessive support to private operators, notably through PPPs.</w:t>
      </w:r>
      <w:r w:rsidR="00081F2D">
        <w:t xml:space="preserve"> This has the effect of undermining public sector provision, by making PPPs more attractive.</w:t>
      </w:r>
      <w:r>
        <w:t xml:space="preserve"> The ways in which the EU is supporting </w:t>
      </w:r>
      <w:r w:rsidR="00081F2D">
        <w:t>PPPs</w:t>
      </w:r>
      <w:r>
        <w:t xml:space="preserve">, and the problems created by PPPs in general, are set out in a recent PSIRU briefing for EPSU, available at </w:t>
      </w:r>
      <w:hyperlink r:id="rId78" w:history="1">
        <w:r w:rsidRPr="002D756A">
          <w:rPr>
            <w:rStyle w:val="Hyperlink"/>
          </w:rPr>
          <w:t>http://www.epsu.org/a/8193</w:t>
        </w:r>
      </w:hyperlink>
      <w:r>
        <w:t xml:space="preserve"> . The development banks are particular offenders in this respect, with the EBRD continuing to state in 2012 that in municipal and environmental services “</w:t>
      </w:r>
      <w:r w:rsidRPr="00235978">
        <w:t>the development of</w:t>
      </w:r>
      <w:r>
        <w:t xml:space="preserve"> </w:t>
      </w:r>
      <w:r w:rsidRPr="00235978">
        <w:t>PPPs will remain an aim in all EBRD countries of operations</w:t>
      </w:r>
      <w:r>
        <w:t xml:space="preserve">”, despite the known problems of PPPs in this and other sectors. </w:t>
      </w:r>
      <w:r>
        <w:rPr>
          <w:rStyle w:val="EndnoteReference"/>
        </w:rPr>
        <w:endnoteReference w:id="26"/>
      </w:r>
    </w:p>
    <w:p w:rsidR="007074B4" w:rsidRDefault="007074B4" w:rsidP="007074B4">
      <w:pPr>
        <w:pStyle w:val="Heading2"/>
      </w:pPr>
      <w:bookmarkStart w:id="52" w:name="_Toc336267627"/>
      <w:r w:rsidRPr="003656A0">
        <w:t>Commercial waste</w:t>
      </w:r>
      <w:bookmarkEnd w:id="52"/>
    </w:p>
    <w:p w:rsidR="007074B4" w:rsidRDefault="008F4CAD" w:rsidP="007074B4">
      <w:pPr>
        <w:autoSpaceDE w:val="0"/>
        <w:autoSpaceDN w:val="0"/>
        <w:adjustRightInd w:val="0"/>
        <w:rPr>
          <w:rFonts w:ascii="Times New Roman" w:eastAsia="Times New Roman" w:hAnsi="Times New Roman"/>
          <w:sz w:val="21"/>
          <w:szCs w:val="21"/>
        </w:rPr>
      </w:pPr>
      <w:r>
        <w:rPr>
          <w:rFonts w:ascii="Times New Roman" w:eastAsia="Times New Roman" w:hAnsi="Times New Roman"/>
          <w:sz w:val="21"/>
          <w:szCs w:val="21"/>
        </w:rPr>
        <w:t>H</w:t>
      </w:r>
      <w:r w:rsidR="007074B4">
        <w:rPr>
          <w:rFonts w:ascii="Times New Roman" w:eastAsia="Times New Roman" w:hAnsi="Times New Roman"/>
          <w:sz w:val="21"/>
          <w:szCs w:val="21"/>
        </w:rPr>
        <w:t xml:space="preserve">ousehold waste, which constitutes only 8% of total waste generated. The rest is generated by industrial activities, mostly by construction (33%), mining (28%), and manufacturing (13%). The private waste companies have increasingly sought to exploit this industrial and commercial market, as well as win contracts for municipal waste. </w:t>
      </w:r>
    </w:p>
    <w:p w:rsidR="007074B4" w:rsidRDefault="007074B4" w:rsidP="007074B4">
      <w:pPr>
        <w:autoSpaceDE w:val="0"/>
        <w:autoSpaceDN w:val="0"/>
        <w:adjustRightInd w:val="0"/>
        <w:rPr>
          <w:rFonts w:ascii="Times New Roman" w:eastAsia="Times New Roman" w:hAnsi="Times New Roman"/>
          <w:sz w:val="21"/>
          <w:szCs w:val="21"/>
        </w:rPr>
      </w:pPr>
    </w:p>
    <w:p w:rsidR="007074B4" w:rsidRDefault="007074B4" w:rsidP="007074B4">
      <w:pPr>
        <w:autoSpaceDE w:val="0"/>
        <w:autoSpaceDN w:val="0"/>
        <w:adjustRightInd w:val="0"/>
        <w:rPr>
          <w:rFonts w:ascii="Times New Roman" w:eastAsia="Times New Roman" w:hAnsi="Times New Roman"/>
          <w:sz w:val="21"/>
          <w:szCs w:val="21"/>
        </w:rPr>
      </w:pPr>
      <w:r>
        <w:rPr>
          <w:rFonts w:ascii="Times New Roman" w:eastAsia="Times New Roman" w:hAnsi="Times New Roman"/>
          <w:sz w:val="21"/>
          <w:szCs w:val="21"/>
        </w:rPr>
        <w:t xml:space="preserve">This has led to recent problems as the commercial waste market has declined (see above under Biffa and Van Gansewinkel). </w:t>
      </w:r>
    </w:p>
    <w:p w:rsidR="007074B4" w:rsidRDefault="007074B4" w:rsidP="007074B4">
      <w:pPr>
        <w:autoSpaceDE w:val="0"/>
        <w:autoSpaceDN w:val="0"/>
        <w:adjustRightInd w:val="0"/>
        <w:rPr>
          <w:rFonts w:ascii="Times New Roman" w:eastAsia="Times New Roman" w:hAnsi="Times New Roman"/>
          <w:sz w:val="21"/>
          <w:szCs w:val="21"/>
        </w:rPr>
      </w:pPr>
    </w:p>
    <w:p w:rsidR="007074B4" w:rsidRDefault="007074B4" w:rsidP="007074B4">
      <w:pPr>
        <w:autoSpaceDE w:val="0"/>
        <w:autoSpaceDN w:val="0"/>
        <w:adjustRightInd w:val="0"/>
        <w:jc w:val="center"/>
        <w:rPr>
          <w:rFonts w:ascii="Times New Roman" w:eastAsia="Times New Roman" w:hAnsi="Times New Roman"/>
          <w:sz w:val="21"/>
          <w:szCs w:val="21"/>
        </w:rPr>
      </w:pPr>
      <w:r>
        <w:rPr>
          <w:noProof/>
        </w:rPr>
        <w:drawing>
          <wp:inline distT="0" distB="0" distL="0" distR="0" wp14:anchorId="532DB40F" wp14:editId="1B618B4D">
            <wp:extent cx="3288943" cy="3474452"/>
            <wp:effectExtent l="0" t="0" r="698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309738" cy="3496420"/>
                    </a:xfrm>
                    <a:prstGeom prst="rect">
                      <a:avLst/>
                    </a:prstGeom>
                    <a:noFill/>
                    <a:ln>
                      <a:noFill/>
                    </a:ln>
                  </pic:spPr>
                </pic:pic>
              </a:graphicData>
            </a:graphic>
          </wp:inline>
        </w:drawing>
      </w:r>
    </w:p>
    <w:p w:rsidR="007074B4" w:rsidRDefault="007074B4" w:rsidP="007074B4">
      <w:pPr>
        <w:jc w:val="both"/>
      </w:pPr>
    </w:p>
    <w:p w:rsidR="007074B4" w:rsidRPr="007074B4" w:rsidRDefault="007074B4" w:rsidP="007074B4">
      <w:pPr>
        <w:rPr>
          <w:lang w:eastAsia="en-US"/>
        </w:rPr>
      </w:pPr>
    </w:p>
    <w:p w:rsidR="00F77730" w:rsidRDefault="002D75A4" w:rsidP="00DD3FE4">
      <w:pPr>
        <w:pStyle w:val="Heading3"/>
      </w:pPr>
      <w:bookmarkStart w:id="53" w:name="_Toc336267628"/>
      <w:r>
        <w:t>Exporting technology and importing toxic waste</w:t>
      </w:r>
      <w:bookmarkEnd w:id="53"/>
    </w:p>
    <w:p w:rsidR="002D75A4" w:rsidRDefault="002D75A4" w:rsidP="00F77730">
      <w:r>
        <w:t>Waste management companies are seeking business outside the EU</w:t>
      </w:r>
      <w:r w:rsidR="00A64119">
        <w:t>, supported and financed by governments</w:t>
      </w:r>
      <w:r>
        <w:t xml:space="preserve">. For example, the German government set up the German RETech Partnership in 2011 to promote such  business. This is supported by public development funds, including EU finance for twinning with countries in the eastern neighbourhood. </w:t>
      </w:r>
      <w:r w:rsidR="007E33F9">
        <w:t xml:space="preserve"> </w:t>
      </w:r>
      <w:r>
        <w:rPr>
          <w:rStyle w:val="EndnoteReference"/>
        </w:rPr>
        <w:endnoteReference w:id="27"/>
      </w:r>
    </w:p>
    <w:p w:rsidR="00360955" w:rsidRDefault="00360955" w:rsidP="00F77730"/>
    <w:p w:rsidR="002D75A4" w:rsidRDefault="002D75A4" w:rsidP="0004076B">
      <w:r w:rsidRPr="00360955">
        <w:t>But t</w:t>
      </w:r>
      <w:r w:rsidR="00F77730" w:rsidRPr="00360955">
        <w:t xml:space="preserve">here </w:t>
      </w:r>
      <w:r w:rsidR="00360955" w:rsidRPr="00360955">
        <w:t>w</w:t>
      </w:r>
      <w:r w:rsidR="00F77730" w:rsidRPr="00360955">
        <w:t xml:space="preserve">as </w:t>
      </w:r>
      <w:r w:rsidR="0004076B" w:rsidRPr="00360955">
        <w:t>strong opposition to a proposal</w:t>
      </w:r>
      <w:r w:rsidR="00F77730" w:rsidRPr="00360955">
        <w:t xml:space="preserve"> </w:t>
      </w:r>
      <w:r w:rsidR="00671179" w:rsidRPr="007074B4">
        <w:t>by GIZ, the</w:t>
      </w:r>
      <w:r w:rsidR="00F77730" w:rsidRPr="00360955">
        <w:t xml:space="preserve"> German</w:t>
      </w:r>
      <w:r w:rsidR="00F77730">
        <w:t xml:space="preserve"> development agency, to bring 350 tonnes of toxic waste from </w:t>
      </w:r>
      <w:r w:rsidR="0004076B">
        <w:t xml:space="preserve">the Dow Chemical plant in Bhopal, India, to an incineration plant in Germany. GIZ has offered aid to finance the process, and </w:t>
      </w:r>
      <w:r w:rsidR="0004076B" w:rsidRPr="0004076B">
        <w:t xml:space="preserve">German </w:t>
      </w:r>
      <w:r w:rsidR="0004076B">
        <w:t xml:space="preserve">waste management </w:t>
      </w:r>
      <w:r w:rsidR="0004076B" w:rsidRPr="0004076B">
        <w:t xml:space="preserve">companies </w:t>
      </w:r>
      <w:r w:rsidR="0004076B">
        <w:t xml:space="preserve">would </w:t>
      </w:r>
      <w:r w:rsidR="0004076B" w:rsidRPr="0004076B">
        <w:t>gain lucrative contracts, worth as much as 1.5 million euros for the first shipment.</w:t>
      </w:r>
      <w:r w:rsidR="0004076B">
        <w:t xml:space="preserve">  </w:t>
      </w:r>
    </w:p>
    <w:p w:rsidR="00F77730" w:rsidRDefault="002D75A4" w:rsidP="0004076B">
      <w:r>
        <w:t>E</w:t>
      </w:r>
      <w:r w:rsidR="0004076B" w:rsidRPr="0004076B">
        <w:t xml:space="preserve">nvironmental groups </w:t>
      </w:r>
      <w:r w:rsidR="00360955">
        <w:t>argued</w:t>
      </w:r>
      <w:r w:rsidR="0004076B" w:rsidRPr="0004076B">
        <w:t xml:space="preserve"> that accepting the cargo would set a precedent, triggering a kind of toxic </w:t>
      </w:r>
      <w:bookmarkStart w:id="54" w:name="ORIGHIT_9"/>
      <w:bookmarkStart w:id="55" w:name="HIT_9"/>
      <w:bookmarkEnd w:id="54"/>
      <w:bookmarkEnd w:id="55"/>
      <w:r w:rsidR="0004076B" w:rsidRPr="0004076B">
        <w:t>waste tourism to Germany.</w:t>
      </w:r>
      <w:r w:rsidR="0004076B">
        <w:t xml:space="preserve"> </w:t>
      </w:r>
      <w:r w:rsidR="0004076B" w:rsidRPr="0004076B">
        <w:t>The environmental groups insist</w:t>
      </w:r>
      <w:r w:rsidR="00360955">
        <w:t>ed</w:t>
      </w:r>
      <w:r w:rsidR="0004076B" w:rsidRPr="0004076B">
        <w:t xml:space="preserve"> that the toxic </w:t>
      </w:r>
      <w:bookmarkStart w:id="56" w:name="ORIGHIT_10"/>
      <w:bookmarkStart w:id="57" w:name="HIT_10"/>
      <w:bookmarkEnd w:id="56"/>
      <w:bookmarkEnd w:id="57"/>
      <w:r w:rsidR="0004076B" w:rsidRPr="0004076B">
        <w:t>waste needs to be disposed of in the country of origin</w:t>
      </w:r>
      <w:r w:rsidR="0004076B">
        <w:t xml:space="preserve">: a </w:t>
      </w:r>
      <w:r w:rsidR="0004076B" w:rsidRPr="0004076B">
        <w:t xml:space="preserve">Greenpeace </w:t>
      </w:r>
      <w:r w:rsidR="0004076B">
        <w:t>expert stated that</w:t>
      </w:r>
      <w:r w:rsidR="0004076B" w:rsidRPr="0004076B">
        <w:t xml:space="preserve">: "We do not want highly toxic substances being </w:t>
      </w:r>
      <w:r w:rsidR="0004076B" w:rsidRPr="0004076B">
        <w:lastRenderedPageBreak/>
        <w:t>shipped halfway around the world".</w:t>
      </w:r>
      <w:r w:rsidR="0004076B">
        <w:t xml:space="preserve">  Both Indian and German environmentalists sa</w:t>
      </w:r>
      <w:r w:rsidR="00360955">
        <w:t>id</w:t>
      </w:r>
      <w:r w:rsidR="0004076B">
        <w:t xml:space="preserve"> that the waste can and should be processed locally</w:t>
      </w:r>
      <w:r w:rsidR="00360955">
        <w:t xml:space="preserve">: the </w:t>
      </w:r>
      <w:r w:rsidR="0004076B">
        <w:t xml:space="preserve">necessary incineration plant should be built in India and the cost of processing the waste should be borne by Dow Chemical. </w:t>
      </w:r>
      <w:r w:rsidR="0004076B">
        <w:rPr>
          <w:rStyle w:val="EndnoteReference"/>
        </w:rPr>
        <w:endnoteReference w:id="28"/>
      </w:r>
      <w:r w:rsidR="0004076B">
        <w:t xml:space="preserve"> </w:t>
      </w:r>
    </w:p>
    <w:p w:rsidR="00360955" w:rsidRDefault="00360955" w:rsidP="0004076B"/>
    <w:p w:rsidR="00360955" w:rsidRDefault="00360955" w:rsidP="0004076B">
      <w:r>
        <w:t xml:space="preserve">The opposition was successfuI. In September 2012 GIZ </w:t>
      </w:r>
      <w:r>
        <w:rPr>
          <w:rStyle w:val="verdana"/>
        </w:rPr>
        <w:t>pulled out of the project, terming the assignment "too hazardous" and citing "negative publicity" in the German media.</w:t>
      </w:r>
      <w:r>
        <w:rPr>
          <w:rStyle w:val="EndnoteReference"/>
        </w:rPr>
        <w:endnoteReference w:id="29"/>
      </w:r>
    </w:p>
    <w:p w:rsidR="00F269E7" w:rsidRPr="003C1AB5" w:rsidRDefault="00A64119" w:rsidP="00DD3FE4">
      <w:pPr>
        <w:pStyle w:val="Heading3"/>
      </w:pPr>
      <w:bookmarkStart w:id="58" w:name="_Toc336267629"/>
      <w:r>
        <w:t>Private c</w:t>
      </w:r>
      <w:r w:rsidR="00DD3FE4">
        <w:t xml:space="preserve">ompanies </w:t>
      </w:r>
      <w:r w:rsidR="00F269E7">
        <w:t>insourcing</w:t>
      </w:r>
      <w:bookmarkEnd w:id="58"/>
    </w:p>
    <w:p w:rsidR="007074B4" w:rsidRDefault="00F269E7" w:rsidP="00F269E7">
      <w:pPr>
        <w:autoSpaceDE w:val="0"/>
        <w:autoSpaceDN w:val="0"/>
        <w:adjustRightInd w:val="0"/>
        <w:rPr>
          <w:rFonts w:eastAsia="Times New Roman" w:cs="Calibri"/>
        </w:rPr>
      </w:pPr>
      <w:r w:rsidRPr="003C1AB5">
        <w:rPr>
          <w:rFonts w:cs="Calibri"/>
        </w:rPr>
        <w:t xml:space="preserve">The Ademe report </w:t>
      </w:r>
      <w:r>
        <w:rPr>
          <w:rFonts w:cs="Calibri"/>
        </w:rPr>
        <w:t xml:space="preserve">on France in 2010 </w:t>
      </w:r>
      <w:r w:rsidRPr="003C1AB5">
        <w:rPr>
          <w:rFonts w:cs="Calibri"/>
        </w:rPr>
        <w:t>notes that private businesses are insourcing more recycling work: “</w:t>
      </w:r>
      <w:r w:rsidRPr="003C1AB5">
        <w:rPr>
          <w:rFonts w:eastAsia="Times New Roman" w:cs="Calibri"/>
        </w:rPr>
        <w:t>businesses are becoming increasingly interested in waste management: some tasks previously carried out by contractors are now done in-house, and they have begun to consider managing their own waste independently. The soaring price of recyclable materials before the start of the economic crisis, particularly in respect of metals, has provoked this kind of thinking.”</w:t>
      </w:r>
      <w:r>
        <w:rPr>
          <w:rFonts w:eastAsia="Times New Roman" w:cs="Calibri"/>
        </w:rPr>
        <w:t xml:space="preserve"> </w:t>
      </w:r>
      <w:r w:rsidRPr="003C1AB5">
        <w:rPr>
          <w:rStyle w:val="EndnoteReference"/>
          <w:rFonts w:cs="Calibri"/>
        </w:rPr>
        <w:endnoteReference w:id="30"/>
      </w:r>
      <w:r>
        <w:rPr>
          <w:rFonts w:eastAsia="Times New Roman" w:cs="Calibri"/>
        </w:rPr>
        <w:t xml:space="preserve">  </w:t>
      </w:r>
    </w:p>
    <w:p w:rsidR="007074B4" w:rsidRDefault="007074B4" w:rsidP="00F269E7">
      <w:pPr>
        <w:autoSpaceDE w:val="0"/>
        <w:autoSpaceDN w:val="0"/>
        <w:adjustRightInd w:val="0"/>
        <w:rPr>
          <w:rFonts w:eastAsia="Times New Roman" w:cs="Calibri"/>
        </w:rPr>
      </w:pPr>
    </w:p>
    <w:p w:rsidR="007074B4" w:rsidRDefault="007074B4" w:rsidP="007074B4">
      <w:r>
        <w:rPr>
          <w:rFonts w:eastAsia="Times New Roman" w:cs="Calibri"/>
        </w:rPr>
        <w:t>In August 2012 this was one of the factors that led to a crisis at Biffa in the UK.</w:t>
      </w:r>
      <w:r>
        <w:t xml:space="preserve"> </w:t>
      </w:r>
      <w:r w:rsidRPr="00661B28">
        <w:t>Biffa had failed to adjust to the decline in the industrial waste collection business</w:t>
      </w:r>
      <w:r>
        <w:t>, and to the trend for major companies to prefer inhouse operation of their own waste services</w:t>
      </w:r>
      <w:r w:rsidRPr="00661B28">
        <w:t xml:space="preserve">: </w:t>
      </w:r>
    </w:p>
    <w:p w:rsidR="007074B4" w:rsidRDefault="007074B4" w:rsidP="007074B4">
      <w:pPr>
        <w:ind w:left="720"/>
      </w:pPr>
      <w:r w:rsidRPr="00661B28">
        <w:t xml:space="preserve"> “it is particularly vulnerable in the new environment as it is reliant on industrial waste, which accounts for 80 per cent of earnings…... </w:t>
      </w:r>
      <w:r w:rsidRPr="00661B28">
        <w:rPr>
          <w:rFonts w:eastAsia="Times New Roman"/>
        </w:rPr>
        <w:t>the downturn in consumer spending has reduced waste volumes. Further compounding the problem has been a growing trend for big companies, such as Tesco, to deal with their own waste. …The industrial collection business is collapsing …Analysts say the industry, much of which is private-equity owned and debt laden after a series of highly priced sell-offs between 2004 and 2007, underestimated the impact of the new EU directive and failed to invest in recycling technologies such as inc</w:t>
      </w:r>
      <w:r>
        <w:rPr>
          <w:rFonts w:eastAsia="Times New Roman"/>
        </w:rPr>
        <w:t>i</w:t>
      </w:r>
      <w:r w:rsidRPr="00661B28">
        <w:rPr>
          <w:rFonts w:eastAsia="Times New Roman"/>
        </w:rPr>
        <w:t>nerators or anaerobic digesters.</w:t>
      </w:r>
      <w:r w:rsidRPr="00661B28">
        <w:t xml:space="preserve">“ </w:t>
      </w:r>
    </w:p>
    <w:p w:rsidR="007074B4" w:rsidRDefault="007074B4" w:rsidP="007074B4">
      <w:pPr>
        <w:ind w:left="720"/>
      </w:pPr>
    </w:p>
    <w:p w:rsidR="00360955" w:rsidRDefault="007074B4" w:rsidP="008F4CAD">
      <w:pPr>
        <w:rPr>
          <w:rFonts w:eastAsia="Times New Roman" w:cs="Calibri"/>
        </w:rPr>
      </w:pPr>
      <w:r>
        <w:t xml:space="preserve">As a result, the private equity firm which owns Biffa, Montagu PE, is trying to sell it. This will create pressures for other Biffa employees working in municipal waste services. </w:t>
      </w:r>
      <w:r w:rsidRPr="00661B28">
        <w:rPr>
          <w:rStyle w:val="EndnoteReference"/>
          <w:rFonts w:cstheme="minorHAnsi"/>
        </w:rPr>
        <w:endnoteReference w:id="31"/>
      </w:r>
      <w:r w:rsidRPr="00661B28">
        <w:t xml:space="preserve">  </w:t>
      </w:r>
    </w:p>
    <w:p w:rsidR="00F269E7" w:rsidRDefault="00DD3FE4" w:rsidP="00DD3FE4">
      <w:pPr>
        <w:pStyle w:val="Heading3"/>
      </w:pPr>
      <w:bookmarkStart w:id="59" w:name="_Toc336267630"/>
      <w:r>
        <w:t>Incineration expansion</w:t>
      </w:r>
      <w:r w:rsidR="004C4C91">
        <w:t xml:space="preserve"> for private sector work</w:t>
      </w:r>
      <w:bookmarkEnd w:id="59"/>
    </w:p>
    <w:p w:rsidR="004C4C91" w:rsidRDefault="00360955" w:rsidP="004C4C91">
      <w:pPr>
        <w:rPr>
          <w:lang w:eastAsia="en-US"/>
        </w:rPr>
      </w:pPr>
      <w:r>
        <w:rPr>
          <w:lang w:eastAsia="en-US"/>
        </w:rPr>
        <w:t xml:space="preserve">Private companies promote incineration of household waste as it provides profitable opportunities on long-term contracts. They are now also seeking to use incineration to process commercial waste, and trying to get economies of scale by using the same incinerators for both types of waste.  </w:t>
      </w:r>
    </w:p>
    <w:p w:rsidR="004C4C91" w:rsidRPr="004C4C91" w:rsidRDefault="004C4C91" w:rsidP="004C4C91">
      <w:pPr>
        <w:rPr>
          <w:lang w:eastAsia="en-US"/>
        </w:rPr>
      </w:pPr>
    </w:p>
    <w:p w:rsidR="00360955" w:rsidRDefault="00DD3FE4">
      <w:r>
        <w:t>Covanta</w:t>
      </w:r>
      <w:r w:rsidR="003656A0">
        <w:t xml:space="preserve">, a USA waste-to-energy company, </w:t>
      </w:r>
      <w:r>
        <w:t xml:space="preserve">has encouraged municipalities </w:t>
      </w:r>
      <w:r w:rsidR="003656A0">
        <w:t xml:space="preserve">in the UK </w:t>
      </w:r>
      <w:r>
        <w:t xml:space="preserve">to develop strategies which would support incineration facilities that process industrial and commercial waste as well as household waste. Covanta argues that companies still send much waste to landfill which could be diverted to incineration. </w:t>
      </w:r>
      <w:r>
        <w:rPr>
          <w:rStyle w:val="EndnoteReference"/>
        </w:rPr>
        <w:endnoteReference w:id="32"/>
      </w:r>
      <w:r w:rsidR="00F77730">
        <w:t xml:space="preserve">  </w:t>
      </w:r>
      <w:r>
        <w:t xml:space="preserve">In June 2012 Covanta </w:t>
      </w:r>
      <w:r w:rsidR="003656A0">
        <w:t xml:space="preserve">also </w:t>
      </w:r>
      <w:r>
        <w:t xml:space="preserve">signed a national recognition agreement with the GMB union in the UK providing for consultation with the GMB on all projects at the development stage, over environmental as well as economic and safety issues, and collective bargaining rights when sites are operating. </w:t>
      </w:r>
      <w:r>
        <w:rPr>
          <w:rStyle w:val="EndnoteReference"/>
        </w:rPr>
        <w:endnoteReference w:id="33"/>
      </w:r>
      <w:r w:rsidR="00360955">
        <w:br w:type="page"/>
      </w:r>
    </w:p>
    <w:p w:rsidR="004C4C91" w:rsidRDefault="004C4C91" w:rsidP="003656A0"/>
    <w:p w:rsidR="003016B0" w:rsidRDefault="003016B0" w:rsidP="0034704E">
      <w:pPr>
        <w:pStyle w:val="Heading1"/>
      </w:pPr>
      <w:bookmarkStart w:id="60" w:name="_Toc336267631"/>
      <w:r w:rsidRPr="003016B0">
        <w:t>Bibliography</w:t>
      </w:r>
      <w:r w:rsidR="00D37073">
        <w:t xml:space="preserve"> and links</w:t>
      </w:r>
      <w:bookmarkEnd w:id="60"/>
    </w:p>
    <w:p w:rsidR="00554C70" w:rsidRDefault="00554C70" w:rsidP="00C52A36">
      <w:pPr>
        <w:pStyle w:val="Heading2"/>
      </w:pPr>
      <w:bookmarkStart w:id="61" w:name="_Toc336267632"/>
      <w:r>
        <w:t>EU</w:t>
      </w:r>
      <w:r w:rsidR="00D830F7">
        <w:t xml:space="preserve"> level</w:t>
      </w:r>
      <w:bookmarkEnd w:id="61"/>
    </w:p>
    <w:p w:rsidR="00D33B73" w:rsidRPr="00352A5D" w:rsidRDefault="00D33B73" w:rsidP="00D33B73">
      <w:r w:rsidRPr="00352A5D">
        <w:t>European Commission DG Environment</w:t>
      </w:r>
      <w:r w:rsidR="00352A5D" w:rsidRPr="00352A5D">
        <w:t xml:space="preserve">: waste </w:t>
      </w:r>
      <w:r w:rsidRPr="00352A5D">
        <w:t xml:space="preserve">  </w:t>
      </w:r>
      <w:hyperlink r:id="rId80" w:history="1">
        <w:r w:rsidR="00352A5D" w:rsidRPr="00AD0A48">
          <w:rPr>
            <w:rStyle w:val="Hyperlink"/>
          </w:rPr>
          <w:t>http://ec.europa.eu/environment/waste/index.htm</w:t>
        </w:r>
      </w:hyperlink>
      <w:r w:rsidR="00352A5D">
        <w:t xml:space="preserve"> </w:t>
      </w:r>
    </w:p>
    <w:p w:rsidR="00D33B73" w:rsidRDefault="00D33B73" w:rsidP="00D33B73">
      <w:r w:rsidRPr="00352A5D">
        <w:t xml:space="preserve">EU </w:t>
      </w:r>
      <w:r w:rsidR="00352A5D" w:rsidRPr="00352A5D">
        <w:t>l</w:t>
      </w:r>
      <w:r w:rsidRPr="00352A5D">
        <w:t xml:space="preserve">egislation on Waste management </w:t>
      </w:r>
      <w:hyperlink r:id="rId81" w:history="1">
        <w:r w:rsidRPr="00D33B73">
          <w:rPr>
            <w:rStyle w:val="Hyperlink"/>
          </w:rPr>
          <w:t>http://europa.eu/legislation_summaries/environment/waste_management/index_en.htm</w:t>
        </w:r>
      </w:hyperlink>
    </w:p>
    <w:p w:rsidR="00481C78" w:rsidRPr="001E657D" w:rsidRDefault="0094547E" w:rsidP="00481C78">
      <w:r>
        <w:t xml:space="preserve">Eurostat </w:t>
      </w:r>
      <w:r w:rsidR="00481C78" w:rsidRPr="00481C78">
        <w:t xml:space="preserve">Europe in figures - Eurostat yearbook 2011: Environment (tables and graphs) </w:t>
      </w:r>
      <w:hyperlink r:id="rId82" w:tgtFrame="_blank" w:history="1">
        <w:r w:rsidR="00481C78">
          <w:rPr>
            <w:rStyle w:val="Hyperlink"/>
          </w:rPr>
          <w:t>http://epp.eurostat.ec.europa.eu/cache/ITY_OFFPUB/CH_11_2011_XLS/EN/CH_11_2011_XLS-EN.XLS</w:t>
        </w:r>
      </w:hyperlink>
    </w:p>
    <w:p w:rsidR="00481C78" w:rsidRDefault="00481C78" w:rsidP="00D33B73">
      <w:r>
        <w:t xml:space="preserve">Eurostat </w:t>
      </w:r>
      <w:r w:rsidRPr="00641417">
        <w:rPr>
          <w:i/>
          <w:iCs/>
        </w:rPr>
        <w:t xml:space="preserve">Statistics in focus </w:t>
      </w:r>
      <w:r w:rsidRPr="00641417">
        <w:t>— 31/2011</w:t>
      </w:r>
      <w:r>
        <w:t xml:space="preserve"> </w:t>
      </w:r>
      <w:r w:rsidRPr="00641417">
        <w:t>Generation and treatment of municipal waste</w:t>
      </w:r>
      <w:r>
        <w:t xml:space="preserve"> (figure 4) </w:t>
      </w:r>
      <w:hyperlink r:id="rId83" w:history="1">
        <w:r w:rsidRPr="00AD0A48">
          <w:rPr>
            <w:rStyle w:val="Hyperlink"/>
          </w:rPr>
          <w:t>http://epp.eurostat.ec.europa.eu/cache/ITY_OFFPUB/KS-SF-11-031/EN/KS-SF-11-031-EN.PDF</w:t>
        </w:r>
      </w:hyperlink>
    </w:p>
    <w:p w:rsidR="00D33B73" w:rsidRDefault="00081F2D" w:rsidP="00D33B73">
      <w:hyperlink r:id="rId84" w:history="1">
        <w:r w:rsidR="00D33B73" w:rsidRPr="00D33B73">
          <w:rPr>
            <w:rStyle w:val="Hyperlink"/>
            <w:bCs/>
          </w:rPr>
          <w:t>EU Eastern neighbourhood: Waste Governance</w:t>
        </w:r>
      </w:hyperlink>
      <w:r w:rsidR="00D33B73" w:rsidRPr="00D33B73">
        <w:rPr>
          <w:bCs/>
        </w:rPr>
        <w:t xml:space="preserve"> . This is a project running from 2009-2013, part of the EU Neighbourhood Programme covering </w:t>
      </w:r>
      <w:r w:rsidR="00D33B73" w:rsidRPr="00476A33">
        <w:t>Azerbaijan, Armenia, Belarus, Georgia, Moldova, Russia, and Ukraine</w:t>
      </w:r>
      <w:r w:rsidR="00D33B73">
        <w:t>.</w:t>
      </w:r>
    </w:p>
    <w:p w:rsidR="00D33B73" w:rsidRDefault="00D33B73" w:rsidP="00D33B73">
      <w:r>
        <w:t xml:space="preserve">Final report 2011 </w:t>
      </w:r>
      <w:hyperlink r:id="rId85" w:history="1">
        <w:r w:rsidRPr="00206698">
          <w:rPr>
            <w:rStyle w:val="Hyperlink"/>
          </w:rPr>
          <w:t>http://www.wastegovernance.org/Documents/TR_3_301111_.pdf</w:t>
        </w:r>
      </w:hyperlink>
      <w:r>
        <w:t xml:space="preserve"> </w:t>
      </w:r>
    </w:p>
    <w:p w:rsidR="00554C70" w:rsidRDefault="00554C70" w:rsidP="00554C70">
      <w:pPr>
        <w:rPr>
          <w:color w:val="0000FF"/>
        </w:rPr>
      </w:pPr>
      <w:r w:rsidRPr="00495DDD">
        <w:t xml:space="preserve">ANTONIOLI B. and MASSARUTTO A. 2010  The municipal waste management sector in Europe: </w:t>
      </w:r>
      <w:r>
        <w:t>s</w:t>
      </w:r>
      <w:r w:rsidRPr="00495DDD">
        <w:t xml:space="preserve">hifting boundaries between public service and the market CIRIEC </w:t>
      </w:r>
      <w:r w:rsidRPr="00554C70">
        <w:rPr>
          <w:bCs/>
        </w:rPr>
        <w:t>WP11/07</w:t>
      </w:r>
      <w:r w:rsidRPr="00495DDD">
        <w:rPr>
          <w:b/>
          <w:bCs/>
        </w:rPr>
        <w:t xml:space="preserve"> </w:t>
      </w:r>
      <w:hyperlink r:id="rId86" w:history="1">
        <w:r w:rsidRPr="003016B0">
          <w:rPr>
            <w:color w:val="0000FF"/>
            <w:u w:val="single"/>
          </w:rPr>
          <w:t>http://www.ciriec.ulg.ac.be/fr/telechargements/WORKING_PAPERS/WP11-07.pdf</w:t>
        </w:r>
      </w:hyperlink>
    </w:p>
    <w:p w:rsidR="00554C70" w:rsidRDefault="00554C70" w:rsidP="00554C70">
      <w:r w:rsidRPr="00554C70">
        <w:t xml:space="preserve">Investing in the Future of Jobs and Skills - Scenarios, implications and options in anticipation of future skills and knowledge needs Sector Report: Electricity, Gas, Water and Waste. May 2009. TNO Netherlands, SEOR Erasmus University Rotterdam, ZSI Centre for Social Innovation. </w:t>
      </w:r>
      <w:hyperlink r:id="rId87" w:history="1">
        <w:r w:rsidRPr="00554C70">
          <w:rPr>
            <w:rStyle w:val="Hyperlink"/>
            <w:lang w:val="fr-BE"/>
          </w:rPr>
          <w:t>http://ec.europa.eu/social/BlobServlet?docId=3761&amp;langId=en</w:t>
        </w:r>
      </w:hyperlink>
    </w:p>
    <w:p w:rsidR="00554C70" w:rsidRDefault="00554C70" w:rsidP="00495DDD"/>
    <w:p w:rsidR="004651AE" w:rsidRDefault="004651AE" w:rsidP="00C52A36">
      <w:pPr>
        <w:pStyle w:val="Heading2"/>
        <w:rPr>
          <w:lang w:val="fr-FR"/>
        </w:rPr>
      </w:pPr>
      <w:bookmarkStart w:id="62" w:name="_Toc336267633"/>
      <w:r>
        <w:rPr>
          <w:lang w:val="fr-FR"/>
        </w:rPr>
        <w:t>Germany</w:t>
      </w:r>
      <w:bookmarkEnd w:id="62"/>
    </w:p>
    <w:p w:rsidR="004651AE" w:rsidRPr="00B52D2D" w:rsidRDefault="004651AE" w:rsidP="004651AE">
      <w:pPr>
        <w:rPr>
          <w:lang w:val="de-DE"/>
        </w:rPr>
      </w:pPr>
      <w:r w:rsidRPr="00B52D2D">
        <w:rPr>
          <w:lang w:val="de-DE"/>
        </w:rPr>
        <w:t xml:space="preserve">Karin Opphard, Corinna Hölzl, Wolfgang Pohl, Judith Utz 2010 In- und Outsourcing in der kommunalen Abfallwirtschaft  . Heinrich-Böll-Stiftung und VKS im VKU  </w:t>
      </w:r>
      <w:hyperlink r:id="rId88" w:history="1">
        <w:r w:rsidRPr="00B52D2D">
          <w:rPr>
            <w:rStyle w:val="Hyperlink"/>
            <w:lang w:val="de-DE"/>
          </w:rPr>
          <w:t>http://kommunalwiki.boell.de/index.php/In-_und_Outsourcing_in_der_kommunalen_Abfallwirtschaft</w:t>
        </w:r>
      </w:hyperlink>
      <w:r w:rsidRPr="00B52D2D">
        <w:rPr>
          <w:lang w:val="de-DE"/>
        </w:rPr>
        <w:t xml:space="preserve"> </w:t>
      </w:r>
    </w:p>
    <w:p w:rsidR="004651AE" w:rsidRPr="00B52D2D" w:rsidRDefault="004651AE" w:rsidP="004651AE">
      <w:pPr>
        <w:rPr>
          <w:lang w:val="de-DE"/>
        </w:rPr>
      </w:pPr>
    </w:p>
    <w:p w:rsidR="00C9796A" w:rsidRPr="002D500E" w:rsidRDefault="00C9796A" w:rsidP="00C52A36">
      <w:pPr>
        <w:pStyle w:val="Heading2"/>
        <w:rPr>
          <w:lang w:val="fr-FR"/>
        </w:rPr>
      </w:pPr>
      <w:bookmarkStart w:id="63" w:name="_Toc336267634"/>
      <w:r w:rsidRPr="002D500E">
        <w:rPr>
          <w:lang w:val="fr-FR"/>
        </w:rPr>
        <w:t>France</w:t>
      </w:r>
      <w:bookmarkEnd w:id="63"/>
    </w:p>
    <w:p w:rsidR="001B36B9" w:rsidRDefault="001B36B9" w:rsidP="00C52A36">
      <w:pPr>
        <w:rPr>
          <w:rFonts w:cstheme="minorHAnsi"/>
          <w:lang w:val="fr-FR"/>
        </w:rPr>
      </w:pPr>
      <w:r w:rsidRPr="00C52A36">
        <w:rPr>
          <w:rFonts w:cstheme="minorHAnsi"/>
          <w:lang w:val="fr-FR"/>
        </w:rPr>
        <w:t xml:space="preserve">ADEME Oct 2010 </w:t>
      </w:r>
      <w:hyperlink r:id="rId89" w:tooltip="Marchés et emplois des activités liées aux déchets (Français/Anglais)" w:history="1">
        <w:r w:rsidR="00EE03BA" w:rsidRPr="00C52A36">
          <w:rPr>
            <w:rStyle w:val="Hyperlink"/>
            <w:rFonts w:cstheme="minorHAnsi"/>
            <w:lang w:val="fr-FR"/>
          </w:rPr>
          <w:t>Marchés et emplois des activités liées aux déchets (Français/Anglais)</w:t>
        </w:r>
      </w:hyperlink>
      <w:r w:rsidR="00EE03BA" w:rsidRPr="00C52A36">
        <w:rPr>
          <w:rFonts w:cstheme="minorHAnsi"/>
          <w:lang w:val="fr-FR"/>
        </w:rPr>
        <w:t>/</w:t>
      </w:r>
      <w:r w:rsidRPr="00C52A36">
        <w:rPr>
          <w:rFonts w:cstheme="minorHAnsi"/>
          <w:lang w:val="fr-FR"/>
        </w:rPr>
        <w:t xml:space="preserve">Markets and employment in waste related activities situation </w:t>
      </w:r>
      <w:hyperlink r:id="rId90" w:history="1">
        <w:r w:rsidR="00EE03BA" w:rsidRPr="00C52A36">
          <w:rPr>
            <w:rStyle w:val="Hyperlink"/>
            <w:rFonts w:cstheme="minorHAnsi"/>
            <w:lang w:val="fr-FR"/>
          </w:rPr>
          <w:t>http://www2.ademe.fr/servlet/getDoc?cid=96&amp;m=3&amp;id=80873&amp;p2=14227&amp;ref=14227</w:t>
        </w:r>
      </w:hyperlink>
      <w:r w:rsidR="00EE03BA" w:rsidRPr="00C52A36">
        <w:rPr>
          <w:rFonts w:cstheme="minorHAnsi"/>
          <w:lang w:val="fr-FR"/>
        </w:rPr>
        <w:t xml:space="preserve"> </w:t>
      </w:r>
    </w:p>
    <w:p w:rsidR="00B725C8" w:rsidRPr="00C52A36" w:rsidRDefault="00B725C8" w:rsidP="00C52A36">
      <w:pPr>
        <w:rPr>
          <w:rFonts w:cstheme="minorHAnsi"/>
          <w:lang w:val="fr-FR"/>
        </w:rPr>
      </w:pPr>
    </w:p>
    <w:p w:rsidR="001B36B9" w:rsidRDefault="001B36B9" w:rsidP="00C52A36">
      <w:pPr>
        <w:rPr>
          <w:rFonts w:cstheme="minorHAnsi"/>
          <w:lang w:val="fr-FR"/>
        </w:rPr>
      </w:pPr>
      <w:r w:rsidRPr="00C52A36">
        <w:rPr>
          <w:rFonts w:cstheme="minorHAnsi"/>
          <w:lang w:val="fr-FR"/>
        </w:rPr>
        <w:t xml:space="preserve">ADEME 2012 Déchets : chiffres-clés  </w:t>
      </w:r>
      <w:hyperlink r:id="rId91" w:history="1">
        <w:r w:rsidRPr="00C52A36">
          <w:rPr>
            <w:rStyle w:val="Hyperlink"/>
            <w:rFonts w:cstheme="minorHAnsi"/>
            <w:lang w:val="fr-FR"/>
          </w:rPr>
          <w:t>http://www2.ademe.fr/servlet/getDoc?cid=96&amp;m=3&amp;id=83366&amp;p2=14227&amp;ref=14227</w:t>
        </w:r>
      </w:hyperlink>
      <w:r w:rsidRPr="00C52A36">
        <w:rPr>
          <w:rFonts w:cstheme="minorHAnsi"/>
          <w:lang w:val="fr-FR"/>
        </w:rPr>
        <w:t xml:space="preserve"> </w:t>
      </w:r>
    </w:p>
    <w:p w:rsidR="00B725C8" w:rsidRPr="00C52A36" w:rsidRDefault="00B725C8" w:rsidP="00C52A36">
      <w:pPr>
        <w:rPr>
          <w:rFonts w:cstheme="minorHAnsi"/>
          <w:lang w:val="fr-FR"/>
        </w:rPr>
      </w:pPr>
    </w:p>
    <w:p w:rsidR="00D33B73" w:rsidRPr="00C52A36" w:rsidRDefault="00D33B73" w:rsidP="00C52A36">
      <w:pPr>
        <w:rPr>
          <w:rFonts w:eastAsia="Times New Roman" w:cstheme="minorHAnsi"/>
          <w:lang w:val="fr-FR"/>
        </w:rPr>
      </w:pPr>
      <w:r w:rsidRPr="00C52A36">
        <w:rPr>
          <w:rFonts w:eastAsia="Times New Roman" w:cstheme="minorHAnsi"/>
          <w:lang w:val="fr-FR"/>
        </w:rPr>
        <w:t xml:space="preserve">Cour des comptes 2011  Les collectivités locales et la gestion des déchets ménagers et assimilés        </w:t>
      </w:r>
      <w:r w:rsidRPr="00C52A36">
        <w:rPr>
          <w:rFonts w:eastAsia="Times New Roman" w:cstheme="minorHAnsi"/>
          <w:color w:val="0000FF"/>
          <w:lang w:val="fr-FR"/>
        </w:rPr>
        <w:t xml:space="preserve">     </w:t>
      </w:r>
      <w:hyperlink r:id="rId92" w:history="1">
        <w:r w:rsidRPr="00C52A36">
          <w:rPr>
            <w:rFonts w:eastAsia="Times New Roman" w:cstheme="minorHAnsi"/>
            <w:color w:val="0000FF"/>
            <w:u w:val="single"/>
            <w:lang w:val="fr-FR"/>
          </w:rPr>
          <w:t>http://www.ccomptes.fr/fr/CC/documents/Communiques/Communique_presse_rapport_public_thematique_collectivites_locales_et_dechets_menagers.pdf</w:t>
        </w:r>
      </w:hyperlink>
      <w:r w:rsidRPr="00C52A36">
        <w:rPr>
          <w:rFonts w:eastAsia="Times New Roman" w:cstheme="minorHAnsi"/>
          <w:color w:val="0000FF"/>
          <w:lang w:val="fr-FR"/>
        </w:rPr>
        <w:t xml:space="preserve"> </w:t>
      </w:r>
    </w:p>
    <w:p w:rsidR="00C9796A" w:rsidRPr="00D531A7" w:rsidRDefault="00081F2D" w:rsidP="00C52A36">
      <w:pPr>
        <w:rPr>
          <w:lang w:val="fr-FR"/>
        </w:rPr>
      </w:pPr>
      <w:hyperlink r:id="rId93" w:history="1">
        <w:r w:rsidR="00D33B73" w:rsidRPr="00C52A36">
          <w:rPr>
            <w:rStyle w:val="Hyperlink"/>
            <w:rFonts w:cstheme="minorHAnsi"/>
            <w:lang w:val="fr-FR"/>
          </w:rPr>
          <w:t>France: Agence de l'Environnement et de la Maîtrise de l'Energie (déchets)</w:t>
        </w:r>
      </w:hyperlink>
    </w:p>
    <w:p w:rsidR="00B725C8" w:rsidRPr="00D531A7" w:rsidRDefault="00B725C8" w:rsidP="00C52A36">
      <w:pPr>
        <w:rPr>
          <w:lang w:val="fr-FR"/>
        </w:rPr>
      </w:pPr>
    </w:p>
    <w:p w:rsidR="00B725C8" w:rsidRPr="00D531A7" w:rsidRDefault="00B725C8" w:rsidP="00C52A36">
      <w:r w:rsidRPr="00D531A7">
        <w:rPr>
          <w:lang w:val="fr-FR"/>
        </w:rPr>
        <w:t xml:space="preserve">DJEMACI B. 2010 Ciriec </w:t>
      </w:r>
      <w:r w:rsidRPr="00D531A7">
        <w:rPr>
          <w:rStyle w:val="Strong"/>
          <w:b w:val="0"/>
          <w:lang w:val="fr-FR"/>
        </w:rPr>
        <w:t>WP10/10</w:t>
      </w:r>
      <w:r w:rsidRPr="00D531A7">
        <w:rPr>
          <w:lang w:val="fr-FR"/>
        </w:rPr>
        <w:t xml:space="preserve"> </w:t>
      </w:r>
      <w:hyperlink r:id="rId94" w:tgtFrame="_blank" w:history="1">
        <w:r w:rsidRPr="00D531A7">
          <w:rPr>
            <w:rStyle w:val="Hyperlink"/>
            <w:lang w:val="fr-FR"/>
          </w:rPr>
          <w:t>Le service public français des déchets. Analyse nationale et étude de cas : Paris, Rouen et Besançon</w:t>
        </w:r>
      </w:hyperlink>
      <w:r w:rsidRPr="00D531A7">
        <w:rPr>
          <w:lang w:val="fr-FR"/>
        </w:rPr>
        <w:t xml:space="preserve"> (English: WP 09/02 </w:t>
      </w:r>
      <w:hyperlink r:id="rId95" w:tgtFrame="_blank" w:history="1">
        <w:r w:rsidRPr="00D531A7">
          <w:rPr>
            <w:rStyle w:val="Hyperlink"/>
            <w:lang w:val="fr-FR"/>
          </w:rPr>
          <w:t xml:space="preserve">Public waste management services in France. </w:t>
        </w:r>
        <w:r>
          <w:rPr>
            <w:rStyle w:val="Hyperlink"/>
          </w:rPr>
          <w:t>National analysis and case studies of Paris, Rouen, and Besançon</w:t>
        </w:r>
      </w:hyperlink>
      <w:r>
        <w:t xml:space="preserve"> )</w:t>
      </w:r>
    </w:p>
    <w:p w:rsidR="00C9796A" w:rsidRPr="002D500E" w:rsidRDefault="00C9796A" w:rsidP="00C52A36">
      <w:pPr>
        <w:pStyle w:val="Heading2"/>
        <w:rPr>
          <w:lang w:val="fr-FR"/>
        </w:rPr>
      </w:pPr>
      <w:bookmarkStart w:id="64" w:name="_Toc336267635"/>
      <w:r w:rsidRPr="002D500E">
        <w:rPr>
          <w:lang w:val="fr-FR"/>
        </w:rPr>
        <w:t>Bulgaria</w:t>
      </w:r>
      <w:bookmarkEnd w:id="64"/>
    </w:p>
    <w:p w:rsidR="00C9796A" w:rsidRPr="00C9796A" w:rsidRDefault="00C9796A" w:rsidP="00C52A36">
      <w:r w:rsidRPr="002D500E">
        <w:t>Vassil Kirov 2011 The Sector of Waste Collection in Bulgaria: Low-skilled employment for the less-educated ethnic minorities. W</w:t>
      </w:r>
      <w:r w:rsidRPr="002D500E">
        <w:rPr>
          <w:bCs/>
        </w:rPr>
        <w:t xml:space="preserve">alqing </w:t>
      </w:r>
      <w:r w:rsidRPr="002D500E">
        <w:t>social partnership series 2011.19</w:t>
      </w:r>
      <w:r w:rsidR="00C52A36">
        <w:t xml:space="preserve"> </w:t>
      </w:r>
      <w:hyperlink r:id="rId96" w:history="1">
        <w:r w:rsidR="00554C70">
          <w:rPr>
            <w:rStyle w:val="Hyperlink"/>
          </w:rPr>
          <w:t>http://www.walqing.eu/fileadmin/download/external_website/publications/WALQING_socialpartnershipseries_2011.19_Waste_BUL.pdf</w:t>
        </w:r>
      </w:hyperlink>
      <w:r w:rsidRPr="00085E8A">
        <w:t xml:space="preserve"> </w:t>
      </w:r>
    </w:p>
    <w:p w:rsidR="001B36B9" w:rsidRDefault="00D33B73" w:rsidP="00C52A36">
      <w:pPr>
        <w:pStyle w:val="Heading2"/>
      </w:pPr>
      <w:bookmarkStart w:id="65" w:name="_Toc336267636"/>
      <w:r>
        <w:lastRenderedPageBreak/>
        <w:t>Spain</w:t>
      </w:r>
      <w:bookmarkEnd w:id="65"/>
    </w:p>
    <w:p w:rsidR="003016B0" w:rsidRPr="00C52A36" w:rsidRDefault="00C52A36" w:rsidP="00C52A36">
      <w:pPr>
        <w:rPr>
          <w:rFonts w:eastAsia="Times New Roman"/>
        </w:rPr>
      </w:pPr>
      <w:r w:rsidRPr="00C52A36">
        <w:t xml:space="preserve">Dolores DIZY MENÉNDEZ &amp; Olga RUIZ CAÑETE 2010 </w:t>
      </w:r>
      <w:r w:rsidRPr="00C52A36">
        <w:rPr>
          <w:bCs/>
          <w:iCs/>
        </w:rPr>
        <w:t xml:space="preserve">The Spanish Waste Sector: Waste Collection, Transport and Treatment </w:t>
      </w:r>
      <w:r w:rsidRPr="00C52A36">
        <w:rPr>
          <w:bCs/>
        </w:rPr>
        <w:t xml:space="preserve">CIRIEC N° </w:t>
      </w:r>
      <w:r>
        <w:rPr>
          <w:bCs/>
        </w:rPr>
        <w:t>2</w:t>
      </w:r>
      <w:r w:rsidRPr="00C52A36">
        <w:rPr>
          <w:bCs/>
        </w:rPr>
        <w:t>010/03</w:t>
      </w:r>
      <w:r>
        <w:rPr>
          <w:bCs/>
        </w:rPr>
        <w:t xml:space="preserve"> </w:t>
      </w:r>
      <w:hyperlink r:id="rId97" w:history="1">
        <w:r w:rsidRPr="002D61D4">
          <w:rPr>
            <w:rStyle w:val="Hyperlink"/>
            <w:rFonts w:cs="Arial"/>
          </w:rPr>
          <w:t>http://www.ciriec.ulg.ac.be/fr/telechargements/WORKING_PAPERS/WP10-03.pdf</w:t>
        </w:r>
      </w:hyperlink>
    </w:p>
    <w:p w:rsidR="003016B0" w:rsidRPr="003016B0" w:rsidRDefault="003016B0" w:rsidP="00C52A36">
      <w:pPr>
        <w:rPr>
          <w:rFonts w:eastAsia="Times New Roman"/>
        </w:rPr>
      </w:pPr>
      <w:r w:rsidRPr="00495DDD">
        <w:rPr>
          <w:rFonts w:eastAsia="Times New Roman"/>
        </w:rPr>
        <w:t xml:space="preserve">Bel G., Fageda X. and Warner M. 2008 Is Private Production of Public Services Cheaper than Public Production? A meta-regression analysis of solid waste and water services Research Institute of Applied Economics 2008 Working Papers 2008/04 </w:t>
      </w:r>
      <w:hyperlink r:id="rId98" w:history="1">
        <w:r w:rsidRPr="003016B0">
          <w:rPr>
            <w:rFonts w:eastAsia="Times New Roman"/>
            <w:color w:val="0000FF"/>
            <w:u w:val="single"/>
          </w:rPr>
          <w:t>http://www.ub.edu/irea/working_papers/2009/200923.pdf</w:t>
        </w:r>
      </w:hyperlink>
    </w:p>
    <w:p w:rsidR="003016B0" w:rsidRPr="0094547E" w:rsidRDefault="003016B0" w:rsidP="00C52A36">
      <w:pPr>
        <w:rPr>
          <w:rFonts w:eastAsia="Times New Roman"/>
        </w:rPr>
      </w:pPr>
      <w:r w:rsidRPr="003016B0">
        <w:rPr>
          <w:rFonts w:eastAsia="Times New Roman"/>
          <w:color w:val="0000FF"/>
          <w:u w:val="single"/>
        </w:rPr>
        <w:t xml:space="preserve"> </w:t>
      </w:r>
      <w:r w:rsidRPr="00495DDD">
        <w:rPr>
          <w:rFonts w:eastAsia="Times New Roman"/>
        </w:rPr>
        <w:t xml:space="preserve">Bel G. and Mur M. 2009 Inter-municipal cooperation, privatization and waste management costs: evidence from rural municipalities. </w:t>
      </w:r>
      <w:r w:rsidRPr="0094547E">
        <w:rPr>
          <w:rFonts w:eastAsia="Times New Roman"/>
        </w:rPr>
        <w:t>Waste Management . 2009 Oct;29(10):2772-8</w:t>
      </w:r>
    </w:p>
    <w:p w:rsidR="00495DDD" w:rsidRDefault="003016B0" w:rsidP="00D830F7">
      <w:pPr>
        <w:rPr>
          <w:rFonts w:ascii="Times New Roman" w:eastAsia="Times New Roman" w:hAnsi="Times New Roman"/>
        </w:rPr>
      </w:pPr>
      <w:r w:rsidRPr="00495DDD">
        <w:rPr>
          <w:rFonts w:eastAsia="Times New Roman"/>
        </w:rPr>
        <w:t>García-Sánchez I.M. 2008 The performance of Spanish solid waste collection Waste Management &amp; Research, Vol. 26, No. 4, 327-336 (2008)</w:t>
      </w:r>
    </w:p>
    <w:p w:rsidR="00D33B73" w:rsidRDefault="00D33B73" w:rsidP="00C52A36">
      <w:pPr>
        <w:pStyle w:val="Heading2"/>
      </w:pPr>
      <w:bookmarkStart w:id="66" w:name="_Toc336267637"/>
      <w:r>
        <w:t>UK</w:t>
      </w:r>
      <w:bookmarkEnd w:id="66"/>
    </w:p>
    <w:p w:rsidR="00C52A36" w:rsidRDefault="00C52A36" w:rsidP="00C52A36">
      <w:pPr>
        <w:rPr>
          <w:rStyle w:val="Hyperlink"/>
          <w:color w:val="auto"/>
          <w:u w:val="none"/>
        </w:rPr>
      </w:pPr>
      <w:r w:rsidRPr="00C52A36">
        <w:t xml:space="preserve">From Waste Management to Resource Recovery </w:t>
      </w:r>
      <w:r>
        <w:t xml:space="preserve">2011  </w:t>
      </w:r>
      <w:hyperlink r:id="rId99" w:history="1">
        <w:r>
          <w:rPr>
            <w:rStyle w:val="Hyperlink"/>
          </w:rPr>
          <w:t>http://www.bis.gov.uk/assets/biscore/business-sectors/docs/f/11-1088-from-waste-management-to-resource-recovery</w:t>
        </w:r>
      </w:hyperlink>
      <w:r>
        <w:rPr>
          <w:rStyle w:val="Hyperlink"/>
          <w:color w:val="auto"/>
          <w:u w:val="none"/>
        </w:rPr>
        <w:t xml:space="preserve"> </w:t>
      </w:r>
    </w:p>
    <w:p w:rsidR="00B725C8" w:rsidRDefault="00B725C8" w:rsidP="00C52A36">
      <w:pPr>
        <w:rPr>
          <w:rStyle w:val="Hyperlink"/>
          <w:color w:val="auto"/>
          <w:u w:val="none"/>
        </w:rPr>
      </w:pPr>
    </w:p>
    <w:p w:rsidR="00B725C8" w:rsidRDefault="00B725C8" w:rsidP="00B725C8">
      <w:pPr>
        <w:pStyle w:val="Heading2"/>
      </w:pPr>
      <w:bookmarkStart w:id="67" w:name="_Toc336267638"/>
      <w:r>
        <w:t>Italy</w:t>
      </w:r>
      <w:bookmarkEnd w:id="67"/>
    </w:p>
    <w:p w:rsidR="00B725C8" w:rsidRDefault="00B725C8" w:rsidP="00B725C8">
      <w:pPr>
        <w:rPr>
          <w:lang w:eastAsia="en-US"/>
        </w:rPr>
      </w:pPr>
      <w:r w:rsidRPr="00B725C8">
        <w:t>Municipal waste management in Italy</w:t>
      </w:r>
      <w:r>
        <w:t xml:space="preserve"> 2010 </w:t>
      </w:r>
      <w:r w:rsidRPr="00B725C8">
        <w:rPr>
          <w:sz w:val="25"/>
          <w:szCs w:val="25"/>
        </w:rPr>
        <w:t>Antonio M</w:t>
      </w:r>
      <w:r w:rsidRPr="00B725C8">
        <w:rPr>
          <w:sz w:val="21"/>
          <w:szCs w:val="21"/>
        </w:rPr>
        <w:t>ASSARUTTO</w:t>
      </w:r>
      <w:r>
        <w:rPr>
          <w:sz w:val="21"/>
          <w:szCs w:val="21"/>
        </w:rPr>
        <w:t xml:space="preserve"> </w:t>
      </w:r>
      <w:r w:rsidRPr="00B725C8">
        <w:rPr>
          <w:sz w:val="26"/>
          <w:szCs w:val="26"/>
        </w:rPr>
        <w:t>CIRIEC N° 2010/01</w:t>
      </w:r>
    </w:p>
    <w:p w:rsidR="00B725C8" w:rsidRPr="00B725C8" w:rsidRDefault="00081F2D" w:rsidP="00B725C8">
      <w:pPr>
        <w:rPr>
          <w:lang w:eastAsia="en-US"/>
        </w:rPr>
      </w:pPr>
      <w:hyperlink r:id="rId100" w:history="1">
        <w:r w:rsidR="00B725C8" w:rsidRPr="00AB1B59">
          <w:rPr>
            <w:rStyle w:val="Hyperlink"/>
            <w:lang w:eastAsia="en-US"/>
          </w:rPr>
          <w:t>http://www.ciriec.ulg.ac.be/fr/telechargements/WORKING_PAPERS/WP10-01.pdf</w:t>
        </w:r>
      </w:hyperlink>
      <w:r w:rsidR="00B725C8">
        <w:rPr>
          <w:lang w:eastAsia="en-US"/>
        </w:rPr>
        <w:t xml:space="preserve"> </w:t>
      </w:r>
    </w:p>
    <w:p w:rsidR="000A59D7" w:rsidRPr="002D61D4" w:rsidRDefault="000A59D7" w:rsidP="00476A33"/>
    <w:p w:rsidR="003016B0" w:rsidRDefault="00B725C8" w:rsidP="00B725C8">
      <w:pPr>
        <w:pStyle w:val="Heading2"/>
      </w:pPr>
      <w:bookmarkStart w:id="68" w:name="_Toc336267639"/>
      <w:r>
        <w:t>Belgium</w:t>
      </w:r>
      <w:bookmarkEnd w:id="68"/>
    </w:p>
    <w:p w:rsidR="00B725C8" w:rsidRPr="00D531A7" w:rsidRDefault="00B725C8" w:rsidP="00B725C8">
      <w:pPr>
        <w:rPr>
          <w:lang w:val="fr-FR"/>
        </w:rPr>
      </w:pPr>
      <w:r w:rsidRPr="00D531A7">
        <w:rPr>
          <w:lang w:val="fr-FR"/>
        </w:rPr>
        <w:t xml:space="preserve">COLLIGNON A./GATHON H.-J. 2010 Ciriec </w:t>
      </w:r>
      <w:r w:rsidRPr="00D531A7">
        <w:rPr>
          <w:rStyle w:val="Strong"/>
          <w:b w:val="0"/>
          <w:lang w:val="fr-FR"/>
        </w:rPr>
        <w:t>WP10/09</w:t>
      </w:r>
      <w:r w:rsidRPr="00D531A7">
        <w:rPr>
          <w:lang w:val="fr-FR"/>
        </w:rPr>
        <w:t xml:space="preserve"> </w:t>
      </w:r>
      <w:hyperlink r:id="rId101" w:tgtFrame="_blank" w:history="1">
        <w:r w:rsidRPr="00D531A7">
          <w:rPr>
            <w:rStyle w:val="Hyperlink"/>
            <w:lang w:val="fr-FR"/>
          </w:rPr>
          <w:t>Les déchets en Belgique</w:t>
        </w:r>
      </w:hyperlink>
    </w:p>
    <w:p w:rsidR="00B725C8" w:rsidRPr="00D531A7" w:rsidRDefault="00B725C8" w:rsidP="00B725C8">
      <w:pPr>
        <w:rPr>
          <w:lang w:val="fr-FR"/>
        </w:rPr>
      </w:pPr>
    </w:p>
    <w:p w:rsidR="00B725C8" w:rsidRDefault="00B725C8" w:rsidP="00B725C8">
      <w:pPr>
        <w:pStyle w:val="Heading2"/>
      </w:pPr>
      <w:bookmarkStart w:id="69" w:name="_Toc336267640"/>
      <w:r>
        <w:t>Austria</w:t>
      </w:r>
      <w:bookmarkEnd w:id="69"/>
    </w:p>
    <w:p w:rsidR="00B725C8" w:rsidRPr="00B725C8" w:rsidRDefault="00B725C8" w:rsidP="00B725C8">
      <w:pPr>
        <w:rPr>
          <w:lang w:eastAsia="en-US"/>
        </w:rPr>
      </w:pPr>
      <w:r>
        <w:t xml:space="preserve">KLIEN M./LOSER P. 2009 </w:t>
      </w:r>
      <w:r w:rsidRPr="00B725C8">
        <w:rPr>
          <w:rStyle w:val="Strong"/>
          <w:b w:val="0"/>
        </w:rPr>
        <w:t>Ciriec WP09/10</w:t>
      </w:r>
      <w:r>
        <w:t xml:space="preserve"> </w:t>
      </w:r>
      <w:hyperlink r:id="rId102" w:tgtFrame="_blank" w:history="1">
        <w:r>
          <w:rPr>
            <w:rStyle w:val="Hyperlink"/>
          </w:rPr>
          <w:t>Austrian Waste Sector</w:t>
        </w:r>
      </w:hyperlink>
    </w:p>
    <w:p w:rsidR="00476A33" w:rsidRPr="00476A33" w:rsidRDefault="00476A33" w:rsidP="00476A33">
      <w:pPr>
        <w:rPr>
          <w:rFonts w:ascii="Trebuchet MS" w:hAnsi="Trebuchet MS" w:cs="Arial"/>
          <w:bCs/>
          <w:kern w:val="32"/>
          <w:sz w:val="24"/>
          <w:szCs w:val="32"/>
        </w:rPr>
      </w:pPr>
    </w:p>
    <w:p w:rsidR="00CA13FC" w:rsidRDefault="00CA13FC" w:rsidP="00476A33"/>
    <w:p w:rsidR="00CA13FC" w:rsidRDefault="00CA13FC" w:rsidP="00476A33"/>
    <w:p w:rsidR="00CA13FC" w:rsidRDefault="00CA13FC" w:rsidP="00476A33"/>
    <w:p w:rsidR="00CA13FC" w:rsidRDefault="00CA13FC" w:rsidP="00476A33"/>
    <w:p w:rsidR="00F00E29" w:rsidRDefault="00F00E29" w:rsidP="00476A33">
      <w:pPr>
        <w:sectPr w:rsidR="00F00E29" w:rsidSect="004C4C91">
          <w:headerReference w:type="default" r:id="rId103"/>
          <w:footerReference w:type="default" r:id="rId104"/>
          <w:headerReference w:type="first" r:id="rId105"/>
          <w:footerReference w:type="first" r:id="rId106"/>
          <w:endnotePr>
            <w:numFmt w:val="decimal"/>
          </w:endnotePr>
          <w:pgSz w:w="11906" w:h="16838" w:code="9"/>
          <w:pgMar w:top="1134" w:right="1134" w:bottom="1134" w:left="1134" w:header="567" w:footer="567" w:gutter="0"/>
          <w:cols w:space="708"/>
          <w:titlePg/>
          <w:docGrid w:linePitch="360"/>
        </w:sectPr>
      </w:pPr>
    </w:p>
    <w:p w:rsidR="00C5544D" w:rsidRDefault="00C5544D" w:rsidP="00476A33"/>
    <w:p w:rsidR="0081577E" w:rsidRDefault="0081577E" w:rsidP="0081577E">
      <w:pPr>
        <w:pStyle w:val="Heading1"/>
      </w:pPr>
      <w:bookmarkStart w:id="70" w:name="_Toc336267641"/>
      <w:r>
        <w:t>Annex A: Presence and employment of multinationals by country</w:t>
      </w:r>
      <w:bookmarkEnd w:id="70"/>
    </w:p>
    <w:p w:rsidR="0081577E" w:rsidRPr="00CA67BC" w:rsidRDefault="0081577E" w:rsidP="0081577E">
      <w:pPr>
        <w:pStyle w:val="Heading7"/>
      </w:pPr>
      <w:bookmarkStart w:id="71" w:name="_Toc336267642"/>
      <w:r w:rsidRPr="00CA67BC">
        <w:t>Waste Management Multinationals in Europe 2012 (with subsidiaries and employment figures)</w:t>
      </w:r>
      <w:bookmarkEnd w:id="71"/>
    </w:p>
    <w:p w:rsidR="0081577E" w:rsidRDefault="0081577E" w:rsidP="0081577E">
      <w:pPr>
        <w:rPr>
          <w:rFonts w:ascii="Calibri" w:eastAsia="Times New Roman" w:hAnsi="Calibri" w:cs="Calibri"/>
          <w:color w:val="000000"/>
          <w:sz w:val="20"/>
          <w:szCs w:val="20"/>
        </w:rPr>
      </w:pPr>
      <w:r w:rsidRPr="00CA67BC">
        <w:rPr>
          <w:rFonts w:ascii="Calibri" w:eastAsia="Times New Roman" w:hAnsi="Calibri" w:cs="Calibri"/>
          <w:color w:val="000000"/>
          <w:sz w:val="20"/>
          <w:szCs w:val="20"/>
        </w:rPr>
        <w:t>NOTE:</w:t>
      </w:r>
      <w:r>
        <w:rPr>
          <w:rFonts w:ascii="Calibri" w:eastAsia="Times New Roman" w:hAnsi="Calibri" w:cs="Calibri"/>
          <w:color w:val="000000"/>
          <w:sz w:val="20"/>
          <w:szCs w:val="20"/>
        </w:rPr>
        <w:t xml:space="preserve">  Covers largest 15 multinationals operating in Europe. E</w:t>
      </w:r>
      <w:r w:rsidRPr="00CA67BC">
        <w:rPr>
          <w:rFonts w:ascii="Calibri" w:eastAsia="Times New Roman" w:hAnsi="Calibri" w:cs="Calibri"/>
          <w:color w:val="000000"/>
          <w:sz w:val="20"/>
          <w:szCs w:val="20"/>
        </w:rPr>
        <w:t>ach entry includes: 1. Parent company (in short form), 2. Local company (if different name) 3. Number of employees in waste management (if available)</w:t>
      </w:r>
      <w:r>
        <w:rPr>
          <w:rFonts w:ascii="Calibri" w:eastAsia="Times New Roman" w:hAnsi="Calibri" w:cs="Calibri"/>
          <w:color w:val="000000"/>
          <w:sz w:val="20"/>
          <w:szCs w:val="20"/>
        </w:rPr>
        <w:t>. Countries in italics have no known subsidiaries of major 15 multinationals</w:t>
      </w:r>
    </w:p>
    <w:p w:rsidR="0081577E" w:rsidRPr="00CA67BC" w:rsidRDefault="0081577E" w:rsidP="0081577E">
      <w:pPr>
        <w:rPr>
          <w:rFonts w:ascii="Calibri" w:eastAsia="Times New Roman" w:hAnsi="Calibri" w:cs="Calibri"/>
          <w:color w:val="000000"/>
          <w:sz w:val="20"/>
          <w:szCs w:val="20"/>
        </w:rPr>
      </w:pPr>
    </w:p>
    <w:tbl>
      <w:tblPr>
        <w:tblW w:w="145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240"/>
        <w:gridCol w:w="1680"/>
        <w:gridCol w:w="1700"/>
        <w:gridCol w:w="1520"/>
        <w:gridCol w:w="1600"/>
        <w:gridCol w:w="4240"/>
      </w:tblGrid>
      <w:tr w:rsidR="0081577E" w:rsidRPr="00CA67BC" w:rsidTr="0081577E">
        <w:trPr>
          <w:cantSplit/>
          <w:tblHeader/>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Country</w:t>
            </w:r>
          </w:p>
        </w:tc>
        <w:tc>
          <w:tcPr>
            <w:tcW w:w="224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sidRPr="004B7666">
              <w:rPr>
                <w:rFonts w:ascii="Calibri" w:eastAsia="Times New Roman" w:hAnsi="Calibri" w:cs="Calibri"/>
                <w:b/>
                <w:bCs/>
                <w:color w:val="000000"/>
              </w:rPr>
              <w:t>Veolia</w:t>
            </w:r>
          </w:p>
        </w:tc>
        <w:tc>
          <w:tcPr>
            <w:tcW w:w="168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sidRPr="004B7666">
              <w:rPr>
                <w:rFonts w:ascii="Calibri" w:eastAsia="Times New Roman" w:hAnsi="Calibri" w:cs="Calibri"/>
                <w:b/>
                <w:bCs/>
                <w:color w:val="000000"/>
              </w:rPr>
              <w:t>Suez</w:t>
            </w:r>
          </w:p>
        </w:tc>
        <w:tc>
          <w:tcPr>
            <w:tcW w:w="170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sidRPr="004B7666">
              <w:rPr>
                <w:rFonts w:ascii="Calibri" w:eastAsia="Times New Roman" w:hAnsi="Calibri" w:cs="Calibri"/>
                <w:b/>
                <w:bCs/>
                <w:color w:val="000000"/>
              </w:rPr>
              <w:t>FCC</w:t>
            </w:r>
          </w:p>
        </w:tc>
        <w:tc>
          <w:tcPr>
            <w:tcW w:w="152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Pr>
                <w:rFonts w:ascii="Calibri" w:eastAsia="Times New Roman" w:hAnsi="Calibri" w:cs="Calibri"/>
                <w:b/>
                <w:bCs/>
                <w:color w:val="000000"/>
              </w:rPr>
              <w:t>Remondis</w:t>
            </w:r>
          </w:p>
        </w:tc>
        <w:tc>
          <w:tcPr>
            <w:tcW w:w="160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sidRPr="004B7666">
              <w:rPr>
                <w:rFonts w:ascii="Calibri" w:eastAsia="Times New Roman" w:hAnsi="Calibri" w:cs="Calibri"/>
                <w:b/>
                <w:bCs/>
                <w:color w:val="000000"/>
              </w:rPr>
              <w:t>Van Gansewinkel</w:t>
            </w:r>
          </w:p>
        </w:tc>
        <w:tc>
          <w:tcPr>
            <w:tcW w:w="4240" w:type="dxa"/>
            <w:shd w:val="clear" w:color="000000" w:fill="FFFF00"/>
            <w:vAlign w:val="bottom"/>
            <w:hideMark/>
          </w:tcPr>
          <w:p w:rsidR="0081577E" w:rsidRPr="004B7666" w:rsidRDefault="0081577E" w:rsidP="0081577E">
            <w:pPr>
              <w:rPr>
                <w:rFonts w:ascii="Calibri" w:eastAsia="Times New Roman" w:hAnsi="Calibri" w:cs="Calibri"/>
                <w:b/>
                <w:bCs/>
                <w:color w:val="000000"/>
              </w:rPr>
            </w:pPr>
            <w:r w:rsidRPr="004B7666">
              <w:rPr>
                <w:rFonts w:ascii="Calibri" w:eastAsia="Times New Roman" w:hAnsi="Calibri" w:cs="Calibri"/>
                <w:b/>
                <w:bCs/>
                <w:color w:val="000000"/>
              </w:rPr>
              <w:t>Other</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rPr>
            </w:pPr>
            <w:r w:rsidRPr="004B7666">
              <w:rPr>
                <w:rFonts w:eastAsia="Times New Roman" w:cstheme="minorHAnsi"/>
              </w:rPr>
              <w:t>Albania</w:t>
            </w:r>
          </w:p>
        </w:tc>
        <w:tc>
          <w:tcPr>
            <w:tcW w:w="2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rPr>
            </w:pPr>
            <w:r w:rsidRPr="004B7666">
              <w:rPr>
                <w:rFonts w:eastAsia="Times New Roman" w:cstheme="minorHAnsi"/>
              </w:rPr>
              <w:t>Armenia</w:t>
            </w:r>
          </w:p>
        </w:tc>
        <w:tc>
          <w:tcPr>
            <w:tcW w:w="2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Austria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- 600)</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Azerbaijan</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CNIM </w:t>
            </w:r>
          </w:p>
        </w:tc>
      </w:tr>
      <w:tr w:rsidR="0081577E" w:rsidRPr="001C1B23"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rPr>
            </w:pPr>
            <w:r w:rsidRPr="004B7666">
              <w:rPr>
                <w:rFonts w:eastAsia="Times New Roman" w:cstheme="minorHAnsi"/>
              </w:rPr>
              <w:t>Belarus</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Belgium</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-2,500)</w:t>
            </w: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Shanks  (1,135), Indaver (659)</w:t>
            </w: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Bosnia and Herzegovina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D830F7">
              <w:rPr>
                <w:rFonts w:eastAsia="Times New Roman" w:cstheme="minorHAnsi"/>
                <w:sz w:val="20"/>
                <w:szCs w:val="20"/>
              </w:rPr>
              <w:t>Alba</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Bulgaria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-600)</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Croatia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Cyprus</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Czech Republic</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(Marius Pedersen - 2,390)</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 Suez (SITA -1,000)</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CZ -1,632)</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Denmark</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(Marius Pedersen - 958)</w:t>
            </w: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Ragn-Sells </w:t>
            </w: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Estonia</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w:t>
            </w: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r w:rsidRPr="004B7666">
              <w:rPr>
                <w:rFonts w:eastAsia="Times New Roman" w:cstheme="minorHAnsi"/>
                <w:sz w:val="20"/>
                <w:szCs w:val="20"/>
              </w:rPr>
              <w:t xml:space="preserve"> (Buchen)</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Ragn-Sells</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Finland</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(SITA- 400)</w:t>
            </w: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Lassila &amp; Tikanoja (L &amp; T - 7,381)</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France</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(23,224)</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r w:rsidRPr="004B7666">
              <w:rPr>
                <w:rFonts w:eastAsia="Times New Roman" w:cstheme="minorHAnsi"/>
                <w:sz w:val="20"/>
                <w:szCs w:val="20"/>
              </w:rPr>
              <w:t xml:space="preserve"> </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van Gansewinkel</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Seche Env (1,560), CNIM, Urbaser, Shanks</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rPr>
            </w:pPr>
            <w:r w:rsidRPr="004B7666">
              <w:rPr>
                <w:rFonts w:eastAsia="Times New Roman" w:cstheme="minorHAnsi"/>
              </w:rPr>
              <w:t>Georgia</w:t>
            </w:r>
          </w:p>
        </w:tc>
        <w:tc>
          <w:tcPr>
            <w:tcW w:w="2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p>
        </w:tc>
        <w:tc>
          <w:tcPr>
            <w:tcW w:w="152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Germany</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(9,903)</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- 3,094)</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r w:rsidRPr="004B7666">
              <w:rPr>
                <w:rFonts w:eastAsia="Times New Roman" w:cstheme="minorHAnsi"/>
                <w:sz w:val="20"/>
                <w:szCs w:val="20"/>
              </w:rPr>
              <w:t xml:space="preserve"> </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A</w:t>
            </w:r>
            <w:r w:rsidRPr="00D830F7">
              <w:rPr>
                <w:rFonts w:eastAsia="Times New Roman" w:cstheme="minorHAnsi"/>
                <w:sz w:val="20"/>
                <w:szCs w:val="20"/>
              </w:rPr>
              <w:t>lba</w:t>
            </w:r>
            <w:r w:rsidRPr="004B7666">
              <w:rPr>
                <w:rFonts w:eastAsia="Times New Roman" w:cstheme="minorHAnsi"/>
                <w:sz w:val="20"/>
                <w:szCs w:val="20"/>
              </w:rPr>
              <w:t>, Indaver (534)</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lastRenderedPageBreak/>
              <w:t>Greece</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Urbaser (Waste Syclo)</w:t>
            </w: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Hungary</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Veolia (Sarpi Dorog - </w:t>
            </w:r>
            <w:r w:rsidRPr="00D830F7">
              <w:rPr>
                <w:rFonts w:eastAsia="Times New Roman" w:cstheme="minorHAnsi"/>
                <w:sz w:val="20"/>
                <w:szCs w:val="20"/>
              </w:rPr>
              <w:t>7</w:t>
            </w:r>
            <w:r w:rsidRPr="004B7666">
              <w:rPr>
                <w:rFonts w:eastAsia="Times New Roman" w:cstheme="minorHAnsi"/>
                <w:sz w:val="20"/>
                <w:szCs w:val="20"/>
              </w:rPr>
              <w:t>2)</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auto" w:fill="auto"/>
            <w:vAlign w:val="center"/>
          </w:tcPr>
          <w:p w:rsidR="0081577E" w:rsidRPr="004B7666" w:rsidRDefault="0081577E" w:rsidP="0081577E">
            <w:pPr>
              <w:rPr>
                <w:rFonts w:eastAsia="Times New Roman" w:cstheme="minorHAnsi"/>
                <w:sz w:val="20"/>
                <w:szCs w:val="20"/>
              </w:rPr>
            </w:pP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Iceland</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tcPr>
          <w:p w:rsidR="0081577E" w:rsidRPr="004B7666" w:rsidRDefault="0081577E" w:rsidP="0081577E">
            <w:pPr>
              <w:rPr>
                <w:rFonts w:eastAsia="Times New Roman" w:cstheme="minorHAnsi"/>
                <w:i/>
                <w:sz w:val="20"/>
                <w:szCs w:val="20"/>
              </w:rPr>
            </w:pP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Ireland</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(999)</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w:t>
            </w: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tcPr>
          <w:p w:rsidR="0081577E" w:rsidRDefault="0081577E" w:rsidP="0081577E"/>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Indaver (165)</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Italy</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(329)</w:t>
            </w: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r w:rsidRPr="00D830F7">
              <w:rPr>
                <w:rFonts w:eastAsia="Times New Roman" w:cstheme="minorHAnsi"/>
                <w:bCs/>
                <w:sz w:val="20"/>
                <w:szCs w:val="20"/>
              </w:rPr>
              <w:t>FCC</w:t>
            </w:r>
          </w:p>
        </w:tc>
        <w:tc>
          <w:tcPr>
            <w:tcW w:w="1520" w:type="dxa"/>
            <w:shd w:val="clear" w:color="auto" w:fill="auto"/>
            <w:vAlign w:val="center"/>
            <w:hideMark/>
          </w:tcPr>
          <w:p w:rsidR="0081577E" w:rsidRDefault="0081577E" w:rsidP="0081577E">
            <w:r w:rsidRPr="00433A37">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Urbaser, Indaver (6), CNIM (Energonut)</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Kazakhstan</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Kyrgyzstan</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Latvia</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(150)</w:t>
            </w: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Lassila &amp; Tikanoja (L&amp;T -895), Ragn-Sells</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Lithuania</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Veolia </w:t>
            </w: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rPr>
            </w:pPr>
            <w:r w:rsidRPr="004B7666">
              <w:rPr>
                <w:rFonts w:eastAsia="Times New Roman" w:cstheme="minorHAnsi"/>
              </w:rPr>
              <w:t>Luxembourg</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Van Gansewinkel</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Macedonia</w:t>
            </w:r>
          </w:p>
        </w:tc>
        <w:tc>
          <w:tcPr>
            <w:tcW w:w="2240" w:type="dxa"/>
            <w:shd w:val="clear" w:color="000000" w:fill="FFFFFF"/>
            <w:vAlign w:val="center"/>
            <w:hideMark/>
          </w:tcPr>
          <w:p w:rsidR="0081577E" w:rsidRPr="004B7666" w:rsidRDefault="0081577E" w:rsidP="0081577E">
            <w:pPr>
              <w:rPr>
                <w:rFonts w:eastAsia="Times New Roman" w:cstheme="minorHAnsi"/>
                <w:bCs/>
                <w:sz w:val="20"/>
                <w:szCs w:val="20"/>
              </w:rPr>
            </w:pPr>
            <w:r w:rsidRPr="004B7666">
              <w:rPr>
                <w:rFonts w:eastAsia="Times New Roman" w:cstheme="minorHAnsi"/>
                <w:bCs/>
                <w:sz w:val="20"/>
                <w:szCs w:val="20"/>
              </w:rPr>
              <w:t> </w:t>
            </w:r>
          </w:p>
        </w:tc>
        <w:tc>
          <w:tcPr>
            <w:tcW w:w="1680" w:type="dxa"/>
            <w:shd w:val="clear" w:color="000000" w:fill="FFFFFF"/>
            <w:vAlign w:val="center"/>
            <w:hideMark/>
          </w:tcPr>
          <w:p w:rsidR="0081577E" w:rsidRPr="004B7666" w:rsidRDefault="0081577E" w:rsidP="0081577E">
            <w:pPr>
              <w:rPr>
                <w:rFonts w:eastAsia="Times New Roman" w:cstheme="minorHAnsi"/>
                <w:bCs/>
                <w:sz w:val="20"/>
                <w:szCs w:val="20"/>
              </w:rPr>
            </w:pPr>
            <w:r w:rsidRPr="004B7666">
              <w:rPr>
                <w:rFonts w:eastAsia="Times New Roman" w:cstheme="minorHAnsi"/>
                <w:bCs/>
                <w:sz w:val="20"/>
                <w:szCs w:val="20"/>
              </w:rPr>
              <w:t> </w:t>
            </w:r>
          </w:p>
        </w:tc>
        <w:tc>
          <w:tcPr>
            <w:tcW w:w="1700" w:type="dxa"/>
            <w:shd w:val="clear" w:color="000000" w:fill="FFFFFF"/>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000000" w:fill="FFFFFF"/>
            <w:vAlign w:val="center"/>
            <w:hideMark/>
          </w:tcPr>
          <w:p w:rsidR="0081577E" w:rsidRPr="004B7666" w:rsidRDefault="0081577E" w:rsidP="0081577E">
            <w:pPr>
              <w:rPr>
                <w:rFonts w:eastAsia="Times New Roman" w:cstheme="minorHAnsi"/>
                <w:bCs/>
                <w:sz w:val="20"/>
                <w:szCs w:val="20"/>
              </w:rPr>
            </w:pPr>
            <w:r w:rsidRPr="004B7666">
              <w:rPr>
                <w:rFonts w:eastAsia="Times New Roman" w:cstheme="minorHAnsi"/>
                <w:bCs/>
                <w:sz w:val="20"/>
                <w:szCs w:val="20"/>
              </w:rPr>
              <w:t> </w:t>
            </w:r>
          </w:p>
        </w:tc>
        <w:tc>
          <w:tcPr>
            <w:tcW w:w="1600" w:type="dxa"/>
            <w:shd w:val="clear" w:color="000000" w:fill="FFFFFF"/>
            <w:vAlign w:val="center"/>
            <w:hideMark/>
          </w:tcPr>
          <w:p w:rsidR="0081577E" w:rsidRPr="004B7666" w:rsidRDefault="0081577E" w:rsidP="0081577E">
            <w:pPr>
              <w:rPr>
                <w:rFonts w:eastAsia="Times New Roman" w:cstheme="minorHAnsi"/>
                <w:bCs/>
                <w:sz w:val="20"/>
                <w:szCs w:val="20"/>
              </w:rPr>
            </w:pPr>
            <w:r w:rsidRPr="004B7666">
              <w:rPr>
                <w:rFonts w:eastAsia="Times New Roman" w:cstheme="minorHAnsi"/>
                <w:bCs/>
                <w:sz w:val="20"/>
                <w:szCs w:val="20"/>
              </w:rPr>
              <w:t> </w:t>
            </w:r>
          </w:p>
        </w:tc>
        <w:tc>
          <w:tcPr>
            <w:tcW w:w="4240" w:type="dxa"/>
            <w:shd w:val="clear" w:color="000000" w:fill="FFFFFF"/>
            <w:vAlign w:val="center"/>
            <w:hideMark/>
          </w:tcPr>
          <w:p w:rsidR="0081577E" w:rsidRPr="004B7666" w:rsidRDefault="0081577E" w:rsidP="0081577E">
            <w:pPr>
              <w:rPr>
                <w:rFonts w:eastAsia="Times New Roman" w:cstheme="minorHAnsi"/>
                <w:bCs/>
                <w:sz w:val="20"/>
                <w:szCs w:val="20"/>
              </w:rPr>
            </w:pPr>
            <w:r w:rsidRPr="004B7666">
              <w:rPr>
                <w:rFonts w:eastAsia="Times New Roman" w:cstheme="minorHAnsi"/>
                <w:bCs/>
                <w:sz w:val="20"/>
                <w:szCs w:val="20"/>
              </w:rPr>
              <w:t> </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Malta</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Moldova</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Montenegro</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FCC (.A.S.A.) </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Netherlands</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-2,200)</w:t>
            </w: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van Gansewinkel (3,943)</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Shanks (2072), Indaver (DELTA - 290)</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Norway</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Ragn-Sell (300)</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Poland</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Veolia </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(2,600)</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- 400)</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r w:rsidRPr="004B7666">
              <w:rPr>
                <w:rFonts w:eastAsia="Times New Roman" w:cstheme="minorHAnsi"/>
                <w:sz w:val="20"/>
                <w:szCs w:val="20"/>
              </w:rPr>
              <w:t xml:space="preserve"> </w:t>
            </w: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van Gansewinkel</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Alba (1000), Ragn-Sells</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Portugal</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r w:rsidRPr="00D830F7">
              <w:rPr>
                <w:rFonts w:eastAsia="Times New Roman" w:cstheme="minorHAnsi"/>
                <w:bCs/>
                <w:sz w:val="20"/>
                <w:szCs w:val="20"/>
              </w:rPr>
              <w:t>FCC</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van Gansewinkel </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Urbaser (Suma -3,099), Ce</w:t>
            </w:r>
            <w:r w:rsidRPr="00D830F7">
              <w:rPr>
                <w:rFonts w:eastAsia="Times New Roman" w:cstheme="minorHAnsi"/>
                <w:sz w:val="20"/>
                <w:szCs w:val="20"/>
              </w:rPr>
              <w:t>s</w:t>
            </w:r>
            <w:r w:rsidRPr="004B7666">
              <w:rPr>
                <w:rFonts w:eastAsia="Times New Roman" w:cstheme="minorHAnsi"/>
                <w:sz w:val="20"/>
                <w:szCs w:val="20"/>
              </w:rPr>
              <w:t>pa, Indaver</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Romania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FCC (.A.S.A -171) </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Russia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auto" w:fill="auto"/>
            <w:vAlign w:val="center"/>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Lassila &amp; Tikanoja (L&amp;T - 243) , CNIM</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Serbia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- 100)</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Slovakia</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(Marius Pedersen)</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Suez (SITA) </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 - 500)</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Alba</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Slovenia</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(.A.S.A.)</w:t>
            </w: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Spain</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Urbaser (23,361), Cespa (14,959)</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Sweden</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- 1100)</w:t>
            </w: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Ragn-Sells (1700), Lassila &amp; Tikanoja (L&amp;T - 838)</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Switzerland</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(360)</w:t>
            </w:r>
          </w:p>
        </w:tc>
        <w:tc>
          <w:tcPr>
            <w:tcW w:w="1680" w:type="dxa"/>
            <w:shd w:val="clear" w:color="auto" w:fill="auto"/>
            <w:vAlign w:val="center"/>
          </w:tcPr>
          <w:p w:rsidR="0081577E" w:rsidRPr="004B7666" w:rsidRDefault="0081577E" w:rsidP="0081577E">
            <w:pPr>
              <w:rPr>
                <w:rFonts w:eastAsia="Times New Roman" w:cstheme="minorHAnsi"/>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lastRenderedPageBreak/>
              <w:t>Tajikistan</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Tunisia</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Turkey</w:t>
            </w:r>
          </w:p>
        </w:tc>
        <w:tc>
          <w:tcPr>
            <w:tcW w:w="224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Turkmenistan</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r w:rsidR="0081577E" w:rsidRPr="004B7666"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Ukraine</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Veolia </w:t>
            </w:r>
          </w:p>
        </w:tc>
        <w:tc>
          <w:tcPr>
            <w:tcW w:w="1680" w:type="dxa"/>
            <w:shd w:val="clear" w:color="auto" w:fill="auto"/>
            <w:vAlign w:val="center"/>
            <w:hideMark/>
          </w:tcPr>
          <w:p w:rsidR="0081577E" w:rsidRPr="004B7666" w:rsidRDefault="0081577E" w:rsidP="0081577E">
            <w:pPr>
              <w:rPr>
                <w:rFonts w:eastAsia="Times New Roman" w:cstheme="minorHAnsi"/>
                <w:bCs/>
                <w:sz w:val="20"/>
                <w:szCs w:val="20"/>
              </w:rPr>
            </w:pP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 xml:space="preserve">FCC(.A.S.A.) </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p>
        </w:tc>
        <w:tc>
          <w:tcPr>
            <w:tcW w:w="4240" w:type="dxa"/>
            <w:shd w:val="clear" w:color="auto" w:fill="auto"/>
            <w:vAlign w:val="center"/>
            <w:hideMark/>
          </w:tcPr>
          <w:p w:rsidR="0081577E" w:rsidRPr="004B7666" w:rsidRDefault="0081577E" w:rsidP="0081577E">
            <w:pPr>
              <w:rPr>
                <w:rFonts w:eastAsia="Times New Roman" w:cstheme="minorHAnsi"/>
                <w:bCs/>
                <w:sz w:val="20"/>
                <w:szCs w:val="20"/>
              </w:rPr>
            </w:pPr>
          </w:p>
        </w:tc>
      </w:tr>
      <w:tr w:rsidR="0081577E" w:rsidRPr="004B7666" w:rsidTr="0081577E">
        <w:trPr>
          <w:trHeight w:val="525"/>
        </w:trPr>
        <w:tc>
          <w:tcPr>
            <w:tcW w:w="1520" w:type="dxa"/>
            <w:shd w:val="clear" w:color="auto" w:fill="FFFF00"/>
            <w:vAlign w:val="bottom"/>
            <w:hideMark/>
          </w:tcPr>
          <w:p w:rsidR="0081577E" w:rsidRPr="004B7666" w:rsidRDefault="0081577E" w:rsidP="0081577E">
            <w:pPr>
              <w:rPr>
                <w:rFonts w:eastAsia="Times New Roman" w:cstheme="minorHAnsi"/>
                <w:b/>
                <w:bCs/>
              </w:rPr>
            </w:pPr>
            <w:r w:rsidRPr="004B7666">
              <w:rPr>
                <w:rFonts w:eastAsia="Times New Roman" w:cstheme="minorHAnsi"/>
                <w:b/>
                <w:bCs/>
              </w:rPr>
              <w:t>United Kingdom</w:t>
            </w:r>
          </w:p>
        </w:tc>
        <w:tc>
          <w:tcPr>
            <w:tcW w:w="2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Veolia (12,158)</w:t>
            </w:r>
          </w:p>
        </w:tc>
        <w:tc>
          <w:tcPr>
            <w:tcW w:w="168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Suez (SITA - 6,000)</w:t>
            </w:r>
          </w:p>
        </w:tc>
        <w:tc>
          <w:tcPr>
            <w:tcW w:w="170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FCC (2,400)</w:t>
            </w:r>
          </w:p>
        </w:tc>
        <w:tc>
          <w:tcPr>
            <w:tcW w:w="1520" w:type="dxa"/>
            <w:shd w:val="clear" w:color="auto" w:fill="auto"/>
            <w:vAlign w:val="center"/>
            <w:hideMark/>
          </w:tcPr>
          <w:p w:rsidR="0081577E" w:rsidRPr="004B7666" w:rsidRDefault="0081577E" w:rsidP="0081577E">
            <w:pPr>
              <w:rPr>
                <w:rFonts w:eastAsia="Times New Roman" w:cstheme="minorHAnsi"/>
                <w:sz w:val="20"/>
                <w:szCs w:val="20"/>
              </w:rPr>
            </w:pPr>
            <w:r>
              <w:rPr>
                <w:rFonts w:eastAsia="Times New Roman" w:cstheme="minorHAnsi"/>
                <w:sz w:val="20"/>
                <w:szCs w:val="20"/>
              </w:rPr>
              <w:t>Remondis</w:t>
            </w:r>
          </w:p>
        </w:tc>
        <w:tc>
          <w:tcPr>
            <w:tcW w:w="1600" w:type="dxa"/>
            <w:shd w:val="clear" w:color="auto" w:fill="auto"/>
            <w:vAlign w:val="center"/>
            <w:hideMark/>
          </w:tcPr>
          <w:p w:rsidR="0081577E" w:rsidRPr="004B7666" w:rsidRDefault="0081577E" w:rsidP="0081577E">
            <w:pPr>
              <w:rPr>
                <w:rFonts w:eastAsia="Times New Roman" w:cstheme="minorHAnsi"/>
                <w:bCs/>
                <w:sz w:val="20"/>
                <w:szCs w:val="20"/>
              </w:rPr>
            </w:pPr>
            <w:r w:rsidRPr="00D830F7">
              <w:rPr>
                <w:rFonts w:eastAsia="Times New Roman" w:cstheme="minorHAnsi"/>
                <w:bCs/>
                <w:sz w:val="20"/>
                <w:szCs w:val="20"/>
              </w:rPr>
              <w:t>van Gansewinkel</w:t>
            </w:r>
          </w:p>
        </w:tc>
        <w:tc>
          <w:tcPr>
            <w:tcW w:w="4240" w:type="dxa"/>
            <w:shd w:val="clear" w:color="auto" w:fill="auto"/>
            <w:vAlign w:val="center"/>
            <w:hideMark/>
          </w:tcPr>
          <w:p w:rsidR="0081577E" w:rsidRPr="004B7666" w:rsidRDefault="0081577E" w:rsidP="0081577E">
            <w:pPr>
              <w:rPr>
                <w:rFonts w:eastAsia="Times New Roman" w:cstheme="minorHAnsi"/>
                <w:sz w:val="20"/>
                <w:szCs w:val="20"/>
              </w:rPr>
            </w:pPr>
            <w:r w:rsidRPr="004B7666">
              <w:rPr>
                <w:rFonts w:eastAsia="Times New Roman" w:cstheme="minorHAnsi"/>
                <w:sz w:val="20"/>
                <w:szCs w:val="20"/>
              </w:rPr>
              <w:t>Shanks (857), Biffa, CNIM (17),Cespa (AmeyCespa),Urbaser</w:t>
            </w:r>
            <w:r w:rsidRPr="00D830F7">
              <w:rPr>
                <w:rFonts w:eastAsia="Times New Roman" w:cstheme="minorHAnsi"/>
                <w:sz w:val="20"/>
                <w:szCs w:val="20"/>
              </w:rPr>
              <w:t>, Indaver</w:t>
            </w:r>
          </w:p>
        </w:tc>
      </w:tr>
      <w:tr w:rsidR="0081577E" w:rsidRPr="00CA67BC" w:rsidTr="0081577E">
        <w:trPr>
          <w:trHeight w:val="300"/>
        </w:trPr>
        <w:tc>
          <w:tcPr>
            <w:tcW w:w="1520" w:type="dxa"/>
            <w:shd w:val="clear" w:color="auto" w:fill="FFFF00"/>
            <w:vAlign w:val="bottom"/>
            <w:hideMark/>
          </w:tcPr>
          <w:p w:rsidR="0081577E" w:rsidRPr="004B7666" w:rsidRDefault="0081577E" w:rsidP="0081577E">
            <w:pPr>
              <w:rPr>
                <w:rFonts w:eastAsia="Times New Roman" w:cstheme="minorHAnsi"/>
                <w:i/>
              </w:rPr>
            </w:pPr>
            <w:r w:rsidRPr="004B7666">
              <w:rPr>
                <w:rFonts w:eastAsia="Times New Roman" w:cstheme="minorHAnsi"/>
                <w:i/>
              </w:rPr>
              <w:t>Uzbekistan</w:t>
            </w:r>
          </w:p>
        </w:tc>
        <w:tc>
          <w:tcPr>
            <w:tcW w:w="2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8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7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52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160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c>
          <w:tcPr>
            <w:tcW w:w="4240" w:type="dxa"/>
            <w:shd w:val="clear" w:color="000000" w:fill="EEECE1"/>
            <w:vAlign w:val="center"/>
            <w:hideMark/>
          </w:tcPr>
          <w:p w:rsidR="0081577E" w:rsidRPr="004B7666" w:rsidRDefault="0081577E" w:rsidP="0081577E">
            <w:pPr>
              <w:rPr>
                <w:rFonts w:eastAsia="Times New Roman" w:cstheme="minorHAnsi"/>
                <w:i/>
                <w:sz w:val="20"/>
                <w:szCs w:val="20"/>
              </w:rPr>
            </w:pPr>
            <w:r w:rsidRPr="004B7666">
              <w:rPr>
                <w:rFonts w:eastAsia="Times New Roman" w:cstheme="minorHAnsi"/>
                <w:i/>
                <w:sz w:val="20"/>
                <w:szCs w:val="20"/>
              </w:rPr>
              <w:t> </w:t>
            </w:r>
          </w:p>
        </w:tc>
      </w:tr>
    </w:tbl>
    <w:p w:rsidR="0081577E" w:rsidRDefault="0081577E" w:rsidP="0081577E">
      <w:pPr>
        <w:rPr>
          <w:lang w:eastAsia="en-US"/>
        </w:rPr>
      </w:pPr>
    </w:p>
    <w:p w:rsidR="0081577E" w:rsidRPr="00573FC9" w:rsidRDefault="0081577E" w:rsidP="0081577E">
      <w:pPr>
        <w:rPr>
          <w:lang w:eastAsia="en-US"/>
        </w:rPr>
      </w:pPr>
    </w:p>
    <w:p w:rsidR="0081577E" w:rsidRDefault="0081577E" w:rsidP="0081577E"/>
    <w:p w:rsidR="0081577E" w:rsidRDefault="0081577E" w:rsidP="0081577E"/>
    <w:p w:rsidR="00F00E29" w:rsidRDefault="00F00E29" w:rsidP="0081577E">
      <w:pPr>
        <w:sectPr w:rsidR="00F00E29" w:rsidSect="00F00E29">
          <w:endnotePr>
            <w:numFmt w:val="decimal"/>
          </w:endnotePr>
          <w:pgSz w:w="16838" w:h="11906" w:orient="landscape" w:code="9"/>
          <w:pgMar w:top="1134" w:right="1134" w:bottom="1134" w:left="1134" w:header="567" w:footer="567" w:gutter="0"/>
          <w:cols w:space="708"/>
          <w:titlePg/>
          <w:docGrid w:linePitch="360"/>
        </w:sectPr>
      </w:pPr>
    </w:p>
    <w:p w:rsidR="0081577E" w:rsidRDefault="0081577E" w:rsidP="0081577E"/>
    <w:p w:rsidR="00F63E26" w:rsidRDefault="00DD2166" w:rsidP="00F63E26">
      <w:pPr>
        <w:pStyle w:val="Heading1"/>
      </w:pPr>
      <w:bookmarkStart w:id="72" w:name="_Toc336267643"/>
      <w:r>
        <w:t>Annex</w:t>
      </w:r>
      <w:r w:rsidR="000C3918">
        <w:t xml:space="preserve"> B</w:t>
      </w:r>
      <w:r>
        <w:t xml:space="preserve">: </w:t>
      </w:r>
      <w:r w:rsidR="00F63E26">
        <w:t>EU laws and court decisions</w:t>
      </w:r>
      <w:bookmarkEnd w:id="72"/>
    </w:p>
    <w:p w:rsidR="0034704E" w:rsidRDefault="0034704E" w:rsidP="0034704E">
      <w:pPr>
        <w:pStyle w:val="Heading2"/>
      </w:pPr>
      <w:bookmarkStart w:id="73" w:name="_Toc336267644"/>
      <w:r>
        <w:t>Summary of EU legislation on waste</w:t>
      </w:r>
      <w:bookmarkEnd w:id="73"/>
    </w:p>
    <w:p w:rsidR="0034704E" w:rsidRDefault="00081F2D" w:rsidP="00DD2166">
      <w:hyperlink r:id="rId107" w:history="1">
        <w:r w:rsidR="0034704E" w:rsidRPr="00650C12">
          <w:rPr>
            <w:rStyle w:val="Hyperlink"/>
          </w:rPr>
          <w:t>http://europa.eu/legislation_summaries/environment/waste_management/index_en.htm</w:t>
        </w:r>
      </w:hyperlink>
      <w:r w:rsidR="0034704E">
        <w:t xml:space="preserve"> . </w:t>
      </w:r>
    </w:p>
    <w:p w:rsidR="0034704E" w:rsidRDefault="0034704E" w:rsidP="00DD2166">
      <w:pPr>
        <w:rPr>
          <w:sz w:val="20"/>
          <w:szCs w:val="20"/>
        </w:rPr>
      </w:pPr>
      <w:r w:rsidRPr="00A062AE">
        <w:rPr>
          <w:sz w:val="20"/>
          <w:szCs w:val="20"/>
        </w:rPr>
        <w:t>Details of each piece of legislation can be found by following the links from this web page.</w:t>
      </w:r>
    </w:p>
    <w:p w:rsidR="00DD2166" w:rsidRPr="00DD2166" w:rsidRDefault="00DD2166" w:rsidP="00DD2166">
      <w:r w:rsidRPr="00DD2166">
        <w:t xml:space="preserve">  GENERAL FRAMEWORK </w:t>
      </w:r>
    </w:p>
    <w:p w:rsidR="00DD2166" w:rsidRPr="00DD2166" w:rsidRDefault="00081F2D" w:rsidP="008A351D">
      <w:pPr>
        <w:numPr>
          <w:ilvl w:val="0"/>
          <w:numId w:val="22"/>
        </w:numPr>
      </w:pPr>
      <w:hyperlink r:id="rId108" w:history="1">
        <w:r w:rsidR="00DD2166" w:rsidRPr="00DD2166">
          <w:rPr>
            <w:rStyle w:val="Hyperlink"/>
          </w:rPr>
          <w:t>Directive on waste</w:t>
        </w:r>
      </w:hyperlink>
      <w:r w:rsidR="00DD2166" w:rsidRPr="00DD2166">
        <w:t xml:space="preserve"> </w:t>
      </w:r>
    </w:p>
    <w:p w:rsidR="00DD2166" w:rsidRPr="00DD2166" w:rsidRDefault="00081F2D" w:rsidP="008A351D">
      <w:pPr>
        <w:numPr>
          <w:ilvl w:val="0"/>
          <w:numId w:val="22"/>
        </w:numPr>
      </w:pPr>
      <w:hyperlink r:id="rId109" w:history="1">
        <w:r w:rsidR="00DD2166" w:rsidRPr="00DD2166">
          <w:rPr>
            <w:rStyle w:val="Hyperlink"/>
          </w:rPr>
          <w:t>Waste management statistics</w:t>
        </w:r>
      </w:hyperlink>
      <w:r w:rsidR="00DD2166" w:rsidRPr="00DD2166">
        <w:t xml:space="preserve"> </w:t>
      </w:r>
    </w:p>
    <w:p w:rsidR="00DD2166" w:rsidRPr="00DD2166" w:rsidRDefault="00081F2D" w:rsidP="008A351D">
      <w:pPr>
        <w:numPr>
          <w:ilvl w:val="0"/>
          <w:numId w:val="22"/>
        </w:numPr>
      </w:pPr>
      <w:hyperlink r:id="rId110" w:history="1">
        <w:r w:rsidR="00DD2166" w:rsidRPr="00DD2166">
          <w:rPr>
            <w:rStyle w:val="Hyperlink"/>
          </w:rPr>
          <w:t>Landfill of waste</w:t>
        </w:r>
      </w:hyperlink>
      <w:r w:rsidR="00DD2166" w:rsidRPr="00DD2166">
        <w:t xml:space="preserve"> </w:t>
      </w:r>
    </w:p>
    <w:p w:rsidR="00DD2166" w:rsidRPr="00DD2166" w:rsidRDefault="00081F2D" w:rsidP="008A351D">
      <w:pPr>
        <w:numPr>
          <w:ilvl w:val="0"/>
          <w:numId w:val="22"/>
        </w:numPr>
      </w:pPr>
      <w:hyperlink r:id="rId111" w:history="1">
        <w:r w:rsidR="00DD2166" w:rsidRPr="00DD2166">
          <w:rPr>
            <w:rStyle w:val="Hyperlink"/>
          </w:rPr>
          <w:t>Waste incineration</w:t>
        </w:r>
      </w:hyperlink>
      <w:r w:rsidR="00DD2166" w:rsidRPr="00DD2166">
        <w:t xml:space="preserve"> </w:t>
      </w:r>
    </w:p>
    <w:p w:rsidR="00DD2166" w:rsidRPr="00DD2166" w:rsidRDefault="00081F2D" w:rsidP="008A351D">
      <w:pPr>
        <w:numPr>
          <w:ilvl w:val="0"/>
          <w:numId w:val="22"/>
        </w:numPr>
      </w:pPr>
      <w:hyperlink r:id="rId112" w:history="1">
        <w:r w:rsidR="00DD2166" w:rsidRPr="00DD2166">
          <w:rPr>
            <w:rStyle w:val="Hyperlink"/>
          </w:rPr>
          <w:t>Shipments of waste</w:t>
        </w:r>
      </w:hyperlink>
      <w:r w:rsidR="00DD2166" w:rsidRPr="00DD2166">
        <w:t xml:space="preserve"> </w:t>
      </w:r>
    </w:p>
    <w:p w:rsidR="00DD2166" w:rsidRPr="00DD2166" w:rsidRDefault="00081F2D" w:rsidP="008A351D">
      <w:pPr>
        <w:numPr>
          <w:ilvl w:val="0"/>
          <w:numId w:val="22"/>
        </w:numPr>
      </w:pPr>
      <w:hyperlink r:id="rId113" w:history="1">
        <w:r w:rsidR="00DD2166" w:rsidRPr="00DD2166">
          <w:rPr>
            <w:rStyle w:val="Hyperlink"/>
          </w:rPr>
          <w:t>Strategy on the prevention and recycling of waste</w:t>
        </w:r>
      </w:hyperlink>
      <w:r w:rsidR="00DD2166" w:rsidRPr="00DD2166">
        <w:t xml:space="preserve"> </w:t>
      </w:r>
    </w:p>
    <w:p w:rsidR="00DD2166" w:rsidRPr="00DD2166" w:rsidRDefault="00081F2D" w:rsidP="008A351D">
      <w:pPr>
        <w:numPr>
          <w:ilvl w:val="0"/>
          <w:numId w:val="22"/>
        </w:numPr>
      </w:pPr>
      <w:hyperlink r:id="rId114" w:history="1">
        <w:r w:rsidR="00DD2166" w:rsidRPr="00DD2166">
          <w:rPr>
            <w:rStyle w:val="Hyperlink"/>
          </w:rPr>
          <w:t>The management of bio-waste in the European Union</w:t>
        </w:r>
      </w:hyperlink>
      <w:r w:rsidR="00DD2166" w:rsidRPr="00DD2166">
        <w:t xml:space="preserve"> </w:t>
      </w:r>
    </w:p>
    <w:p w:rsidR="00DD2166" w:rsidRPr="00DD2166" w:rsidRDefault="00DD2166" w:rsidP="00DD2166">
      <w:r w:rsidRPr="00DD2166">
        <w:t xml:space="preserve">  </w:t>
      </w:r>
      <w:bookmarkStart w:id="74" w:name="s_792"/>
      <w:bookmarkEnd w:id="74"/>
      <w:r w:rsidRPr="00DD2166">
        <w:t xml:space="preserve">HAZARDOUS WASTE </w:t>
      </w:r>
    </w:p>
    <w:p w:rsidR="00DD2166" w:rsidRPr="00DD2166" w:rsidRDefault="00081F2D" w:rsidP="008A351D">
      <w:pPr>
        <w:numPr>
          <w:ilvl w:val="0"/>
          <w:numId w:val="23"/>
        </w:numPr>
      </w:pPr>
      <w:hyperlink r:id="rId115" w:history="1">
        <w:r w:rsidR="00DD2166" w:rsidRPr="00DD2166">
          <w:rPr>
            <w:rStyle w:val="Hyperlink"/>
          </w:rPr>
          <w:t>Basel Convention</w:t>
        </w:r>
      </w:hyperlink>
      <w:r w:rsidR="00DD2166" w:rsidRPr="00DD2166">
        <w:t xml:space="preserve"> </w:t>
      </w:r>
    </w:p>
    <w:p w:rsidR="00DD2166" w:rsidRPr="00DD2166" w:rsidRDefault="00081F2D" w:rsidP="008A351D">
      <w:pPr>
        <w:numPr>
          <w:ilvl w:val="0"/>
          <w:numId w:val="23"/>
        </w:numPr>
      </w:pPr>
      <w:hyperlink r:id="rId116" w:history="1">
        <w:r w:rsidR="00DD2166" w:rsidRPr="00DD2166">
          <w:rPr>
            <w:rStyle w:val="Hyperlink"/>
          </w:rPr>
          <w:t>Controlled management of hazardous waste (until the end of 2010)</w:t>
        </w:r>
      </w:hyperlink>
      <w:r w:rsidR="00DD2166" w:rsidRPr="00DD2166">
        <w:t xml:space="preserve">Archives </w:t>
      </w:r>
    </w:p>
    <w:p w:rsidR="00DD2166" w:rsidRPr="00DD2166" w:rsidRDefault="00DD2166" w:rsidP="00DD2166">
      <w:r w:rsidRPr="00DD2166">
        <w:t xml:space="preserve">  </w:t>
      </w:r>
      <w:bookmarkStart w:id="75" w:name="s_793"/>
      <w:bookmarkEnd w:id="75"/>
      <w:r w:rsidRPr="00DD2166">
        <w:t xml:space="preserve">WASTE FROM CONSUMER GOODS </w:t>
      </w:r>
    </w:p>
    <w:p w:rsidR="00DD2166" w:rsidRPr="00DD2166" w:rsidRDefault="00081F2D" w:rsidP="008A351D">
      <w:pPr>
        <w:numPr>
          <w:ilvl w:val="0"/>
          <w:numId w:val="24"/>
        </w:numPr>
      </w:pPr>
      <w:hyperlink r:id="rId117" w:history="1">
        <w:r w:rsidR="00DD2166" w:rsidRPr="00DD2166">
          <w:rPr>
            <w:rStyle w:val="Hyperlink"/>
          </w:rPr>
          <w:t>Packaging and packaging waste</w:t>
        </w:r>
      </w:hyperlink>
      <w:r w:rsidR="00DD2166" w:rsidRPr="00DD2166">
        <w:t xml:space="preserve"> </w:t>
      </w:r>
    </w:p>
    <w:p w:rsidR="00DD2166" w:rsidRPr="00DD2166" w:rsidRDefault="00081F2D" w:rsidP="008A351D">
      <w:pPr>
        <w:numPr>
          <w:ilvl w:val="0"/>
          <w:numId w:val="24"/>
        </w:numPr>
      </w:pPr>
      <w:hyperlink r:id="rId118" w:history="1">
        <w:r w:rsidR="00DD2166" w:rsidRPr="00DD2166">
          <w:rPr>
            <w:rStyle w:val="Hyperlink"/>
          </w:rPr>
          <w:t>Disposal of polychlorinated biphenyls (PCBs) and polychlorinated terphenyls (PCTs)</w:t>
        </w:r>
      </w:hyperlink>
      <w:r w:rsidR="00DD2166" w:rsidRPr="00DD2166">
        <w:t xml:space="preserve"> </w:t>
      </w:r>
    </w:p>
    <w:p w:rsidR="00DD2166" w:rsidRPr="00DD2166" w:rsidRDefault="00081F2D" w:rsidP="008A351D">
      <w:pPr>
        <w:numPr>
          <w:ilvl w:val="0"/>
          <w:numId w:val="24"/>
        </w:numPr>
      </w:pPr>
      <w:hyperlink r:id="rId119" w:history="1">
        <w:r w:rsidR="00DD2166" w:rsidRPr="00DD2166">
          <w:rPr>
            <w:rStyle w:val="Hyperlink"/>
          </w:rPr>
          <w:t>Disposal of spent batteries and accumulators</w:t>
        </w:r>
      </w:hyperlink>
      <w:r w:rsidR="00DD2166" w:rsidRPr="00DD2166">
        <w:t xml:space="preserve"> </w:t>
      </w:r>
    </w:p>
    <w:p w:rsidR="00DD2166" w:rsidRPr="00DD2166" w:rsidRDefault="00081F2D" w:rsidP="008A351D">
      <w:pPr>
        <w:numPr>
          <w:ilvl w:val="0"/>
          <w:numId w:val="24"/>
        </w:numPr>
      </w:pPr>
      <w:hyperlink r:id="rId120" w:history="1">
        <w:r w:rsidR="00DD2166" w:rsidRPr="00DD2166">
          <w:rPr>
            <w:rStyle w:val="Hyperlink"/>
          </w:rPr>
          <w:t>End-of-life vehicles</w:t>
        </w:r>
      </w:hyperlink>
      <w:r w:rsidR="00DD2166" w:rsidRPr="00DD2166">
        <w:t xml:space="preserve"> </w:t>
      </w:r>
    </w:p>
    <w:p w:rsidR="00DD2166" w:rsidRPr="00DD2166" w:rsidRDefault="00081F2D" w:rsidP="008A351D">
      <w:pPr>
        <w:numPr>
          <w:ilvl w:val="0"/>
          <w:numId w:val="24"/>
        </w:numPr>
      </w:pPr>
      <w:hyperlink r:id="rId121" w:history="1">
        <w:r w:rsidR="00DD2166" w:rsidRPr="00DD2166">
          <w:rPr>
            <w:rStyle w:val="Hyperlink"/>
          </w:rPr>
          <w:t>The reusing, recycling and recovering of motor vehicles</w:t>
        </w:r>
      </w:hyperlink>
      <w:r w:rsidR="00DD2166" w:rsidRPr="00DD2166">
        <w:t xml:space="preserve"> </w:t>
      </w:r>
    </w:p>
    <w:p w:rsidR="00DD2166" w:rsidRPr="00DD2166" w:rsidRDefault="00081F2D" w:rsidP="008A351D">
      <w:pPr>
        <w:numPr>
          <w:ilvl w:val="0"/>
          <w:numId w:val="24"/>
        </w:numPr>
      </w:pPr>
      <w:hyperlink r:id="rId122" w:history="1">
        <w:r w:rsidR="00DD2166" w:rsidRPr="00DD2166">
          <w:rPr>
            <w:rStyle w:val="Hyperlink"/>
          </w:rPr>
          <w:t>Waste electrical and electronic equipment</w:t>
        </w:r>
      </w:hyperlink>
      <w:r w:rsidR="00DD2166" w:rsidRPr="00DD2166">
        <w:t xml:space="preserve"> </w:t>
      </w:r>
    </w:p>
    <w:p w:rsidR="00DD2166" w:rsidRPr="00DD2166" w:rsidRDefault="00081F2D" w:rsidP="008A351D">
      <w:pPr>
        <w:numPr>
          <w:ilvl w:val="0"/>
          <w:numId w:val="24"/>
        </w:numPr>
      </w:pPr>
      <w:hyperlink r:id="rId123" w:history="1">
        <w:r w:rsidR="00DD2166" w:rsidRPr="00DD2166">
          <w:rPr>
            <w:rStyle w:val="Hyperlink"/>
          </w:rPr>
          <w:t>Substances subject to restrictions for use in electrical and electronic equipment</w:t>
        </w:r>
      </w:hyperlink>
      <w:r w:rsidR="00DD2166" w:rsidRPr="00DD2166">
        <w:t xml:space="preserve"> </w:t>
      </w:r>
    </w:p>
    <w:p w:rsidR="00DD2166" w:rsidRPr="00DD2166" w:rsidRDefault="00DD2166" w:rsidP="00DD2166">
      <w:r w:rsidRPr="00DD2166">
        <w:t xml:space="preserve">  </w:t>
      </w:r>
      <w:bookmarkStart w:id="76" w:name="s_794"/>
      <w:bookmarkEnd w:id="76"/>
      <w:r w:rsidRPr="00DD2166">
        <w:t xml:space="preserve">WASTE FROM SPECIFIC ACTIVITIES </w:t>
      </w:r>
    </w:p>
    <w:p w:rsidR="00DD2166" w:rsidRPr="00DD2166" w:rsidRDefault="00081F2D" w:rsidP="008A351D">
      <w:pPr>
        <w:numPr>
          <w:ilvl w:val="0"/>
          <w:numId w:val="25"/>
        </w:numPr>
      </w:pPr>
      <w:hyperlink r:id="rId124" w:history="1">
        <w:r w:rsidR="00DD2166" w:rsidRPr="00DD2166">
          <w:rPr>
            <w:rStyle w:val="Hyperlink"/>
          </w:rPr>
          <w:t>Industrial emissions</w:t>
        </w:r>
      </w:hyperlink>
      <w:r w:rsidR="00DD2166" w:rsidRPr="00DD2166">
        <w:t xml:space="preserve"> </w:t>
      </w:r>
    </w:p>
    <w:p w:rsidR="00DD2166" w:rsidRPr="00DD2166" w:rsidRDefault="00081F2D" w:rsidP="008A351D">
      <w:pPr>
        <w:numPr>
          <w:ilvl w:val="0"/>
          <w:numId w:val="25"/>
        </w:numPr>
      </w:pPr>
      <w:hyperlink r:id="rId125" w:history="1">
        <w:r w:rsidR="00DD2166" w:rsidRPr="00DD2166">
          <w:rPr>
            <w:rStyle w:val="Hyperlink"/>
          </w:rPr>
          <w:t>Integrated pollution prevention and control (until 2013)</w:t>
        </w:r>
      </w:hyperlink>
      <w:r w:rsidR="00DD2166" w:rsidRPr="00DD2166">
        <w:t xml:space="preserve"> </w:t>
      </w:r>
    </w:p>
    <w:p w:rsidR="00DD2166" w:rsidRPr="00DD2166" w:rsidRDefault="00081F2D" w:rsidP="008A351D">
      <w:pPr>
        <w:numPr>
          <w:ilvl w:val="0"/>
          <w:numId w:val="25"/>
        </w:numPr>
      </w:pPr>
      <w:hyperlink r:id="rId126" w:history="1">
        <w:r w:rsidR="00DD2166" w:rsidRPr="00DD2166">
          <w:rPr>
            <w:rStyle w:val="Hyperlink"/>
          </w:rPr>
          <w:t>Management of waste from extractive industries</w:t>
        </w:r>
      </w:hyperlink>
      <w:r w:rsidR="00DD2166" w:rsidRPr="00DD2166">
        <w:t xml:space="preserve"> </w:t>
      </w:r>
    </w:p>
    <w:p w:rsidR="00DD2166" w:rsidRPr="00DD2166" w:rsidRDefault="00081F2D" w:rsidP="008A351D">
      <w:pPr>
        <w:numPr>
          <w:ilvl w:val="0"/>
          <w:numId w:val="25"/>
        </w:numPr>
      </w:pPr>
      <w:hyperlink r:id="rId127" w:history="1">
        <w:r w:rsidR="00DD2166" w:rsidRPr="00DD2166">
          <w:rPr>
            <w:rStyle w:val="Hyperlink"/>
          </w:rPr>
          <w:t>A strategy for better ship dismantling practices</w:t>
        </w:r>
      </w:hyperlink>
      <w:r w:rsidR="00DD2166" w:rsidRPr="00DD2166">
        <w:t xml:space="preserve"> </w:t>
      </w:r>
    </w:p>
    <w:p w:rsidR="00DD2166" w:rsidRPr="00DD2166" w:rsidRDefault="00081F2D" w:rsidP="008A351D">
      <w:pPr>
        <w:numPr>
          <w:ilvl w:val="0"/>
          <w:numId w:val="25"/>
        </w:numPr>
      </w:pPr>
      <w:hyperlink r:id="rId128" w:history="1">
        <w:r w:rsidR="00DD2166" w:rsidRPr="00DD2166">
          <w:rPr>
            <w:rStyle w:val="Hyperlink"/>
          </w:rPr>
          <w:t>Removal and disposal of disused offshore oil and gas installations</w:t>
        </w:r>
      </w:hyperlink>
      <w:r w:rsidR="00DD2166" w:rsidRPr="00DD2166">
        <w:t xml:space="preserve"> </w:t>
      </w:r>
    </w:p>
    <w:p w:rsidR="00DD2166" w:rsidRPr="00DD2166" w:rsidRDefault="00081F2D" w:rsidP="008A351D">
      <w:pPr>
        <w:numPr>
          <w:ilvl w:val="0"/>
          <w:numId w:val="25"/>
        </w:numPr>
      </w:pPr>
      <w:hyperlink r:id="rId129" w:history="1">
        <w:r w:rsidR="00DD2166" w:rsidRPr="00DD2166">
          <w:rPr>
            <w:rStyle w:val="Hyperlink"/>
          </w:rPr>
          <w:t>Use of sewage sludge in agriculture</w:t>
        </w:r>
      </w:hyperlink>
      <w:r w:rsidR="00DD2166" w:rsidRPr="00DD2166">
        <w:t xml:space="preserve"> </w:t>
      </w:r>
    </w:p>
    <w:p w:rsidR="00DD2166" w:rsidRPr="00DD2166" w:rsidRDefault="00081F2D" w:rsidP="008A351D">
      <w:pPr>
        <w:numPr>
          <w:ilvl w:val="0"/>
          <w:numId w:val="25"/>
        </w:numPr>
      </w:pPr>
      <w:hyperlink r:id="rId130" w:history="1">
        <w:r w:rsidR="00DD2166" w:rsidRPr="00DD2166">
          <w:rPr>
            <w:rStyle w:val="Hyperlink"/>
          </w:rPr>
          <w:t>Port facilities for ship-generated waste and cargo residues</w:t>
        </w:r>
      </w:hyperlink>
      <w:r w:rsidR="00DD2166" w:rsidRPr="00DD2166">
        <w:t xml:space="preserve"> </w:t>
      </w:r>
    </w:p>
    <w:p w:rsidR="00DD2166" w:rsidRPr="00DD2166" w:rsidRDefault="00DD2166" w:rsidP="008A351D">
      <w:pPr>
        <w:numPr>
          <w:ilvl w:val="0"/>
          <w:numId w:val="26"/>
        </w:numPr>
      </w:pPr>
      <w:bookmarkStart w:id="77" w:name="s_795"/>
      <w:bookmarkEnd w:id="77"/>
      <w:r w:rsidRPr="00DD2166">
        <w:t xml:space="preserve">Titanium dioxide </w:t>
      </w:r>
    </w:p>
    <w:p w:rsidR="00DD2166" w:rsidRPr="00DD2166" w:rsidRDefault="00081F2D" w:rsidP="008A351D">
      <w:pPr>
        <w:numPr>
          <w:ilvl w:val="1"/>
          <w:numId w:val="26"/>
        </w:numPr>
      </w:pPr>
      <w:hyperlink r:id="rId131" w:history="1">
        <w:r w:rsidR="00DD2166" w:rsidRPr="00DD2166">
          <w:rPr>
            <w:rStyle w:val="Hyperlink"/>
          </w:rPr>
          <w:t>Disposal of titanium dioxide industrial waste</w:t>
        </w:r>
      </w:hyperlink>
      <w:r w:rsidR="00DD2166" w:rsidRPr="00DD2166">
        <w:t xml:space="preserve"> </w:t>
      </w:r>
    </w:p>
    <w:p w:rsidR="00DD2166" w:rsidRPr="00DD2166" w:rsidRDefault="00081F2D" w:rsidP="008A351D">
      <w:pPr>
        <w:numPr>
          <w:ilvl w:val="1"/>
          <w:numId w:val="26"/>
        </w:numPr>
      </w:pPr>
      <w:hyperlink r:id="rId132" w:history="1">
        <w:r w:rsidR="00DD2166" w:rsidRPr="00DD2166">
          <w:rPr>
            <w:rStyle w:val="Hyperlink"/>
          </w:rPr>
          <w:t>Surveillance and monitoring of titanium dioxide waste</w:t>
        </w:r>
      </w:hyperlink>
      <w:r w:rsidR="00DD2166" w:rsidRPr="00DD2166">
        <w:t xml:space="preserve"> </w:t>
      </w:r>
    </w:p>
    <w:p w:rsidR="00DD2166" w:rsidRPr="00DD2166" w:rsidRDefault="00081F2D" w:rsidP="008A351D">
      <w:pPr>
        <w:numPr>
          <w:ilvl w:val="1"/>
          <w:numId w:val="26"/>
        </w:numPr>
      </w:pPr>
      <w:hyperlink r:id="rId133" w:history="1">
        <w:r w:rsidR="00DD2166" w:rsidRPr="00DD2166">
          <w:rPr>
            <w:rStyle w:val="Hyperlink"/>
          </w:rPr>
          <w:t>Reduction of pollution caused by waste from the titanium dioxide industry</w:t>
        </w:r>
      </w:hyperlink>
      <w:r w:rsidR="00DD2166" w:rsidRPr="00DD2166">
        <w:t xml:space="preserve"> </w:t>
      </w:r>
    </w:p>
    <w:p w:rsidR="00DD2166" w:rsidRPr="00DD2166" w:rsidRDefault="00DD2166" w:rsidP="00DD2166">
      <w:r w:rsidRPr="00DD2166">
        <w:t xml:space="preserve">  </w:t>
      </w:r>
      <w:bookmarkStart w:id="78" w:name="s_796"/>
      <w:bookmarkEnd w:id="78"/>
      <w:r w:rsidRPr="00DD2166">
        <w:t xml:space="preserve">RADIOACTIVE WASTE AND SUBSTANCES </w:t>
      </w:r>
    </w:p>
    <w:p w:rsidR="00DD2166" w:rsidRPr="00DD2166" w:rsidRDefault="00081F2D" w:rsidP="008A351D">
      <w:pPr>
        <w:numPr>
          <w:ilvl w:val="0"/>
          <w:numId w:val="27"/>
        </w:numPr>
      </w:pPr>
      <w:hyperlink r:id="rId134" w:history="1">
        <w:r w:rsidR="00DD2166" w:rsidRPr="00DD2166">
          <w:rPr>
            <w:rStyle w:val="Hyperlink"/>
          </w:rPr>
          <w:t>Shipments of radioactive waste: supervision and control</w:t>
        </w:r>
      </w:hyperlink>
      <w:r w:rsidR="00DD2166" w:rsidRPr="00DD2166">
        <w:t xml:space="preserve"> </w:t>
      </w:r>
    </w:p>
    <w:p w:rsidR="00DD2166" w:rsidRPr="00DD2166" w:rsidRDefault="00081F2D" w:rsidP="008A351D">
      <w:pPr>
        <w:numPr>
          <w:ilvl w:val="0"/>
          <w:numId w:val="27"/>
        </w:numPr>
      </w:pPr>
      <w:hyperlink r:id="rId135" w:history="1">
        <w:r w:rsidR="00DD2166" w:rsidRPr="00DD2166">
          <w:rPr>
            <w:rStyle w:val="Hyperlink"/>
          </w:rPr>
          <w:t>Shipments of radioactive substances</w:t>
        </w:r>
      </w:hyperlink>
      <w:r w:rsidR="00DD2166" w:rsidRPr="00DD2166">
        <w:t xml:space="preserve"> </w:t>
      </w:r>
    </w:p>
    <w:p w:rsidR="00DD2166" w:rsidRPr="00DD2166" w:rsidRDefault="00081F2D" w:rsidP="008A351D">
      <w:pPr>
        <w:numPr>
          <w:ilvl w:val="0"/>
          <w:numId w:val="27"/>
        </w:numPr>
      </w:pPr>
      <w:hyperlink r:id="rId136" w:history="1">
        <w:r w:rsidR="00DD2166" w:rsidRPr="00DD2166">
          <w:rPr>
            <w:rStyle w:val="Hyperlink"/>
          </w:rPr>
          <w:t>Situation in 1999 and prospects for radioactive waste management</w:t>
        </w:r>
      </w:hyperlink>
      <w:r w:rsidR="00DD2166" w:rsidRPr="00DD2166">
        <w:t xml:space="preserve"> </w:t>
      </w:r>
    </w:p>
    <w:p w:rsidR="00DD2166" w:rsidRPr="00DD2166" w:rsidRDefault="00081F2D" w:rsidP="008A351D">
      <w:pPr>
        <w:numPr>
          <w:ilvl w:val="0"/>
          <w:numId w:val="27"/>
        </w:numPr>
      </w:pPr>
      <w:hyperlink r:id="rId137" w:history="1">
        <w:r w:rsidR="00DD2166" w:rsidRPr="00DD2166">
          <w:rPr>
            <w:rStyle w:val="Hyperlink"/>
          </w:rPr>
          <w:t>Management of spent fuel and radioactive waste</w:t>
        </w:r>
      </w:hyperlink>
      <w:r w:rsidR="00DD2166" w:rsidRPr="00DD2166">
        <w:t xml:space="preserve"> </w:t>
      </w:r>
    </w:p>
    <w:p w:rsidR="00DD2166" w:rsidRPr="00A062AE" w:rsidRDefault="00DD2166" w:rsidP="00DD2166"/>
    <w:p w:rsidR="00120D02" w:rsidRDefault="0034704E" w:rsidP="0034704E">
      <w:pPr>
        <w:pStyle w:val="Heading2"/>
      </w:pPr>
      <w:r>
        <w:br w:type="page"/>
      </w:r>
      <w:bookmarkStart w:id="79" w:name="_Toc336267645"/>
      <w:r w:rsidR="00120D02">
        <w:lastRenderedPageBreak/>
        <w:t>Waste Framework Directive (</w:t>
      </w:r>
      <w:hyperlink r:id="rId138" w:tgtFrame="_blank" w:tooltip="2008/98/EC" w:history="1">
        <w:r w:rsidR="00120D02">
          <w:rPr>
            <w:rStyle w:val="Hyperlink"/>
          </w:rPr>
          <w:t>2008/98/EC</w:t>
        </w:r>
      </w:hyperlink>
      <w:r w:rsidR="00120D02">
        <w:t>)</w:t>
      </w:r>
      <w:bookmarkEnd w:id="79"/>
    </w:p>
    <w:p w:rsidR="00120D02" w:rsidRDefault="00120D02" w:rsidP="00120D02">
      <w:pPr>
        <w:pStyle w:val="NormalWeb"/>
        <w:jc w:val="both"/>
      </w:pPr>
      <w:r>
        <w:t xml:space="preserve">The directive applies from December 2008, and has to be implemented in national legislation by December 2010.  </w:t>
      </w:r>
    </w:p>
    <w:p w:rsidR="00120D02" w:rsidRPr="001714D2" w:rsidRDefault="00120D02" w:rsidP="00120D02">
      <w:pPr>
        <w:pStyle w:val="NormalWeb"/>
        <w:jc w:val="both"/>
        <w:rPr>
          <w:sz w:val="22"/>
        </w:rPr>
      </w:pPr>
    </w:p>
    <w:p w:rsidR="00120D02" w:rsidRDefault="00120D02" w:rsidP="00120D02">
      <w:pPr>
        <w:autoSpaceDE w:val="0"/>
        <w:autoSpaceDN w:val="0"/>
        <w:adjustRightInd w:val="0"/>
        <w:jc w:val="both"/>
      </w:pPr>
      <w:r w:rsidRPr="001714D2">
        <w:t>Waste is defined simply</w:t>
      </w:r>
      <w:r>
        <w:t>:</w:t>
      </w:r>
    </w:p>
    <w:p w:rsidR="00120D02" w:rsidRPr="001714D2" w:rsidRDefault="00120D02" w:rsidP="00120D02">
      <w:pPr>
        <w:autoSpaceDE w:val="0"/>
        <w:autoSpaceDN w:val="0"/>
        <w:adjustRightInd w:val="0"/>
        <w:ind w:left="720"/>
        <w:jc w:val="both"/>
      </w:pPr>
      <w:r w:rsidRPr="001714D2">
        <w:rPr>
          <w:rFonts w:eastAsia="Times New Roman" w:cs="EUAlbertina"/>
        </w:rPr>
        <w:t>Article 3</w:t>
      </w:r>
      <w:r>
        <w:t xml:space="preserve"> (1):</w:t>
      </w:r>
      <w:r w:rsidRPr="001714D2">
        <w:t xml:space="preserve"> “</w:t>
      </w:r>
      <w:r w:rsidRPr="001714D2">
        <w:rPr>
          <w:rFonts w:eastAsia="Times New Roman" w:cs="EUAlbertina+20"/>
        </w:rPr>
        <w:t>‘</w:t>
      </w:r>
      <w:r>
        <w:rPr>
          <w:rFonts w:eastAsia="Times New Roman" w:cs="EUAlbertina+20"/>
        </w:rPr>
        <w:t xml:space="preserve">waste’ means </w:t>
      </w:r>
      <w:r w:rsidRPr="001714D2">
        <w:rPr>
          <w:rFonts w:eastAsia="Times New Roman" w:cs="EUAlbertina"/>
        </w:rPr>
        <w:t>any substance or object which the holder discards or intends or is required to discard</w:t>
      </w:r>
      <w:r>
        <w:rPr>
          <w:rFonts w:eastAsia="Times New Roman" w:cs="EUAlbertina"/>
        </w:rPr>
        <w:t xml:space="preserve">” </w:t>
      </w:r>
    </w:p>
    <w:p w:rsidR="00120D02" w:rsidRPr="001714D2" w:rsidRDefault="00120D02" w:rsidP="00120D02">
      <w:pPr>
        <w:pStyle w:val="NormalWeb"/>
        <w:jc w:val="both"/>
        <w:rPr>
          <w:sz w:val="22"/>
        </w:rPr>
      </w:pPr>
    </w:p>
    <w:p w:rsidR="00120D02" w:rsidRDefault="00120D02" w:rsidP="00120D02">
      <w:pPr>
        <w:pStyle w:val="NormalWeb"/>
        <w:jc w:val="both"/>
      </w:pPr>
      <w:r>
        <w:t>Member States have to take measures for the treatment of their waste in line with a clear hierarchy:</w:t>
      </w:r>
    </w:p>
    <w:p w:rsidR="00120D02" w:rsidRDefault="00120D02" w:rsidP="00120D02">
      <w:pPr>
        <w:pStyle w:val="NormalWeb"/>
        <w:jc w:val="both"/>
      </w:pPr>
    </w:p>
    <w:p w:rsidR="00120D02" w:rsidRPr="003475B4" w:rsidRDefault="00120D02" w:rsidP="00120D02">
      <w:pPr>
        <w:ind w:left="720"/>
        <w:jc w:val="both"/>
      </w:pPr>
      <w:r>
        <w:t>Article 4: “</w:t>
      </w:r>
      <w:r w:rsidRPr="003475B4">
        <w:t>The following waste hierarchy shall apply as a priority order in waste prevention and management legislation and policy:</w:t>
      </w:r>
    </w:p>
    <w:p w:rsidR="00120D02" w:rsidRPr="003475B4" w:rsidRDefault="00120D02" w:rsidP="00120D02">
      <w:pPr>
        <w:ind w:left="720"/>
        <w:jc w:val="both"/>
      </w:pPr>
      <w:r w:rsidRPr="003475B4">
        <w:t>(a) prevention;</w:t>
      </w:r>
    </w:p>
    <w:p w:rsidR="00120D02" w:rsidRPr="003475B4" w:rsidRDefault="00120D02" w:rsidP="00120D02">
      <w:pPr>
        <w:ind w:left="720"/>
        <w:jc w:val="both"/>
      </w:pPr>
      <w:r w:rsidRPr="003475B4">
        <w:t>(b) preparing for re-use;</w:t>
      </w:r>
    </w:p>
    <w:p w:rsidR="00120D02" w:rsidRPr="003475B4" w:rsidRDefault="00120D02" w:rsidP="00120D02">
      <w:pPr>
        <w:ind w:left="720"/>
        <w:jc w:val="both"/>
      </w:pPr>
      <w:r w:rsidRPr="003475B4">
        <w:t>(c) recycling;</w:t>
      </w:r>
    </w:p>
    <w:p w:rsidR="00120D02" w:rsidRPr="003475B4" w:rsidRDefault="00120D02" w:rsidP="00120D02">
      <w:pPr>
        <w:ind w:left="720"/>
        <w:jc w:val="both"/>
      </w:pPr>
      <w:r w:rsidRPr="003475B4">
        <w:t>(d) other recovery, e.g. energy recovery; and</w:t>
      </w:r>
    </w:p>
    <w:p w:rsidR="00120D02" w:rsidRPr="003475B4" w:rsidRDefault="00120D02" w:rsidP="00120D02">
      <w:pPr>
        <w:ind w:left="720"/>
        <w:jc w:val="both"/>
      </w:pPr>
      <w:r w:rsidRPr="003475B4">
        <w:t>(e) disposal.</w:t>
      </w:r>
      <w:r>
        <w:t>”</w:t>
      </w:r>
      <w:r>
        <w:rPr>
          <w:rStyle w:val="EndnoteReference"/>
        </w:rPr>
        <w:endnoteReference w:id="34"/>
      </w:r>
    </w:p>
    <w:p w:rsidR="00120D02" w:rsidRDefault="00120D02" w:rsidP="00120D02">
      <w:pPr>
        <w:pStyle w:val="NormalWeb"/>
        <w:jc w:val="both"/>
      </w:pPr>
    </w:p>
    <w:p w:rsidR="00120D02" w:rsidRDefault="00120D02" w:rsidP="00120D02">
      <w:pPr>
        <w:pStyle w:val="NormalWeb"/>
        <w:jc w:val="both"/>
      </w:pPr>
      <w:r>
        <w:t>The principle of recycling and re-use is applied to exclude industrial by-products from the definition of waste as long as it meets criteria for re-use:</w:t>
      </w:r>
    </w:p>
    <w:p w:rsidR="00120D02" w:rsidRDefault="00120D02" w:rsidP="00120D02">
      <w:pPr>
        <w:pStyle w:val="NormalWeb"/>
        <w:jc w:val="both"/>
      </w:pPr>
    </w:p>
    <w:p w:rsidR="00120D02" w:rsidRDefault="00120D02" w:rsidP="00120D02">
      <w:pPr>
        <w:pStyle w:val="NormalWeb"/>
        <w:ind w:left="720"/>
        <w:jc w:val="both"/>
        <w:rPr>
          <w:rFonts w:eastAsia="Times New Roman" w:cs="EUAlbertina"/>
          <w:sz w:val="22"/>
          <w:lang w:eastAsia="en-GB"/>
        </w:rPr>
      </w:pPr>
      <w:r w:rsidRPr="001714D2">
        <w:rPr>
          <w:sz w:val="22"/>
        </w:rPr>
        <w:t>Article 5: “</w:t>
      </w:r>
      <w:r w:rsidRPr="001714D2">
        <w:rPr>
          <w:rFonts w:eastAsia="Times New Roman" w:cs="EUAlbertina"/>
          <w:sz w:val="22"/>
          <w:lang w:eastAsia="en-GB"/>
        </w:rPr>
        <w:t>A substance or object, resulting from a production process, the primary aim of which is not the production of that item, may be regarded as not being waste ...but as being a by-product only if the following conditions are met:</w:t>
      </w:r>
    </w:p>
    <w:p w:rsidR="00A472DE" w:rsidRPr="001714D2" w:rsidRDefault="00A472DE" w:rsidP="00120D02">
      <w:pPr>
        <w:pStyle w:val="NormalWeb"/>
        <w:ind w:left="720"/>
        <w:jc w:val="both"/>
        <w:rPr>
          <w:rFonts w:eastAsia="Times New Roman" w:cs="EUAlbertina"/>
          <w:sz w:val="22"/>
          <w:lang w:eastAsia="en-GB"/>
        </w:rPr>
      </w:pPr>
    </w:p>
    <w:p w:rsidR="00120D02" w:rsidRPr="001714D2" w:rsidRDefault="00120D02" w:rsidP="00120D02">
      <w:pPr>
        <w:autoSpaceDE w:val="0"/>
        <w:autoSpaceDN w:val="0"/>
        <w:adjustRightInd w:val="0"/>
        <w:ind w:left="720"/>
        <w:jc w:val="both"/>
        <w:rPr>
          <w:rFonts w:eastAsia="Times New Roman" w:cs="EUAlbertina"/>
        </w:rPr>
      </w:pPr>
      <w:r w:rsidRPr="001714D2">
        <w:rPr>
          <w:rFonts w:eastAsia="Times New Roman" w:cs="EUAlbertina"/>
        </w:rPr>
        <w:t>(a) further use of the substance or object is certain;</w:t>
      </w:r>
    </w:p>
    <w:p w:rsidR="00120D02" w:rsidRPr="001714D2" w:rsidRDefault="00120D02" w:rsidP="00120D02">
      <w:pPr>
        <w:autoSpaceDE w:val="0"/>
        <w:autoSpaceDN w:val="0"/>
        <w:adjustRightInd w:val="0"/>
        <w:ind w:left="720"/>
        <w:jc w:val="both"/>
        <w:rPr>
          <w:rFonts w:eastAsia="Times New Roman" w:cs="EUAlbertina"/>
        </w:rPr>
      </w:pPr>
      <w:r w:rsidRPr="001714D2">
        <w:rPr>
          <w:rFonts w:eastAsia="Times New Roman" w:cs="EUAlbertina"/>
        </w:rPr>
        <w:t>(b) the substance or object can be used directly without any</w:t>
      </w:r>
    </w:p>
    <w:p w:rsidR="00120D02" w:rsidRPr="001714D2" w:rsidRDefault="00120D02" w:rsidP="00120D02">
      <w:pPr>
        <w:autoSpaceDE w:val="0"/>
        <w:autoSpaceDN w:val="0"/>
        <w:adjustRightInd w:val="0"/>
        <w:ind w:left="720"/>
        <w:jc w:val="both"/>
        <w:rPr>
          <w:rFonts w:eastAsia="Times New Roman" w:cs="EUAlbertina"/>
        </w:rPr>
      </w:pPr>
      <w:r w:rsidRPr="001714D2">
        <w:rPr>
          <w:rFonts w:eastAsia="Times New Roman" w:cs="EUAlbertina"/>
        </w:rPr>
        <w:t>further processing other than normal industrial practice;</w:t>
      </w:r>
    </w:p>
    <w:p w:rsidR="00120D02" w:rsidRPr="001714D2" w:rsidRDefault="00120D02" w:rsidP="00120D02">
      <w:pPr>
        <w:autoSpaceDE w:val="0"/>
        <w:autoSpaceDN w:val="0"/>
        <w:adjustRightInd w:val="0"/>
        <w:ind w:left="720"/>
        <w:jc w:val="both"/>
        <w:rPr>
          <w:rFonts w:eastAsia="Times New Roman" w:cs="EUAlbertina"/>
        </w:rPr>
      </w:pPr>
      <w:r w:rsidRPr="001714D2">
        <w:rPr>
          <w:rFonts w:eastAsia="Times New Roman" w:cs="EUAlbertina"/>
        </w:rPr>
        <w:t>(c) the substance or object is produced as an integral part of a</w:t>
      </w:r>
    </w:p>
    <w:p w:rsidR="00120D02" w:rsidRPr="001714D2" w:rsidRDefault="00120D02" w:rsidP="00120D02">
      <w:pPr>
        <w:autoSpaceDE w:val="0"/>
        <w:autoSpaceDN w:val="0"/>
        <w:adjustRightInd w:val="0"/>
        <w:ind w:left="720"/>
        <w:jc w:val="both"/>
        <w:rPr>
          <w:rFonts w:eastAsia="Times New Roman" w:cs="EUAlbertina"/>
        </w:rPr>
      </w:pPr>
      <w:r w:rsidRPr="001714D2">
        <w:rPr>
          <w:rFonts w:eastAsia="Times New Roman" w:cs="EUAlbertina"/>
        </w:rPr>
        <w:t>production process; and</w:t>
      </w:r>
    </w:p>
    <w:p w:rsidR="00120D02" w:rsidRPr="001714D2" w:rsidRDefault="00120D02" w:rsidP="00120D02">
      <w:pPr>
        <w:pStyle w:val="NormalWeb"/>
        <w:ind w:left="720"/>
        <w:jc w:val="both"/>
        <w:rPr>
          <w:sz w:val="22"/>
        </w:rPr>
      </w:pPr>
      <w:r>
        <w:rPr>
          <w:rFonts w:eastAsia="Times New Roman" w:cs="EUAlbertina"/>
          <w:sz w:val="22"/>
          <w:lang w:eastAsia="en-GB"/>
        </w:rPr>
        <w:t>(d) further use is lawful.”</w:t>
      </w:r>
    </w:p>
    <w:p w:rsidR="00120D02" w:rsidRDefault="00120D02" w:rsidP="00120D02">
      <w:pPr>
        <w:pStyle w:val="NormalWeb"/>
        <w:jc w:val="both"/>
      </w:pPr>
    </w:p>
    <w:p w:rsidR="00120D02" w:rsidRDefault="00120D02" w:rsidP="00120D02">
      <w:pPr>
        <w:pStyle w:val="NormalWeb"/>
        <w:jc w:val="both"/>
      </w:pPr>
      <w:r>
        <w:t>The same principle is used to define when recycling and recovery of specific forms of waste has been achieved.  Regulations will define the ‘end-of-waste’ criteria for specific forms of waste, including paper, glass, metal, tyres and textiles, based on general criteria for re-use:</w:t>
      </w:r>
    </w:p>
    <w:p w:rsidR="00120D02" w:rsidRDefault="00120D02" w:rsidP="00120D02">
      <w:pPr>
        <w:pStyle w:val="NormalWeb"/>
        <w:jc w:val="both"/>
      </w:pPr>
    </w:p>
    <w:p w:rsidR="00120D02" w:rsidRPr="00A646CA" w:rsidRDefault="00120D02" w:rsidP="00120D02">
      <w:pPr>
        <w:autoSpaceDE w:val="0"/>
        <w:autoSpaceDN w:val="0"/>
        <w:adjustRightInd w:val="0"/>
        <w:ind w:left="720"/>
        <w:jc w:val="both"/>
        <w:rPr>
          <w:rFonts w:eastAsia="Times New Roman" w:cs="EUAlbertina"/>
        </w:rPr>
      </w:pPr>
      <w:r w:rsidRPr="00A646CA">
        <w:t>Article 6: “</w:t>
      </w:r>
      <w:r w:rsidRPr="00A646CA">
        <w:rPr>
          <w:rFonts w:eastAsia="Times New Roman" w:cs="EUAlbertina"/>
        </w:rPr>
        <w:t>Certain specified waste shall cease to be waste .... when it has undergone a recovery, including recycling, operation and complies with specific criteria to be developed in accordance with the following conditions:</w:t>
      </w:r>
    </w:p>
    <w:p w:rsidR="00120D02" w:rsidRPr="00A646CA" w:rsidRDefault="00120D02" w:rsidP="00120D02">
      <w:pPr>
        <w:autoSpaceDE w:val="0"/>
        <w:autoSpaceDN w:val="0"/>
        <w:adjustRightInd w:val="0"/>
        <w:ind w:left="720"/>
        <w:jc w:val="both"/>
        <w:rPr>
          <w:rFonts w:cs="EUAlbertina"/>
        </w:rPr>
      </w:pPr>
      <w:r w:rsidRPr="00A646CA">
        <w:rPr>
          <w:rFonts w:eastAsia="Times New Roman" w:cs="EUAlbertina"/>
        </w:rPr>
        <w:t>(a) the substance or object is commonly used for specific purposes;</w:t>
      </w:r>
      <w:r w:rsidRPr="00A646CA">
        <w:rPr>
          <w:rFonts w:cs="EUAlbertina"/>
        </w:rPr>
        <w:t xml:space="preserve"> </w:t>
      </w:r>
    </w:p>
    <w:p w:rsidR="00120D02" w:rsidRPr="00A646CA" w:rsidRDefault="00120D02" w:rsidP="00120D02">
      <w:pPr>
        <w:autoSpaceDE w:val="0"/>
        <w:autoSpaceDN w:val="0"/>
        <w:adjustRightInd w:val="0"/>
        <w:ind w:left="720"/>
        <w:jc w:val="both"/>
        <w:rPr>
          <w:rFonts w:eastAsia="Times New Roman" w:cs="EUAlbertina"/>
        </w:rPr>
      </w:pPr>
      <w:r w:rsidRPr="00A646CA">
        <w:rPr>
          <w:rFonts w:eastAsia="Times New Roman" w:cs="EUAlbertina"/>
        </w:rPr>
        <w:t>(b) a market or demand exists for such a substance or object;</w:t>
      </w:r>
    </w:p>
    <w:p w:rsidR="00120D02" w:rsidRPr="00A646CA" w:rsidRDefault="00120D02" w:rsidP="00120D02">
      <w:pPr>
        <w:autoSpaceDE w:val="0"/>
        <w:autoSpaceDN w:val="0"/>
        <w:adjustRightInd w:val="0"/>
        <w:ind w:left="720"/>
        <w:jc w:val="both"/>
        <w:rPr>
          <w:rFonts w:eastAsia="Times New Roman" w:cs="EUAlbertina"/>
        </w:rPr>
      </w:pPr>
      <w:r w:rsidRPr="00A646CA">
        <w:rPr>
          <w:rFonts w:eastAsia="Times New Roman" w:cs="EUAlbertina"/>
        </w:rPr>
        <w:t>(c) the substance or object fulfils the technical requirements for the specific purposes and meets the existing legislation and standards applicable to products; and</w:t>
      </w:r>
    </w:p>
    <w:p w:rsidR="00120D02" w:rsidRPr="00A646CA" w:rsidRDefault="00120D02" w:rsidP="00120D02">
      <w:pPr>
        <w:autoSpaceDE w:val="0"/>
        <w:autoSpaceDN w:val="0"/>
        <w:adjustRightInd w:val="0"/>
        <w:ind w:left="720"/>
        <w:jc w:val="both"/>
        <w:rPr>
          <w:rFonts w:eastAsia="Times New Roman" w:cs="EUAlbertina"/>
        </w:rPr>
      </w:pPr>
      <w:r w:rsidRPr="00A646CA">
        <w:rPr>
          <w:rFonts w:eastAsia="Times New Roman" w:cs="EUAlbertina"/>
        </w:rPr>
        <w:t>(d) the use of the substance or object will not lead to overall adverse environmental or human health impacts...</w:t>
      </w:r>
    </w:p>
    <w:p w:rsidR="00120D02" w:rsidRPr="00A646CA" w:rsidRDefault="00120D02" w:rsidP="00120D02">
      <w:pPr>
        <w:autoSpaceDE w:val="0"/>
        <w:autoSpaceDN w:val="0"/>
        <w:adjustRightInd w:val="0"/>
        <w:ind w:left="720"/>
        <w:jc w:val="both"/>
      </w:pPr>
      <w:r w:rsidRPr="00A646CA">
        <w:rPr>
          <w:rFonts w:eastAsia="Times New Roman" w:cs="EUAlbertina"/>
        </w:rPr>
        <w:t>...End-of-waste specific criteria should be considered, among others, at least for aggregates, paper, glass, metal, tyres and textiles.”</w:t>
      </w:r>
    </w:p>
    <w:p w:rsidR="00120D02" w:rsidRDefault="00120D02" w:rsidP="00120D02">
      <w:pPr>
        <w:pStyle w:val="NormalWeb"/>
        <w:jc w:val="both"/>
      </w:pPr>
    </w:p>
    <w:p w:rsidR="00120D02" w:rsidRDefault="00120D02" w:rsidP="00120D02">
      <w:pPr>
        <w:pStyle w:val="NormalWeb"/>
        <w:jc w:val="both"/>
      </w:pPr>
      <w:r>
        <w:t>Governments have to take measures to enable recovery and re-use, including separate collection:</w:t>
      </w:r>
    </w:p>
    <w:p w:rsidR="00120D02" w:rsidRDefault="00120D02" w:rsidP="00120D02">
      <w:pPr>
        <w:ind w:left="720"/>
        <w:jc w:val="both"/>
      </w:pPr>
      <w:r w:rsidRPr="00C46CEB">
        <w:t>Article 10</w:t>
      </w:r>
      <w:r>
        <w:t>: “</w:t>
      </w:r>
      <w:r w:rsidRPr="00C46CEB">
        <w:t>Recovery</w:t>
      </w:r>
      <w:r>
        <w:t xml:space="preserve">: </w:t>
      </w:r>
    </w:p>
    <w:p w:rsidR="00120D02" w:rsidRPr="00C46CEB" w:rsidRDefault="00120D02" w:rsidP="00120D02">
      <w:pPr>
        <w:ind w:left="720"/>
        <w:jc w:val="both"/>
      </w:pPr>
      <w:r w:rsidRPr="00C46CEB">
        <w:lastRenderedPageBreak/>
        <w:t>1. Member States shall take the necessary measures to ensure that waste undergoes recovery operations, in accordance with Articles 4 and 13.</w:t>
      </w:r>
      <w:r>
        <w:t xml:space="preserve"> </w:t>
      </w:r>
    </w:p>
    <w:p w:rsidR="00120D02" w:rsidRPr="00C46CEB" w:rsidRDefault="00120D02" w:rsidP="00120D02">
      <w:pPr>
        <w:ind w:left="720"/>
        <w:jc w:val="both"/>
      </w:pPr>
      <w:r w:rsidRPr="00C46CEB">
        <w:t>2. Where necessary to comply with paragraph 1 and to facilitate or improve recovery, waste shall be collected separately if technically, environmentally and economically practicable and shall not be mixed with other waste or other material with different properties.</w:t>
      </w:r>
      <w:r>
        <w:t>”</w:t>
      </w:r>
    </w:p>
    <w:p w:rsidR="00120D02" w:rsidRPr="00C46CEB" w:rsidRDefault="00120D02" w:rsidP="00120D02">
      <w:pPr>
        <w:ind w:left="720"/>
        <w:jc w:val="both"/>
      </w:pPr>
      <w:r w:rsidRPr="00C46CEB">
        <w:t>Article 11</w:t>
      </w:r>
      <w:r>
        <w:t>: “</w:t>
      </w:r>
      <w:r w:rsidRPr="00C46CEB">
        <w:t>Re-use and recycling</w:t>
      </w:r>
    </w:p>
    <w:p w:rsidR="00120D02" w:rsidRDefault="00120D02" w:rsidP="00A472DE">
      <w:pPr>
        <w:ind w:left="720"/>
        <w:jc w:val="both"/>
      </w:pPr>
      <w:r w:rsidRPr="00C46CEB">
        <w:t>1. Member States shall take measures, as appropriate, to promote the re-use of products and preparing for re-use activities, notably by encouraging the establishment and support of re-use and repair networks, the use of economic instruments, procurement criteria, quantitative objectives or other measures.</w:t>
      </w:r>
      <w:r>
        <w:t xml:space="preserve"> </w:t>
      </w:r>
      <w:r w:rsidRPr="00C46CEB">
        <w:t>Member States shall take measures to promote high quality recycling and, to this end, shall set up separate collections of waste where technically, environmentally and economically practicable and appropriate to meet the necessary quality standards for the relevant recycling sectors.</w:t>
      </w:r>
      <w:r>
        <w:t xml:space="preserve"> </w:t>
      </w:r>
      <w:r w:rsidRPr="00C46CEB">
        <w:t>Subject to Article 10(2), by 2015 separate collection shall be set up for at least the following: paper, metal, plastic and glass.</w:t>
      </w:r>
      <w:r>
        <w:t>”</w:t>
      </w:r>
      <w:r w:rsidRPr="00C46CEB">
        <w:rPr>
          <w:rStyle w:val="EndnoteReference"/>
        </w:rPr>
        <w:t xml:space="preserve"> </w:t>
      </w:r>
      <w:r>
        <w:rPr>
          <w:rStyle w:val="EndnoteReference"/>
        </w:rPr>
        <w:endnoteReference w:id="35"/>
      </w:r>
    </w:p>
    <w:p w:rsidR="00120D02" w:rsidRPr="00FA1E8A" w:rsidRDefault="00120D02" w:rsidP="00120D02">
      <w:pPr>
        <w:jc w:val="both"/>
      </w:pPr>
      <w:r w:rsidRPr="00FA1E8A">
        <w:t>National governments have to achieve re-use and recycling of 50 percent of waste materials from households, and 70 percent of non-hazardous construction and demolition waste:</w:t>
      </w:r>
    </w:p>
    <w:p w:rsidR="00120D02" w:rsidRPr="00FA1E8A" w:rsidRDefault="00120D02" w:rsidP="00120D02">
      <w:pPr>
        <w:ind w:left="720"/>
        <w:jc w:val="both"/>
      </w:pPr>
      <w:r w:rsidRPr="00FA1E8A">
        <w:t>Article 11: “2. In order to comply with the objectives of this Directive, and move towards a European recycling society with a high level of resource efficiency, Member States shall take the necessary measures designed to achieve the following targets:</w:t>
      </w:r>
    </w:p>
    <w:p w:rsidR="00120D02" w:rsidRPr="00FA1E8A" w:rsidRDefault="00120D02" w:rsidP="008A351D">
      <w:pPr>
        <w:numPr>
          <w:ilvl w:val="0"/>
          <w:numId w:val="17"/>
        </w:numPr>
        <w:autoSpaceDE w:val="0"/>
        <w:autoSpaceDN w:val="0"/>
        <w:adjustRightInd w:val="0"/>
        <w:jc w:val="both"/>
        <w:rPr>
          <w:rFonts w:eastAsia="Times New Roman" w:cs="EUAlbertina"/>
        </w:rPr>
      </w:pPr>
      <w:r w:rsidRPr="00FA1E8A">
        <w:t>by 2020, the preparing for re-use and the recycling of waste materials such as at least paper, metal, plastic and glass from households and possibly from other origins as far as these waste streams are similar to waste from households, shall be increased to a minimum of overall 50 % by weight”</w:t>
      </w:r>
      <w:r w:rsidRPr="00FA1E8A">
        <w:rPr>
          <w:rStyle w:val="EndnoteReference"/>
        </w:rPr>
        <w:t xml:space="preserve"> </w:t>
      </w:r>
    </w:p>
    <w:p w:rsidR="00120D02" w:rsidRPr="00FA1E8A" w:rsidRDefault="00120D02" w:rsidP="008A351D">
      <w:pPr>
        <w:numPr>
          <w:ilvl w:val="0"/>
          <w:numId w:val="18"/>
        </w:numPr>
        <w:autoSpaceDE w:val="0"/>
        <w:autoSpaceDN w:val="0"/>
        <w:adjustRightInd w:val="0"/>
        <w:jc w:val="both"/>
      </w:pPr>
      <w:r w:rsidRPr="00FA1E8A">
        <w:rPr>
          <w:rFonts w:eastAsia="Times New Roman" w:cs="EUAlbertina"/>
        </w:rPr>
        <w:t>by 2020, the preparing for re-use, recycling and other material recovery, including backfilling operations using waste to substitute other materials, of non-hazardous construction and demolition waste excluding naturally occurring material defined in category 17 05 04 in the list of waste shall be increased to a minimum of 70 % by weight.</w:t>
      </w:r>
      <w:r>
        <w:rPr>
          <w:rFonts w:eastAsia="Times New Roman" w:cs="EUAlbertina"/>
        </w:rPr>
        <w:t>”</w:t>
      </w:r>
      <w:r w:rsidRPr="00FA1E8A">
        <w:rPr>
          <w:rStyle w:val="EndnoteReference"/>
        </w:rPr>
        <w:endnoteReference w:id="36"/>
      </w:r>
    </w:p>
    <w:p w:rsidR="00120D02" w:rsidRDefault="00120D02" w:rsidP="00BA3B94">
      <w:pPr>
        <w:rPr>
          <w:rFonts w:eastAsia="Times New Roman"/>
        </w:rPr>
      </w:pPr>
      <w:r>
        <w:rPr>
          <w:rFonts w:eastAsia="Times New Roman"/>
        </w:rPr>
        <w:t xml:space="preserve">The costs of all this are expected to be met by the producers, distributors or final users of the original waste product, and that they are responsible for arranging treatment of waste. </w:t>
      </w:r>
    </w:p>
    <w:p w:rsidR="00120D02" w:rsidRDefault="00120D02" w:rsidP="00BA3B94">
      <w:r>
        <w:t>Article 14: “In accordance with the polluter-pays principle, the costs of waste management shall be borne by the original waste producer or by the current or previous waste holders.....”</w:t>
      </w:r>
    </w:p>
    <w:p w:rsidR="00120D02" w:rsidRDefault="00120D02" w:rsidP="00BA3B94">
      <w:r>
        <w:t>Article 15: “Member States shall take the necessary measures to ensure that any original waste producer or other holder carries out the treatment of waste himself or has the treatment handled by a dealer or an establishment or undertaking which carries out waste treatment operations or arranged by a private or public waste collector...”</w:t>
      </w:r>
    </w:p>
    <w:p w:rsidR="00120D02" w:rsidRDefault="00120D02" w:rsidP="00BA3B94">
      <w:pPr>
        <w:rPr>
          <w:rFonts w:eastAsia="Times New Roman"/>
        </w:rPr>
      </w:pPr>
      <w:r>
        <w:rPr>
          <w:rFonts w:eastAsia="Times New Roman"/>
        </w:rPr>
        <w:t xml:space="preserve">In order to reduce trans-border shipments of waste out of the EU and between member states of the EU, member states are obliged to co-operate to create a network of disposal and recovery facilities so that the EU as a whole will be self-sufficient in dealing with its own waste, and member states can also move towards self-sufficiency, and waste is processed as close as possible to its origins. </w:t>
      </w:r>
    </w:p>
    <w:p w:rsidR="00120D02" w:rsidRPr="0015148D" w:rsidRDefault="00120D02" w:rsidP="00BA3B94">
      <w:pPr>
        <w:rPr>
          <w:rFonts w:eastAsia="Times New Roman" w:cs="EUAlbertina_Bold"/>
          <w:bCs/>
        </w:rPr>
      </w:pPr>
      <w:r w:rsidRPr="0015148D">
        <w:rPr>
          <w:rFonts w:eastAsia="Times New Roman"/>
        </w:rPr>
        <w:t xml:space="preserve">Article 16: </w:t>
      </w:r>
      <w:r w:rsidRPr="0015148D">
        <w:rPr>
          <w:rFonts w:eastAsia="Times New Roman" w:cs="EUAlbertina_Bold"/>
          <w:bCs/>
        </w:rPr>
        <w:t xml:space="preserve">Principles of self-sufficiency and proximity. </w:t>
      </w:r>
    </w:p>
    <w:p w:rsidR="00120D02" w:rsidRPr="002873B4" w:rsidRDefault="00120D02" w:rsidP="00BA3B94">
      <w:r w:rsidRPr="002873B4">
        <w:t>“1. Member States shall take appropriate measures, in cooperation with other Member States where this is necessary or advisable, to establish an integrated and adequate network of waste disposal installations and of installations for the recovery of mixed municipal waste collected from private households.....</w:t>
      </w:r>
    </w:p>
    <w:p w:rsidR="00120D02" w:rsidRPr="002873B4" w:rsidRDefault="00120D02" w:rsidP="00BA3B94">
      <w:r w:rsidRPr="002873B4">
        <w:t>2.  The network shall be designed to enable the Community as a whole to become self-sufficient in waste disposal as well as in the recovery of waste referred to in paragraph 1, and to enable Member States to move towards that aim individually.....</w:t>
      </w:r>
    </w:p>
    <w:p w:rsidR="00120D02" w:rsidRPr="002873B4" w:rsidRDefault="00120D02" w:rsidP="00BA3B94">
      <w:pPr>
        <w:rPr>
          <w:rFonts w:eastAsia="Times New Roman"/>
        </w:rPr>
      </w:pPr>
      <w:r w:rsidRPr="002873B4">
        <w:t xml:space="preserve">3. </w:t>
      </w:r>
      <w:r w:rsidRPr="002873B4">
        <w:rPr>
          <w:rFonts w:eastAsia="Times New Roman"/>
        </w:rPr>
        <w:t>The network shall enable waste to be disposed of or waste referred to in paragraph 1 to be recovered in one of the nearest appropriate installations, by means of the most appropriate methods and technologies...”</w:t>
      </w:r>
    </w:p>
    <w:p w:rsidR="00120D02" w:rsidRDefault="00120D02" w:rsidP="00BA3B94">
      <w:r>
        <w:t>Member states are obliged to develop waste management (and waste prevention) programmes covering the entire country. These plans have to include a comprehensive analysis of all waste streams, existing systems for collection, recovery and disposal, an assessment of the need for new facilities (in the framework of the EU-wide network required in article 16). Waste prevention programmes also have to be produced by the end of 2013, identifying specific measures for preventing waste.</w:t>
      </w:r>
    </w:p>
    <w:p w:rsidR="00120D02" w:rsidRDefault="00120D02" w:rsidP="00BA3B94">
      <w:r>
        <w:lastRenderedPageBreak/>
        <w:t xml:space="preserve">Article 28:  “1. Member States shall ensure that their competent authorities establish...one or more waste management plans. Those plans shall, alone or in combination, cover the entire geographical territory of the Member State concerned. </w:t>
      </w:r>
    </w:p>
    <w:p w:rsidR="00120D02" w:rsidRDefault="00120D02" w:rsidP="00BA3B94">
      <w:r>
        <w:t>2. The waste management plans shall set out an analysis of the current waste management situation in the geographical entity concerned, as well as the measures to be taken to improve environmentally sound preparing for re-use, recycling, recovery and disposal of waste and an evaluation of how the plan will support the implementation of the objectives and provisions of this Directive.”</w:t>
      </w:r>
    </w:p>
    <w:p w:rsidR="00120D02" w:rsidRDefault="00120D02" w:rsidP="00BA3B94">
      <w:r>
        <w:t>Article 29: “Member States shall establish....waste prevention programmes not later than 12 December 2013.”</w:t>
      </w:r>
    </w:p>
    <w:p w:rsidR="00120D02" w:rsidRDefault="00120D02" w:rsidP="00BA3B94">
      <w:r>
        <w:t>The European Commission brings infringement proceedings at the European Court of Justice against countries failing to develop and implement waste management plans (see below section 3.1).</w:t>
      </w:r>
    </w:p>
    <w:p w:rsidR="00120D02" w:rsidRDefault="00120D02" w:rsidP="00120D02">
      <w:pPr>
        <w:pStyle w:val="Heading3"/>
        <w:jc w:val="both"/>
      </w:pPr>
      <w:bookmarkStart w:id="80" w:name="_Toc336267646"/>
      <w:r>
        <w:t>Classification of waste incineration</w:t>
      </w:r>
      <w:bookmarkEnd w:id="80"/>
    </w:p>
    <w:p w:rsidR="00120D02" w:rsidRDefault="00120D02" w:rsidP="00120D02">
      <w:pPr>
        <w:jc w:val="both"/>
      </w:pPr>
      <w:r w:rsidRPr="00BD21EA">
        <w:t xml:space="preserve">The revised WFD </w:t>
      </w:r>
      <w:r>
        <w:t>defines recovery so</w:t>
      </w:r>
      <w:r w:rsidRPr="00BD21EA">
        <w:t xml:space="preserve"> that the incineration </w:t>
      </w:r>
      <w:r>
        <w:t xml:space="preserve">for energy can </w:t>
      </w:r>
      <w:r w:rsidRPr="00BD21EA">
        <w:t>qualif</w:t>
      </w:r>
      <w:r>
        <w:t>y</w:t>
      </w:r>
      <w:r w:rsidRPr="00BD21EA">
        <w:t xml:space="preserve"> as long as another energy source is replaced somewhere in the wider economy</w:t>
      </w:r>
      <w:r>
        <w:t>, and as long as it reaches a certain level of energy efficiency</w:t>
      </w:r>
      <w:r w:rsidRPr="00BD21EA">
        <w:t xml:space="preserve">: </w:t>
      </w:r>
    </w:p>
    <w:p w:rsidR="00120D02" w:rsidRDefault="00120D02" w:rsidP="00120D02">
      <w:pPr>
        <w:ind w:left="720"/>
        <w:jc w:val="both"/>
      </w:pPr>
      <w:r>
        <w:t xml:space="preserve">Article 3: </w:t>
      </w:r>
      <w:r w:rsidRPr="00BD21EA">
        <w:rPr>
          <w:rFonts w:ascii="Times New Roman" w:eastAsia="Times New Roman" w:hAnsi="Times New Roman"/>
        </w:rPr>
        <w:t>“</w:t>
      </w:r>
      <w:r>
        <w:rPr>
          <w:rFonts w:ascii="Times New Roman" w:eastAsia="Times New Roman" w:hAnsi="Times New Roman"/>
        </w:rPr>
        <w:t>15...</w:t>
      </w:r>
      <w:r>
        <w:rPr>
          <w:rStyle w:val="currencyconvertertext"/>
        </w:rPr>
        <w:t>"recovery" means any operation the principal result of which is waste serving a useful purpose by replacing other materials which would otherwise have been used to fulfil a particular function, or waste being prepared to fulfil that function, in the plant or in the wider economy.</w:t>
      </w:r>
      <w:r w:rsidRPr="00BD21EA">
        <w:rPr>
          <w:rFonts w:ascii="Times New Roman" w:eastAsia="Times New Roman" w:hAnsi="Times New Roman"/>
        </w:rPr>
        <w:t>”</w:t>
      </w:r>
      <w:r w:rsidRPr="00BD21EA">
        <w:t xml:space="preserve"> </w:t>
      </w:r>
    </w:p>
    <w:p w:rsidR="00120D02" w:rsidRDefault="00120D02" w:rsidP="00120D02">
      <w:pPr>
        <w:ind w:left="720"/>
        <w:jc w:val="both"/>
      </w:pPr>
      <w:r>
        <w:t>Annex II: Recovery operations: “R1 Use</w:t>
      </w:r>
      <w:r>
        <w:rPr>
          <w:rStyle w:val="currencyconvertertext"/>
        </w:rPr>
        <w:t xml:space="preserve"> principally as a fuel or other means to generate energy”</w:t>
      </w:r>
      <w:r>
        <w:rPr>
          <w:rStyle w:val="EndnoteReference"/>
        </w:rPr>
        <w:endnoteReference w:id="37"/>
      </w:r>
    </w:p>
    <w:p w:rsidR="00120D02" w:rsidRDefault="00120D02" w:rsidP="00120D02">
      <w:pPr>
        <w:jc w:val="both"/>
        <w:rPr>
          <w:color w:val="000000"/>
        </w:rPr>
      </w:pPr>
      <w:r>
        <w:rPr>
          <w:color w:val="000000"/>
        </w:rPr>
        <w:t>T</w:t>
      </w:r>
      <w:r w:rsidRPr="00BD21EA">
        <w:rPr>
          <w:color w:val="000000"/>
        </w:rPr>
        <w:t xml:space="preserve">he distinction remains uncertain in relation to hazardous waste incinerators. </w:t>
      </w:r>
      <w:r w:rsidRPr="00BD21EA">
        <w:rPr>
          <w:rStyle w:val="EndnoteReference"/>
          <w:color w:val="000000"/>
          <w:sz w:val="20"/>
          <w:szCs w:val="20"/>
        </w:rPr>
        <w:endnoteReference w:id="38"/>
      </w:r>
    </w:p>
    <w:p w:rsidR="00120D02" w:rsidRPr="001466C6" w:rsidRDefault="00120D02" w:rsidP="00120D02">
      <w:pPr>
        <w:pStyle w:val="Heading2"/>
        <w:jc w:val="both"/>
      </w:pPr>
      <w:bookmarkStart w:id="81" w:name="_Toc336267647"/>
      <w:r w:rsidRPr="001466C6">
        <w:t>Landfill directive (1999/31/E</w:t>
      </w:r>
      <w:r>
        <w:t>C</w:t>
      </w:r>
      <w:r w:rsidRPr="001466C6">
        <w:t>)</w:t>
      </w:r>
      <w:bookmarkEnd w:id="81"/>
    </w:p>
    <w:p w:rsidR="00120D02" w:rsidRDefault="00120D02" w:rsidP="00120D02">
      <w:pPr>
        <w:jc w:val="both"/>
      </w:pPr>
      <w:r w:rsidRPr="00750F3E">
        <w:t>The EU's obliges member states to reduce the amount of municipal solid waste in landfill by 65% by 2016 compared to 1995 levels. But it does not give countries binding specifications on what to do with it: a situation that has led most member states to opt for incineration. </w:t>
      </w:r>
    </w:p>
    <w:p w:rsidR="00120D02" w:rsidRDefault="00120D02" w:rsidP="00120D02">
      <w:pPr>
        <w:autoSpaceDE w:val="0"/>
        <w:autoSpaceDN w:val="0"/>
        <w:adjustRightInd w:val="0"/>
        <w:jc w:val="both"/>
      </w:pPr>
      <w:r w:rsidRPr="00DE6C4B">
        <w:t xml:space="preserve">Recycling and generation of secondary materials </w:t>
      </w:r>
      <w:r>
        <w:t>involve</w:t>
      </w:r>
      <w:r w:rsidRPr="00DE6C4B">
        <w:t xml:space="preserve">s extra stages of work (production chains) on municipal waste, which implies more employment, and also a change in types of employment. The TNO report states: </w:t>
      </w:r>
    </w:p>
    <w:p w:rsidR="00120D02" w:rsidRPr="00DE6C4B" w:rsidRDefault="00120D02" w:rsidP="00120D02">
      <w:pPr>
        <w:autoSpaceDE w:val="0"/>
        <w:autoSpaceDN w:val="0"/>
        <w:adjustRightInd w:val="0"/>
        <w:ind w:left="720"/>
        <w:jc w:val="both"/>
        <w:rPr>
          <w:rFonts w:eastAsia="Times New Roman"/>
          <w:bCs/>
          <w:color w:val="000000"/>
        </w:rPr>
      </w:pPr>
      <w:r w:rsidRPr="00DE6C4B">
        <w:t>“</w:t>
      </w:r>
      <w:r w:rsidRPr="00DE6C4B">
        <w:rPr>
          <w:rFonts w:eastAsia="Times New Roman"/>
        </w:rPr>
        <w:t>employment has increased in the prevention and recycling industry</w:t>
      </w:r>
      <w:r>
        <w:rPr>
          <w:rFonts w:eastAsia="Times New Roman"/>
        </w:rPr>
        <w:t xml:space="preserve"> </w:t>
      </w:r>
      <w:r w:rsidRPr="00DE6C4B">
        <w:rPr>
          <w:rFonts w:eastAsia="Times New Roman"/>
        </w:rPr>
        <w:t>and decreased in landfilling. In the UK, for instance, employment in recycling increases</w:t>
      </w:r>
      <w:r>
        <w:rPr>
          <w:rFonts w:eastAsia="Times New Roman"/>
        </w:rPr>
        <w:t xml:space="preserve"> </w:t>
      </w:r>
      <w:r w:rsidRPr="00DE6C4B">
        <w:rPr>
          <w:rFonts w:eastAsia="Times New Roman"/>
        </w:rPr>
        <w:t>yearly with 7%, while employment in waste disposal decreases with 5%. In total a small</w:t>
      </w:r>
      <w:r>
        <w:rPr>
          <w:rFonts w:eastAsia="Times New Roman"/>
        </w:rPr>
        <w:t xml:space="preserve"> </w:t>
      </w:r>
      <w:r w:rsidRPr="00DE6C4B">
        <w:rPr>
          <w:rFonts w:eastAsia="Times New Roman"/>
        </w:rPr>
        <w:t>increase of 1-2% is seen (Skills for Business, 2006). Furthermore, this change might influence</w:t>
      </w:r>
      <w:r>
        <w:rPr>
          <w:rFonts w:eastAsia="Times New Roman"/>
        </w:rPr>
        <w:t xml:space="preserve"> </w:t>
      </w:r>
      <w:r w:rsidRPr="00DE6C4B">
        <w:rPr>
          <w:rFonts w:eastAsia="Times New Roman"/>
        </w:rPr>
        <w:t>skills needed in the waste sector. According to Skills for Business (2006, p. 23) substitution</w:t>
      </w:r>
      <w:r>
        <w:rPr>
          <w:rFonts w:eastAsia="Times New Roman"/>
        </w:rPr>
        <w:t xml:space="preserve"> </w:t>
      </w:r>
      <w:r w:rsidRPr="00DE6C4B">
        <w:rPr>
          <w:rFonts w:eastAsia="Times New Roman"/>
        </w:rPr>
        <w:t>towards recycling affects all occupations, but particularly machine operators and drivers.</w:t>
      </w:r>
      <w:r>
        <w:rPr>
          <w:rFonts w:eastAsia="Times New Roman"/>
        </w:rPr>
        <w:t xml:space="preserve"> </w:t>
      </w:r>
      <w:r w:rsidRPr="00DE6C4B">
        <w:rPr>
          <w:rFonts w:eastAsia="Times New Roman"/>
        </w:rPr>
        <w:t>Increases in incineration and other dedicated treatment plants ask also for special labour</w:t>
      </w:r>
      <w:r>
        <w:rPr>
          <w:rFonts w:eastAsia="Times New Roman"/>
        </w:rPr>
        <w:t xml:space="preserve"> </w:t>
      </w:r>
      <w:r w:rsidRPr="00DE6C4B">
        <w:rPr>
          <w:rFonts w:eastAsia="Times New Roman"/>
        </w:rPr>
        <w:t>skills.”</w:t>
      </w:r>
    </w:p>
    <w:p w:rsidR="00120D02" w:rsidRDefault="00120D02" w:rsidP="00120D02">
      <w:pPr>
        <w:pStyle w:val="Heading8"/>
        <w:jc w:val="both"/>
        <w:rPr>
          <w:lang w:eastAsia="en-GB"/>
        </w:rPr>
      </w:pPr>
      <w:bookmarkStart w:id="82" w:name="_Toc336267648"/>
      <w:r>
        <w:rPr>
          <w:lang w:eastAsia="en-GB"/>
        </w:rPr>
        <w:t>Recycling, separate collection and sorting</w:t>
      </w:r>
      <w:bookmarkEnd w:id="82"/>
      <w:r>
        <w:rPr>
          <w:lang w:eastAsia="en-GB"/>
        </w:rPr>
        <w:t xml:space="preserve"> </w:t>
      </w:r>
    </w:p>
    <w:tbl>
      <w:tblPr>
        <w:tblW w:w="0" w:type="auto"/>
        <w:tblLook w:val="04A0" w:firstRow="1" w:lastRow="0" w:firstColumn="1" w:lastColumn="0" w:noHBand="0" w:noVBand="1"/>
      </w:tblPr>
      <w:tblGrid>
        <w:gridCol w:w="4927"/>
        <w:gridCol w:w="4927"/>
      </w:tblGrid>
      <w:tr w:rsidR="00120D02" w:rsidRPr="001466C6" w:rsidTr="00120D02">
        <w:tc>
          <w:tcPr>
            <w:tcW w:w="4927" w:type="dxa"/>
            <w:vAlign w:val="center"/>
          </w:tcPr>
          <w:p w:rsidR="00120D02" w:rsidRPr="001466C6" w:rsidRDefault="00085E8A" w:rsidP="00120D02">
            <w:pPr>
              <w:autoSpaceDE w:val="0"/>
              <w:autoSpaceDN w:val="0"/>
              <w:adjustRightInd w:val="0"/>
              <w:jc w:val="both"/>
              <w:rPr>
                <w:rFonts w:ascii="Times New Roman" w:eastAsia="Times New Roman" w:hAnsi="Times New Roman"/>
                <w:color w:val="000000"/>
              </w:rPr>
            </w:pPr>
            <w:r>
              <w:rPr>
                <w:rFonts w:ascii="Times New Roman" w:eastAsia="Times New Roman" w:hAnsi="Times New Roman"/>
                <w:noProof/>
                <w:color w:val="000000"/>
              </w:rPr>
              <w:drawing>
                <wp:inline distT="0" distB="0" distL="0" distR="0" wp14:anchorId="6FB596F2" wp14:editId="246CC437">
                  <wp:extent cx="2813685" cy="20986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813685" cy="2098675"/>
                          </a:xfrm>
                          <a:prstGeom prst="rect">
                            <a:avLst/>
                          </a:prstGeom>
                          <a:noFill/>
                          <a:ln>
                            <a:noFill/>
                          </a:ln>
                        </pic:spPr>
                      </pic:pic>
                    </a:graphicData>
                  </a:graphic>
                </wp:inline>
              </w:drawing>
            </w:r>
          </w:p>
        </w:tc>
        <w:tc>
          <w:tcPr>
            <w:tcW w:w="4927" w:type="dxa"/>
            <w:vAlign w:val="center"/>
          </w:tcPr>
          <w:p w:rsidR="00120D02" w:rsidRPr="001466C6" w:rsidRDefault="00085E8A" w:rsidP="00120D02">
            <w:pPr>
              <w:autoSpaceDE w:val="0"/>
              <w:autoSpaceDN w:val="0"/>
              <w:adjustRightInd w:val="0"/>
              <w:jc w:val="both"/>
              <w:rPr>
                <w:rFonts w:ascii="Times New Roman" w:eastAsia="Times New Roman" w:hAnsi="Times New Roman"/>
                <w:color w:val="000000"/>
              </w:rPr>
            </w:pPr>
            <w:r>
              <w:rPr>
                <w:rFonts w:ascii="Times New Roman" w:eastAsia="Times New Roman" w:hAnsi="Times New Roman"/>
                <w:noProof/>
                <w:color w:val="000000"/>
              </w:rPr>
              <w:drawing>
                <wp:inline distT="0" distB="0" distL="0" distR="0" wp14:anchorId="7BB04705" wp14:editId="34A1913D">
                  <wp:extent cx="2743200" cy="20751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743200" cy="2075180"/>
                          </a:xfrm>
                          <a:prstGeom prst="rect">
                            <a:avLst/>
                          </a:prstGeom>
                          <a:noFill/>
                          <a:ln>
                            <a:noFill/>
                          </a:ln>
                        </pic:spPr>
                      </pic:pic>
                    </a:graphicData>
                  </a:graphic>
                </wp:inline>
              </w:drawing>
            </w:r>
          </w:p>
        </w:tc>
      </w:tr>
    </w:tbl>
    <w:p w:rsidR="00120D02" w:rsidRDefault="00120D02" w:rsidP="00120D02">
      <w:pPr>
        <w:autoSpaceDE w:val="0"/>
        <w:autoSpaceDN w:val="0"/>
        <w:adjustRightInd w:val="0"/>
        <w:jc w:val="both"/>
        <w:rPr>
          <w:rFonts w:ascii="Times New Roman" w:eastAsia="Times New Roman" w:hAnsi="Times New Roman"/>
          <w:color w:val="000000"/>
          <w:sz w:val="18"/>
          <w:szCs w:val="18"/>
        </w:rPr>
      </w:pPr>
      <w:r w:rsidRPr="00CC58D3">
        <w:rPr>
          <w:rFonts w:ascii="Times New Roman" w:eastAsia="Times New Roman" w:hAnsi="Times New Roman"/>
          <w:color w:val="000000"/>
          <w:sz w:val="18"/>
          <w:szCs w:val="18"/>
        </w:rPr>
        <w:t xml:space="preserve">Source:  </w:t>
      </w:r>
      <w:hyperlink r:id="rId141" w:tgtFrame="_blank" w:history="1">
        <w:r w:rsidRPr="00CC58D3">
          <w:rPr>
            <w:rStyle w:val="Hyperlink"/>
            <w:rFonts w:ascii="Times New Roman" w:hAnsi="Times New Roman"/>
            <w:sz w:val="18"/>
            <w:szCs w:val="18"/>
          </w:rPr>
          <w:t>Landfill: Waste or Raw Material Source -Thomas Probst, bvse</w:t>
        </w:r>
      </w:hyperlink>
      <w:r w:rsidRPr="00CC58D3">
        <w:rPr>
          <w:rFonts w:ascii="Times New Roman" w:eastAsia="Times New Roman" w:hAnsi="Times New Roman"/>
          <w:color w:val="000000"/>
          <w:sz w:val="18"/>
          <w:szCs w:val="18"/>
        </w:rPr>
        <w:t xml:space="preserve"> </w:t>
      </w:r>
      <w:hyperlink r:id="rId142" w:history="1">
        <w:r w:rsidRPr="00CC58D3">
          <w:rPr>
            <w:rStyle w:val="Hyperlink"/>
            <w:rFonts w:ascii="Times New Roman" w:eastAsia="Times New Roman" w:hAnsi="Times New Roman"/>
            <w:sz w:val="18"/>
            <w:szCs w:val="18"/>
          </w:rPr>
          <w:t>http://www.ceep.eu/images/stories/pdf/events/16072009/thomas-probst.pdf</w:t>
        </w:r>
      </w:hyperlink>
      <w:r w:rsidRPr="00CC58D3">
        <w:rPr>
          <w:rFonts w:ascii="Times New Roman" w:eastAsia="Times New Roman" w:hAnsi="Times New Roman"/>
          <w:color w:val="000000"/>
          <w:sz w:val="18"/>
          <w:szCs w:val="18"/>
        </w:rPr>
        <w:t xml:space="preserve"> </w:t>
      </w:r>
    </w:p>
    <w:p w:rsidR="00120D02" w:rsidRDefault="00120D02" w:rsidP="00120D02">
      <w:pPr>
        <w:rPr>
          <w:rFonts w:ascii="Times New Roman" w:eastAsia="Times New Roman" w:hAnsi="Times New Roman"/>
          <w:sz w:val="20"/>
          <w:szCs w:val="20"/>
        </w:rPr>
      </w:pPr>
    </w:p>
    <w:p w:rsidR="00120D02" w:rsidRDefault="00120D02" w:rsidP="009A391A">
      <w:pPr>
        <w:pStyle w:val="Heading2"/>
        <w:rPr>
          <w:rStyle w:val="currencyconvertertext"/>
        </w:rPr>
      </w:pPr>
      <w:bookmarkStart w:id="83" w:name="_Toc336267649"/>
      <w:r>
        <w:rPr>
          <w:rStyle w:val="currencyconvertertext"/>
        </w:rPr>
        <w:lastRenderedPageBreak/>
        <w:t>Environmental laws: infringement proceedings (failure to implement laws)</w:t>
      </w:r>
      <w:bookmarkEnd w:id="83"/>
    </w:p>
    <w:p w:rsidR="00120D02" w:rsidRPr="00CB3FED" w:rsidRDefault="00120D02" w:rsidP="00120D02">
      <w:pPr>
        <w:jc w:val="both"/>
      </w:pPr>
      <w:r>
        <w:t>20% of</w:t>
      </w:r>
      <w:r w:rsidRPr="00CB3FED">
        <w:t xml:space="preserve"> all infringement proceedings by the EC against member states concern environmental issues, and 19% of these concern the waste management sector.</w:t>
      </w:r>
      <w:r w:rsidRPr="00CB3FED">
        <w:rPr>
          <w:rStyle w:val="EndnoteReference"/>
        </w:rPr>
        <w:endnoteReference w:id="39"/>
      </w:r>
      <w:r w:rsidRPr="00CB3FED">
        <w:t xml:space="preserve">   Infringement proceedings are not very effective. The Commission does not even have a unit dedicated to waste, there is only one person in charge of the Landfill Directive, and ECJ judgments can take up to six years. </w:t>
      </w:r>
      <w:r w:rsidR="00A472DE">
        <w:t xml:space="preserve"> In 2012 the Commission finally settled its case against Italy by accepting a new waste management plan for the Lazio region. </w:t>
      </w:r>
      <w:r w:rsidRPr="00CB3FED">
        <w:rPr>
          <w:rStyle w:val="EndnoteReference"/>
        </w:rPr>
        <w:endnoteReference w:id="40"/>
      </w:r>
    </w:p>
    <w:p w:rsidR="00120D02" w:rsidRDefault="00120D02" w:rsidP="00120D02">
      <w:pPr>
        <w:pStyle w:val="Heading2"/>
        <w:jc w:val="both"/>
      </w:pPr>
      <w:bookmarkStart w:id="84" w:name="_Toc336267650"/>
      <w:r>
        <w:t>Other EU law: procurement and state aid</w:t>
      </w:r>
      <w:bookmarkEnd w:id="84"/>
    </w:p>
    <w:p w:rsidR="00120D02" w:rsidRDefault="00120D02" w:rsidP="00120D02">
      <w:pPr>
        <w:pStyle w:val="Heading3"/>
        <w:jc w:val="both"/>
      </w:pPr>
      <w:bookmarkStart w:id="85" w:name="_Toc336267651"/>
      <w:r>
        <w:t>Hamburg and inter-municipal waste service</w:t>
      </w:r>
      <w:bookmarkEnd w:id="85"/>
    </w:p>
    <w:p w:rsidR="00120D02" w:rsidRPr="001E3C15" w:rsidRDefault="00120D02" w:rsidP="00120D02">
      <w:pPr>
        <w:jc w:val="both"/>
      </w:pPr>
      <w:r w:rsidRPr="001E3C15">
        <w:t>On 09 June 2009, the European Court of Justice decided that local authorities are allowed to cooperate using each other’s resources without applying the EU public procurement directives. The decided case dealt with the disposal of waste by neighbouring local authorities at an incinerator owned by the city of Hamburg, Germany, under a cooperation agreement between the public authorities (</w:t>
      </w:r>
      <w:r w:rsidRPr="001E3C15">
        <w:rPr>
          <w:rStyle w:val="currencyconvertertext"/>
        </w:rPr>
        <w:t>Case C</w:t>
      </w:r>
      <w:r w:rsidRPr="001E3C15">
        <w:rPr>
          <w:rStyle w:val="currencyconvertertext"/>
        </w:rPr>
        <w:noBreakHyphen/>
        <w:t>480/06)</w:t>
      </w:r>
      <w:r w:rsidRPr="001E3C15">
        <w:t xml:space="preserve">.  The court ruled that: </w:t>
      </w:r>
    </w:p>
    <w:p w:rsidR="00120D02" w:rsidRPr="001E3C15" w:rsidRDefault="00120D02" w:rsidP="00120D02">
      <w:pPr>
        <w:ind w:left="720"/>
        <w:jc w:val="both"/>
        <w:rPr>
          <w:sz w:val="20"/>
          <w:szCs w:val="20"/>
        </w:rPr>
      </w:pPr>
      <w:r w:rsidRPr="001E3C15">
        <w:rPr>
          <w:sz w:val="20"/>
          <w:szCs w:val="20"/>
        </w:rPr>
        <w:t xml:space="preserve">“a public authority has the possibility of performing the public interest tasks conferred on it by using its own resources, without being obliged to call on outside entities not forming part of its own departments, and that it may do so in cooperation with other public authorities (see </w:t>
      </w:r>
      <w:r w:rsidRPr="001E3C15">
        <w:rPr>
          <w:i/>
          <w:iCs/>
          <w:sz w:val="20"/>
          <w:szCs w:val="20"/>
        </w:rPr>
        <w:t>Coditel Brabant</w:t>
      </w:r>
      <w:r w:rsidRPr="001E3C15">
        <w:rPr>
          <w:rStyle w:val="currencyconvertertext"/>
          <w:sz w:val="20"/>
          <w:szCs w:val="20"/>
        </w:rPr>
        <w:t xml:space="preserve">, paragraphs </w:t>
      </w:r>
      <w:r w:rsidRPr="001E3C15">
        <w:rPr>
          <w:rStyle w:val="currencyconverterlink"/>
          <w:sz w:val="20"/>
          <w:szCs w:val="20"/>
        </w:rPr>
        <w:t>48</w:t>
      </w:r>
      <w:r w:rsidRPr="001E3C15">
        <w:rPr>
          <w:rStyle w:val="currencyconvertertext"/>
          <w:sz w:val="20"/>
          <w:szCs w:val="20"/>
        </w:rPr>
        <w:t xml:space="preserve"> and </w:t>
      </w:r>
      <w:r w:rsidRPr="001E3C15">
        <w:rPr>
          <w:rStyle w:val="currencyconverterlink"/>
          <w:sz w:val="20"/>
          <w:szCs w:val="20"/>
        </w:rPr>
        <w:t>49</w:t>
      </w:r>
      <w:r w:rsidRPr="001E3C15">
        <w:rPr>
          <w:rStyle w:val="currencyconvertertext"/>
          <w:sz w:val="20"/>
          <w:szCs w:val="20"/>
        </w:rPr>
        <w:t>).</w:t>
      </w:r>
      <w:r w:rsidRPr="001E3C15">
        <w:rPr>
          <w:sz w:val="20"/>
          <w:szCs w:val="20"/>
        </w:rPr>
        <w:t>....”</w:t>
      </w:r>
    </w:p>
    <w:p w:rsidR="00120D02" w:rsidRPr="001E3C15" w:rsidRDefault="00120D02" w:rsidP="00120D02">
      <w:pPr>
        <w:ind w:left="720"/>
        <w:jc w:val="both"/>
        <w:rPr>
          <w:rStyle w:val="currencyconvertertext"/>
          <w:sz w:val="20"/>
          <w:szCs w:val="20"/>
        </w:rPr>
      </w:pPr>
      <w:r w:rsidRPr="001E3C15">
        <w:rPr>
          <w:sz w:val="20"/>
          <w:szCs w:val="20"/>
        </w:rPr>
        <w:t>“</w:t>
      </w:r>
      <w:r w:rsidRPr="001E3C15">
        <w:rPr>
          <w:rStyle w:val="currencyconvertertext"/>
          <w:sz w:val="20"/>
          <w:szCs w:val="20"/>
        </w:rPr>
        <w:t>Community law does not require public authorities to use any particular legal form in order to carry out jointly their public service tasks” (such as a specially created and jointly owned company)</w:t>
      </w:r>
    </w:p>
    <w:p w:rsidR="00120D02" w:rsidRPr="001E3C15" w:rsidRDefault="00120D02" w:rsidP="00120D02">
      <w:pPr>
        <w:ind w:left="720"/>
        <w:jc w:val="both"/>
        <w:rPr>
          <w:sz w:val="20"/>
          <w:szCs w:val="20"/>
        </w:rPr>
      </w:pPr>
      <w:r w:rsidRPr="001E3C15">
        <w:rPr>
          <w:rStyle w:val="currencyconvertertext"/>
          <w:sz w:val="20"/>
          <w:szCs w:val="20"/>
        </w:rPr>
        <w:t>and that “such cooperation between public authorities does not undermine the principal objective of the Community rules on public procurement, that is, the free movement of services and the opening-up of undistorted competition in all the Member States</w:t>
      </w:r>
      <w:r w:rsidRPr="001E3C15">
        <w:rPr>
          <w:sz w:val="20"/>
          <w:szCs w:val="20"/>
        </w:rPr>
        <w:t xml:space="preserve"> </w:t>
      </w:r>
      <w:r w:rsidRPr="001E3C15">
        <w:rPr>
          <w:rStyle w:val="currencyconvertertext"/>
          <w:sz w:val="20"/>
          <w:szCs w:val="20"/>
        </w:rPr>
        <w:t>, where implementation of that cooperation is governed solely by considerations and requirements relating to the pursuit of objectives in the public interest”.</w:t>
      </w:r>
      <w:r w:rsidRPr="001E3C15">
        <w:rPr>
          <w:rStyle w:val="EndnoteReference"/>
        </w:rPr>
        <w:t xml:space="preserve"> </w:t>
      </w:r>
      <w:r w:rsidRPr="001E3C15">
        <w:rPr>
          <w:rStyle w:val="EndnoteReference"/>
        </w:rPr>
        <w:endnoteReference w:id="41"/>
      </w:r>
    </w:p>
    <w:p w:rsidR="00120D02" w:rsidRDefault="00A472DE" w:rsidP="00120D02">
      <w:pPr>
        <w:jc w:val="both"/>
        <w:rPr>
          <w:bCs/>
        </w:rPr>
      </w:pPr>
      <w:r>
        <w:t>The decision has been very important in legitimising the use of inter-municipal</w:t>
      </w:r>
      <w:r w:rsidR="00BF4EA0">
        <w:t xml:space="preserve"> organisations to provide waste and other public services.</w:t>
      </w:r>
      <w:r w:rsidR="00120D02" w:rsidRPr="001E3C15">
        <w:rPr>
          <w:rStyle w:val="EndnoteReference"/>
          <w:bCs/>
        </w:rPr>
        <w:endnoteReference w:id="42"/>
      </w:r>
    </w:p>
    <w:p w:rsidR="00120D02" w:rsidRDefault="00120D02" w:rsidP="00120D02">
      <w:pPr>
        <w:pStyle w:val="Heading3"/>
        <w:jc w:val="both"/>
      </w:pPr>
      <w:bookmarkStart w:id="86" w:name="_Toc336267652"/>
      <w:r>
        <w:t>Italy re state aid</w:t>
      </w:r>
      <w:bookmarkEnd w:id="86"/>
    </w:p>
    <w:p w:rsidR="00120D02" w:rsidRDefault="00120D02" w:rsidP="00120D02">
      <w:pPr>
        <w:jc w:val="both"/>
      </w:pPr>
      <w:r>
        <w:rPr>
          <w:rStyle w:val="currencyconvertertext"/>
        </w:rPr>
        <w:t>In Case T</w:t>
      </w:r>
      <w:r>
        <w:rPr>
          <w:rStyle w:val="currencyconvertertext"/>
        </w:rPr>
        <w:noBreakHyphen/>
        <w:t xml:space="preserve">222/04, the ECJ upheld a commission ruling that Italy was in breach of the state aid rules by granting of tax reliefs and loans at preferential rates to a group of local authority companies providing public services including water, gas, electricity and waste management (including ACEA (Rome), AEM Milan) and AMGA (Genoa). </w:t>
      </w:r>
      <w:r>
        <w:rPr>
          <w:rStyle w:val="EndnoteReference"/>
        </w:rPr>
        <w:endnoteReference w:id="43"/>
      </w:r>
      <w:r>
        <w:rPr>
          <w:rStyle w:val="currencyconvertertext"/>
        </w:rPr>
        <w:t xml:space="preserve">  </w:t>
      </w:r>
    </w:p>
    <w:p w:rsidR="00BA3B94" w:rsidRDefault="00BA3B94" w:rsidP="002D500E">
      <w:pPr>
        <w:jc w:val="both"/>
      </w:pPr>
      <w:r>
        <w:br w:type="page"/>
      </w:r>
    </w:p>
    <w:p w:rsidR="002D500E" w:rsidRPr="00CB3FED" w:rsidRDefault="002D500E" w:rsidP="002D500E">
      <w:pPr>
        <w:jc w:val="both"/>
      </w:pPr>
    </w:p>
    <w:p w:rsidR="002D500E" w:rsidRDefault="00BA3B94" w:rsidP="00BA3B94">
      <w:pPr>
        <w:pStyle w:val="Heading1"/>
        <w:numPr>
          <w:ilvl w:val="0"/>
          <w:numId w:val="0"/>
        </w:numPr>
        <w:ind w:left="360" w:hanging="360"/>
      </w:pPr>
      <w:bookmarkStart w:id="87" w:name="_Toc336267653"/>
      <w:r>
        <w:t>Notes</w:t>
      </w:r>
      <w:bookmarkEnd w:id="87"/>
    </w:p>
    <w:sectPr w:rsidR="002D500E" w:rsidSect="0078087D">
      <w:headerReference w:type="default" r:id="rId143"/>
      <w:footerReference w:type="default" r:id="rId144"/>
      <w:headerReference w:type="first" r:id="rId145"/>
      <w:footerReference w:type="first" r:id="rId146"/>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0E" w:rsidRDefault="0077670E">
      <w:r>
        <w:separator/>
      </w:r>
    </w:p>
  </w:endnote>
  <w:endnote w:type="continuationSeparator" w:id="0">
    <w:p w:rsidR="0077670E" w:rsidRDefault="0077670E">
      <w:r>
        <w:continuationSeparator/>
      </w:r>
    </w:p>
  </w:endnote>
  <w:endnote w:id="1">
    <w:p w:rsidR="00D531A7" w:rsidRPr="00A86A74" w:rsidRDefault="00D531A7">
      <w:pPr>
        <w:pStyle w:val="EndnoteText"/>
      </w:pPr>
      <w:r>
        <w:rPr>
          <w:rStyle w:val="EndnoteReference"/>
        </w:rPr>
        <w:endnoteRef/>
      </w:r>
      <w:r w:rsidRPr="00A86A74">
        <w:t xml:space="preserve"> </w:t>
      </w:r>
      <w:hyperlink r:id="rId1" w:history="1">
        <w:r w:rsidRPr="00E63AF0">
          <w:rPr>
            <w:rStyle w:val="Hyperlink"/>
          </w:rPr>
          <w:t>http://www.finance.veolia.com/docs/3-Rapport-Gestion-062012-version-mise-en-ligne.pdf</w:t>
        </w:r>
      </w:hyperlink>
      <w:r>
        <w:t xml:space="preserve"> </w:t>
      </w:r>
    </w:p>
  </w:endnote>
  <w:endnote w:id="2">
    <w:p w:rsidR="00D531A7" w:rsidRPr="00BF0F84" w:rsidRDefault="00D531A7" w:rsidP="000C0CA1">
      <w:pPr>
        <w:pStyle w:val="EndnoteText"/>
        <w:rPr>
          <w:lang w:val="fr-FR"/>
        </w:rPr>
      </w:pPr>
      <w:r>
        <w:rPr>
          <w:rStyle w:val="EndnoteReference"/>
        </w:rPr>
        <w:endnoteRef/>
      </w:r>
      <w:r w:rsidRPr="00BF0F84">
        <w:rPr>
          <w:lang w:val="fr-FR"/>
        </w:rPr>
        <w:t xml:space="preserve"> La Tribune.fr Jeudi 19 Juillet 2012 Veolia cède une de ses filiales américaines pour 1,55 milliard d'euros</w:t>
      </w:r>
    </w:p>
  </w:endnote>
  <w:endnote w:id="3">
    <w:p w:rsidR="00D531A7" w:rsidRPr="00EE1822" w:rsidRDefault="00D531A7">
      <w:pPr>
        <w:pStyle w:val="EndnoteText"/>
        <w:rPr>
          <w:lang w:val="fr-FR"/>
        </w:rPr>
      </w:pPr>
      <w:r>
        <w:rPr>
          <w:rStyle w:val="EndnoteReference"/>
        </w:rPr>
        <w:endnoteRef/>
      </w:r>
      <w:r w:rsidRPr="00EE1822">
        <w:rPr>
          <w:lang w:val="fr-FR"/>
        </w:rPr>
        <w:t xml:space="preserve"> </w:t>
      </w:r>
      <w:r>
        <w:rPr>
          <w:lang w:val="fr-FR"/>
        </w:rPr>
        <w:t xml:space="preserve">   </w:t>
      </w:r>
      <w:r w:rsidRPr="00EE1822">
        <w:rPr>
          <w:lang w:val="fr-FR"/>
        </w:rPr>
        <w:t>Pages de Presentation-Investor-Day-2011-proprete-en.pdf</w:t>
      </w:r>
      <w:r>
        <w:rPr>
          <w:lang w:val="fr-FR"/>
        </w:rPr>
        <w:t xml:space="preserve"> </w:t>
      </w:r>
      <w:hyperlink r:id="rId2" w:history="1">
        <w:r w:rsidRPr="00E63AF0">
          <w:rPr>
            <w:rStyle w:val="Hyperlink"/>
            <w:lang w:val="fr-FR"/>
          </w:rPr>
          <w:t>http://www.finance.veolia.com/docs/Pages%20de%20Presentation-Investor-Day-2011-proprete.pdf</w:t>
        </w:r>
      </w:hyperlink>
      <w:r>
        <w:rPr>
          <w:lang w:val="fr-FR"/>
        </w:rPr>
        <w:t xml:space="preserve"> </w:t>
      </w:r>
    </w:p>
  </w:endnote>
  <w:endnote w:id="4">
    <w:p w:rsidR="00D531A7" w:rsidRPr="00925572" w:rsidRDefault="00D531A7" w:rsidP="00925572">
      <w:pPr>
        <w:contextualSpacing/>
        <w:rPr>
          <w:sz w:val="20"/>
          <w:szCs w:val="20"/>
          <w:lang w:val="es-ES_tradnl"/>
        </w:rPr>
      </w:pPr>
      <w:r w:rsidRPr="00925572">
        <w:rPr>
          <w:rStyle w:val="EndnoteReference"/>
          <w:sz w:val="20"/>
          <w:szCs w:val="20"/>
        </w:rPr>
        <w:endnoteRef/>
      </w:r>
      <w:r w:rsidRPr="00925572">
        <w:rPr>
          <w:sz w:val="20"/>
          <w:szCs w:val="20"/>
          <w:lang w:val="es-ES_tradnl"/>
        </w:rPr>
        <w:t xml:space="preserve"> Suez Doc de Reference 2009 </w:t>
      </w:r>
      <w:hyperlink r:id="rId3" w:history="1">
        <w:r w:rsidRPr="00925572">
          <w:rPr>
            <w:rStyle w:val="Hyperlink"/>
            <w:sz w:val="20"/>
            <w:szCs w:val="20"/>
            <w:lang w:val="es-ES_tradnl"/>
          </w:rPr>
          <w:t>http://www.suez-environnement.com/document/?f=profile/en/ddr_se_2009_en.pdf</w:t>
        </w:r>
      </w:hyperlink>
      <w:r w:rsidRPr="00925572">
        <w:rPr>
          <w:sz w:val="20"/>
          <w:szCs w:val="20"/>
          <w:lang w:val="es-ES_tradnl"/>
        </w:rPr>
        <w:t xml:space="preserve"> </w:t>
      </w:r>
    </w:p>
  </w:endnote>
  <w:endnote w:id="5">
    <w:p w:rsidR="00D531A7" w:rsidRPr="007704F5" w:rsidRDefault="00D531A7">
      <w:pPr>
        <w:pStyle w:val="EndnoteText"/>
        <w:rPr>
          <w:lang w:val="es-ES_tradnl"/>
        </w:rPr>
      </w:pPr>
      <w:r>
        <w:rPr>
          <w:rStyle w:val="EndnoteReference"/>
        </w:rPr>
        <w:endnoteRef/>
      </w:r>
      <w:r w:rsidRPr="007704F5">
        <w:rPr>
          <w:lang w:val="es-ES_tradnl"/>
        </w:rPr>
        <w:t xml:space="preserve">   </w:t>
      </w:r>
      <w:hyperlink r:id="rId4" w:history="1">
        <w:r w:rsidRPr="00E63AF0">
          <w:rPr>
            <w:rStyle w:val="Hyperlink"/>
            <w:lang w:val="es-ES_tradnl"/>
          </w:rPr>
          <w:t>http://www.suez-environnement.com/wp-content/uploads/2012/08/SE_H1-2012_VA_DEF2_WEB.pdf</w:t>
        </w:r>
      </w:hyperlink>
      <w:r>
        <w:rPr>
          <w:lang w:val="es-ES_tradnl"/>
        </w:rPr>
        <w:t xml:space="preserve"> </w:t>
      </w:r>
    </w:p>
  </w:endnote>
  <w:endnote w:id="6">
    <w:p w:rsidR="00D531A7" w:rsidRPr="00573FC9" w:rsidRDefault="00D531A7">
      <w:pPr>
        <w:pStyle w:val="EndnoteText"/>
        <w:rPr>
          <w:lang w:val="fr-FR"/>
        </w:rPr>
      </w:pPr>
      <w:r>
        <w:rPr>
          <w:rStyle w:val="EndnoteReference"/>
        </w:rPr>
        <w:endnoteRef/>
      </w:r>
      <w:r w:rsidRPr="00573FC9">
        <w:rPr>
          <w:lang w:val="fr-FR"/>
        </w:rPr>
        <w:t xml:space="preserve"> Remondis Aktuell 3/2011  </w:t>
      </w:r>
      <w:hyperlink r:id="rId5" w:history="1">
        <w:r w:rsidRPr="00573FC9">
          <w:rPr>
            <w:rStyle w:val="Hyperlink"/>
            <w:lang w:val="fr-FR"/>
          </w:rPr>
          <w:t>http://www.remondis.com/uploads/tx_3spdfs/RA_3_11_EN_Online_04.pdf</w:t>
        </w:r>
      </w:hyperlink>
      <w:r w:rsidRPr="00573FC9">
        <w:rPr>
          <w:lang w:val="fr-FR"/>
        </w:rPr>
        <w:t xml:space="preserve"> </w:t>
      </w:r>
    </w:p>
  </w:endnote>
  <w:endnote w:id="7">
    <w:p w:rsidR="00D531A7" w:rsidRPr="00573FC9" w:rsidRDefault="00D531A7">
      <w:pPr>
        <w:pStyle w:val="EndnoteText"/>
      </w:pPr>
      <w:r>
        <w:rPr>
          <w:rStyle w:val="EndnoteReference"/>
        </w:rPr>
        <w:endnoteRef/>
      </w:r>
      <w:r w:rsidRPr="00573FC9">
        <w:t xml:space="preserve"> Van Gansewinkel AR 2011 </w:t>
      </w:r>
      <w:hyperlink r:id="rId6" w:history="1">
        <w:r w:rsidRPr="00573FC9">
          <w:rPr>
            <w:rStyle w:val="Hyperlink"/>
          </w:rPr>
          <w:t>http://www.vangansewinkelgroep.com/library/VGWG_UK_Annual_report-2011_web.pdf</w:t>
        </w:r>
      </w:hyperlink>
      <w:r w:rsidRPr="00573FC9">
        <w:t xml:space="preserve"> </w:t>
      </w:r>
    </w:p>
  </w:endnote>
  <w:endnote w:id="8">
    <w:p w:rsidR="00D531A7" w:rsidRPr="00670786" w:rsidRDefault="00D531A7" w:rsidP="00670786">
      <w:pPr>
        <w:rPr>
          <w:color w:val="0000FF"/>
        </w:rPr>
      </w:pPr>
      <w:r>
        <w:rPr>
          <w:rStyle w:val="EndnoteReference"/>
        </w:rPr>
        <w:endnoteRef/>
      </w:r>
      <w:r>
        <w:t xml:space="preserve"> </w:t>
      </w:r>
      <w:r w:rsidRPr="00495DDD">
        <w:t xml:space="preserve">ANTONIOLI B. and MASSARUTTO A. 2010  The municipal waste management sector in Europe: </w:t>
      </w:r>
      <w:r>
        <w:t>s</w:t>
      </w:r>
      <w:r w:rsidRPr="00495DDD">
        <w:t xml:space="preserve">hifting boundaries between public service and the market CIRIEC </w:t>
      </w:r>
      <w:r w:rsidRPr="00554C70">
        <w:rPr>
          <w:bCs/>
        </w:rPr>
        <w:t>WP11/07</w:t>
      </w:r>
      <w:r w:rsidRPr="00495DDD">
        <w:rPr>
          <w:b/>
          <w:bCs/>
        </w:rPr>
        <w:t xml:space="preserve"> </w:t>
      </w:r>
      <w:hyperlink r:id="rId7" w:history="1">
        <w:r w:rsidRPr="003016B0">
          <w:rPr>
            <w:color w:val="0000FF"/>
            <w:u w:val="single"/>
          </w:rPr>
          <w:t>http://www.ciriec.ulg.ac.be/fr/telechargements/WORKING_PAPERS/WP11-07.pdf</w:t>
        </w:r>
      </w:hyperlink>
    </w:p>
  </w:endnote>
  <w:endnote w:id="9">
    <w:p w:rsidR="00D531A7" w:rsidRPr="00271C71" w:rsidRDefault="00D531A7" w:rsidP="0046472F">
      <w:pPr>
        <w:pStyle w:val="EndnoteText"/>
      </w:pPr>
      <w:r>
        <w:rPr>
          <w:rStyle w:val="EndnoteReference"/>
        </w:rPr>
        <w:endnoteRef/>
      </w:r>
      <w:r>
        <w:t xml:space="preserve"> </w:t>
      </w:r>
      <w:r w:rsidRPr="00271C71">
        <w:rPr>
          <w:lang w:val="fr-FR"/>
        </w:rPr>
        <w:t xml:space="preserve">Source: Ademe </w:t>
      </w:r>
      <w:hyperlink r:id="rId8" w:tooltip="Chiffres clés déchets - Édition 2012" w:history="1">
        <w:r w:rsidRPr="00271C71">
          <w:rPr>
            <w:rStyle w:val="Hyperlink"/>
            <w:lang w:val="fr-FR"/>
          </w:rPr>
          <w:t>Chiffres clés déchets - Édition 2012</w:t>
        </w:r>
      </w:hyperlink>
      <w:r w:rsidRPr="00271C71">
        <w:rPr>
          <w:lang w:val="fr-FR"/>
        </w:rPr>
        <w:t xml:space="preserve"> ; Eko Gen </w:t>
      </w:r>
      <w:r w:rsidRPr="00271C71">
        <w:t>2011</w:t>
      </w:r>
      <w:r w:rsidRPr="00271C71">
        <w:rPr>
          <w:lang w:val="fr-FR"/>
        </w:rPr>
        <w:t xml:space="preserve"> </w:t>
      </w:r>
      <w:hyperlink r:id="rId9" w:history="1">
        <w:r w:rsidRPr="00271C71">
          <w:rPr>
            <w:rStyle w:val="Hyperlink"/>
          </w:rPr>
          <w:t>From Waste Management to Resource Recovery: A Developing Sector</w:t>
        </w:r>
      </w:hyperlink>
      <w:r w:rsidRPr="00271C71">
        <w:t>; PSIRU calculations</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701"/>
        <w:gridCol w:w="1701"/>
        <w:gridCol w:w="1559"/>
      </w:tblGrid>
      <w:tr w:rsidR="00D531A7" w:rsidRPr="00271C71" w:rsidTr="00CF298C">
        <w:trPr>
          <w:trHeight w:val="300"/>
        </w:trPr>
        <w:tc>
          <w:tcPr>
            <w:tcW w:w="3701" w:type="dxa"/>
            <w:shd w:val="clear" w:color="auto" w:fill="auto"/>
            <w:noWrap/>
            <w:vAlign w:val="bottom"/>
          </w:tcPr>
          <w:p w:rsidR="00D531A7" w:rsidRPr="00271C71" w:rsidRDefault="00D531A7" w:rsidP="00271C71">
            <w:pPr>
              <w:pStyle w:val="EndnoteText"/>
            </w:pPr>
          </w:p>
        </w:tc>
        <w:tc>
          <w:tcPr>
            <w:tcW w:w="1701" w:type="dxa"/>
            <w:shd w:val="clear" w:color="auto" w:fill="auto"/>
            <w:noWrap/>
            <w:vAlign w:val="bottom"/>
          </w:tcPr>
          <w:p w:rsidR="00D531A7" w:rsidRPr="00271C71" w:rsidRDefault="00D531A7" w:rsidP="00271C71">
            <w:pPr>
              <w:pStyle w:val="EndnoteText"/>
            </w:pPr>
            <w:r w:rsidRPr="00271C71">
              <w:t>France 2009</w:t>
            </w:r>
          </w:p>
        </w:tc>
        <w:tc>
          <w:tcPr>
            <w:tcW w:w="1701" w:type="dxa"/>
            <w:shd w:val="clear" w:color="auto" w:fill="auto"/>
            <w:noWrap/>
            <w:vAlign w:val="bottom"/>
          </w:tcPr>
          <w:p w:rsidR="00D531A7" w:rsidRPr="00271C71" w:rsidRDefault="00D531A7" w:rsidP="00271C71">
            <w:pPr>
              <w:pStyle w:val="EndnoteText"/>
            </w:pPr>
            <w:r w:rsidRPr="00271C71">
              <w:t>UK 2010</w:t>
            </w:r>
          </w:p>
        </w:tc>
        <w:tc>
          <w:tcPr>
            <w:tcW w:w="1559" w:type="dxa"/>
            <w:vAlign w:val="bottom"/>
          </w:tcPr>
          <w:p w:rsidR="00D531A7" w:rsidRPr="00271C71" w:rsidRDefault="00D531A7" w:rsidP="00271C71">
            <w:pPr>
              <w:pStyle w:val="EndnoteText"/>
              <w:rPr>
                <w:i/>
              </w:rPr>
            </w:pPr>
            <w:r w:rsidRPr="00271C71">
              <w:rPr>
                <w:i/>
              </w:rPr>
              <w:t>UK 2010</w:t>
            </w:r>
          </w:p>
        </w:tc>
      </w:tr>
      <w:tr w:rsidR="00D531A7" w:rsidRPr="00271C71" w:rsidTr="00CF298C">
        <w:trPr>
          <w:trHeight w:val="300"/>
        </w:trPr>
        <w:tc>
          <w:tcPr>
            <w:tcW w:w="3701" w:type="dxa"/>
            <w:shd w:val="clear" w:color="auto" w:fill="auto"/>
            <w:noWrap/>
            <w:vAlign w:val="bottom"/>
            <w:hideMark/>
          </w:tcPr>
          <w:p w:rsidR="00D531A7" w:rsidRPr="00271C71" w:rsidRDefault="00D531A7" w:rsidP="00271C71">
            <w:pPr>
              <w:pStyle w:val="EndnoteText"/>
            </w:pPr>
          </w:p>
        </w:tc>
        <w:tc>
          <w:tcPr>
            <w:tcW w:w="1701" w:type="dxa"/>
            <w:shd w:val="clear" w:color="auto" w:fill="auto"/>
            <w:noWrap/>
            <w:vAlign w:val="bottom"/>
            <w:hideMark/>
          </w:tcPr>
          <w:p w:rsidR="00D531A7" w:rsidRPr="00271C71" w:rsidRDefault="00D531A7" w:rsidP="00271C71">
            <w:pPr>
              <w:pStyle w:val="EndnoteText"/>
            </w:pPr>
            <w:r w:rsidRPr="00271C71">
              <w:t xml:space="preserve"> (€billion Euros)</w:t>
            </w:r>
          </w:p>
        </w:tc>
        <w:tc>
          <w:tcPr>
            <w:tcW w:w="1701" w:type="dxa"/>
            <w:shd w:val="clear" w:color="auto" w:fill="auto"/>
            <w:noWrap/>
            <w:vAlign w:val="bottom"/>
          </w:tcPr>
          <w:p w:rsidR="00D531A7" w:rsidRPr="00271C71" w:rsidRDefault="00D531A7" w:rsidP="00271C71">
            <w:pPr>
              <w:pStyle w:val="EndnoteText"/>
            </w:pPr>
            <w:r w:rsidRPr="00271C71">
              <w:t>(€billion Euros)</w:t>
            </w:r>
          </w:p>
        </w:tc>
        <w:tc>
          <w:tcPr>
            <w:tcW w:w="1559" w:type="dxa"/>
            <w:vAlign w:val="bottom"/>
          </w:tcPr>
          <w:p w:rsidR="00D531A7" w:rsidRPr="00271C71" w:rsidRDefault="00D531A7" w:rsidP="00271C71">
            <w:pPr>
              <w:pStyle w:val="EndnoteText"/>
              <w:rPr>
                <w:i/>
              </w:rPr>
            </w:pPr>
            <w:r w:rsidRPr="00271C71">
              <w:rPr>
                <w:i/>
              </w:rPr>
              <w:t xml:space="preserve"> (£ billion GBP)</w:t>
            </w:r>
          </w:p>
        </w:tc>
      </w:tr>
      <w:tr w:rsidR="00D531A7" w:rsidRPr="00271C71" w:rsidTr="00CF298C">
        <w:trPr>
          <w:trHeight w:val="300"/>
        </w:trPr>
        <w:tc>
          <w:tcPr>
            <w:tcW w:w="3701" w:type="dxa"/>
            <w:shd w:val="clear" w:color="auto" w:fill="auto"/>
            <w:noWrap/>
            <w:vAlign w:val="bottom"/>
            <w:hideMark/>
          </w:tcPr>
          <w:p w:rsidR="00D531A7" w:rsidRPr="00271C71" w:rsidRDefault="00D531A7" w:rsidP="00271C71">
            <w:pPr>
              <w:pStyle w:val="EndnoteText"/>
            </w:pPr>
            <w:r w:rsidRPr="00271C71">
              <w:t>Municipal waste and street cleaning</w:t>
            </w:r>
          </w:p>
        </w:tc>
        <w:tc>
          <w:tcPr>
            <w:tcW w:w="1701" w:type="dxa"/>
            <w:shd w:val="clear" w:color="auto" w:fill="auto"/>
            <w:noWrap/>
            <w:vAlign w:val="bottom"/>
            <w:hideMark/>
          </w:tcPr>
          <w:p w:rsidR="00D531A7" w:rsidRPr="00271C71" w:rsidRDefault="00D531A7" w:rsidP="00271C71">
            <w:pPr>
              <w:pStyle w:val="EndnoteText"/>
            </w:pPr>
            <w:r w:rsidRPr="00271C71">
              <w:t>9.1</w:t>
            </w:r>
          </w:p>
        </w:tc>
        <w:tc>
          <w:tcPr>
            <w:tcW w:w="1701" w:type="dxa"/>
            <w:shd w:val="clear" w:color="auto" w:fill="auto"/>
            <w:noWrap/>
            <w:vAlign w:val="bottom"/>
          </w:tcPr>
          <w:p w:rsidR="00D531A7" w:rsidRPr="00271C71" w:rsidRDefault="00D531A7" w:rsidP="00271C71">
            <w:pPr>
              <w:pStyle w:val="EndnoteText"/>
            </w:pPr>
            <w:r w:rsidRPr="00271C71">
              <w:t>8.8</w:t>
            </w:r>
          </w:p>
        </w:tc>
        <w:tc>
          <w:tcPr>
            <w:tcW w:w="1559" w:type="dxa"/>
            <w:vAlign w:val="bottom"/>
          </w:tcPr>
          <w:p w:rsidR="00D531A7" w:rsidRPr="00271C71" w:rsidRDefault="00D531A7" w:rsidP="00271C71">
            <w:pPr>
              <w:pStyle w:val="EndnoteText"/>
              <w:rPr>
                <w:i/>
              </w:rPr>
            </w:pPr>
            <w:r w:rsidRPr="00271C71">
              <w:rPr>
                <w:i/>
              </w:rPr>
              <w:t>7.5</w:t>
            </w:r>
          </w:p>
        </w:tc>
      </w:tr>
      <w:tr w:rsidR="00D531A7" w:rsidRPr="00271C71" w:rsidTr="00CF298C">
        <w:trPr>
          <w:trHeight w:val="300"/>
        </w:trPr>
        <w:tc>
          <w:tcPr>
            <w:tcW w:w="3701" w:type="dxa"/>
            <w:shd w:val="clear" w:color="auto" w:fill="auto"/>
            <w:noWrap/>
            <w:vAlign w:val="bottom"/>
          </w:tcPr>
          <w:p w:rsidR="00D531A7" w:rsidRPr="00271C71" w:rsidRDefault="00D531A7" w:rsidP="00CF298C">
            <w:pPr>
              <w:pStyle w:val="EndnoteText"/>
            </w:pPr>
            <w:r>
              <w:t>P</w:t>
            </w:r>
            <w:r w:rsidRPr="00271C71">
              <w:t>er cent of GDP</w:t>
            </w:r>
          </w:p>
        </w:tc>
        <w:tc>
          <w:tcPr>
            <w:tcW w:w="1701" w:type="dxa"/>
            <w:shd w:val="clear" w:color="auto" w:fill="auto"/>
            <w:noWrap/>
            <w:vAlign w:val="bottom"/>
          </w:tcPr>
          <w:p w:rsidR="00D531A7" w:rsidRPr="00271C71" w:rsidRDefault="00D531A7" w:rsidP="00271C71">
            <w:pPr>
              <w:pStyle w:val="EndnoteText"/>
            </w:pPr>
            <w:r>
              <w:t>0.5%</w:t>
            </w:r>
          </w:p>
        </w:tc>
        <w:tc>
          <w:tcPr>
            <w:tcW w:w="1701" w:type="dxa"/>
            <w:shd w:val="clear" w:color="auto" w:fill="auto"/>
            <w:noWrap/>
            <w:vAlign w:val="bottom"/>
          </w:tcPr>
          <w:p w:rsidR="00D531A7" w:rsidRPr="00271C71" w:rsidRDefault="00D531A7" w:rsidP="00271C71">
            <w:pPr>
              <w:pStyle w:val="EndnoteText"/>
            </w:pPr>
            <w:r>
              <w:t>0.5%</w:t>
            </w:r>
          </w:p>
        </w:tc>
        <w:tc>
          <w:tcPr>
            <w:tcW w:w="1559" w:type="dxa"/>
            <w:vAlign w:val="bottom"/>
          </w:tcPr>
          <w:p w:rsidR="00D531A7" w:rsidRPr="00271C71" w:rsidRDefault="00D531A7" w:rsidP="00271C71">
            <w:pPr>
              <w:pStyle w:val="EndnoteText"/>
              <w:rPr>
                <w:i/>
              </w:rPr>
            </w:pPr>
          </w:p>
        </w:tc>
      </w:tr>
      <w:tr w:rsidR="00D531A7" w:rsidRPr="00271C71" w:rsidTr="00CF298C">
        <w:trPr>
          <w:trHeight w:val="300"/>
        </w:trPr>
        <w:tc>
          <w:tcPr>
            <w:tcW w:w="3701" w:type="dxa"/>
            <w:shd w:val="clear" w:color="auto" w:fill="auto"/>
            <w:noWrap/>
            <w:vAlign w:val="bottom"/>
            <w:hideMark/>
          </w:tcPr>
          <w:p w:rsidR="00D531A7" w:rsidRPr="00271C71" w:rsidRDefault="00D531A7" w:rsidP="00271C71">
            <w:pPr>
              <w:pStyle w:val="EndnoteText"/>
            </w:pPr>
            <w:r w:rsidRPr="00271C71">
              <w:t>Industrial waste</w:t>
            </w:r>
          </w:p>
        </w:tc>
        <w:tc>
          <w:tcPr>
            <w:tcW w:w="1701" w:type="dxa"/>
            <w:shd w:val="clear" w:color="auto" w:fill="auto"/>
            <w:noWrap/>
            <w:vAlign w:val="bottom"/>
            <w:hideMark/>
          </w:tcPr>
          <w:p w:rsidR="00D531A7" w:rsidRPr="00271C71" w:rsidRDefault="00D531A7" w:rsidP="00271C71">
            <w:pPr>
              <w:pStyle w:val="EndnoteText"/>
            </w:pPr>
            <w:r w:rsidRPr="00271C71">
              <w:t>4.6</w:t>
            </w:r>
          </w:p>
        </w:tc>
        <w:tc>
          <w:tcPr>
            <w:tcW w:w="1701" w:type="dxa"/>
            <w:shd w:val="clear" w:color="auto" w:fill="auto"/>
            <w:noWrap/>
            <w:vAlign w:val="bottom"/>
          </w:tcPr>
          <w:p w:rsidR="00D531A7" w:rsidRPr="00271C71" w:rsidRDefault="00D531A7" w:rsidP="00271C71">
            <w:pPr>
              <w:pStyle w:val="EndnoteText"/>
            </w:pPr>
            <w:r w:rsidRPr="00271C71">
              <w:t>3.9</w:t>
            </w:r>
          </w:p>
        </w:tc>
        <w:tc>
          <w:tcPr>
            <w:tcW w:w="1559" w:type="dxa"/>
            <w:vAlign w:val="bottom"/>
          </w:tcPr>
          <w:p w:rsidR="00D531A7" w:rsidRPr="00271C71" w:rsidRDefault="00D531A7" w:rsidP="00271C71">
            <w:pPr>
              <w:pStyle w:val="EndnoteText"/>
              <w:rPr>
                <w:i/>
              </w:rPr>
            </w:pPr>
            <w:r w:rsidRPr="00271C71">
              <w:rPr>
                <w:i/>
              </w:rPr>
              <w:t>3.3</w:t>
            </w:r>
          </w:p>
        </w:tc>
      </w:tr>
      <w:tr w:rsidR="00D531A7" w:rsidRPr="00271C71" w:rsidTr="00CF298C">
        <w:trPr>
          <w:trHeight w:val="300"/>
        </w:trPr>
        <w:tc>
          <w:tcPr>
            <w:tcW w:w="3701" w:type="dxa"/>
            <w:shd w:val="clear" w:color="auto" w:fill="auto"/>
            <w:noWrap/>
            <w:vAlign w:val="bottom"/>
            <w:hideMark/>
          </w:tcPr>
          <w:p w:rsidR="00D531A7" w:rsidRPr="00271C71" w:rsidRDefault="00D531A7" w:rsidP="00271C71">
            <w:pPr>
              <w:pStyle w:val="EndnoteText"/>
            </w:pPr>
            <w:r w:rsidRPr="00271C71">
              <w:t>Household</w:t>
            </w:r>
          </w:p>
        </w:tc>
        <w:tc>
          <w:tcPr>
            <w:tcW w:w="1701" w:type="dxa"/>
            <w:shd w:val="clear" w:color="auto" w:fill="auto"/>
            <w:noWrap/>
            <w:vAlign w:val="bottom"/>
            <w:hideMark/>
          </w:tcPr>
          <w:p w:rsidR="00D531A7" w:rsidRPr="00271C71" w:rsidRDefault="00D531A7" w:rsidP="00271C71">
            <w:pPr>
              <w:pStyle w:val="EndnoteText"/>
            </w:pPr>
            <w:r w:rsidRPr="00271C71">
              <w:t>0.3</w:t>
            </w:r>
          </w:p>
        </w:tc>
        <w:tc>
          <w:tcPr>
            <w:tcW w:w="1701" w:type="dxa"/>
            <w:shd w:val="clear" w:color="auto" w:fill="auto"/>
            <w:noWrap/>
            <w:vAlign w:val="bottom"/>
          </w:tcPr>
          <w:p w:rsidR="00D531A7" w:rsidRPr="00271C71" w:rsidRDefault="00D531A7" w:rsidP="00271C71">
            <w:pPr>
              <w:pStyle w:val="EndnoteText"/>
            </w:pPr>
            <w:r w:rsidRPr="00271C71">
              <w:t>-</w:t>
            </w:r>
          </w:p>
        </w:tc>
        <w:tc>
          <w:tcPr>
            <w:tcW w:w="1559" w:type="dxa"/>
            <w:vAlign w:val="bottom"/>
          </w:tcPr>
          <w:p w:rsidR="00D531A7" w:rsidRPr="00271C71" w:rsidRDefault="00D531A7" w:rsidP="00271C71">
            <w:pPr>
              <w:pStyle w:val="EndnoteText"/>
              <w:rPr>
                <w:i/>
              </w:rPr>
            </w:pPr>
            <w:r w:rsidRPr="00271C71">
              <w:rPr>
                <w:i/>
              </w:rPr>
              <w:t>-</w:t>
            </w:r>
          </w:p>
        </w:tc>
      </w:tr>
      <w:tr w:rsidR="00D531A7" w:rsidRPr="00271C71" w:rsidTr="00CF298C">
        <w:trPr>
          <w:trHeight w:val="300"/>
        </w:trPr>
        <w:tc>
          <w:tcPr>
            <w:tcW w:w="3701" w:type="dxa"/>
            <w:shd w:val="clear" w:color="auto" w:fill="auto"/>
            <w:noWrap/>
            <w:vAlign w:val="bottom"/>
            <w:hideMark/>
          </w:tcPr>
          <w:p w:rsidR="00D531A7" w:rsidRPr="00271C71" w:rsidRDefault="00D531A7" w:rsidP="00271C71">
            <w:pPr>
              <w:pStyle w:val="EndnoteText"/>
            </w:pPr>
            <w:r w:rsidRPr="00271C71">
              <w:t>TOTAL</w:t>
            </w:r>
          </w:p>
        </w:tc>
        <w:tc>
          <w:tcPr>
            <w:tcW w:w="1701" w:type="dxa"/>
            <w:shd w:val="clear" w:color="auto" w:fill="auto"/>
            <w:noWrap/>
            <w:vAlign w:val="bottom"/>
            <w:hideMark/>
          </w:tcPr>
          <w:p w:rsidR="00D531A7" w:rsidRPr="00271C71" w:rsidRDefault="00D531A7" w:rsidP="00271C71">
            <w:pPr>
              <w:pStyle w:val="EndnoteText"/>
            </w:pPr>
            <w:r w:rsidRPr="00271C71">
              <w:t>14</w:t>
            </w:r>
          </w:p>
        </w:tc>
        <w:tc>
          <w:tcPr>
            <w:tcW w:w="1701" w:type="dxa"/>
            <w:shd w:val="clear" w:color="auto" w:fill="auto"/>
            <w:noWrap/>
            <w:vAlign w:val="bottom"/>
          </w:tcPr>
          <w:p w:rsidR="00D531A7" w:rsidRPr="00271C71" w:rsidRDefault="00D531A7" w:rsidP="00271C71">
            <w:pPr>
              <w:pStyle w:val="EndnoteText"/>
            </w:pPr>
            <w:r w:rsidRPr="00271C71">
              <w:t>12.7</w:t>
            </w:r>
          </w:p>
        </w:tc>
        <w:tc>
          <w:tcPr>
            <w:tcW w:w="1559" w:type="dxa"/>
            <w:vAlign w:val="bottom"/>
          </w:tcPr>
          <w:p w:rsidR="00D531A7" w:rsidRPr="00271C71" w:rsidRDefault="00D531A7" w:rsidP="00271C71">
            <w:pPr>
              <w:pStyle w:val="EndnoteText"/>
              <w:rPr>
                <w:i/>
              </w:rPr>
            </w:pPr>
            <w:r w:rsidRPr="00271C71">
              <w:rPr>
                <w:i/>
              </w:rPr>
              <w:t>10.8</w:t>
            </w:r>
          </w:p>
        </w:tc>
      </w:tr>
      <w:tr w:rsidR="00D531A7" w:rsidRPr="00271C71" w:rsidTr="00CF298C">
        <w:trPr>
          <w:trHeight w:val="300"/>
        </w:trPr>
        <w:tc>
          <w:tcPr>
            <w:tcW w:w="3701" w:type="dxa"/>
            <w:shd w:val="clear" w:color="auto" w:fill="auto"/>
            <w:noWrap/>
            <w:vAlign w:val="bottom"/>
          </w:tcPr>
          <w:p w:rsidR="00D531A7" w:rsidRPr="00271C71" w:rsidRDefault="00D531A7" w:rsidP="00271C71">
            <w:pPr>
              <w:pStyle w:val="EndnoteText"/>
            </w:pPr>
            <w:r>
              <w:t>P</w:t>
            </w:r>
            <w:r w:rsidRPr="00271C71">
              <w:t>er cent of GDP</w:t>
            </w:r>
          </w:p>
        </w:tc>
        <w:tc>
          <w:tcPr>
            <w:tcW w:w="1701" w:type="dxa"/>
            <w:shd w:val="clear" w:color="auto" w:fill="auto"/>
            <w:noWrap/>
            <w:vAlign w:val="bottom"/>
          </w:tcPr>
          <w:p w:rsidR="00D531A7" w:rsidRPr="00271C71" w:rsidRDefault="00D531A7" w:rsidP="00271C71">
            <w:pPr>
              <w:pStyle w:val="EndnoteText"/>
            </w:pPr>
            <w:r w:rsidRPr="00271C71">
              <w:t>0.75%</w:t>
            </w:r>
          </w:p>
        </w:tc>
        <w:tc>
          <w:tcPr>
            <w:tcW w:w="1701" w:type="dxa"/>
            <w:shd w:val="clear" w:color="auto" w:fill="auto"/>
            <w:noWrap/>
            <w:vAlign w:val="bottom"/>
          </w:tcPr>
          <w:p w:rsidR="00D531A7" w:rsidRPr="00271C71" w:rsidRDefault="00D531A7" w:rsidP="00271C71">
            <w:pPr>
              <w:pStyle w:val="EndnoteText"/>
            </w:pPr>
            <w:r w:rsidRPr="00271C71">
              <w:rPr>
                <w:i/>
              </w:rPr>
              <w:t>0.74%</w:t>
            </w:r>
          </w:p>
        </w:tc>
        <w:tc>
          <w:tcPr>
            <w:tcW w:w="1559" w:type="dxa"/>
            <w:vAlign w:val="bottom"/>
          </w:tcPr>
          <w:p w:rsidR="00D531A7" w:rsidRPr="00271C71" w:rsidRDefault="00D531A7" w:rsidP="00271C71">
            <w:pPr>
              <w:pStyle w:val="EndnoteText"/>
              <w:rPr>
                <w:i/>
              </w:rPr>
            </w:pPr>
            <w:r w:rsidRPr="00271C71">
              <w:rPr>
                <w:i/>
              </w:rPr>
              <w:t>0.74%</w:t>
            </w:r>
          </w:p>
        </w:tc>
      </w:tr>
    </w:tbl>
    <w:p w:rsidR="00D531A7" w:rsidRDefault="00D531A7" w:rsidP="0046472F">
      <w:pPr>
        <w:pStyle w:val="EndnoteText"/>
      </w:pPr>
      <w:r w:rsidRPr="00271C71">
        <w:t xml:space="preserve">     </w:t>
      </w:r>
    </w:p>
  </w:endnote>
  <w:endnote w:id="10">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ADEME Oct 2010 Markets and employment in waste related activities situation 2008/2009 - outlook 2010 </w:t>
      </w:r>
      <w:hyperlink r:id="rId10" w:history="1">
        <w:r w:rsidRPr="00BA3B94">
          <w:rPr>
            <w:rStyle w:val="Hyperlink"/>
            <w:sz w:val="20"/>
            <w:szCs w:val="20"/>
          </w:rPr>
          <w:t>http://www2.ademe.fr</w:t>
        </w:r>
      </w:hyperlink>
      <w:r w:rsidRPr="00BA3B94">
        <w:rPr>
          <w:sz w:val="20"/>
          <w:szCs w:val="20"/>
        </w:rPr>
        <w:t xml:space="preserve">     </w:t>
      </w:r>
    </w:p>
  </w:endnote>
  <w:endnote w:id="11">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11" w:history="1">
        <w:r w:rsidRPr="00B52D2D">
          <w:rPr>
            <w:rStyle w:val="Hyperlink"/>
            <w:sz w:val="20"/>
            <w:szCs w:val="20"/>
            <w:lang w:val="de-DE"/>
          </w:rPr>
          <w:t>In- und Outsourcing in der kommunalen Abfallwirtschaft</w:t>
        </w:r>
      </w:hyperlink>
      <w:r w:rsidRPr="00B52D2D">
        <w:rPr>
          <w:sz w:val="20"/>
          <w:szCs w:val="20"/>
          <w:lang w:val="de-DE"/>
        </w:rPr>
        <w:t xml:space="preserve"> ; </w:t>
      </w:r>
      <w:hyperlink r:id="rId12" w:tooltip="http://www.vku.de/service-navigation/presse/pressemitteilungen/liste-pressemitteilung/pressemitteilung-vks-1910.html" w:history="1">
        <w:r w:rsidRPr="00B52D2D">
          <w:rPr>
            <w:rStyle w:val="Hyperlink"/>
            <w:sz w:val="20"/>
            <w:szCs w:val="20"/>
            <w:lang w:val="de-DE"/>
          </w:rPr>
          <w:t>Kommunen entscheiden verantwortlich über die Art der Abfallentsorgung"</w:t>
        </w:r>
      </w:hyperlink>
      <w:r w:rsidRPr="00B52D2D">
        <w:rPr>
          <w:sz w:val="20"/>
          <w:szCs w:val="20"/>
          <w:lang w:val="de-DE"/>
        </w:rPr>
        <w:t>, Pressemitteilung VKS 19/10</w:t>
      </w:r>
      <w:r>
        <w:rPr>
          <w:sz w:val="20"/>
          <w:szCs w:val="20"/>
          <w:lang w:val="de-DE"/>
        </w:rPr>
        <w:t xml:space="preserve">; </w:t>
      </w:r>
      <w:r w:rsidRPr="00BA3B94">
        <w:rPr>
          <w:sz w:val="20"/>
          <w:szCs w:val="20"/>
        </w:rPr>
        <w:t xml:space="preserve">Ipsos Mori 2002 </w:t>
      </w:r>
      <w:r w:rsidRPr="00BA3B94">
        <w:rPr>
          <w:iCs/>
          <w:sz w:val="20"/>
          <w:szCs w:val="20"/>
        </w:rPr>
        <w:t>Public Attitudes Towards Recycling and Waste Management</w:t>
      </w:r>
      <w:r w:rsidRPr="00BA3B94">
        <w:rPr>
          <w:sz w:val="20"/>
          <w:szCs w:val="20"/>
        </w:rPr>
        <w:t xml:space="preserve">  </w:t>
      </w:r>
      <w:hyperlink r:id="rId13" w:history="1">
        <w:r w:rsidRPr="00BA3B94">
          <w:rPr>
            <w:rStyle w:val="Hyperlink"/>
            <w:sz w:val="20"/>
            <w:szCs w:val="20"/>
          </w:rPr>
          <w:t>http://www.ipsos-mori.com/Assets/Docs/Archive/Polls/waste_recycling.pdf</w:t>
        </w:r>
      </w:hyperlink>
      <w:r w:rsidRPr="00BA3B94">
        <w:rPr>
          <w:sz w:val="20"/>
          <w:szCs w:val="20"/>
        </w:rPr>
        <w:t xml:space="preserve"> </w:t>
      </w:r>
    </w:p>
  </w:endnote>
  <w:endnote w:id="12">
    <w:p w:rsidR="00D531A7" w:rsidRPr="00B52D2D" w:rsidRDefault="00D531A7" w:rsidP="00BA3B94">
      <w:pPr>
        <w:rPr>
          <w:sz w:val="20"/>
          <w:szCs w:val="20"/>
          <w:lang w:val="de-DE"/>
        </w:rPr>
      </w:pPr>
      <w:r w:rsidRPr="00BA3B94">
        <w:rPr>
          <w:rStyle w:val="EndnoteReference"/>
          <w:sz w:val="20"/>
          <w:szCs w:val="20"/>
        </w:rPr>
        <w:endnoteRef/>
      </w:r>
      <w:r w:rsidRPr="00B52D2D">
        <w:rPr>
          <w:sz w:val="20"/>
          <w:szCs w:val="20"/>
          <w:lang w:val="de-DE"/>
        </w:rPr>
        <w:t xml:space="preserve"> </w:t>
      </w:r>
      <w:hyperlink r:id="rId14" w:history="1">
        <w:r w:rsidRPr="00B52D2D">
          <w:rPr>
            <w:rStyle w:val="Hyperlink"/>
            <w:sz w:val="20"/>
            <w:szCs w:val="20"/>
            <w:lang w:val="de-DE"/>
          </w:rPr>
          <w:t>In- und Outsourcing in der kommunalen Abfallwirtschaft</w:t>
        </w:r>
      </w:hyperlink>
      <w:r w:rsidRPr="00B52D2D">
        <w:rPr>
          <w:sz w:val="20"/>
          <w:szCs w:val="20"/>
          <w:lang w:val="de-DE"/>
        </w:rPr>
        <w:t xml:space="preserve"> ; </w:t>
      </w:r>
      <w:hyperlink r:id="rId15" w:tooltip="http://www.vku.de/service-navigation/presse/pressemitteilungen/liste-pressemitteilung/pressemitteilung-vks-1910.html" w:history="1">
        <w:r w:rsidRPr="00B52D2D">
          <w:rPr>
            <w:rStyle w:val="Hyperlink"/>
            <w:sz w:val="20"/>
            <w:szCs w:val="20"/>
            <w:lang w:val="de-DE"/>
          </w:rPr>
          <w:t>Kommunen entscheiden verantwortlich über die Art der Abfallentsorgung"</w:t>
        </w:r>
      </w:hyperlink>
      <w:r w:rsidRPr="00B52D2D">
        <w:rPr>
          <w:sz w:val="20"/>
          <w:szCs w:val="20"/>
          <w:lang w:val="de-DE"/>
        </w:rPr>
        <w:t>, Pressemitteilung VKS 19/10</w:t>
      </w:r>
    </w:p>
  </w:endnote>
  <w:endnote w:id="13">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16" w:history="1">
        <w:r w:rsidRPr="00BA3B94">
          <w:rPr>
            <w:rStyle w:val="Hyperlink"/>
            <w:sz w:val="20"/>
            <w:szCs w:val="20"/>
          </w:rPr>
          <w:t>Walqing 2011 The Sector of Waste Collection in Bulgaria</w:t>
        </w:r>
      </w:hyperlink>
    </w:p>
  </w:endnote>
  <w:endnote w:id="14">
    <w:p w:rsidR="00D531A7" w:rsidRDefault="00D531A7">
      <w:pPr>
        <w:pStyle w:val="EndnoteText"/>
      </w:pPr>
      <w:r>
        <w:rPr>
          <w:rStyle w:val="EndnoteReference"/>
        </w:rPr>
        <w:endnoteRef/>
      </w:r>
      <w:r>
        <w:t xml:space="preserve"> </w:t>
      </w:r>
    </w:p>
  </w:endnote>
  <w:endnote w:id="15">
    <w:p w:rsidR="00D531A7" w:rsidRPr="00B52D2D" w:rsidRDefault="00D531A7" w:rsidP="00BA3B94">
      <w:pPr>
        <w:rPr>
          <w:sz w:val="20"/>
          <w:szCs w:val="20"/>
          <w:lang w:val="de-DE"/>
        </w:rPr>
      </w:pPr>
      <w:r w:rsidRPr="00BA3B94">
        <w:rPr>
          <w:rStyle w:val="EndnoteReference"/>
          <w:sz w:val="20"/>
          <w:szCs w:val="20"/>
        </w:rPr>
        <w:endnoteRef/>
      </w:r>
      <w:r w:rsidRPr="00B52D2D">
        <w:rPr>
          <w:sz w:val="20"/>
          <w:szCs w:val="20"/>
          <w:lang w:val="de-DE"/>
        </w:rPr>
        <w:t xml:space="preserve"> </w:t>
      </w:r>
      <w:hyperlink r:id="rId17" w:history="1">
        <w:r w:rsidRPr="00B52D2D">
          <w:rPr>
            <w:rStyle w:val="Hyperlink"/>
            <w:sz w:val="20"/>
            <w:szCs w:val="20"/>
            <w:lang w:val="de-DE"/>
          </w:rPr>
          <w:t>In- und Outsourcing in der kommunalen Abfallwirtschaft</w:t>
        </w:r>
      </w:hyperlink>
      <w:r w:rsidRPr="00B52D2D">
        <w:rPr>
          <w:sz w:val="20"/>
          <w:szCs w:val="20"/>
          <w:lang w:val="de-DE"/>
        </w:rPr>
        <w:t xml:space="preserve">; </w:t>
      </w:r>
      <w:hyperlink r:id="rId18" w:history="1">
        <w:r w:rsidRPr="00B52D2D">
          <w:rPr>
            <w:rStyle w:val="Hyperlink"/>
            <w:sz w:val="20"/>
            <w:szCs w:val="20"/>
            <w:lang w:val="de-DE"/>
          </w:rPr>
          <w:t>http://www.gemeinderat-online.de/fileadmin/default/files/PDF_Dokumente/Studie_HVB.pdf</w:t>
        </w:r>
      </w:hyperlink>
      <w:r w:rsidRPr="00B52D2D">
        <w:rPr>
          <w:sz w:val="20"/>
          <w:szCs w:val="20"/>
          <w:lang w:val="de-DE"/>
        </w:rPr>
        <w:t xml:space="preserve"> </w:t>
      </w:r>
    </w:p>
  </w:endnote>
  <w:endnote w:id="16">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Islington Gazette July 12, 2012 Thursday Taking </w:t>
      </w:r>
      <w:bookmarkStart w:id="40" w:name="ORIGHIT_1"/>
      <w:bookmarkStart w:id="41" w:name="HIT_1"/>
      <w:bookmarkEnd w:id="40"/>
      <w:bookmarkEnd w:id="41"/>
      <w:r w:rsidRPr="00BA3B94">
        <w:rPr>
          <w:sz w:val="20"/>
          <w:szCs w:val="20"/>
        </w:rPr>
        <w:t>waste services in-house 'will save £3m'</w:t>
      </w:r>
    </w:p>
  </w:endnote>
  <w:endnote w:id="17">
    <w:p w:rsidR="00D531A7" w:rsidRPr="00BA3B94" w:rsidRDefault="00D531A7" w:rsidP="00BA3B94">
      <w:pPr>
        <w:rPr>
          <w:sz w:val="20"/>
          <w:szCs w:val="20"/>
          <w:lang w:val="fr-FR"/>
        </w:rPr>
      </w:pPr>
      <w:r w:rsidRPr="00BA3B94">
        <w:rPr>
          <w:rStyle w:val="EndnoteReference"/>
          <w:sz w:val="20"/>
          <w:szCs w:val="20"/>
        </w:rPr>
        <w:endnoteRef/>
      </w:r>
      <w:r w:rsidRPr="00BA3B94">
        <w:rPr>
          <w:sz w:val="20"/>
          <w:szCs w:val="20"/>
          <w:lang w:val="fr-FR"/>
        </w:rPr>
        <w:t xml:space="preserve">  </w:t>
      </w:r>
      <w:r w:rsidRPr="00BA3B94">
        <w:rPr>
          <w:rFonts w:ascii="Calibri" w:eastAsia="Calibri" w:hAnsi="Calibri" w:cs="Times New Roman"/>
          <w:sz w:val="20"/>
          <w:szCs w:val="20"/>
          <w:lang w:val="fr-FR" w:eastAsia="en-US"/>
        </w:rPr>
        <w:t>Cour des comptes</w:t>
      </w:r>
      <w:r w:rsidRPr="00BA3B94">
        <w:rPr>
          <w:sz w:val="20"/>
          <w:szCs w:val="20"/>
          <w:lang w:val="fr-FR"/>
        </w:rPr>
        <w:t xml:space="preserve"> - Les collectivités territoriales et la gestion des déchets ménagers et assimilés – septembre 2011</w:t>
      </w:r>
      <w:hyperlink r:id="rId19" w:history="1">
        <w:r w:rsidRPr="00BA3B94">
          <w:rPr>
            <w:rStyle w:val="Hyperlink"/>
            <w:sz w:val="20"/>
            <w:szCs w:val="20"/>
            <w:lang w:val="fr-FR"/>
          </w:rPr>
          <w:t>http://www.ccomptes.fr/fr/CC/documents/Communiques/Communique_presse_rapport_public_thematique_collectivites_locales_et_dechets_menagers.pdf</w:t>
        </w:r>
      </w:hyperlink>
      <w:r w:rsidRPr="00BA3B94">
        <w:rPr>
          <w:sz w:val="20"/>
          <w:szCs w:val="20"/>
          <w:lang w:val="fr-FR"/>
        </w:rPr>
        <w:t xml:space="preserve"> </w:t>
      </w:r>
    </w:p>
  </w:endnote>
  <w:endnote w:id="18">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Germà Bel, Xavier Fageda and Mildred E. Warner 2008 Is Private Production of Public Services Cheaper than Public </w:t>
      </w:r>
      <w:r w:rsidRPr="00BA3B94">
        <w:rPr>
          <w:bCs/>
          <w:sz w:val="20"/>
          <w:szCs w:val="20"/>
        </w:rPr>
        <w:t>Production? A meta-regression analysis of solid waste and water services</w:t>
      </w:r>
      <w:r w:rsidRPr="00BA3B94">
        <w:rPr>
          <w:rFonts w:cs="Verdana"/>
          <w:sz w:val="20"/>
          <w:szCs w:val="20"/>
        </w:rPr>
        <w:t xml:space="preserve"> Research Institute of Applied Economics 2008 Working Papers 2008/04 </w:t>
      </w:r>
      <w:hyperlink r:id="rId20" w:history="1">
        <w:r w:rsidRPr="00BA3B94">
          <w:rPr>
            <w:rStyle w:val="Hyperlink"/>
            <w:sz w:val="20"/>
            <w:szCs w:val="20"/>
          </w:rPr>
          <w:t>http://www.ub.edu/irea/working_papers/2009/200923.pdf</w:t>
        </w:r>
      </w:hyperlink>
    </w:p>
  </w:endnote>
  <w:endnote w:id="19">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Bel G. and Mur M. 2009 Intermunicipal cooperation, privatization and waste management costs: evidence from rural municipalities. Waste Management .</w:t>
      </w:r>
      <w:r w:rsidRPr="00BA3B94">
        <w:rPr>
          <w:rStyle w:val="currencyconvertertext"/>
          <w:sz w:val="20"/>
          <w:szCs w:val="20"/>
        </w:rPr>
        <w:t xml:space="preserve"> 2009 Oct;29(10):2772-8. </w:t>
      </w:r>
    </w:p>
  </w:endnote>
  <w:endnote w:id="20">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r w:rsidRPr="00BA3B94">
        <w:rPr>
          <w:bCs/>
          <w:sz w:val="20"/>
          <w:szCs w:val="20"/>
        </w:rPr>
        <w:t xml:space="preserve">I.M. García-Sánchez 2008 The performance of Spanish solid waste collection </w:t>
      </w:r>
      <w:r w:rsidRPr="00BA3B94">
        <w:rPr>
          <w:sz w:val="20"/>
          <w:szCs w:val="20"/>
        </w:rPr>
        <w:t>Waste Management &amp; Research, Vol. 26, No. 4, 327-336 (2008)DOI:10.1177/0734242X07081486</w:t>
      </w:r>
    </w:p>
  </w:endnote>
  <w:endnote w:id="21">
    <w:p w:rsidR="00D531A7" w:rsidRPr="00B52D2D" w:rsidRDefault="00D531A7" w:rsidP="00BA3B94">
      <w:pPr>
        <w:rPr>
          <w:sz w:val="20"/>
          <w:szCs w:val="20"/>
          <w:lang w:val="de-DE"/>
        </w:rPr>
      </w:pPr>
      <w:r w:rsidRPr="00BA3B94">
        <w:rPr>
          <w:rStyle w:val="EndnoteReference"/>
          <w:sz w:val="20"/>
          <w:szCs w:val="20"/>
        </w:rPr>
        <w:endnoteRef/>
      </w:r>
      <w:r w:rsidRPr="00B52D2D">
        <w:rPr>
          <w:sz w:val="20"/>
          <w:szCs w:val="20"/>
          <w:lang w:val="de-DE"/>
        </w:rPr>
        <w:t xml:space="preserve"> </w:t>
      </w:r>
      <w:hyperlink r:id="rId21" w:history="1">
        <w:r w:rsidRPr="00B52D2D">
          <w:rPr>
            <w:rStyle w:val="Hyperlink"/>
            <w:sz w:val="20"/>
            <w:szCs w:val="20"/>
            <w:lang w:val="de-DE"/>
          </w:rPr>
          <w:t>In- und Outsourcing in der kommunalen Abfallwirtschaft</w:t>
        </w:r>
      </w:hyperlink>
      <w:r w:rsidRPr="00B52D2D">
        <w:rPr>
          <w:sz w:val="20"/>
          <w:szCs w:val="20"/>
          <w:lang w:val="de-DE"/>
        </w:rPr>
        <w:t xml:space="preserve"> </w:t>
      </w:r>
    </w:p>
  </w:endnote>
  <w:endnote w:id="22">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22" w:history="1">
        <w:r w:rsidRPr="00BA3B94">
          <w:rPr>
            <w:rStyle w:val="Hyperlink"/>
            <w:sz w:val="20"/>
            <w:szCs w:val="20"/>
          </w:rPr>
          <w:t>From Waste Management to Resource Recovery: A Developing Sector</w:t>
        </w:r>
      </w:hyperlink>
      <w:r w:rsidRPr="00BA3B94">
        <w:rPr>
          <w:sz w:val="20"/>
          <w:szCs w:val="20"/>
        </w:rPr>
        <w:t xml:space="preserve"> 2011 para 3.16)</w:t>
      </w:r>
    </w:p>
  </w:endnote>
  <w:endnote w:id="23">
    <w:p w:rsidR="00331EFD" w:rsidRPr="00E07A1B" w:rsidRDefault="00331EFD" w:rsidP="00E07A1B">
      <w:pPr>
        <w:autoSpaceDE w:val="0"/>
        <w:autoSpaceDN w:val="0"/>
        <w:adjustRightInd w:val="0"/>
      </w:pPr>
      <w:r>
        <w:rPr>
          <w:rStyle w:val="EndnoteReference"/>
        </w:rPr>
        <w:endnoteRef/>
      </w:r>
      <w:r w:rsidRPr="00E07A1B">
        <w:t xml:space="preserve"> </w:t>
      </w:r>
      <w:r w:rsidR="00E07A1B" w:rsidRPr="00E07A1B">
        <w:t xml:space="preserve"> </w:t>
      </w:r>
      <w:r w:rsidR="00E07A1B" w:rsidRPr="00E07A1B">
        <w:rPr>
          <w:rFonts w:ascii="Times New Roman" w:hAnsi="Times New Roman" w:cs="Times New Roman"/>
          <w:bCs/>
          <w:sz w:val="20"/>
          <w:szCs w:val="20"/>
        </w:rPr>
        <w:t xml:space="preserve">28th </w:t>
      </w:r>
      <w:r w:rsidR="00E07A1B">
        <w:rPr>
          <w:rFonts w:ascii="Times New Roman" w:hAnsi="Times New Roman" w:cs="Times New Roman"/>
          <w:bCs/>
          <w:sz w:val="20"/>
          <w:szCs w:val="20"/>
        </w:rPr>
        <w:t>A</w:t>
      </w:r>
      <w:r w:rsidR="00E07A1B" w:rsidRPr="00E07A1B">
        <w:rPr>
          <w:rFonts w:ascii="Times New Roman" w:hAnsi="Times New Roman" w:cs="Times New Roman"/>
          <w:bCs/>
          <w:sz w:val="20"/>
          <w:szCs w:val="20"/>
        </w:rPr>
        <w:t xml:space="preserve">nnual report on monitoring the application of </w:t>
      </w:r>
      <w:r w:rsidR="00E07A1B">
        <w:rPr>
          <w:rFonts w:ascii="Times New Roman" w:hAnsi="Times New Roman" w:cs="Times New Roman"/>
          <w:bCs/>
          <w:sz w:val="20"/>
          <w:szCs w:val="20"/>
        </w:rPr>
        <w:t>EU</w:t>
      </w:r>
      <w:r w:rsidR="00E07A1B" w:rsidRPr="00E07A1B">
        <w:rPr>
          <w:rFonts w:ascii="Times New Roman" w:hAnsi="Times New Roman" w:cs="Times New Roman"/>
          <w:bCs/>
          <w:sz w:val="20"/>
          <w:szCs w:val="20"/>
        </w:rPr>
        <w:t xml:space="preserve"> law</w:t>
      </w:r>
      <w:r w:rsidR="00E07A1B">
        <w:rPr>
          <w:rFonts w:ascii="Times New Roman" w:hAnsi="Times New Roman" w:cs="Times New Roman"/>
          <w:bCs/>
          <w:sz w:val="20"/>
          <w:szCs w:val="20"/>
        </w:rPr>
        <w:t xml:space="preserve"> </w:t>
      </w:r>
      <w:r w:rsidR="00E07A1B" w:rsidRPr="00E07A1B">
        <w:rPr>
          <w:rFonts w:ascii="Times New Roman" w:hAnsi="Times New Roman"/>
          <w:bCs/>
        </w:rPr>
        <w:t>(2010)</w:t>
      </w:r>
      <w:r w:rsidR="00E07A1B">
        <w:rPr>
          <w:rFonts w:ascii="Times New Roman" w:hAnsi="Times New Roman"/>
          <w:b/>
          <w:bCs/>
          <w:sz w:val="24"/>
          <w:szCs w:val="24"/>
        </w:rPr>
        <w:t xml:space="preserve"> </w:t>
      </w:r>
      <w:r w:rsidR="00E07A1B">
        <w:t>S</w:t>
      </w:r>
      <w:r w:rsidR="00E07A1B" w:rsidRPr="00E07A1B">
        <w:rPr>
          <w:rFonts w:ascii="Times New Roman" w:hAnsi="Times New Roman"/>
          <w:bCs/>
          <w:sz w:val="20"/>
          <w:szCs w:val="20"/>
        </w:rPr>
        <w:t>ituation in the different sectors</w:t>
      </w:r>
      <w:r w:rsidR="00E07A1B" w:rsidRPr="00E07A1B">
        <w:t xml:space="preserve">   </w:t>
      </w:r>
      <w:r w:rsidRPr="00E07A1B">
        <w:t>SEC(2011) 1093 final</w:t>
      </w:r>
      <w:r w:rsidR="00E07A1B">
        <w:t xml:space="preserve"> </w:t>
      </w:r>
      <w:r w:rsidRPr="00E07A1B">
        <w:t xml:space="preserve">  </w:t>
      </w:r>
      <w:hyperlink r:id="rId23" w:history="1">
        <w:r w:rsidRPr="00E07A1B">
          <w:rPr>
            <w:rStyle w:val="Hyperlink"/>
          </w:rPr>
          <w:t>http://ec.europa.eu/eu_law/docs/docs_infringements/annual_report_28/sec_2011_1093_en.pdf</w:t>
        </w:r>
      </w:hyperlink>
      <w:r w:rsidRPr="00E07A1B">
        <w:t xml:space="preserve"> </w:t>
      </w:r>
    </w:p>
  </w:endnote>
  <w:endnote w:id="24">
    <w:p w:rsidR="009035EC" w:rsidRPr="009035EC" w:rsidRDefault="009035EC" w:rsidP="009035EC">
      <w:pPr>
        <w:pStyle w:val="EndnoteText"/>
      </w:pPr>
      <w:r>
        <w:rPr>
          <w:rStyle w:val="EndnoteReference"/>
        </w:rPr>
        <w:endnoteRef/>
      </w:r>
      <w:r>
        <w:t xml:space="preserve"> EC press release  </w:t>
      </w:r>
      <w:r w:rsidRPr="009035EC">
        <w:t>IP/12/898</w:t>
      </w:r>
      <w:r>
        <w:t xml:space="preserve">  </w:t>
      </w:r>
      <w:r w:rsidRPr="009035EC">
        <w:t>13 August 2012</w:t>
      </w:r>
      <w:r>
        <w:t xml:space="preserve">  </w:t>
      </w:r>
      <w:r w:rsidRPr="009035EC">
        <w:t>Environment: New rules on e-waste to boost resource efficiency</w:t>
      </w:r>
    </w:p>
    <w:p w:rsidR="009035EC" w:rsidRDefault="00081F2D">
      <w:pPr>
        <w:pStyle w:val="EndnoteText"/>
      </w:pPr>
      <w:hyperlink r:id="rId24" w:history="1">
        <w:r w:rsidR="009035EC" w:rsidRPr="009035EC">
          <w:rPr>
            <w:rStyle w:val="Hyperlink"/>
          </w:rPr>
          <w:t>http://europa.eu/rapid/pressReleasesAction.do?reference=IP/12/898&amp;format=HTML&amp;aged=0&amp;language=EN&amp;guiLanguage=en</w:t>
        </w:r>
      </w:hyperlink>
    </w:p>
  </w:endnote>
  <w:endnote w:id="25">
    <w:p w:rsidR="00786EBA" w:rsidRPr="00BA3B94" w:rsidRDefault="00786EBA" w:rsidP="00786EBA">
      <w:pPr>
        <w:rPr>
          <w:sz w:val="20"/>
          <w:szCs w:val="20"/>
        </w:rPr>
      </w:pPr>
      <w:r w:rsidRPr="00BA3B94">
        <w:rPr>
          <w:rStyle w:val="EndnoteReference"/>
          <w:sz w:val="20"/>
          <w:szCs w:val="20"/>
        </w:rPr>
        <w:endnoteRef/>
      </w:r>
      <w:r w:rsidRPr="00BA3B94">
        <w:rPr>
          <w:sz w:val="20"/>
          <w:szCs w:val="20"/>
        </w:rPr>
        <w:t xml:space="preserve"> </w:t>
      </w:r>
      <w:hyperlink r:id="rId25" w:tgtFrame="_blank" w:history="1">
        <w:r w:rsidRPr="00BA3B94">
          <w:rPr>
            <w:rStyle w:val="Hyperlink"/>
            <w:sz w:val="20"/>
            <w:szCs w:val="20"/>
          </w:rPr>
          <w:t xml:space="preserve">Europe in figures - Eurostat yearbook 2011: Environment (tables and graphs) </w:t>
        </w:r>
      </w:hyperlink>
    </w:p>
  </w:endnote>
  <w:endnote w:id="26">
    <w:p w:rsidR="00E66851" w:rsidRDefault="00E66851" w:rsidP="00E66851">
      <w:pPr>
        <w:pStyle w:val="EndnoteText"/>
      </w:pPr>
      <w:r>
        <w:rPr>
          <w:rStyle w:val="EndnoteReference"/>
        </w:rPr>
        <w:endnoteRef/>
      </w:r>
      <w:r>
        <w:t xml:space="preserve"> </w:t>
      </w:r>
      <w:r w:rsidRPr="00235978">
        <w:t xml:space="preserve">CEE Bankwatch Network comments </w:t>
      </w:r>
      <w:r>
        <w:t xml:space="preserve">on EBRD </w:t>
      </w:r>
      <w:r w:rsidRPr="00235978">
        <w:t>MEI strategy</w:t>
      </w:r>
      <w:r>
        <w:t xml:space="preserve"> paper 06 May 2012</w:t>
      </w:r>
      <w:r w:rsidRPr="00235978">
        <w:t xml:space="preserve"> </w:t>
      </w:r>
      <w:hyperlink r:id="rId26" w:history="1">
        <w:r w:rsidRPr="00F02A34">
          <w:rPr>
            <w:rStyle w:val="Hyperlink"/>
          </w:rPr>
          <w:t>http://bankwatch.org/sites/default/files/comments-EBRD-MEI-policy-06May2012.pdf</w:t>
        </w:r>
      </w:hyperlink>
      <w:r>
        <w:t xml:space="preserve"> </w:t>
      </w:r>
      <w:r w:rsidRPr="00235978">
        <w:t>.</w:t>
      </w:r>
      <w:r>
        <w:t xml:space="preserve">  </w:t>
      </w:r>
    </w:p>
  </w:endnote>
  <w:endnote w:id="27">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See </w:t>
      </w:r>
      <w:hyperlink r:id="rId27" w:history="1">
        <w:r w:rsidRPr="00BA3B94">
          <w:rPr>
            <w:rStyle w:val="Hyperlink"/>
            <w:sz w:val="20"/>
            <w:szCs w:val="20"/>
          </w:rPr>
          <w:t>http://www.retech-germany.net</w:t>
        </w:r>
      </w:hyperlink>
      <w:r w:rsidRPr="00BA3B94">
        <w:rPr>
          <w:sz w:val="20"/>
          <w:szCs w:val="20"/>
        </w:rPr>
        <w:t xml:space="preserve"> </w:t>
      </w:r>
    </w:p>
  </w:endnote>
  <w:endnote w:id="28">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Deutsche Welle World May 31, 2012 Green groups in Germany say 'no' to Bhopal waste</w:t>
      </w:r>
    </w:p>
  </w:endnote>
  <w:endnote w:id="29">
    <w:p w:rsidR="00D531A7" w:rsidRDefault="00D531A7" w:rsidP="00360955">
      <w:r>
        <w:rPr>
          <w:rStyle w:val="EndnoteReference"/>
        </w:rPr>
        <w:endnoteRef/>
      </w:r>
      <w:r>
        <w:t xml:space="preserve">  Bhopal blow 18 September 2012 The Telegraph (India)</w:t>
      </w:r>
    </w:p>
    <w:p w:rsidR="00D531A7" w:rsidRDefault="00D531A7">
      <w:pPr>
        <w:pStyle w:val="EndnoteText"/>
      </w:pPr>
      <w:r>
        <w:t xml:space="preserve">  </w:t>
      </w:r>
      <w:hyperlink r:id="rId28" w:anchor=".UFyd16Dh98E" w:history="1">
        <w:r w:rsidRPr="00AB1B59">
          <w:rPr>
            <w:rStyle w:val="Hyperlink"/>
          </w:rPr>
          <w:t>http://www.telegraphindia.com/1120919/jsp/nation/story_15993420.jsp#.UFyd16Dh98E</w:t>
        </w:r>
      </w:hyperlink>
      <w:r>
        <w:t xml:space="preserve"> </w:t>
      </w:r>
    </w:p>
  </w:endnote>
  <w:endnote w:id="30">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ADEME Oct 2010 Markets and employment in waste related activities situation 2008/2009 - outlook 2010 </w:t>
      </w:r>
      <w:hyperlink r:id="rId29" w:history="1">
        <w:r w:rsidRPr="00BA3B94">
          <w:rPr>
            <w:rStyle w:val="Hyperlink"/>
            <w:sz w:val="20"/>
            <w:szCs w:val="20"/>
          </w:rPr>
          <w:t>http://www2.ademe.fr</w:t>
        </w:r>
      </w:hyperlink>
      <w:r w:rsidRPr="00BA3B94">
        <w:rPr>
          <w:sz w:val="20"/>
          <w:szCs w:val="20"/>
        </w:rPr>
        <w:t xml:space="preserve">     </w:t>
      </w:r>
    </w:p>
  </w:endnote>
  <w:endnote w:id="31">
    <w:p w:rsidR="00D531A7" w:rsidRPr="007A5895" w:rsidRDefault="00D531A7" w:rsidP="007074B4">
      <w:pPr>
        <w:pStyle w:val="EndnoteText"/>
      </w:pPr>
      <w:r w:rsidRPr="007A5895">
        <w:rPr>
          <w:rStyle w:val="EndnoteReference"/>
        </w:rPr>
        <w:endnoteRef/>
      </w:r>
      <w:r w:rsidRPr="007A5895">
        <w:t xml:space="preserve"> See </w:t>
      </w:r>
      <w:hyperlink r:id="rId30" w:history="1">
        <w:r w:rsidRPr="007A5895">
          <w:rPr>
            <w:rStyle w:val="Hyperlink"/>
          </w:rPr>
          <w:t>http://www.psiru.org/reports/2007-06-G-EWCs.doc</w:t>
        </w:r>
      </w:hyperlink>
      <w:r>
        <w:rPr>
          <w:rStyle w:val="Hyperlink"/>
        </w:rPr>
        <w:t xml:space="preserve">; </w:t>
      </w:r>
      <w:r>
        <w:t>FT</w:t>
      </w:r>
      <w:r w:rsidRPr="008D40BA">
        <w:rPr>
          <w:rFonts w:ascii="Times New Roman" w:eastAsia="Times New Roman" w:hAnsi="Times New Roman"/>
          <w:sz w:val="24"/>
          <w:szCs w:val="24"/>
          <w:lang w:eastAsia="en-GB"/>
        </w:rPr>
        <w:t xml:space="preserve"> </w:t>
      </w:r>
      <w:r w:rsidRPr="008D40BA">
        <w:t>August 8, 2012 Chinook consortium bids £520m for Biffa</w:t>
      </w:r>
      <w:r>
        <w:t xml:space="preserve"> </w:t>
      </w:r>
      <w:hyperlink r:id="rId31" w:anchor="axzz2485JI1Dd" w:history="1">
        <w:r w:rsidRPr="00E63AF0">
          <w:rPr>
            <w:rStyle w:val="Hyperlink"/>
          </w:rPr>
          <w:t>http://www.ft.com/cms/s/0/d80835d6-e121-11e1-839a-00144feab49a.html#axzz2485JI1Dd</w:t>
        </w:r>
      </w:hyperlink>
      <w:r>
        <w:rPr>
          <w:rStyle w:val="Hyperlink"/>
        </w:rPr>
        <w:t xml:space="preserve"> </w:t>
      </w:r>
      <w:r w:rsidRPr="007A5895">
        <w:t xml:space="preserve"> </w:t>
      </w:r>
    </w:p>
  </w:endnote>
  <w:endnote w:id="32">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Commercial waste strategy will save local authorities millions 15 July 2012</w:t>
      </w:r>
    </w:p>
    <w:p w:rsidR="00D531A7" w:rsidRPr="00BA3B94" w:rsidRDefault="00D531A7" w:rsidP="00BA3B94">
      <w:pPr>
        <w:rPr>
          <w:sz w:val="20"/>
          <w:szCs w:val="20"/>
        </w:rPr>
      </w:pPr>
      <w:r w:rsidRPr="00BA3B94">
        <w:rPr>
          <w:sz w:val="20"/>
          <w:szCs w:val="20"/>
        </w:rPr>
        <w:t xml:space="preserve">  </w:t>
      </w:r>
      <w:hyperlink r:id="rId32" w:history="1">
        <w:r w:rsidRPr="00BA3B94">
          <w:rPr>
            <w:rStyle w:val="Hyperlink"/>
            <w:sz w:val="20"/>
            <w:szCs w:val="20"/>
          </w:rPr>
          <w:t>http://www.hub-4.com/news/5006/commercial-waste-strategy-will-save-local-authorities-millions</w:t>
        </w:r>
      </w:hyperlink>
      <w:r w:rsidRPr="00BA3B94">
        <w:rPr>
          <w:sz w:val="20"/>
          <w:szCs w:val="20"/>
        </w:rPr>
        <w:t xml:space="preserve"> </w:t>
      </w:r>
    </w:p>
  </w:endnote>
  <w:endnote w:id="33">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Covanta Energy Signs Agreement With GMB Union As Company Plans To Build Cheshire Energy-from-Waste Facility 02 June 2012  </w:t>
      </w:r>
      <w:hyperlink r:id="rId33" w:history="1">
        <w:r w:rsidRPr="00BA3B94">
          <w:rPr>
            <w:rStyle w:val="Hyperlink"/>
            <w:sz w:val="20"/>
            <w:szCs w:val="20"/>
          </w:rPr>
          <w:t>http://www.hub-4.com/news/4806/covanta-energy-signs-agreement-with-gmb-union-as-company-plans-to-build-cheshire-energy-from-waste-facility</w:t>
        </w:r>
      </w:hyperlink>
      <w:r w:rsidRPr="00BA3B94">
        <w:rPr>
          <w:sz w:val="20"/>
          <w:szCs w:val="20"/>
        </w:rPr>
        <w:t xml:space="preserve"> </w:t>
      </w:r>
    </w:p>
  </w:endnote>
  <w:endnote w:id="34">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34" w:history="1">
        <w:r w:rsidRPr="00BA3B94">
          <w:rPr>
            <w:rStyle w:val="Hyperlink"/>
            <w:sz w:val="20"/>
            <w:szCs w:val="20"/>
          </w:rPr>
          <w:t>http://eur-lex.europa.eu/LexUriServ/LexUriServ.do?uri=OJ:L:2008:312:0003:01:EN:HTML</w:t>
        </w:r>
      </w:hyperlink>
      <w:r w:rsidRPr="00BA3B94">
        <w:rPr>
          <w:sz w:val="20"/>
          <w:szCs w:val="20"/>
        </w:rPr>
        <w:t xml:space="preserve"> </w:t>
      </w:r>
    </w:p>
  </w:endnote>
  <w:endnote w:id="35">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35" w:history="1">
        <w:r w:rsidRPr="00BA3B94">
          <w:rPr>
            <w:rStyle w:val="Hyperlink"/>
            <w:sz w:val="20"/>
            <w:szCs w:val="20"/>
          </w:rPr>
          <w:t>http://eur-lex.europa.eu/LexUriServ/LexUriServ.do?uri=OJ:L:2008:312:0003:01:EN:HTML</w:t>
        </w:r>
      </w:hyperlink>
      <w:r w:rsidRPr="00BA3B94">
        <w:rPr>
          <w:sz w:val="20"/>
          <w:szCs w:val="20"/>
        </w:rPr>
        <w:t xml:space="preserve"> </w:t>
      </w:r>
    </w:p>
  </w:endnote>
  <w:endnote w:id="36">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w:t>
      </w:r>
      <w:hyperlink r:id="rId36" w:history="1">
        <w:r w:rsidRPr="00BA3B94">
          <w:rPr>
            <w:rStyle w:val="Hyperlink"/>
            <w:sz w:val="20"/>
            <w:szCs w:val="20"/>
          </w:rPr>
          <w:t>http://eur-lex.europa.eu/LexUriServ/LexUriServ.do?uri=OJ:L:2008:312:0003:01:EN:HTML</w:t>
        </w:r>
      </w:hyperlink>
      <w:r w:rsidRPr="00BA3B94">
        <w:rPr>
          <w:sz w:val="20"/>
          <w:szCs w:val="20"/>
        </w:rPr>
        <w:t xml:space="preserve"> </w:t>
      </w:r>
    </w:p>
  </w:endnote>
  <w:endnote w:id="37">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 This includes incineration facilities dedicated to the processing of municipal solid waste only where their energy efficiency is equal to or above:</w:t>
      </w:r>
    </w:p>
    <w:p w:rsidR="00D531A7" w:rsidRPr="00BA3B94" w:rsidRDefault="00D531A7" w:rsidP="00BA3B94">
      <w:pPr>
        <w:rPr>
          <w:sz w:val="20"/>
          <w:szCs w:val="20"/>
        </w:rPr>
      </w:pPr>
      <w:r w:rsidRPr="00BA3B94">
        <w:rPr>
          <w:sz w:val="20"/>
          <w:szCs w:val="20"/>
        </w:rPr>
        <w:t>- 0,60 for installations in operation and permitted in accordance with applicable Community legislation before 1 January 2009,</w:t>
      </w:r>
    </w:p>
    <w:p w:rsidR="00D531A7" w:rsidRPr="00BA3B94" w:rsidRDefault="00D531A7" w:rsidP="00BA3B94">
      <w:pPr>
        <w:rPr>
          <w:sz w:val="20"/>
          <w:szCs w:val="20"/>
        </w:rPr>
      </w:pPr>
      <w:r w:rsidRPr="00BA3B94">
        <w:rPr>
          <w:sz w:val="20"/>
          <w:szCs w:val="20"/>
        </w:rPr>
        <w:t>- 0,65 for installations permitted after 31 December 2008,using the following formula:Energy efficiency = (Ep - (Ef + Ei))/(0,97 × (Ew + Ef))In which:</w:t>
      </w:r>
    </w:p>
    <w:p w:rsidR="00D531A7" w:rsidRPr="00BA3B94" w:rsidRDefault="00D531A7" w:rsidP="00BA3B94">
      <w:pPr>
        <w:rPr>
          <w:sz w:val="20"/>
          <w:szCs w:val="20"/>
        </w:rPr>
      </w:pPr>
      <w:r w:rsidRPr="00BA3B94">
        <w:rPr>
          <w:sz w:val="20"/>
          <w:szCs w:val="20"/>
        </w:rPr>
        <w:t>- Ep means annual energy produced as heat or electricity. It is calculated with energy in the form of electricity being multiplied by 2,6 and heat produced for commercial use multiplied by 1,1 (GJ/year)</w:t>
      </w:r>
    </w:p>
    <w:p w:rsidR="00D531A7" w:rsidRPr="00BA3B94" w:rsidRDefault="00D531A7" w:rsidP="00BA3B94">
      <w:pPr>
        <w:rPr>
          <w:sz w:val="20"/>
          <w:szCs w:val="20"/>
        </w:rPr>
      </w:pPr>
      <w:r w:rsidRPr="00BA3B94">
        <w:rPr>
          <w:sz w:val="20"/>
          <w:szCs w:val="20"/>
        </w:rPr>
        <w:t>- Ef means annual energy input to the system from fuels contributing to the production of steam (GJ/year)</w:t>
      </w:r>
    </w:p>
    <w:p w:rsidR="00D531A7" w:rsidRPr="00BA3B94" w:rsidRDefault="00D531A7" w:rsidP="00BA3B94">
      <w:pPr>
        <w:rPr>
          <w:sz w:val="20"/>
          <w:szCs w:val="20"/>
        </w:rPr>
      </w:pPr>
      <w:r w:rsidRPr="00BA3B94">
        <w:rPr>
          <w:sz w:val="20"/>
          <w:szCs w:val="20"/>
        </w:rPr>
        <w:t>- Ew means annual energy contained in the treated waste calculated using the net calorific value of the waste (GJ/year)</w:t>
      </w:r>
    </w:p>
    <w:p w:rsidR="00D531A7" w:rsidRPr="00BA3B94" w:rsidRDefault="00D531A7" w:rsidP="00BA3B94">
      <w:pPr>
        <w:rPr>
          <w:sz w:val="20"/>
          <w:szCs w:val="20"/>
        </w:rPr>
      </w:pPr>
      <w:r w:rsidRPr="00BA3B94">
        <w:rPr>
          <w:sz w:val="20"/>
          <w:szCs w:val="20"/>
        </w:rPr>
        <w:t>- Ei means annual energy imported excluding Ew and Ef (GJ/year)</w:t>
      </w:r>
    </w:p>
    <w:p w:rsidR="00D531A7" w:rsidRPr="00BA3B94" w:rsidRDefault="00D531A7" w:rsidP="00BA3B94">
      <w:pPr>
        <w:rPr>
          <w:sz w:val="20"/>
          <w:szCs w:val="20"/>
        </w:rPr>
      </w:pPr>
      <w:r w:rsidRPr="00BA3B94">
        <w:rPr>
          <w:sz w:val="20"/>
          <w:szCs w:val="20"/>
        </w:rPr>
        <w:t>- 0,97 is a factor accounting for energy losses due to bottom ash and radiation.This formula shall be applied in accordance with the reference document on Best Available Techniques for waste incineration.”</w:t>
      </w:r>
    </w:p>
  </w:endnote>
  <w:endnote w:id="38">
    <w:p w:rsidR="00D531A7" w:rsidRPr="00BA3B94" w:rsidRDefault="00D531A7" w:rsidP="00BA3B94">
      <w:pPr>
        <w:rPr>
          <w:sz w:val="20"/>
          <w:szCs w:val="20"/>
          <w:lang w:val="es-ES_tradnl"/>
        </w:rPr>
      </w:pPr>
      <w:r w:rsidRPr="00BA3B94">
        <w:rPr>
          <w:rStyle w:val="EndnoteReference"/>
          <w:sz w:val="20"/>
          <w:szCs w:val="20"/>
        </w:rPr>
        <w:endnoteRef/>
      </w:r>
      <w:r w:rsidRPr="00BA3B94">
        <w:rPr>
          <w:sz w:val="20"/>
          <w:szCs w:val="20"/>
        </w:rPr>
        <w:t xml:space="preserve"> </w:t>
      </w:r>
      <w:r w:rsidRPr="00BA3B94">
        <w:rPr>
          <w:color w:val="000000"/>
          <w:sz w:val="20"/>
          <w:szCs w:val="20"/>
        </w:rPr>
        <w:t xml:space="preserve">  </w:t>
      </w:r>
      <w:hyperlink r:id="rId37" w:history="1">
        <w:r w:rsidRPr="00BA3B94">
          <w:rPr>
            <w:rStyle w:val="Hyperlink"/>
            <w:color w:val="000000"/>
            <w:sz w:val="20"/>
            <w:szCs w:val="20"/>
          </w:rPr>
          <w:t>PARLIAMENTARY COMMISSIONER FOR FUTURE GENERATIONS</w:t>
        </w:r>
      </w:hyperlink>
      <w:r w:rsidRPr="00BA3B94">
        <w:rPr>
          <w:color w:val="000000"/>
          <w:sz w:val="20"/>
          <w:szCs w:val="20"/>
        </w:rPr>
        <w:t xml:space="preserve"> </w:t>
      </w:r>
      <w:hyperlink r:id="rId38" w:history="1">
        <w:r w:rsidRPr="00BA3B94">
          <w:rPr>
            <w:rStyle w:val="Hyperlink"/>
            <w:bCs/>
            <w:color w:val="000000"/>
            <w:sz w:val="20"/>
            <w:szCs w:val="20"/>
          </w:rPr>
          <w:t xml:space="preserve">dr. </w:t>
        </w:r>
        <w:r w:rsidRPr="00BA3B94">
          <w:rPr>
            <w:rStyle w:val="Hyperlink"/>
            <w:bCs/>
            <w:color w:val="000000"/>
            <w:sz w:val="20"/>
            <w:szCs w:val="20"/>
            <w:lang w:val="es-ES_tradnl"/>
          </w:rPr>
          <w:t>Sándor Fülöp</w:t>
        </w:r>
      </w:hyperlink>
      <w:r w:rsidRPr="00BA3B94">
        <w:rPr>
          <w:color w:val="000000"/>
          <w:sz w:val="20"/>
          <w:szCs w:val="20"/>
          <w:lang w:val="es-ES_tradnl"/>
        </w:rPr>
        <w:t xml:space="preserve"> </w:t>
      </w:r>
      <w:hyperlink r:id="rId39" w:history="1">
        <w:r w:rsidRPr="00BA3B94">
          <w:rPr>
            <w:rStyle w:val="Hyperlink"/>
            <w:sz w:val="20"/>
            <w:szCs w:val="20"/>
            <w:lang w:val="es-ES_tradnl"/>
          </w:rPr>
          <w:t>http://jno.hu/en/?&amp;menu=downloads&amp;doc=ECJ_case_law</w:t>
        </w:r>
      </w:hyperlink>
      <w:r w:rsidRPr="00BA3B94">
        <w:rPr>
          <w:sz w:val="20"/>
          <w:szCs w:val="20"/>
          <w:lang w:val="es-ES_tradnl"/>
        </w:rPr>
        <w:t xml:space="preserve"> </w:t>
      </w:r>
    </w:p>
  </w:endnote>
  <w:endnote w:id="39">
    <w:p w:rsidR="00D531A7" w:rsidRPr="00BA3B94" w:rsidRDefault="00D531A7" w:rsidP="00BA3B94">
      <w:pPr>
        <w:rPr>
          <w:sz w:val="20"/>
          <w:szCs w:val="20"/>
          <w:lang w:val="es-ES_tradnl"/>
        </w:rPr>
      </w:pPr>
      <w:r w:rsidRPr="00BA3B94">
        <w:rPr>
          <w:rStyle w:val="EndnoteReference"/>
          <w:sz w:val="20"/>
          <w:szCs w:val="20"/>
        </w:rPr>
        <w:endnoteRef/>
      </w:r>
      <w:r w:rsidRPr="00BA3B94">
        <w:rPr>
          <w:sz w:val="20"/>
          <w:szCs w:val="20"/>
          <w:lang w:val="es-ES_tradnl"/>
        </w:rPr>
        <w:t xml:space="preserve">  </w:t>
      </w:r>
      <w:hyperlink r:id="rId40" w:history="1">
        <w:r w:rsidRPr="00BA3B94">
          <w:rPr>
            <w:rStyle w:val="Hyperlink"/>
            <w:sz w:val="20"/>
            <w:szCs w:val="20"/>
            <w:lang w:val="es-ES_tradnl"/>
          </w:rPr>
          <w:t>http://ec.europa.eu/environment/legal/law/statistics.htm</w:t>
        </w:r>
      </w:hyperlink>
      <w:r w:rsidRPr="00BA3B94">
        <w:rPr>
          <w:sz w:val="20"/>
          <w:szCs w:val="20"/>
          <w:lang w:val="es-ES_tradnl"/>
        </w:rPr>
        <w:t xml:space="preserve"> </w:t>
      </w:r>
    </w:p>
  </w:endnote>
  <w:endnote w:id="40">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Euractiv 17 July 2009 Commission eyes tighter enforcement of EU waste law</w:t>
      </w:r>
      <w:r w:rsidRPr="00BA3B94">
        <w:rPr>
          <w:rStyle w:val="light"/>
          <w:sz w:val="20"/>
          <w:szCs w:val="20"/>
        </w:rPr>
        <w:t xml:space="preserve">; </w:t>
      </w:r>
      <w:r w:rsidRPr="00BA3B94">
        <w:rPr>
          <w:sz w:val="20"/>
          <w:szCs w:val="20"/>
        </w:rPr>
        <w:t xml:space="preserve"> Commission closes Lazio case after adoption of waste management plans IP/12/659  21/06/2012 </w:t>
      </w:r>
      <w:hyperlink r:id="rId41" w:history="1">
        <w:r w:rsidRPr="00BA3B94">
          <w:rPr>
            <w:rStyle w:val="Hyperlink"/>
            <w:sz w:val="20"/>
            <w:szCs w:val="20"/>
          </w:rPr>
          <w:t>http://europa.eu/rapid/pressReleasesAction.do?reference=IP/12/659&amp;format=HTML&amp;aged=0&amp;language=EN&amp;guiLanguage=en</w:t>
        </w:r>
      </w:hyperlink>
      <w:r w:rsidRPr="00BA3B94">
        <w:rPr>
          <w:rStyle w:val="light"/>
          <w:sz w:val="20"/>
          <w:szCs w:val="20"/>
        </w:rPr>
        <w:t xml:space="preserve"> </w:t>
      </w:r>
    </w:p>
  </w:endnote>
  <w:endnote w:id="41">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09 June 2009 </w:t>
      </w:r>
      <w:r w:rsidRPr="00BA3B94">
        <w:rPr>
          <w:rStyle w:val="currencyconvertertext"/>
          <w:sz w:val="20"/>
          <w:szCs w:val="20"/>
        </w:rPr>
        <w:t>Case C</w:t>
      </w:r>
      <w:r w:rsidRPr="00BA3B94">
        <w:rPr>
          <w:rStyle w:val="currencyconvertertext"/>
          <w:sz w:val="20"/>
          <w:szCs w:val="20"/>
        </w:rPr>
        <w:noBreakHyphen/>
        <w:t xml:space="preserve">480/06: Failure of a Member State to fulfil obligations – Directive 92/50/EEC – No formal European tendering procedure for the award of waste treatment services – Cooperation between local authorities - </w:t>
      </w:r>
      <w:r w:rsidRPr="00BA3B94">
        <w:rPr>
          <w:sz w:val="20"/>
          <w:szCs w:val="20"/>
        </w:rPr>
        <w:t xml:space="preserve">the </w:t>
      </w:r>
      <w:r w:rsidRPr="00BA3B94">
        <w:rPr>
          <w:i/>
          <w:iCs/>
          <w:sz w:val="20"/>
          <w:szCs w:val="20"/>
        </w:rPr>
        <w:t>Landkreise</w:t>
      </w:r>
      <w:r w:rsidRPr="00BA3B94">
        <w:rPr>
          <w:rStyle w:val="currencyconvertertext"/>
          <w:sz w:val="20"/>
          <w:szCs w:val="20"/>
        </w:rPr>
        <w:t xml:space="preserve"> (administrative districts) Rotenburg (Wümme), Harburg, Soltau</w:t>
      </w:r>
      <w:r w:rsidRPr="00BA3B94">
        <w:rPr>
          <w:rStyle w:val="currencyconvertertext"/>
          <w:sz w:val="20"/>
          <w:szCs w:val="20"/>
        </w:rPr>
        <w:noBreakHyphen/>
        <w:t>Fallingbostel and Stade directly concluded with Stadtreinigung Hamburg (City of Hamburg Cleansing Department) a contract for waste disposal without there having been a call for tenders)</w:t>
      </w:r>
      <w:r w:rsidRPr="00BA3B94">
        <w:rPr>
          <w:sz w:val="20"/>
          <w:szCs w:val="20"/>
        </w:rPr>
        <w:t xml:space="preserve"> </w:t>
      </w:r>
      <w:hyperlink r:id="rId42" w:history="1">
        <w:r w:rsidRPr="00BA3B94">
          <w:rPr>
            <w:rStyle w:val="Hyperlink"/>
            <w:sz w:val="20"/>
            <w:szCs w:val="20"/>
          </w:rPr>
          <w:t>http://curia.europa.eu/jurisp/cgi-bin/form.pl?lang=en&amp;alljur=alljur&amp;jurcdj=jurcdj&amp;jurtpi=jurtpi&amp;jurtfp=jurtfp&amp;numaff=&amp;nomusuel=&amp;ddatefs=08&amp;mdatefs=06&amp;ydatefs=2009&amp;ddatefe=10&amp;mdatefe=06&amp;ydatefe=2009&amp;docnodecision=docnodecision&amp;allcommjo=allcommjo&amp;affint=affint&amp;affclose=affclose&amp;alldocrec=alldocrec&amp;docor=docor&amp;docav=docav&amp;docsom=docsom&amp;docinf=docinf&amp;alldocnorec=alldocnorec&amp;docnoor=docnoor&amp;radtypeord=on&amp;newform=newform&amp;docj=docj&amp;docop=docop&amp;docnoj=docnoj&amp;typeord=ALL&amp;domaine=&amp;mots=&amp;resmax=100&amp;Submit=Rechercher</w:t>
        </w:r>
      </w:hyperlink>
      <w:r w:rsidRPr="00BA3B94">
        <w:rPr>
          <w:sz w:val="20"/>
          <w:szCs w:val="20"/>
        </w:rPr>
        <w:t xml:space="preserve"> </w:t>
      </w:r>
    </w:p>
  </w:endnote>
  <w:endnote w:id="42">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CEEP welcomes a further step towards freedom of choice for local authorities </w:t>
      </w:r>
      <w:hyperlink r:id="rId43" w:history="1">
        <w:r w:rsidRPr="00BA3B94">
          <w:rPr>
            <w:rStyle w:val="Hyperlink"/>
            <w:sz w:val="20"/>
            <w:szCs w:val="20"/>
          </w:rPr>
          <w:t>http://www.ceep.eu/index.php?option=com_content&amp;view=article&amp;id=146%3Aceep-welcomes-a-further-step-towards-freedom-of-choice-for-local-authorities&amp;catid=1%3Alatest-news&amp;Itemid=1</w:t>
        </w:r>
      </w:hyperlink>
      <w:r w:rsidRPr="00BA3B94">
        <w:rPr>
          <w:sz w:val="20"/>
          <w:szCs w:val="20"/>
        </w:rPr>
        <w:t xml:space="preserve"> </w:t>
      </w:r>
    </w:p>
  </w:endnote>
  <w:endnote w:id="43">
    <w:p w:rsidR="00D531A7" w:rsidRPr="00BA3B94" w:rsidRDefault="00D531A7" w:rsidP="00BA3B94">
      <w:pPr>
        <w:rPr>
          <w:sz w:val="20"/>
          <w:szCs w:val="20"/>
        </w:rPr>
      </w:pPr>
      <w:r w:rsidRPr="00BA3B94">
        <w:rPr>
          <w:rStyle w:val="EndnoteReference"/>
          <w:sz w:val="20"/>
          <w:szCs w:val="20"/>
        </w:rPr>
        <w:endnoteRef/>
      </w:r>
      <w:r w:rsidRPr="00BA3B94">
        <w:rPr>
          <w:sz w:val="20"/>
          <w:szCs w:val="20"/>
        </w:rPr>
        <w:t xml:space="preserve"> JUDGMENT OF THE COURT OF FIRST INSTANCE (Eighth Chamber, Extended Composition) </w:t>
      </w:r>
      <w:r w:rsidRPr="00BA3B94">
        <w:rPr>
          <w:rStyle w:val="currencyconverterlink"/>
          <w:sz w:val="20"/>
          <w:szCs w:val="20"/>
        </w:rPr>
        <w:t>11</w:t>
      </w:r>
      <w:r w:rsidRPr="00BA3B94">
        <w:rPr>
          <w:rStyle w:val="currencyconvertertext"/>
          <w:sz w:val="20"/>
          <w:szCs w:val="20"/>
        </w:rPr>
        <w:t xml:space="preserve"> June 2009 </w:t>
      </w:r>
      <w:r w:rsidRPr="00BA3B94">
        <w:rPr>
          <w:sz w:val="20"/>
          <w:szCs w:val="20"/>
        </w:rPr>
        <w:t xml:space="preserve"> </w:t>
      </w:r>
      <w:r w:rsidRPr="00BA3B94">
        <w:rPr>
          <w:rStyle w:val="currencyconvertertext"/>
          <w:sz w:val="20"/>
          <w:szCs w:val="20"/>
        </w:rPr>
        <w:t xml:space="preserve">(State aid – Scheme of aid granted by the Italian authorities to certain public utilities in the form of tax exemptions and loans at preferential rates – Decision declaring the aid incompatible with the common market – Existing aid or new aid – Article </w:t>
      </w:r>
      <w:r w:rsidRPr="00BA3B94">
        <w:rPr>
          <w:rStyle w:val="currencyconverterlink"/>
          <w:sz w:val="20"/>
          <w:szCs w:val="20"/>
        </w:rPr>
        <w:t>86</w:t>
      </w:r>
      <w:r w:rsidRPr="00BA3B94">
        <w:rPr>
          <w:rStyle w:val="currencyconvertertext"/>
          <w:sz w:val="20"/>
          <w:szCs w:val="20"/>
        </w:rPr>
        <w:t>(2) EC) In Case T</w:t>
      </w:r>
      <w:r w:rsidRPr="00BA3B94">
        <w:rPr>
          <w:rStyle w:val="currencyconvertertext"/>
          <w:sz w:val="20"/>
          <w:szCs w:val="20"/>
        </w:rPr>
        <w:noBreakHyphen/>
        <w:t xml:space="preserve">222/04. </w:t>
      </w:r>
      <w:hyperlink r:id="rId44" w:history="1">
        <w:r w:rsidRPr="00BA3B94">
          <w:rPr>
            <w:rStyle w:val="Hyperlink"/>
            <w:sz w:val="20"/>
            <w:szCs w:val="20"/>
          </w:rPr>
          <w:t>http://curia.europa.eu/jurisp/cgi-bin/form.pl?lang=en&amp;newform=newform&amp;alljur=alljur&amp;jurcdj=jurcdj&amp;jurtpi=jurtpi&amp;jurtfp=jurtfp&amp;alldocrec=alldocrec&amp;docj=docj&amp;docor=docor&amp;docop=docop&amp;docav=docav&amp;docsom=docsom&amp;docinf=docinf&amp;alldocnorec=alldocnorec&amp;docnoj=docnoj&amp;docnoor=docnoor&amp;radtypeord=on&amp;typeord=ALL&amp;docnodecision=docnodecision&amp;allcommjo=allcommjo&amp;affint=affint&amp;affclose=affclose&amp;numaff=&amp;ddatefs=01&amp;mdatefs=01&amp;ydatefs=2006&amp;ddatefe=01&amp;mdatefe=11&amp;ydatefe=2009&amp;nomusuel=&amp;domaine=&amp;mots=waste+AND+Italy&amp;resmax=100&amp;Submit=Submit</w:t>
        </w:r>
      </w:hyperlink>
      <w:r w:rsidRPr="00BA3B94">
        <w:rPr>
          <w:rStyle w:val="currencyconvertertext"/>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porateA-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EUAlbertina">
    <w:panose1 w:val="00000000000000000000"/>
    <w:charset w:val="00"/>
    <w:family w:val="auto"/>
    <w:notTrueType/>
    <w:pitch w:val="default"/>
    <w:sig w:usb0="00000003" w:usb1="00000000" w:usb2="00000000" w:usb3="00000000" w:csb0="00000001" w:csb1="00000000"/>
  </w:font>
  <w:font w:name="EUAlbertina+20">
    <w:panose1 w:val="00000000000000000000"/>
    <w:charset w:val="00"/>
    <w:family w:val="swiss"/>
    <w:notTrueType/>
    <w:pitch w:val="default"/>
    <w:sig w:usb0="00000003" w:usb1="00000000" w:usb2="00000000" w:usb3="00000000" w:csb0="00000001" w:csb1="00000000"/>
  </w:font>
  <w:font w:name="EUAlbertina_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652411" w:rsidRDefault="00D531A7" w:rsidP="00814BF3">
    <w:pPr>
      <w:pStyle w:val="Footer"/>
      <w:pBdr>
        <w:top w:val="single" w:sz="4" w:space="1" w:color="FF0000"/>
      </w:pBdr>
      <w:jc w:val="center"/>
      <w:rPr>
        <w:rFonts w:cs="Lucida Sans Unicode"/>
        <w:sz w:val="16"/>
        <w:szCs w:val="16"/>
      </w:rPr>
    </w:pPr>
    <w:r>
      <w:rPr>
        <w:rFonts w:cs="Lucida Sans Unicode"/>
        <w:sz w:val="16"/>
        <w:szCs w:val="16"/>
      </w:rPr>
      <w:t>February 2010</w:t>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081F2D">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081F2D">
      <w:rPr>
        <w:rFonts w:cs="Lucida Sans Unicode"/>
        <w:noProof/>
        <w:sz w:val="16"/>
        <w:szCs w:val="16"/>
      </w:rPr>
      <w:t>33</w:t>
    </w:r>
    <w:r w:rsidRPr="00652411">
      <w:rPr>
        <w:rFonts w:cs="Lucida Sans Unicod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7934FC"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r w:rsidRPr="007934FC">
      <w:rPr>
        <w:rFonts w:ascii="Lucida Sans Unicode" w:hAnsi="Lucida Sans Unicode" w:cs="Lucida Sans Unicode"/>
        <w:b/>
        <w:color w:val="FF0000"/>
        <w:sz w:val="16"/>
        <w:szCs w:val="16"/>
      </w:rPr>
      <w:t>PSIRU, Business School, University of Greenwich, Park Row, London SE10 9LS, U.K.</w:t>
    </w:r>
    <w:r w:rsidRPr="007934FC">
      <w:rPr>
        <w:rFonts w:ascii="Lucida Sans Unicode" w:hAnsi="Lucida Sans Unicode" w:cs="Lucida Sans Unicode"/>
        <w:i/>
        <w:sz w:val="16"/>
        <w:szCs w:val="16"/>
      </w:rPr>
      <w:t xml:space="preserve"> </w:t>
    </w:r>
  </w:p>
  <w:p w:rsidR="00D531A7" w:rsidRPr="007934FC"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D531A7"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 </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Emanuele Lobina,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Corral</w:t>
    </w:r>
  </w:p>
  <w:p w:rsidR="00D531A7" w:rsidRPr="003F063D" w:rsidRDefault="00D531A7" w:rsidP="00DD1FC3">
    <w:pPr>
      <w:jc w:val="center"/>
      <w:rPr>
        <w:rFonts w:ascii="Lucida Sans Unicode" w:hAnsi="Lucida Sans Unicode" w:cs="Lucida Sans Unicode"/>
        <w:color w:val="FF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652411" w:rsidRDefault="00D531A7" w:rsidP="00814BF3">
    <w:pPr>
      <w:pStyle w:val="Footer"/>
      <w:pBdr>
        <w:top w:val="single" w:sz="4" w:space="1" w:color="FF0000"/>
      </w:pBdr>
      <w:jc w:val="center"/>
      <w:rPr>
        <w:rFonts w:cs="Lucida Sans Unicode"/>
        <w:sz w:val="16"/>
        <w:szCs w:val="16"/>
      </w:rPr>
    </w:pPr>
    <w:r>
      <w:rPr>
        <w:rFonts w:cs="Lucida Sans Unicode"/>
        <w:sz w:val="16"/>
        <w:szCs w:val="16"/>
      </w:rPr>
      <w:t>February 2010</w:t>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081F2D">
      <w:rPr>
        <w:rFonts w:cs="Lucida Sans Unicode"/>
        <w:noProof/>
        <w:sz w:val="16"/>
        <w:szCs w:val="16"/>
      </w:rPr>
      <w:t>33</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081F2D">
      <w:rPr>
        <w:rFonts w:cs="Lucida Sans Unicode"/>
        <w:noProof/>
        <w:sz w:val="16"/>
        <w:szCs w:val="16"/>
      </w:rPr>
      <w:t>33</w:t>
    </w:r>
    <w:r w:rsidRPr="00652411">
      <w:rPr>
        <w:rFonts w:cs="Lucida Sans Unicode"/>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7934FC"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r w:rsidRPr="007934FC">
      <w:rPr>
        <w:rFonts w:ascii="Lucida Sans Unicode" w:hAnsi="Lucida Sans Unicode" w:cs="Lucida Sans Unicode"/>
        <w:b/>
        <w:color w:val="FF0000"/>
        <w:sz w:val="16"/>
        <w:szCs w:val="16"/>
      </w:rPr>
      <w:t>PSIRU, Business School, University of Greenwich, Park Row, London SE10 9LS, U.K.</w:t>
    </w:r>
    <w:r w:rsidRPr="007934FC">
      <w:rPr>
        <w:rFonts w:ascii="Lucida Sans Unicode" w:hAnsi="Lucida Sans Unicode" w:cs="Lucida Sans Unicode"/>
        <w:i/>
        <w:sz w:val="16"/>
        <w:szCs w:val="16"/>
      </w:rPr>
      <w:t xml:space="preserve"> </w:t>
    </w:r>
  </w:p>
  <w:p w:rsidR="00D531A7" w:rsidRPr="007934FC"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D531A7" w:rsidRDefault="00D531A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 </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Emanuele Lobina,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Corral</w:t>
    </w:r>
  </w:p>
  <w:p w:rsidR="00D531A7" w:rsidRPr="003F063D" w:rsidRDefault="00D531A7"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0E" w:rsidRDefault="0077670E">
      <w:r>
        <w:separator/>
      </w:r>
    </w:p>
  </w:footnote>
  <w:footnote w:type="continuationSeparator" w:id="0">
    <w:p w:rsidR="0077670E" w:rsidRDefault="00776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652411" w:rsidRDefault="00D531A7"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DD1FC3" w:rsidRDefault="00D531A7"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652411" w:rsidRDefault="00D531A7"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1A7" w:rsidRPr="00DD1FC3" w:rsidRDefault="00D531A7"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41D03B5"/>
    <w:multiLevelType w:val="hybridMultilevel"/>
    <w:tmpl w:val="B430426A"/>
    <w:lvl w:ilvl="0" w:tplc="8102BE1C">
      <w:start w:val="200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43A5FDA"/>
    <w:multiLevelType w:val="hybridMultilevel"/>
    <w:tmpl w:val="75942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0E73201"/>
    <w:multiLevelType w:val="hybridMultilevel"/>
    <w:tmpl w:val="1E38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0EF34E4"/>
    <w:multiLevelType w:val="hybridMultilevel"/>
    <w:tmpl w:val="BD90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5249AC"/>
    <w:multiLevelType w:val="hybridMultilevel"/>
    <w:tmpl w:val="36CA463A"/>
    <w:lvl w:ilvl="0" w:tplc="1E146BF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F51A2A"/>
    <w:multiLevelType w:val="multilevel"/>
    <w:tmpl w:val="FA0C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CA2023"/>
    <w:multiLevelType w:val="hybridMultilevel"/>
    <w:tmpl w:val="408820EC"/>
    <w:lvl w:ilvl="0" w:tplc="A760BF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A1922AB"/>
    <w:multiLevelType w:val="hybridMultilevel"/>
    <w:tmpl w:val="408820EC"/>
    <w:lvl w:ilvl="0" w:tplc="A760BF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3E84115D"/>
    <w:multiLevelType w:val="multilevel"/>
    <w:tmpl w:val="C0D89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4B5201A"/>
    <w:multiLevelType w:val="multilevel"/>
    <w:tmpl w:val="69CC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627856"/>
    <w:multiLevelType w:val="multilevel"/>
    <w:tmpl w:val="A2B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664E2"/>
    <w:multiLevelType w:val="multilevel"/>
    <w:tmpl w:val="D844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042B3"/>
    <w:multiLevelType w:val="hybridMultilevel"/>
    <w:tmpl w:val="0510A6DE"/>
    <w:lvl w:ilvl="0" w:tplc="8102BE1C">
      <w:start w:val="200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F984219"/>
    <w:multiLevelType w:val="hybridMultilevel"/>
    <w:tmpl w:val="1808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9">
    <w:nsid w:val="518C25C9"/>
    <w:multiLevelType w:val="multilevel"/>
    <w:tmpl w:val="9F06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CE460E"/>
    <w:multiLevelType w:val="hybridMultilevel"/>
    <w:tmpl w:val="2784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B32F33"/>
    <w:multiLevelType w:val="hybridMultilevel"/>
    <w:tmpl w:val="ED7EADB4"/>
    <w:lvl w:ilvl="0" w:tplc="E6EC98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419411D"/>
    <w:multiLevelType w:val="hybridMultilevel"/>
    <w:tmpl w:val="8510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32"/>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8"/>
  </w:num>
  <w:num w:numId="16">
    <w:abstractNumId w:val="26"/>
  </w:num>
  <w:num w:numId="17">
    <w:abstractNumId w:val="19"/>
  </w:num>
  <w:num w:numId="18">
    <w:abstractNumId w:val="17"/>
  </w:num>
  <w:num w:numId="19">
    <w:abstractNumId w:val="10"/>
  </w:num>
  <w:num w:numId="20">
    <w:abstractNumId w:val="15"/>
  </w:num>
  <w:num w:numId="21">
    <w:abstractNumId w:val="30"/>
  </w:num>
  <w:num w:numId="22">
    <w:abstractNumId w:val="24"/>
  </w:num>
  <w:num w:numId="23">
    <w:abstractNumId w:val="29"/>
  </w:num>
  <w:num w:numId="24">
    <w:abstractNumId w:val="22"/>
  </w:num>
  <w:num w:numId="25">
    <w:abstractNumId w:val="16"/>
  </w:num>
  <w:num w:numId="26">
    <w:abstractNumId w:val="20"/>
  </w:num>
  <w:num w:numId="27">
    <w:abstractNumId w:val="2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3"/>
  </w:num>
  <w:num w:numId="31">
    <w:abstractNumId w:val="31"/>
  </w:num>
  <w:num w:numId="32">
    <w:abstractNumId w:val="25"/>
  </w:num>
  <w:num w:numId="33">
    <w:abstractNumId w:val="11"/>
  </w:num>
  <w:num w:numId="34">
    <w:abstractNumId w:val="27"/>
  </w:num>
  <w:num w:numId="3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activeWritingStyle w:appName="MSWord" w:lang="es-ES_tradnl"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6145"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4D"/>
    <w:rsid w:val="00022384"/>
    <w:rsid w:val="000343C2"/>
    <w:rsid w:val="00036912"/>
    <w:rsid w:val="000404D9"/>
    <w:rsid w:val="0004076B"/>
    <w:rsid w:val="00043954"/>
    <w:rsid w:val="00046809"/>
    <w:rsid w:val="000477E3"/>
    <w:rsid w:val="000570A5"/>
    <w:rsid w:val="00057A71"/>
    <w:rsid w:val="00077360"/>
    <w:rsid w:val="00081F2D"/>
    <w:rsid w:val="00085E8A"/>
    <w:rsid w:val="00093212"/>
    <w:rsid w:val="00097B24"/>
    <w:rsid w:val="000A2AC1"/>
    <w:rsid w:val="000A59D7"/>
    <w:rsid w:val="000A7394"/>
    <w:rsid w:val="000B1209"/>
    <w:rsid w:val="000C0CA1"/>
    <w:rsid w:val="000C3918"/>
    <w:rsid w:val="000C6E09"/>
    <w:rsid w:val="000D31B7"/>
    <w:rsid w:val="000D4BE5"/>
    <w:rsid w:val="000D4BF9"/>
    <w:rsid w:val="000D75D6"/>
    <w:rsid w:val="000E2510"/>
    <w:rsid w:val="000E2865"/>
    <w:rsid w:val="000E4FAA"/>
    <w:rsid w:val="000E4FE6"/>
    <w:rsid w:val="000E7515"/>
    <w:rsid w:val="000F51BA"/>
    <w:rsid w:val="00101B59"/>
    <w:rsid w:val="00114CD2"/>
    <w:rsid w:val="00120D02"/>
    <w:rsid w:val="0012167B"/>
    <w:rsid w:val="00132E52"/>
    <w:rsid w:val="00135A45"/>
    <w:rsid w:val="00136A4D"/>
    <w:rsid w:val="00142D61"/>
    <w:rsid w:val="001466C6"/>
    <w:rsid w:val="0015143C"/>
    <w:rsid w:val="0015148D"/>
    <w:rsid w:val="00154FA6"/>
    <w:rsid w:val="0016111A"/>
    <w:rsid w:val="001707BE"/>
    <w:rsid w:val="00170D74"/>
    <w:rsid w:val="001714D2"/>
    <w:rsid w:val="001727B1"/>
    <w:rsid w:val="001841F9"/>
    <w:rsid w:val="001A09A1"/>
    <w:rsid w:val="001B36B9"/>
    <w:rsid w:val="001B49C1"/>
    <w:rsid w:val="001C1B23"/>
    <w:rsid w:val="001D044F"/>
    <w:rsid w:val="001E3C15"/>
    <w:rsid w:val="001E657D"/>
    <w:rsid w:val="00203831"/>
    <w:rsid w:val="00203936"/>
    <w:rsid w:val="00207B32"/>
    <w:rsid w:val="0022143D"/>
    <w:rsid w:val="00234AE6"/>
    <w:rsid w:val="00235978"/>
    <w:rsid w:val="002377EF"/>
    <w:rsid w:val="002425F8"/>
    <w:rsid w:val="00250B78"/>
    <w:rsid w:val="002510FF"/>
    <w:rsid w:val="00252CBE"/>
    <w:rsid w:val="002542DA"/>
    <w:rsid w:val="00256386"/>
    <w:rsid w:val="00257D00"/>
    <w:rsid w:val="00265875"/>
    <w:rsid w:val="00271C71"/>
    <w:rsid w:val="0028247F"/>
    <w:rsid w:val="00283470"/>
    <w:rsid w:val="002866C7"/>
    <w:rsid w:val="00286A1B"/>
    <w:rsid w:val="002873B4"/>
    <w:rsid w:val="002879A6"/>
    <w:rsid w:val="002A0D9E"/>
    <w:rsid w:val="002B3688"/>
    <w:rsid w:val="002B772F"/>
    <w:rsid w:val="002C21C4"/>
    <w:rsid w:val="002C5598"/>
    <w:rsid w:val="002D500E"/>
    <w:rsid w:val="002D61D4"/>
    <w:rsid w:val="002D75A4"/>
    <w:rsid w:val="002E0566"/>
    <w:rsid w:val="002E1506"/>
    <w:rsid w:val="002F017A"/>
    <w:rsid w:val="002F1E7C"/>
    <w:rsid w:val="002F2A52"/>
    <w:rsid w:val="002F2E0F"/>
    <w:rsid w:val="00300AE9"/>
    <w:rsid w:val="003016B0"/>
    <w:rsid w:val="00305772"/>
    <w:rsid w:val="00314702"/>
    <w:rsid w:val="00316070"/>
    <w:rsid w:val="00317FA1"/>
    <w:rsid w:val="003256E9"/>
    <w:rsid w:val="00331EFD"/>
    <w:rsid w:val="00334A89"/>
    <w:rsid w:val="00335B24"/>
    <w:rsid w:val="00340165"/>
    <w:rsid w:val="00341614"/>
    <w:rsid w:val="00344D6A"/>
    <w:rsid w:val="0034704E"/>
    <w:rsid w:val="003475B4"/>
    <w:rsid w:val="003526AB"/>
    <w:rsid w:val="00352A5D"/>
    <w:rsid w:val="0035341D"/>
    <w:rsid w:val="0035688D"/>
    <w:rsid w:val="00360955"/>
    <w:rsid w:val="00363182"/>
    <w:rsid w:val="00364142"/>
    <w:rsid w:val="003656A0"/>
    <w:rsid w:val="00371E16"/>
    <w:rsid w:val="00373201"/>
    <w:rsid w:val="00375647"/>
    <w:rsid w:val="00375804"/>
    <w:rsid w:val="00380C18"/>
    <w:rsid w:val="0038327A"/>
    <w:rsid w:val="003877E7"/>
    <w:rsid w:val="00392155"/>
    <w:rsid w:val="003A2103"/>
    <w:rsid w:val="003A5667"/>
    <w:rsid w:val="003A7D9C"/>
    <w:rsid w:val="003B0BD1"/>
    <w:rsid w:val="003B0EE2"/>
    <w:rsid w:val="003C1AB5"/>
    <w:rsid w:val="003C4ABD"/>
    <w:rsid w:val="003D4DA5"/>
    <w:rsid w:val="003E54C5"/>
    <w:rsid w:val="003F0284"/>
    <w:rsid w:val="003F063D"/>
    <w:rsid w:val="003F2798"/>
    <w:rsid w:val="00402244"/>
    <w:rsid w:val="00413A3D"/>
    <w:rsid w:val="00415862"/>
    <w:rsid w:val="004310F0"/>
    <w:rsid w:val="004316E7"/>
    <w:rsid w:val="00440B48"/>
    <w:rsid w:val="00443076"/>
    <w:rsid w:val="00443424"/>
    <w:rsid w:val="00444E42"/>
    <w:rsid w:val="00446BED"/>
    <w:rsid w:val="00447E47"/>
    <w:rsid w:val="0045522F"/>
    <w:rsid w:val="0045681C"/>
    <w:rsid w:val="004645F1"/>
    <w:rsid w:val="0046472F"/>
    <w:rsid w:val="004651AE"/>
    <w:rsid w:val="00474162"/>
    <w:rsid w:val="00476A33"/>
    <w:rsid w:val="00481870"/>
    <w:rsid w:val="00481C78"/>
    <w:rsid w:val="00484840"/>
    <w:rsid w:val="00493FE2"/>
    <w:rsid w:val="00495C68"/>
    <w:rsid w:val="00495DDD"/>
    <w:rsid w:val="004B6DE7"/>
    <w:rsid w:val="004B7666"/>
    <w:rsid w:val="004C3DD0"/>
    <w:rsid w:val="004C495E"/>
    <w:rsid w:val="004C4C91"/>
    <w:rsid w:val="004D55AB"/>
    <w:rsid w:val="004E3457"/>
    <w:rsid w:val="004E346D"/>
    <w:rsid w:val="004F577D"/>
    <w:rsid w:val="00500130"/>
    <w:rsid w:val="00502F27"/>
    <w:rsid w:val="00507056"/>
    <w:rsid w:val="00515D49"/>
    <w:rsid w:val="0052568E"/>
    <w:rsid w:val="005344FC"/>
    <w:rsid w:val="00535522"/>
    <w:rsid w:val="00535986"/>
    <w:rsid w:val="005433D7"/>
    <w:rsid w:val="00547333"/>
    <w:rsid w:val="00554C70"/>
    <w:rsid w:val="005660D3"/>
    <w:rsid w:val="00573FC9"/>
    <w:rsid w:val="00577A9A"/>
    <w:rsid w:val="00581D6E"/>
    <w:rsid w:val="00597463"/>
    <w:rsid w:val="0059760E"/>
    <w:rsid w:val="005A504D"/>
    <w:rsid w:val="005C0CD6"/>
    <w:rsid w:val="005C2ABC"/>
    <w:rsid w:val="005C2DFE"/>
    <w:rsid w:val="005C67C2"/>
    <w:rsid w:val="005D7B91"/>
    <w:rsid w:val="005E29C5"/>
    <w:rsid w:val="005E5EEB"/>
    <w:rsid w:val="005F2F6B"/>
    <w:rsid w:val="005F77C7"/>
    <w:rsid w:val="0060579B"/>
    <w:rsid w:val="00613B41"/>
    <w:rsid w:val="0061438A"/>
    <w:rsid w:val="0061695B"/>
    <w:rsid w:val="00620CF2"/>
    <w:rsid w:val="00634547"/>
    <w:rsid w:val="00641417"/>
    <w:rsid w:val="0065208A"/>
    <w:rsid w:val="00652411"/>
    <w:rsid w:val="00652FF3"/>
    <w:rsid w:val="00655EC9"/>
    <w:rsid w:val="00657084"/>
    <w:rsid w:val="00661B28"/>
    <w:rsid w:val="00665334"/>
    <w:rsid w:val="006669E8"/>
    <w:rsid w:val="00667366"/>
    <w:rsid w:val="00670786"/>
    <w:rsid w:val="00670CA6"/>
    <w:rsid w:val="00671179"/>
    <w:rsid w:val="0067238E"/>
    <w:rsid w:val="00681016"/>
    <w:rsid w:val="00683A25"/>
    <w:rsid w:val="00694D7D"/>
    <w:rsid w:val="00695F78"/>
    <w:rsid w:val="006B6D56"/>
    <w:rsid w:val="006E3235"/>
    <w:rsid w:val="006E3A92"/>
    <w:rsid w:val="006E700F"/>
    <w:rsid w:val="006F24A7"/>
    <w:rsid w:val="006F6E96"/>
    <w:rsid w:val="006F74A6"/>
    <w:rsid w:val="00705450"/>
    <w:rsid w:val="007074B4"/>
    <w:rsid w:val="007243B1"/>
    <w:rsid w:val="007344B2"/>
    <w:rsid w:val="007434B8"/>
    <w:rsid w:val="00744AAC"/>
    <w:rsid w:val="007501F6"/>
    <w:rsid w:val="00750F3E"/>
    <w:rsid w:val="00766D72"/>
    <w:rsid w:val="007704F5"/>
    <w:rsid w:val="00774B4E"/>
    <w:rsid w:val="0077670E"/>
    <w:rsid w:val="0078087D"/>
    <w:rsid w:val="00785AC1"/>
    <w:rsid w:val="00786EBA"/>
    <w:rsid w:val="007934FC"/>
    <w:rsid w:val="00796C60"/>
    <w:rsid w:val="007A6244"/>
    <w:rsid w:val="007A6A44"/>
    <w:rsid w:val="007B0337"/>
    <w:rsid w:val="007B1F8A"/>
    <w:rsid w:val="007D15E6"/>
    <w:rsid w:val="007D2F18"/>
    <w:rsid w:val="007E00A2"/>
    <w:rsid w:val="007E1432"/>
    <w:rsid w:val="007E3068"/>
    <w:rsid w:val="007E33F9"/>
    <w:rsid w:val="00800D47"/>
    <w:rsid w:val="008014CA"/>
    <w:rsid w:val="0080416A"/>
    <w:rsid w:val="00814BF3"/>
    <w:rsid w:val="0081577E"/>
    <w:rsid w:val="00816CA3"/>
    <w:rsid w:val="0083306A"/>
    <w:rsid w:val="00843965"/>
    <w:rsid w:val="008553E5"/>
    <w:rsid w:val="00856564"/>
    <w:rsid w:val="00857516"/>
    <w:rsid w:val="008575F9"/>
    <w:rsid w:val="00862053"/>
    <w:rsid w:val="00862986"/>
    <w:rsid w:val="0086758B"/>
    <w:rsid w:val="00867E70"/>
    <w:rsid w:val="008741C9"/>
    <w:rsid w:val="00876257"/>
    <w:rsid w:val="00895C35"/>
    <w:rsid w:val="008964E7"/>
    <w:rsid w:val="008A2B21"/>
    <w:rsid w:val="008A2B2F"/>
    <w:rsid w:val="008A351D"/>
    <w:rsid w:val="008A39C6"/>
    <w:rsid w:val="008A7167"/>
    <w:rsid w:val="008A74A9"/>
    <w:rsid w:val="008B098E"/>
    <w:rsid w:val="008D40BA"/>
    <w:rsid w:val="008E0102"/>
    <w:rsid w:val="008E389F"/>
    <w:rsid w:val="008F0C8D"/>
    <w:rsid w:val="008F4CAD"/>
    <w:rsid w:val="008F57F4"/>
    <w:rsid w:val="009035EC"/>
    <w:rsid w:val="009218D1"/>
    <w:rsid w:val="009245AB"/>
    <w:rsid w:val="00925572"/>
    <w:rsid w:val="00927222"/>
    <w:rsid w:val="0093141B"/>
    <w:rsid w:val="009317DD"/>
    <w:rsid w:val="00935526"/>
    <w:rsid w:val="009445AD"/>
    <w:rsid w:val="0094547E"/>
    <w:rsid w:val="00950146"/>
    <w:rsid w:val="00965E41"/>
    <w:rsid w:val="00967607"/>
    <w:rsid w:val="00967D68"/>
    <w:rsid w:val="009754A1"/>
    <w:rsid w:val="00977C88"/>
    <w:rsid w:val="00984979"/>
    <w:rsid w:val="00994402"/>
    <w:rsid w:val="0099766C"/>
    <w:rsid w:val="009A2823"/>
    <w:rsid w:val="009A391A"/>
    <w:rsid w:val="009B7F90"/>
    <w:rsid w:val="009C5510"/>
    <w:rsid w:val="009D737F"/>
    <w:rsid w:val="009E3176"/>
    <w:rsid w:val="009E4BBA"/>
    <w:rsid w:val="009F369B"/>
    <w:rsid w:val="009F4F54"/>
    <w:rsid w:val="009F528D"/>
    <w:rsid w:val="00A062AE"/>
    <w:rsid w:val="00A13AAA"/>
    <w:rsid w:val="00A157DA"/>
    <w:rsid w:val="00A17AE3"/>
    <w:rsid w:val="00A343D5"/>
    <w:rsid w:val="00A34F0F"/>
    <w:rsid w:val="00A472DE"/>
    <w:rsid w:val="00A51E4B"/>
    <w:rsid w:val="00A5282B"/>
    <w:rsid w:val="00A535F8"/>
    <w:rsid w:val="00A53768"/>
    <w:rsid w:val="00A61319"/>
    <w:rsid w:val="00A64119"/>
    <w:rsid w:val="00A646CA"/>
    <w:rsid w:val="00A66F93"/>
    <w:rsid w:val="00A71ED0"/>
    <w:rsid w:val="00A745FE"/>
    <w:rsid w:val="00A80547"/>
    <w:rsid w:val="00A82453"/>
    <w:rsid w:val="00A86A74"/>
    <w:rsid w:val="00AA0765"/>
    <w:rsid w:val="00AA2621"/>
    <w:rsid w:val="00AB0C40"/>
    <w:rsid w:val="00AC300D"/>
    <w:rsid w:val="00AC7D84"/>
    <w:rsid w:val="00AD1E30"/>
    <w:rsid w:val="00B05F6D"/>
    <w:rsid w:val="00B12E82"/>
    <w:rsid w:val="00B15373"/>
    <w:rsid w:val="00B203D7"/>
    <w:rsid w:val="00B24073"/>
    <w:rsid w:val="00B3769F"/>
    <w:rsid w:val="00B50157"/>
    <w:rsid w:val="00B50DDD"/>
    <w:rsid w:val="00B52D2D"/>
    <w:rsid w:val="00B52D95"/>
    <w:rsid w:val="00B537AF"/>
    <w:rsid w:val="00B55310"/>
    <w:rsid w:val="00B64C2A"/>
    <w:rsid w:val="00B725C8"/>
    <w:rsid w:val="00B813E4"/>
    <w:rsid w:val="00B83F9D"/>
    <w:rsid w:val="00B9164D"/>
    <w:rsid w:val="00B965DF"/>
    <w:rsid w:val="00BA3B94"/>
    <w:rsid w:val="00BA3B95"/>
    <w:rsid w:val="00BA7B12"/>
    <w:rsid w:val="00BB0A96"/>
    <w:rsid w:val="00BC2769"/>
    <w:rsid w:val="00BC5D48"/>
    <w:rsid w:val="00BD21EA"/>
    <w:rsid w:val="00BE61EA"/>
    <w:rsid w:val="00BF06A6"/>
    <w:rsid w:val="00BF4EA0"/>
    <w:rsid w:val="00C03316"/>
    <w:rsid w:val="00C05C2A"/>
    <w:rsid w:val="00C13AFC"/>
    <w:rsid w:val="00C20030"/>
    <w:rsid w:val="00C204CA"/>
    <w:rsid w:val="00C20FAC"/>
    <w:rsid w:val="00C21B92"/>
    <w:rsid w:val="00C33A6E"/>
    <w:rsid w:val="00C358F0"/>
    <w:rsid w:val="00C35F84"/>
    <w:rsid w:val="00C41130"/>
    <w:rsid w:val="00C41987"/>
    <w:rsid w:val="00C46CEB"/>
    <w:rsid w:val="00C47027"/>
    <w:rsid w:val="00C47F44"/>
    <w:rsid w:val="00C52A36"/>
    <w:rsid w:val="00C5544D"/>
    <w:rsid w:val="00C71D47"/>
    <w:rsid w:val="00C808B1"/>
    <w:rsid w:val="00C87FA4"/>
    <w:rsid w:val="00C9796A"/>
    <w:rsid w:val="00CA13FC"/>
    <w:rsid w:val="00CA24F4"/>
    <w:rsid w:val="00CA67BC"/>
    <w:rsid w:val="00CB14A8"/>
    <w:rsid w:val="00CB3FED"/>
    <w:rsid w:val="00CC58D3"/>
    <w:rsid w:val="00CC6A07"/>
    <w:rsid w:val="00CC6A26"/>
    <w:rsid w:val="00CC780D"/>
    <w:rsid w:val="00CF12A5"/>
    <w:rsid w:val="00CF298C"/>
    <w:rsid w:val="00CF7806"/>
    <w:rsid w:val="00CF78FB"/>
    <w:rsid w:val="00D002C5"/>
    <w:rsid w:val="00D0297F"/>
    <w:rsid w:val="00D1287E"/>
    <w:rsid w:val="00D13742"/>
    <w:rsid w:val="00D13C85"/>
    <w:rsid w:val="00D22571"/>
    <w:rsid w:val="00D24D53"/>
    <w:rsid w:val="00D2707C"/>
    <w:rsid w:val="00D33B73"/>
    <w:rsid w:val="00D37073"/>
    <w:rsid w:val="00D47E31"/>
    <w:rsid w:val="00D50CE9"/>
    <w:rsid w:val="00D531A7"/>
    <w:rsid w:val="00D554CC"/>
    <w:rsid w:val="00D604D1"/>
    <w:rsid w:val="00D60A33"/>
    <w:rsid w:val="00D6298D"/>
    <w:rsid w:val="00D66B1B"/>
    <w:rsid w:val="00D70217"/>
    <w:rsid w:val="00D830F7"/>
    <w:rsid w:val="00D83F43"/>
    <w:rsid w:val="00D850E9"/>
    <w:rsid w:val="00D90026"/>
    <w:rsid w:val="00D90E9D"/>
    <w:rsid w:val="00DA085C"/>
    <w:rsid w:val="00DA769C"/>
    <w:rsid w:val="00DB3D06"/>
    <w:rsid w:val="00DB56FD"/>
    <w:rsid w:val="00DB58F7"/>
    <w:rsid w:val="00DB5A64"/>
    <w:rsid w:val="00DD08FE"/>
    <w:rsid w:val="00DD1FC3"/>
    <w:rsid w:val="00DD2166"/>
    <w:rsid w:val="00DD3FE4"/>
    <w:rsid w:val="00DD41F7"/>
    <w:rsid w:val="00DE6C4B"/>
    <w:rsid w:val="00DE6D6D"/>
    <w:rsid w:val="00DE7F82"/>
    <w:rsid w:val="00DF0FBB"/>
    <w:rsid w:val="00DF4FB8"/>
    <w:rsid w:val="00E032BB"/>
    <w:rsid w:val="00E07A1B"/>
    <w:rsid w:val="00E11744"/>
    <w:rsid w:val="00E15C94"/>
    <w:rsid w:val="00E16EE5"/>
    <w:rsid w:val="00E2546B"/>
    <w:rsid w:val="00E2576F"/>
    <w:rsid w:val="00E278A7"/>
    <w:rsid w:val="00E34ACB"/>
    <w:rsid w:val="00E56366"/>
    <w:rsid w:val="00E5764B"/>
    <w:rsid w:val="00E60F1A"/>
    <w:rsid w:val="00E6513B"/>
    <w:rsid w:val="00E66851"/>
    <w:rsid w:val="00E67FFB"/>
    <w:rsid w:val="00E703D4"/>
    <w:rsid w:val="00E832F5"/>
    <w:rsid w:val="00E8640F"/>
    <w:rsid w:val="00E912DF"/>
    <w:rsid w:val="00EA1CF2"/>
    <w:rsid w:val="00EA3234"/>
    <w:rsid w:val="00EA5A74"/>
    <w:rsid w:val="00EB164A"/>
    <w:rsid w:val="00EB1A6B"/>
    <w:rsid w:val="00EB1E83"/>
    <w:rsid w:val="00EC1E6D"/>
    <w:rsid w:val="00EC3651"/>
    <w:rsid w:val="00EC3AC9"/>
    <w:rsid w:val="00EC6184"/>
    <w:rsid w:val="00EE03BA"/>
    <w:rsid w:val="00EE1822"/>
    <w:rsid w:val="00EE4E88"/>
    <w:rsid w:val="00EE751B"/>
    <w:rsid w:val="00EF0448"/>
    <w:rsid w:val="00F00A38"/>
    <w:rsid w:val="00F00E29"/>
    <w:rsid w:val="00F02A0D"/>
    <w:rsid w:val="00F050AE"/>
    <w:rsid w:val="00F10E63"/>
    <w:rsid w:val="00F16831"/>
    <w:rsid w:val="00F20695"/>
    <w:rsid w:val="00F2214C"/>
    <w:rsid w:val="00F269E7"/>
    <w:rsid w:val="00F32544"/>
    <w:rsid w:val="00F414DF"/>
    <w:rsid w:val="00F41A9A"/>
    <w:rsid w:val="00F42530"/>
    <w:rsid w:val="00F537D9"/>
    <w:rsid w:val="00F53DD7"/>
    <w:rsid w:val="00F55261"/>
    <w:rsid w:val="00F62B3C"/>
    <w:rsid w:val="00F6342A"/>
    <w:rsid w:val="00F63E26"/>
    <w:rsid w:val="00F75704"/>
    <w:rsid w:val="00F75946"/>
    <w:rsid w:val="00F77730"/>
    <w:rsid w:val="00F82564"/>
    <w:rsid w:val="00F83DBB"/>
    <w:rsid w:val="00F936CD"/>
    <w:rsid w:val="00F93F0A"/>
    <w:rsid w:val="00FA00A1"/>
    <w:rsid w:val="00FA15BA"/>
    <w:rsid w:val="00FA1AB9"/>
    <w:rsid w:val="00FA1E8A"/>
    <w:rsid w:val="00FA5269"/>
    <w:rsid w:val="00FA61A5"/>
    <w:rsid w:val="00FB0824"/>
    <w:rsid w:val="00FC1E54"/>
    <w:rsid w:val="00FC5B94"/>
    <w:rsid w:val="00FC70AD"/>
    <w:rsid w:val="00FD10E4"/>
    <w:rsid w:val="00FD13AD"/>
    <w:rsid w:val="00FD1B91"/>
    <w:rsid w:val="00FD4113"/>
    <w:rsid w:val="00FE27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endnote reference" w:uiPriority="99"/>
    <w:lsdException w:name="endnote text"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DD7"/>
    <w:rPr>
      <w:rFonts w:asciiTheme="minorHAnsi" w:eastAsiaTheme="minorEastAsia" w:hAnsiTheme="minorHAnsi" w:cstheme="minorBidi"/>
      <w:sz w:val="22"/>
      <w:szCs w:val="22"/>
    </w:rPr>
  </w:style>
  <w:style w:type="paragraph" w:styleId="Heading1">
    <w:name w:val="heading 1"/>
    <w:aliases w:val="Heading 1 Char"/>
    <w:basedOn w:val="Normal"/>
    <w:next w:val="Normal"/>
    <w:qFormat/>
    <w:rsid w:val="00515D49"/>
    <w:pPr>
      <w:keepNext/>
      <w:numPr>
        <w:numId w:val="16"/>
      </w:numPr>
      <w:spacing w:before="240"/>
      <w:outlineLvl w:val="0"/>
    </w:pPr>
    <w:rPr>
      <w:rFonts w:ascii="Trebuchet MS" w:eastAsia="Calibri"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16"/>
      </w:numPr>
      <w:spacing w:before="240" w:after="60"/>
      <w:outlineLvl w:val="1"/>
    </w:pPr>
    <w:rPr>
      <w:rFonts w:ascii="Trebuchet MS" w:eastAsia="Calibri"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eastAsia="Calibri"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eastAsia="Calibri" w:hAnsi="Trebuchet MS" w:cs="Times New Roman"/>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eastAsia="Calibri" w:hAnsi="Trebuchet MS" w:cs="Times New Roman"/>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rFonts w:ascii="Calibri" w:eastAsia="Calibri" w:hAnsi="Calibri" w:cs="Times New Roman"/>
      <w:bCs/>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eastAsia="Calibri" w:hAnsi="Trebuchet MS" w:cs="Times New Roman"/>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eastAsia="Calibri" w:hAnsi="Trebuchet MS" w:cs="Times New Roman"/>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eastAsia="Calibri"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235"/>
    <w:pPr>
      <w:tabs>
        <w:tab w:val="center" w:pos="4153"/>
        <w:tab w:val="right" w:pos="8306"/>
      </w:tabs>
    </w:pPr>
    <w:rPr>
      <w:rFonts w:ascii="Lucida Sans Unicode" w:eastAsia="Calibri" w:hAnsi="Lucida Sans Unicode" w:cs="Times New Roman"/>
      <w:sz w:val="18"/>
      <w:lang w:eastAsia="en-US"/>
    </w:rPr>
  </w:style>
  <w:style w:type="paragraph" w:styleId="Footer">
    <w:name w:val="footer"/>
    <w:basedOn w:val="Normal"/>
    <w:link w:val="FooterChar"/>
    <w:rsid w:val="006E3235"/>
    <w:pPr>
      <w:tabs>
        <w:tab w:val="center" w:pos="4153"/>
        <w:tab w:val="right" w:pos="8306"/>
      </w:tabs>
    </w:pPr>
    <w:rPr>
      <w:rFonts w:ascii="Lucida Sans Unicode" w:eastAsia="Calibri" w:hAnsi="Lucida Sans Unicode" w:cs="Times New Roman"/>
      <w:sz w:val="18"/>
      <w:lang w:eastAsia="en-US"/>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ind w:left="1440" w:right="1440"/>
    </w:pPr>
    <w:rPr>
      <w:rFonts w:ascii="Calibri" w:eastAsia="Calibri" w:hAnsi="Calibri" w:cs="Times New Roman"/>
      <w:lang w:eastAsia="en-US"/>
    </w:rPr>
  </w:style>
  <w:style w:type="paragraph" w:styleId="BodyText2">
    <w:name w:val="Body Text 2"/>
    <w:basedOn w:val="Normal"/>
    <w:semiHidden/>
    <w:rsid w:val="007B1F8A"/>
    <w:pPr>
      <w:spacing w:line="480" w:lineRule="auto"/>
    </w:pPr>
    <w:rPr>
      <w:rFonts w:ascii="Calibri" w:eastAsia="Calibri" w:hAnsi="Calibri" w:cs="Times New Roman"/>
      <w:lang w:eastAsia="en-US"/>
    </w:rPr>
  </w:style>
  <w:style w:type="paragraph" w:styleId="BodyText3">
    <w:name w:val="Body Text 3"/>
    <w:basedOn w:val="Normal"/>
    <w:semiHidden/>
    <w:rsid w:val="007B1F8A"/>
    <w:rPr>
      <w:rFonts w:ascii="Calibri" w:eastAsia="Calibri" w:hAnsi="Calibri" w:cs="Times New Roman"/>
      <w:sz w:val="16"/>
      <w:szCs w:val="16"/>
      <w:lang w:eastAsia="en-US"/>
    </w:rPr>
  </w:style>
  <w:style w:type="paragraph" w:styleId="BodyText">
    <w:name w:val="Body Text"/>
    <w:basedOn w:val="Normal"/>
    <w:rsid w:val="008964E7"/>
    <w:rPr>
      <w:rFonts w:ascii="Calibri" w:eastAsia="Calibri" w:hAnsi="Calibri" w:cs="Times New Roman"/>
      <w:lang w:eastAsia="en-US"/>
    </w:rPr>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ind w:left="283"/>
    </w:pPr>
    <w:rPr>
      <w:rFonts w:ascii="Calibri" w:eastAsia="Calibri" w:hAnsi="Calibri" w:cs="Times New Roman"/>
      <w:lang w:eastAsia="en-US"/>
    </w:r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line="480" w:lineRule="auto"/>
      <w:ind w:left="283"/>
    </w:pPr>
    <w:rPr>
      <w:rFonts w:ascii="Calibri" w:eastAsia="Calibri" w:hAnsi="Calibri" w:cs="Times New Roman"/>
      <w:lang w:eastAsia="en-US"/>
    </w:rPr>
  </w:style>
  <w:style w:type="paragraph" w:styleId="BodyTextIndent3">
    <w:name w:val="Body Text Indent 3"/>
    <w:basedOn w:val="Normal"/>
    <w:semiHidden/>
    <w:rsid w:val="007B1F8A"/>
    <w:pPr>
      <w:ind w:left="283"/>
    </w:pPr>
    <w:rPr>
      <w:rFonts w:ascii="Calibri" w:eastAsia="Calibri" w:hAnsi="Calibri" w:cs="Times New Roman"/>
      <w:sz w:val="16"/>
      <w:szCs w:val="16"/>
      <w:lang w:eastAsia="en-US"/>
    </w:rPr>
  </w:style>
  <w:style w:type="paragraph" w:styleId="Closing">
    <w:name w:val="Closing"/>
    <w:basedOn w:val="Normal"/>
    <w:semiHidden/>
    <w:rsid w:val="007B1F8A"/>
    <w:pPr>
      <w:ind w:left="4252"/>
    </w:pPr>
    <w:rPr>
      <w:rFonts w:ascii="Calibri" w:eastAsia="Calibri" w:hAnsi="Calibri" w:cs="Times New Roman"/>
      <w:lang w:eastAsia="en-US"/>
    </w:rPr>
  </w:style>
  <w:style w:type="paragraph" w:styleId="Date">
    <w:name w:val="Date"/>
    <w:basedOn w:val="Normal"/>
    <w:next w:val="Normal"/>
    <w:semiHidden/>
    <w:rsid w:val="007B1F8A"/>
    <w:rPr>
      <w:rFonts w:ascii="Calibri" w:eastAsia="Calibri" w:hAnsi="Calibri" w:cs="Times New Roman"/>
      <w:lang w:eastAsia="en-US"/>
    </w:rPr>
  </w:style>
  <w:style w:type="paragraph" w:styleId="E-mailSignature">
    <w:name w:val="E-mail Signature"/>
    <w:basedOn w:val="Normal"/>
    <w:semiHidden/>
    <w:rsid w:val="007B1F8A"/>
    <w:rPr>
      <w:rFonts w:ascii="Calibri" w:eastAsia="Calibri" w:hAnsi="Calibri" w:cs="Times New Roman"/>
      <w:lang w:eastAsia="en-US"/>
    </w:rPr>
  </w:style>
  <w:style w:type="character" w:styleId="Emphasis">
    <w:name w:val="Emphasis"/>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qFormat/>
    <w:rsid w:val="007B1F8A"/>
    <w:rPr>
      <w:rFonts w:ascii="Calibri" w:eastAsia="Calibri" w:hAnsi="Calibri" w:cs="Times New Roman"/>
      <w:sz w:val="20"/>
      <w:szCs w:val="20"/>
      <w:lang w:eastAsia="en-US"/>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eastAsia="Calibri" w:hAnsi="Arial" w:cs="Arial"/>
      <w:sz w:val="24"/>
      <w:lang w:eastAsia="en-US"/>
    </w:rPr>
  </w:style>
  <w:style w:type="paragraph" w:styleId="EnvelopeReturn">
    <w:name w:val="envelope return"/>
    <w:basedOn w:val="Normal"/>
    <w:semiHidden/>
    <w:rsid w:val="007B1F8A"/>
    <w:rPr>
      <w:rFonts w:ascii="Arial" w:eastAsia="Calibri" w:hAnsi="Arial" w:cs="Arial"/>
      <w:sz w:val="20"/>
      <w:szCs w:val="20"/>
      <w:lang w:eastAsia="en-US"/>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rFonts w:ascii="Calibri" w:eastAsia="Calibri" w:hAnsi="Calibri" w:cs="Times New Roman"/>
      <w:i/>
      <w:iCs/>
      <w:lang w:eastAsia="en-U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eastAsia="Calibri" w:hAnsi="Courier New" w:cs="Courier New"/>
      <w:sz w:val="20"/>
      <w:szCs w:val="20"/>
      <w:lang w:eastAsia="en-US"/>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rPr>
      <w:rFonts w:ascii="Calibri" w:eastAsia="Calibri" w:hAnsi="Calibri" w:cs="Times New Roman"/>
      <w:lang w:eastAsia="en-US"/>
    </w:rPr>
  </w:style>
  <w:style w:type="paragraph" w:styleId="List2">
    <w:name w:val="List 2"/>
    <w:basedOn w:val="Normal"/>
    <w:semiHidden/>
    <w:rsid w:val="007B1F8A"/>
    <w:pPr>
      <w:ind w:left="566" w:hanging="283"/>
    </w:pPr>
    <w:rPr>
      <w:rFonts w:ascii="Calibri" w:eastAsia="Calibri" w:hAnsi="Calibri" w:cs="Times New Roman"/>
      <w:lang w:eastAsia="en-US"/>
    </w:rPr>
  </w:style>
  <w:style w:type="paragraph" w:styleId="List3">
    <w:name w:val="List 3"/>
    <w:basedOn w:val="Normal"/>
    <w:semiHidden/>
    <w:rsid w:val="007B1F8A"/>
    <w:pPr>
      <w:ind w:left="849" w:hanging="283"/>
    </w:pPr>
    <w:rPr>
      <w:rFonts w:ascii="Calibri" w:eastAsia="Calibri" w:hAnsi="Calibri" w:cs="Times New Roman"/>
      <w:lang w:eastAsia="en-US"/>
    </w:rPr>
  </w:style>
  <w:style w:type="paragraph" w:styleId="List4">
    <w:name w:val="List 4"/>
    <w:basedOn w:val="Normal"/>
    <w:semiHidden/>
    <w:rsid w:val="007B1F8A"/>
    <w:pPr>
      <w:ind w:left="1132" w:hanging="283"/>
    </w:pPr>
    <w:rPr>
      <w:rFonts w:ascii="Calibri" w:eastAsia="Calibri" w:hAnsi="Calibri" w:cs="Times New Roman"/>
      <w:lang w:eastAsia="en-US"/>
    </w:rPr>
  </w:style>
  <w:style w:type="paragraph" w:styleId="List5">
    <w:name w:val="List 5"/>
    <w:basedOn w:val="Normal"/>
    <w:semiHidden/>
    <w:rsid w:val="007B1F8A"/>
    <w:pPr>
      <w:ind w:left="1415" w:hanging="283"/>
    </w:pPr>
    <w:rPr>
      <w:rFonts w:ascii="Calibri" w:eastAsia="Calibri" w:hAnsi="Calibri" w:cs="Times New Roman"/>
      <w:lang w:eastAsia="en-US"/>
    </w:rPr>
  </w:style>
  <w:style w:type="paragraph" w:styleId="ListBullet2">
    <w:name w:val="List Bullet 2"/>
    <w:basedOn w:val="Normal"/>
    <w:autoRedefine/>
    <w:semiHidden/>
    <w:rsid w:val="007B1F8A"/>
    <w:pPr>
      <w:numPr>
        <w:numId w:val="5"/>
      </w:numPr>
    </w:pPr>
    <w:rPr>
      <w:rFonts w:ascii="Calibri" w:eastAsia="Calibri" w:hAnsi="Calibri" w:cs="Times New Roman"/>
      <w:lang w:eastAsia="en-US"/>
    </w:rPr>
  </w:style>
  <w:style w:type="paragraph" w:styleId="ListBullet3">
    <w:name w:val="List Bullet 3"/>
    <w:basedOn w:val="Normal"/>
    <w:autoRedefine/>
    <w:semiHidden/>
    <w:rsid w:val="007B1F8A"/>
    <w:pPr>
      <w:numPr>
        <w:numId w:val="6"/>
      </w:numPr>
    </w:pPr>
    <w:rPr>
      <w:rFonts w:ascii="Calibri" w:eastAsia="Calibri" w:hAnsi="Calibri" w:cs="Times New Roman"/>
      <w:lang w:eastAsia="en-US"/>
    </w:rPr>
  </w:style>
  <w:style w:type="paragraph" w:styleId="ListBullet4">
    <w:name w:val="List Bullet 4"/>
    <w:basedOn w:val="Normal"/>
    <w:autoRedefine/>
    <w:semiHidden/>
    <w:rsid w:val="007B1F8A"/>
    <w:pPr>
      <w:numPr>
        <w:numId w:val="7"/>
      </w:numPr>
    </w:pPr>
    <w:rPr>
      <w:rFonts w:ascii="Calibri" w:eastAsia="Calibri" w:hAnsi="Calibri" w:cs="Times New Roman"/>
      <w:lang w:eastAsia="en-US"/>
    </w:rPr>
  </w:style>
  <w:style w:type="paragraph" w:styleId="ListBullet5">
    <w:name w:val="List Bullet 5"/>
    <w:basedOn w:val="Normal"/>
    <w:autoRedefine/>
    <w:semiHidden/>
    <w:rsid w:val="007B1F8A"/>
    <w:pPr>
      <w:numPr>
        <w:numId w:val="8"/>
      </w:numPr>
    </w:pPr>
    <w:rPr>
      <w:rFonts w:ascii="Calibri" w:eastAsia="Calibri" w:hAnsi="Calibri" w:cs="Times New Roman"/>
      <w:lang w:eastAsia="en-US"/>
    </w:rPr>
  </w:style>
  <w:style w:type="paragraph" w:styleId="ListContinue">
    <w:name w:val="List Continue"/>
    <w:basedOn w:val="Normal"/>
    <w:semiHidden/>
    <w:rsid w:val="007B1F8A"/>
    <w:pPr>
      <w:ind w:left="283"/>
    </w:pPr>
    <w:rPr>
      <w:rFonts w:ascii="Calibri" w:eastAsia="Calibri" w:hAnsi="Calibri" w:cs="Times New Roman"/>
      <w:lang w:eastAsia="en-US"/>
    </w:rPr>
  </w:style>
  <w:style w:type="paragraph" w:styleId="ListContinue2">
    <w:name w:val="List Continue 2"/>
    <w:basedOn w:val="Normal"/>
    <w:semiHidden/>
    <w:rsid w:val="007B1F8A"/>
    <w:pPr>
      <w:ind w:left="566"/>
    </w:pPr>
    <w:rPr>
      <w:rFonts w:ascii="Calibri" w:eastAsia="Calibri" w:hAnsi="Calibri" w:cs="Times New Roman"/>
      <w:lang w:eastAsia="en-US"/>
    </w:rPr>
  </w:style>
  <w:style w:type="paragraph" w:styleId="ListContinue3">
    <w:name w:val="List Continue 3"/>
    <w:basedOn w:val="Normal"/>
    <w:semiHidden/>
    <w:rsid w:val="007B1F8A"/>
    <w:pPr>
      <w:ind w:left="849"/>
    </w:pPr>
    <w:rPr>
      <w:rFonts w:ascii="Calibri" w:eastAsia="Calibri" w:hAnsi="Calibri" w:cs="Times New Roman"/>
      <w:lang w:eastAsia="en-US"/>
    </w:rPr>
  </w:style>
  <w:style w:type="paragraph" w:styleId="ListContinue4">
    <w:name w:val="List Continue 4"/>
    <w:basedOn w:val="Normal"/>
    <w:semiHidden/>
    <w:rsid w:val="007B1F8A"/>
    <w:pPr>
      <w:ind w:left="1132"/>
    </w:pPr>
    <w:rPr>
      <w:rFonts w:ascii="Calibri" w:eastAsia="Calibri" w:hAnsi="Calibri" w:cs="Times New Roman"/>
      <w:lang w:eastAsia="en-US"/>
    </w:rPr>
  </w:style>
  <w:style w:type="paragraph" w:styleId="ListContinue5">
    <w:name w:val="List Continue 5"/>
    <w:basedOn w:val="Normal"/>
    <w:semiHidden/>
    <w:rsid w:val="007B1F8A"/>
    <w:pPr>
      <w:ind w:left="1415"/>
    </w:pPr>
    <w:rPr>
      <w:rFonts w:ascii="Calibri" w:eastAsia="Calibri" w:hAnsi="Calibri" w:cs="Times New Roman"/>
      <w:lang w:eastAsia="en-US"/>
    </w:rPr>
  </w:style>
  <w:style w:type="paragraph" w:styleId="ListNumber">
    <w:name w:val="List Number"/>
    <w:basedOn w:val="Normal"/>
    <w:semiHidden/>
    <w:rsid w:val="007B1F8A"/>
    <w:pPr>
      <w:numPr>
        <w:numId w:val="9"/>
      </w:numPr>
    </w:pPr>
    <w:rPr>
      <w:rFonts w:ascii="Calibri" w:eastAsia="Calibri" w:hAnsi="Calibri" w:cs="Times New Roman"/>
      <w:lang w:eastAsia="en-US"/>
    </w:rPr>
  </w:style>
  <w:style w:type="paragraph" w:styleId="ListNumber2">
    <w:name w:val="List Number 2"/>
    <w:basedOn w:val="Normal"/>
    <w:semiHidden/>
    <w:rsid w:val="007B1F8A"/>
    <w:pPr>
      <w:numPr>
        <w:numId w:val="10"/>
      </w:numPr>
    </w:pPr>
    <w:rPr>
      <w:rFonts w:ascii="Calibri" w:eastAsia="Calibri" w:hAnsi="Calibri" w:cs="Times New Roman"/>
      <w:lang w:eastAsia="en-US"/>
    </w:rPr>
  </w:style>
  <w:style w:type="paragraph" w:styleId="ListNumber3">
    <w:name w:val="List Number 3"/>
    <w:basedOn w:val="Normal"/>
    <w:semiHidden/>
    <w:rsid w:val="007B1F8A"/>
    <w:pPr>
      <w:numPr>
        <w:numId w:val="11"/>
      </w:numPr>
    </w:pPr>
    <w:rPr>
      <w:rFonts w:ascii="Calibri" w:eastAsia="Calibri" w:hAnsi="Calibri" w:cs="Times New Roman"/>
      <w:lang w:eastAsia="en-US"/>
    </w:rPr>
  </w:style>
  <w:style w:type="paragraph" w:styleId="ListNumber4">
    <w:name w:val="List Number 4"/>
    <w:basedOn w:val="Normal"/>
    <w:semiHidden/>
    <w:rsid w:val="007B1F8A"/>
    <w:pPr>
      <w:numPr>
        <w:numId w:val="12"/>
      </w:numPr>
    </w:pPr>
    <w:rPr>
      <w:rFonts w:ascii="Calibri" w:eastAsia="Calibri" w:hAnsi="Calibri" w:cs="Times New Roman"/>
      <w:lang w:eastAsia="en-US"/>
    </w:rPr>
  </w:style>
  <w:style w:type="paragraph" w:styleId="ListNumber5">
    <w:name w:val="List Number 5"/>
    <w:basedOn w:val="Normal"/>
    <w:semiHidden/>
    <w:rsid w:val="007B1F8A"/>
    <w:pPr>
      <w:numPr>
        <w:numId w:val="13"/>
      </w:numPr>
    </w:pPr>
    <w:rPr>
      <w:rFonts w:ascii="Calibri" w:eastAsia="Calibri" w:hAnsi="Calibri" w:cs="Times New Roman"/>
      <w:lang w:eastAsia="en-US"/>
    </w:r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sz w:val="24"/>
      <w:lang w:eastAsia="en-US"/>
    </w:rPr>
  </w:style>
  <w:style w:type="paragraph" w:styleId="NormalWeb">
    <w:name w:val="Normal (Web)"/>
    <w:basedOn w:val="Normal"/>
    <w:uiPriority w:val="99"/>
    <w:rsid w:val="007B1F8A"/>
    <w:rPr>
      <w:rFonts w:ascii="Calibri" w:eastAsia="Calibri" w:hAnsi="Calibri" w:cs="Times New Roman"/>
      <w:sz w:val="24"/>
      <w:lang w:eastAsia="en-US"/>
    </w:rPr>
  </w:style>
  <w:style w:type="paragraph" w:styleId="NormalIndent">
    <w:name w:val="Normal Indent"/>
    <w:basedOn w:val="Normal"/>
    <w:semiHidden/>
    <w:rsid w:val="007B1F8A"/>
    <w:pPr>
      <w:ind w:left="720"/>
    </w:pPr>
    <w:rPr>
      <w:rFonts w:ascii="Calibri" w:eastAsia="Calibri" w:hAnsi="Calibri" w:cs="Times New Roman"/>
      <w:lang w:eastAsia="en-US"/>
    </w:rPr>
  </w:style>
  <w:style w:type="paragraph" w:styleId="NoteHeading">
    <w:name w:val="Note Heading"/>
    <w:basedOn w:val="Normal"/>
    <w:next w:val="Normal"/>
    <w:semiHidden/>
    <w:rsid w:val="007B1F8A"/>
    <w:rPr>
      <w:rFonts w:ascii="Calibri" w:eastAsia="Calibri" w:hAnsi="Calibri" w:cs="Times New Roman"/>
      <w:lang w:eastAsia="en-US"/>
    </w:rPr>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eastAsia="Calibri" w:hAnsi="Courier New" w:cs="Courier New"/>
      <w:sz w:val="20"/>
      <w:szCs w:val="20"/>
      <w:lang w:eastAsia="en-US"/>
    </w:rPr>
  </w:style>
  <w:style w:type="paragraph" w:styleId="Salutation">
    <w:name w:val="Salutation"/>
    <w:basedOn w:val="Normal"/>
    <w:next w:val="Normal"/>
    <w:semiHidden/>
    <w:rsid w:val="007B1F8A"/>
    <w:rPr>
      <w:rFonts w:ascii="Calibri" w:eastAsia="Calibri" w:hAnsi="Calibri" w:cs="Times New Roman"/>
      <w:lang w:eastAsia="en-US"/>
    </w:rPr>
  </w:style>
  <w:style w:type="paragraph" w:styleId="Signature">
    <w:name w:val="Signature"/>
    <w:basedOn w:val="Normal"/>
    <w:semiHidden/>
    <w:rsid w:val="007B1F8A"/>
    <w:pPr>
      <w:ind w:left="4252"/>
    </w:pPr>
    <w:rPr>
      <w:rFonts w:ascii="Calibri" w:eastAsia="Calibri" w:hAnsi="Calibri" w:cs="Times New Roman"/>
      <w:lang w:eastAsia="en-US"/>
    </w:r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eastAsia="Calibri" w:hAnsi="Lucida Sans Unicode" w:cs="Arial"/>
      <w:b/>
      <w:color w:val="FF0000"/>
      <w:sz w:val="24"/>
      <w:lang w:eastAsia="en-US"/>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pPr>
    <w:rPr>
      <w:rFonts w:ascii="Calibri" w:eastAsia="Calibri" w:hAnsi="Calibri" w:cs="Times New Roman"/>
      <w:b/>
      <w:bCs/>
      <w:caps/>
      <w:sz w:val="20"/>
      <w:szCs w:val="20"/>
      <w:lang w:eastAsia="en-US"/>
    </w:rPr>
  </w:style>
  <w:style w:type="paragraph" w:styleId="Title">
    <w:name w:val="Title"/>
    <w:basedOn w:val="Normal"/>
    <w:qFormat/>
    <w:rsid w:val="007B1F8A"/>
    <w:pPr>
      <w:spacing w:before="240" w:after="60"/>
      <w:jc w:val="center"/>
      <w:outlineLvl w:val="0"/>
    </w:pPr>
    <w:rPr>
      <w:rFonts w:ascii="Lucida Sans Unicode" w:eastAsia="Calibri" w:hAnsi="Lucida Sans Unicode" w:cs="Arial"/>
      <w:b/>
      <w:bCs/>
      <w:color w:val="FF0000"/>
      <w:kern w:val="28"/>
      <w:sz w:val="36"/>
      <w:szCs w:val="32"/>
      <w:lang w:eastAsia="en-US"/>
    </w:rPr>
  </w:style>
  <w:style w:type="paragraph" w:styleId="TOC2">
    <w:name w:val="toc 2"/>
    <w:basedOn w:val="Normal"/>
    <w:next w:val="Normal"/>
    <w:autoRedefine/>
    <w:uiPriority w:val="39"/>
    <w:rsid w:val="003526AB"/>
    <w:pPr>
      <w:tabs>
        <w:tab w:val="left" w:pos="880"/>
        <w:tab w:val="right" w:leader="dot" w:pos="9628"/>
      </w:tabs>
      <w:ind w:left="220"/>
    </w:pPr>
    <w:rPr>
      <w:rFonts w:ascii="Calibri" w:eastAsia="Calibri" w:hAnsi="Calibri" w:cs="Times New Roman"/>
      <w:smallCaps/>
      <w:noProof/>
      <w:sz w:val="20"/>
      <w:szCs w:val="20"/>
      <w:lang w:eastAsia="en-US"/>
    </w:rPr>
  </w:style>
  <w:style w:type="paragraph" w:styleId="TOC3">
    <w:name w:val="toc 3"/>
    <w:basedOn w:val="Normal"/>
    <w:next w:val="Normal"/>
    <w:autoRedefine/>
    <w:uiPriority w:val="39"/>
    <w:rsid w:val="007B1F8A"/>
    <w:pPr>
      <w:ind w:left="440"/>
    </w:pPr>
    <w:rPr>
      <w:rFonts w:ascii="Calibri" w:eastAsia="Calibri" w:hAnsi="Calibri" w:cs="Times New Roman"/>
      <w:i/>
      <w:iCs/>
      <w:sz w:val="20"/>
      <w:szCs w:val="20"/>
      <w:lang w:eastAsia="en-US"/>
    </w:rPr>
  </w:style>
  <w:style w:type="paragraph" w:styleId="TOC4">
    <w:name w:val="toc 4"/>
    <w:basedOn w:val="Normal"/>
    <w:next w:val="Normal"/>
    <w:autoRedefine/>
    <w:uiPriority w:val="39"/>
    <w:rsid w:val="007B1F8A"/>
    <w:pPr>
      <w:ind w:left="660"/>
    </w:pPr>
    <w:rPr>
      <w:rFonts w:ascii="Calibri" w:eastAsia="Calibri" w:hAnsi="Calibri" w:cs="Times New Roman"/>
      <w:sz w:val="18"/>
      <w:szCs w:val="18"/>
      <w:lang w:eastAsia="en-US"/>
    </w:rPr>
  </w:style>
  <w:style w:type="paragraph" w:styleId="TOC5">
    <w:name w:val="toc 5"/>
    <w:basedOn w:val="Normal"/>
    <w:next w:val="Normal"/>
    <w:autoRedefine/>
    <w:semiHidden/>
    <w:rsid w:val="007B1F8A"/>
    <w:pPr>
      <w:ind w:left="880"/>
    </w:pPr>
    <w:rPr>
      <w:rFonts w:ascii="Calibri" w:eastAsia="Calibri" w:hAnsi="Calibri" w:cs="Times New Roman"/>
      <w:sz w:val="18"/>
      <w:szCs w:val="18"/>
      <w:lang w:eastAsia="en-US"/>
    </w:rPr>
  </w:style>
  <w:style w:type="paragraph" w:styleId="TOC6">
    <w:name w:val="toc 6"/>
    <w:basedOn w:val="Normal"/>
    <w:next w:val="Normal"/>
    <w:autoRedefine/>
    <w:semiHidden/>
    <w:rsid w:val="007B1F8A"/>
    <w:pPr>
      <w:ind w:left="1100"/>
    </w:pPr>
    <w:rPr>
      <w:rFonts w:ascii="Calibri" w:eastAsia="Calibri" w:hAnsi="Calibri" w:cs="Times New Roman"/>
      <w:sz w:val="18"/>
      <w:szCs w:val="18"/>
      <w:lang w:eastAsia="en-US"/>
    </w:rPr>
  </w:style>
  <w:style w:type="paragraph" w:styleId="TOC7">
    <w:name w:val="toc 7"/>
    <w:basedOn w:val="Normal"/>
    <w:next w:val="Normal"/>
    <w:autoRedefine/>
    <w:semiHidden/>
    <w:rsid w:val="007B1F8A"/>
    <w:pPr>
      <w:ind w:left="1320"/>
    </w:pPr>
    <w:rPr>
      <w:rFonts w:ascii="Calibri" w:eastAsia="Calibri" w:hAnsi="Calibri" w:cs="Times New Roman"/>
      <w:sz w:val="18"/>
      <w:szCs w:val="18"/>
      <w:lang w:eastAsia="en-US"/>
    </w:rPr>
  </w:style>
  <w:style w:type="paragraph" w:styleId="TOC8">
    <w:name w:val="toc 8"/>
    <w:basedOn w:val="Normal"/>
    <w:next w:val="Normal"/>
    <w:autoRedefine/>
    <w:semiHidden/>
    <w:rsid w:val="007B1F8A"/>
    <w:pPr>
      <w:ind w:left="1540"/>
    </w:pPr>
    <w:rPr>
      <w:rFonts w:ascii="Calibri" w:eastAsia="Calibri" w:hAnsi="Calibri" w:cs="Times New Roman"/>
      <w:sz w:val="18"/>
      <w:szCs w:val="18"/>
      <w:lang w:eastAsia="en-US"/>
    </w:rPr>
  </w:style>
  <w:style w:type="paragraph" w:styleId="TOC9">
    <w:name w:val="toc 9"/>
    <w:basedOn w:val="Normal"/>
    <w:next w:val="Normal"/>
    <w:autoRedefine/>
    <w:semiHidden/>
    <w:rsid w:val="007B1F8A"/>
    <w:pPr>
      <w:ind w:left="1760"/>
    </w:pPr>
    <w:rPr>
      <w:rFonts w:ascii="Calibri" w:eastAsia="Calibri" w:hAnsi="Calibri" w:cs="Times New Roman"/>
      <w:sz w:val="18"/>
      <w:szCs w:val="18"/>
      <w:lang w:eastAsia="en-US"/>
    </w:rPr>
  </w:style>
  <w:style w:type="paragraph" w:styleId="DocumentMap">
    <w:name w:val="Document Map"/>
    <w:basedOn w:val="Normal"/>
    <w:rsid w:val="00515D49"/>
    <w:pPr>
      <w:shd w:val="clear" w:color="auto" w:fill="000080"/>
    </w:pPr>
    <w:rPr>
      <w:rFonts w:ascii="Browallia New" w:eastAsia="Calibri" w:hAnsi="Browallia New" w:cs="Tahoma"/>
      <w:sz w:val="16"/>
      <w:lang w:eastAsia="en-US"/>
    </w:rPr>
  </w:style>
  <w:style w:type="paragraph" w:styleId="ListParagraph">
    <w:name w:val="List Paragraph"/>
    <w:basedOn w:val="Normal"/>
    <w:uiPriority w:val="34"/>
    <w:qFormat/>
    <w:rsid w:val="00C5544D"/>
    <w:pPr>
      <w:ind w:left="720"/>
      <w:contextualSpacing/>
    </w:pPr>
    <w:rPr>
      <w:rFonts w:ascii="Calibri" w:eastAsia="Calibri" w:hAnsi="Calibri" w:cs="Times New Roman"/>
      <w:lang w:eastAsia="en-US"/>
    </w:rPr>
  </w:style>
  <w:style w:type="character" w:customStyle="1" w:styleId="caps">
    <w:name w:val="caps"/>
    <w:basedOn w:val="DefaultParagraphFont"/>
    <w:rsid w:val="00A71ED0"/>
  </w:style>
  <w:style w:type="paragraph" w:customStyle="1" w:styleId="hivatal">
    <w:name w:val="hivatal"/>
    <w:basedOn w:val="Normal"/>
    <w:rsid w:val="002A0D9E"/>
    <w:pPr>
      <w:spacing w:before="100" w:beforeAutospacing="1" w:after="100" w:afterAutospacing="1"/>
    </w:pPr>
    <w:rPr>
      <w:rFonts w:ascii="Times New Roman" w:eastAsia="Times New Roman" w:hAnsi="Times New Roman" w:cs="Times New Roman"/>
      <w:sz w:val="24"/>
      <w:szCs w:val="24"/>
    </w:rPr>
  </w:style>
  <w:style w:type="paragraph" w:customStyle="1" w:styleId="nev">
    <w:name w:val="nev"/>
    <w:basedOn w:val="Normal"/>
    <w:rsid w:val="002A0D9E"/>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665334"/>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rsid w:val="00665334"/>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rsid w:val="00665334"/>
    <w:pPr>
      <w:spacing w:before="100" w:beforeAutospacing="1" w:after="100" w:afterAutospacing="1"/>
    </w:pPr>
    <w:rPr>
      <w:rFonts w:ascii="Times New Roman" w:eastAsia="Times New Roman" w:hAnsi="Times New Roman" w:cs="Times New Roman"/>
      <w:sz w:val="24"/>
      <w:szCs w:val="24"/>
    </w:rPr>
  </w:style>
  <w:style w:type="character" w:customStyle="1" w:styleId="light">
    <w:name w:val="light"/>
    <w:basedOn w:val="DefaultParagraphFont"/>
    <w:rsid w:val="00705450"/>
  </w:style>
  <w:style w:type="character" w:styleId="EndnoteReference">
    <w:name w:val="endnote reference"/>
    <w:uiPriority w:val="99"/>
    <w:semiHidden/>
    <w:rsid w:val="008741C9"/>
    <w:rPr>
      <w:vertAlign w:val="superscript"/>
    </w:rPr>
  </w:style>
  <w:style w:type="paragraph" w:styleId="BalloonText">
    <w:name w:val="Balloon Text"/>
    <w:basedOn w:val="Normal"/>
    <w:link w:val="BalloonTextChar"/>
    <w:rsid w:val="00A5282B"/>
    <w:rPr>
      <w:rFonts w:ascii="Tahoma" w:eastAsia="Calibri" w:hAnsi="Tahoma" w:cs="Tahoma"/>
      <w:sz w:val="16"/>
      <w:szCs w:val="16"/>
      <w:lang w:eastAsia="en-US"/>
    </w:rPr>
  </w:style>
  <w:style w:type="character" w:customStyle="1" w:styleId="BalloonTextChar">
    <w:name w:val="Balloon Text Char"/>
    <w:link w:val="BalloonText"/>
    <w:rsid w:val="00A5282B"/>
    <w:rPr>
      <w:rFonts w:ascii="Tahoma" w:eastAsia="Calibri" w:hAnsi="Tahoma" w:cs="Tahoma"/>
      <w:sz w:val="16"/>
      <w:szCs w:val="16"/>
      <w:lang w:eastAsia="en-US"/>
    </w:rPr>
  </w:style>
  <w:style w:type="character" w:customStyle="1" w:styleId="currencyconvertertext">
    <w:name w:val="currency_converter_text"/>
    <w:basedOn w:val="DefaultParagraphFont"/>
    <w:rsid w:val="00A5282B"/>
  </w:style>
  <w:style w:type="paragraph" w:customStyle="1" w:styleId="c01pointnumerotealtn">
    <w:name w:val="c01pointnumerotealtn"/>
    <w:basedOn w:val="Normal"/>
    <w:rsid w:val="000F51BA"/>
    <w:pPr>
      <w:spacing w:before="100" w:beforeAutospacing="1" w:after="100" w:afterAutospacing="1"/>
    </w:pPr>
    <w:rPr>
      <w:rFonts w:ascii="Times New Roman" w:eastAsia="Times New Roman" w:hAnsi="Times New Roman" w:cs="Times New Roman"/>
      <w:sz w:val="24"/>
      <w:szCs w:val="24"/>
    </w:rPr>
  </w:style>
  <w:style w:type="character" w:customStyle="1" w:styleId="currencyconverterlink">
    <w:name w:val="currency_converter_link"/>
    <w:basedOn w:val="DefaultParagraphFont"/>
    <w:rsid w:val="000F51BA"/>
  </w:style>
  <w:style w:type="paragraph" w:customStyle="1" w:styleId="c02alineaalta">
    <w:name w:val="c02alineaalta"/>
    <w:basedOn w:val="Normal"/>
    <w:rsid w:val="00E56366"/>
    <w:pPr>
      <w:spacing w:before="100" w:beforeAutospacing="1" w:after="100" w:afterAutospacing="1"/>
    </w:pPr>
    <w:rPr>
      <w:rFonts w:ascii="Times New Roman" w:eastAsia="Times New Roman" w:hAnsi="Times New Roman" w:cs="Times New Roman"/>
      <w:sz w:val="24"/>
      <w:szCs w:val="24"/>
    </w:rPr>
  </w:style>
  <w:style w:type="paragraph" w:customStyle="1" w:styleId="c19centre">
    <w:name w:val="c19centre"/>
    <w:basedOn w:val="Normal"/>
    <w:rsid w:val="00E56366"/>
    <w:pPr>
      <w:spacing w:before="100" w:beforeAutospacing="1" w:after="100" w:afterAutospacing="1"/>
    </w:pPr>
    <w:rPr>
      <w:rFonts w:ascii="Times New Roman" w:eastAsia="Times New Roman" w:hAnsi="Times New Roman" w:cs="Times New Roman"/>
      <w:sz w:val="24"/>
      <w:szCs w:val="24"/>
    </w:rPr>
  </w:style>
  <w:style w:type="paragraph" w:customStyle="1" w:styleId="c71indicateur">
    <w:name w:val="c71indicateur"/>
    <w:basedOn w:val="Normal"/>
    <w:rsid w:val="00E5636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rsid w:val="00CC58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rchivedfiche">
    <w:name w:val="archived_fiche"/>
    <w:basedOn w:val="DefaultParagraphFont"/>
    <w:rsid w:val="001E3C15"/>
  </w:style>
  <w:style w:type="paragraph" w:styleId="FootnoteText">
    <w:name w:val="footnote text"/>
    <w:basedOn w:val="Normal"/>
    <w:link w:val="FootnoteTextChar"/>
    <w:rsid w:val="00493FE2"/>
    <w:rPr>
      <w:rFonts w:ascii="Calibri" w:eastAsia="Calibri" w:hAnsi="Calibri" w:cs="Times New Roman"/>
      <w:sz w:val="20"/>
      <w:szCs w:val="20"/>
      <w:lang w:eastAsia="en-US"/>
    </w:rPr>
  </w:style>
  <w:style w:type="character" w:customStyle="1" w:styleId="FootnoteTextChar">
    <w:name w:val="Footnote Text Char"/>
    <w:link w:val="FootnoteText"/>
    <w:rsid w:val="00493FE2"/>
    <w:rPr>
      <w:rFonts w:ascii="Calibri" w:eastAsia="Calibri" w:hAnsi="Calibri"/>
      <w:lang w:eastAsia="en-US"/>
    </w:rPr>
  </w:style>
  <w:style w:type="character" w:styleId="FootnoteReference">
    <w:name w:val="footnote reference"/>
    <w:rsid w:val="00493FE2"/>
    <w:rPr>
      <w:vertAlign w:val="superscript"/>
    </w:rPr>
  </w:style>
  <w:style w:type="character" w:customStyle="1" w:styleId="ssl0">
    <w:name w:val="ss_l0"/>
    <w:basedOn w:val="DefaultParagraphFont"/>
    <w:rsid w:val="002542DA"/>
  </w:style>
  <w:style w:type="character" w:customStyle="1" w:styleId="hit">
    <w:name w:val="hit"/>
    <w:basedOn w:val="DefaultParagraphFont"/>
    <w:rsid w:val="002542DA"/>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link w:val="EndnoteText"/>
    <w:rsid w:val="00B813E4"/>
    <w:rPr>
      <w:rFonts w:ascii="Calibri" w:eastAsia="Calibri" w:hAnsi="Calibri"/>
      <w:lang w:eastAsia="en-US"/>
    </w:rPr>
  </w:style>
  <w:style w:type="paragraph" w:customStyle="1" w:styleId="Default">
    <w:name w:val="Default"/>
    <w:rsid w:val="00D13C85"/>
    <w:pPr>
      <w:autoSpaceDE w:val="0"/>
      <w:autoSpaceDN w:val="0"/>
      <w:adjustRightInd w:val="0"/>
    </w:pPr>
    <w:rPr>
      <w:rFonts w:ascii="Arial" w:hAnsi="Arial" w:cs="Arial"/>
      <w:color w:val="000000"/>
      <w:sz w:val="24"/>
      <w:szCs w:val="24"/>
    </w:rPr>
  </w:style>
  <w:style w:type="character" w:customStyle="1" w:styleId="at6">
    <w:name w:val="a__t6"/>
    <w:basedOn w:val="DefaultParagraphFont"/>
    <w:rsid w:val="00BF4EA0"/>
  </w:style>
  <w:style w:type="character" w:customStyle="1" w:styleId="at2">
    <w:name w:val="a__t2"/>
    <w:basedOn w:val="DefaultParagraphFont"/>
    <w:rsid w:val="00BF4EA0"/>
  </w:style>
  <w:style w:type="character" w:customStyle="1" w:styleId="Heading2Char">
    <w:name w:val="Heading 2 Char"/>
    <w:basedOn w:val="DefaultParagraphFont"/>
    <w:link w:val="Heading2"/>
    <w:rsid w:val="00661B28"/>
    <w:rPr>
      <w:rFonts w:ascii="Trebuchet MS" w:eastAsia="Calibri" w:hAnsi="Trebuchet MS" w:cs="Arial"/>
      <w:b/>
      <w:bCs/>
      <w:iCs/>
      <w:sz w:val="22"/>
      <w:szCs w:val="28"/>
      <w:lang w:eastAsia="en-US"/>
    </w:rPr>
  </w:style>
  <w:style w:type="table" w:customStyle="1" w:styleId="TableGrid10">
    <w:name w:val="Table Grid1"/>
    <w:basedOn w:val="TableNormal"/>
    <w:next w:val="TableGrid"/>
    <w:rsid w:val="000C0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rsid w:val="000C0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rsid w:val="00A86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rsid w:val="0035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DefaultParagraphFont"/>
    <w:rsid w:val="00AC300D"/>
  </w:style>
  <w:style w:type="character" w:customStyle="1" w:styleId="Heading7Char">
    <w:name w:val="Heading 7 Char"/>
    <w:basedOn w:val="DefaultParagraphFont"/>
    <w:link w:val="Heading7"/>
    <w:rsid w:val="00F53DD7"/>
    <w:rPr>
      <w:rFonts w:ascii="Trebuchet MS" w:eastAsia="Calibri" w:hAnsi="Trebuchet MS"/>
      <w:b/>
      <w:szCs w:val="22"/>
      <w:lang w:eastAsia="en-US"/>
    </w:rPr>
  </w:style>
  <w:style w:type="character" w:customStyle="1" w:styleId="HeaderChar">
    <w:name w:val="Header Char"/>
    <w:basedOn w:val="DefaultParagraphFont"/>
    <w:link w:val="Header"/>
    <w:rsid w:val="00F53DD7"/>
    <w:rPr>
      <w:rFonts w:ascii="Lucida Sans Unicode" w:eastAsia="Calibri" w:hAnsi="Lucida Sans Unicode"/>
      <w:sz w:val="18"/>
      <w:szCs w:val="22"/>
      <w:lang w:eastAsia="en-US"/>
    </w:rPr>
  </w:style>
  <w:style w:type="character" w:customStyle="1" w:styleId="FooterChar">
    <w:name w:val="Footer Char"/>
    <w:basedOn w:val="DefaultParagraphFont"/>
    <w:link w:val="Footer"/>
    <w:rsid w:val="00F53DD7"/>
    <w:rPr>
      <w:rFonts w:ascii="Lucida Sans Unicode" w:eastAsia="Calibri" w:hAnsi="Lucida Sans Unicode"/>
      <w:sz w:val="18"/>
      <w:szCs w:val="22"/>
      <w:lang w:eastAsia="en-US"/>
    </w:rPr>
  </w:style>
  <w:style w:type="character" w:customStyle="1" w:styleId="verdana">
    <w:name w:val="verdana"/>
    <w:basedOn w:val="DefaultParagraphFont"/>
    <w:rsid w:val="00360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endnote reference" w:uiPriority="99"/>
    <w:lsdException w:name="endnote text"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DD7"/>
    <w:rPr>
      <w:rFonts w:asciiTheme="minorHAnsi" w:eastAsiaTheme="minorEastAsia" w:hAnsiTheme="minorHAnsi" w:cstheme="minorBidi"/>
      <w:sz w:val="22"/>
      <w:szCs w:val="22"/>
    </w:rPr>
  </w:style>
  <w:style w:type="paragraph" w:styleId="Heading1">
    <w:name w:val="heading 1"/>
    <w:aliases w:val="Heading 1 Char"/>
    <w:basedOn w:val="Normal"/>
    <w:next w:val="Normal"/>
    <w:qFormat/>
    <w:rsid w:val="00515D49"/>
    <w:pPr>
      <w:keepNext/>
      <w:numPr>
        <w:numId w:val="16"/>
      </w:numPr>
      <w:spacing w:before="240"/>
      <w:outlineLvl w:val="0"/>
    </w:pPr>
    <w:rPr>
      <w:rFonts w:ascii="Trebuchet MS" w:eastAsia="Calibri"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16"/>
      </w:numPr>
      <w:spacing w:before="240" w:after="60"/>
      <w:outlineLvl w:val="1"/>
    </w:pPr>
    <w:rPr>
      <w:rFonts w:ascii="Trebuchet MS" w:eastAsia="Calibri"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eastAsia="Calibri"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eastAsia="Calibri" w:hAnsi="Trebuchet MS" w:cs="Times New Roman"/>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eastAsia="Calibri" w:hAnsi="Trebuchet MS" w:cs="Times New Roman"/>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rFonts w:ascii="Calibri" w:eastAsia="Calibri" w:hAnsi="Calibri" w:cs="Times New Roman"/>
      <w:bCs/>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eastAsia="Calibri" w:hAnsi="Trebuchet MS" w:cs="Times New Roman"/>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eastAsia="Calibri" w:hAnsi="Trebuchet MS" w:cs="Times New Roman"/>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eastAsia="Calibri" w:hAnsi="Trebuchet MS" w:cs="Arial"/>
      <w:b/>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235"/>
    <w:pPr>
      <w:tabs>
        <w:tab w:val="center" w:pos="4153"/>
        <w:tab w:val="right" w:pos="8306"/>
      </w:tabs>
    </w:pPr>
    <w:rPr>
      <w:rFonts w:ascii="Lucida Sans Unicode" w:eastAsia="Calibri" w:hAnsi="Lucida Sans Unicode" w:cs="Times New Roman"/>
      <w:sz w:val="18"/>
      <w:lang w:eastAsia="en-US"/>
    </w:rPr>
  </w:style>
  <w:style w:type="paragraph" w:styleId="Footer">
    <w:name w:val="footer"/>
    <w:basedOn w:val="Normal"/>
    <w:link w:val="FooterChar"/>
    <w:rsid w:val="006E3235"/>
    <w:pPr>
      <w:tabs>
        <w:tab w:val="center" w:pos="4153"/>
        <w:tab w:val="right" w:pos="8306"/>
      </w:tabs>
    </w:pPr>
    <w:rPr>
      <w:rFonts w:ascii="Lucida Sans Unicode" w:eastAsia="Calibri" w:hAnsi="Lucida Sans Unicode" w:cs="Times New Roman"/>
      <w:sz w:val="18"/>
      <w:lang w:eastAsia="en-US"/>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ind w:left="1440" w:right="1440"/>
    </w:pPr>
    <w:rPr>
      <w:rFonts w:ascii="Calibri" w:eastAsia="Calibri" w:hAnsi="Calibri" w:cs="Times New Roman"/>
      <w:lang w:eastAsia="en-US"/>
    </w:rPr>
  </w:style>
  <w:style w:type="paragraph" w:styleId="BodyText2">
    <w:name w:val="Body Text 2"/>
    <w:basedOn w:val="Normal"/>
    <w:semiHidden/>
    <w:rsid w:val="007B1F8A"/>
    <w:pPr>
      <w:spacing w:line="480" w:lineRule="auto"/>
    </w:pPr>
    <w:rPr>
      <w:rFonts w:ascii="Calibri" w:eastAsia="Calibri" w:hAnsi="Calibri" w:cs="Times New Roman"/>
      <w:lang w:eastAsia="en-US"/>
    </w:rPr>
  </w:style>
  <w:style w:type="paragraph" w:styleId="BodyText3">
    <w:name w:val="Body Text 3"/>
    <w:basedOn w:val="Normal"/>
    <w:semiHidden/>
    <w:rsid w:val="007B1F8A"/>
    <w:rPr>
      <w:rFonts w:ascii="Calibri" w:eastAsia="Calibri" w:hAnsi="Calibri" w:cs="Times New Roman"/>
      <w:sz w:val="16"/>
      <w:szCs w:val="16"/>
      <w:lang w:eastAsia="en-US"/>
    </w:rPr>
  </w:style>
  <w:style w:type="paragraph" w:styleId="BodyText">
    <w:name w:val="Body Text"/>
    <w:basedOn w:val="Normal"/>
    <w:rsid w:val="008964E7"/>
    <w:rPr>
      <w:rFonts w:ascii="Calibri" w:eastAsia="Calibri" w:hAnsi="Calibri" w:cs="Times New Roman"/>
      <w:lang w:eastAsia="en-US"/>
    </w:rPr>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ind w:left="283"/>
    </w:pPr>
    <w:rPr>
      <w:rFonts w:ascii="Calibri" w:eastAsia="Calibri" w:hAnsi="Calibri" w:cs="Times New Roman"/>
      <w:lang w:eastAsia="en-US"/>
    </w:r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line="480" w:lineRule="auto"/>
      <w:ind w:left="283"/>
    </w:pPr>
    <w:rPr>
      <w:rFonts w:ascii="Calibri" w:eastAsia="Calibri" w:hAnsi="Calibri" w:cs="Times New Roman"/>
      <w:lang w:eastAsia="en-US"/>
    </w:rPr>
  </w:style>
  <w:style w:type="paragraph" w:styleId="BodyTextIndent3">
    <w:name w:val="Body Text Indent 3"/>
    <w:basedOn w:val="Normal"/>
    <w:semiHidden/>
    <w:rsid w:val="007B1F8A"/>
    <w:pPr>
      <w:ind w:left="283"/>
    </w:pPr>
    <w:rPr>
      <w:rFonts w:ascii="Calibri" w:eastAsia="Calibri" w:hAnsi="Calibri" w:cs="Times New Roman"/>
      <w:sz w:val="16"/>
      <w:szCs w:val="16"/>
      <w:lang w:eastAsia="en-US"/>
    </w:rPr>
  </w:style>
  <w:style w:type="paragraph" w:styleId="Closing">
    <w:name w:val="Closing"/>
    <w:basedOn w:val="Normal"/>
    <w:semiHidden/>
    <w:rsid w:val="007B1F8A"/>
    <w:pPr>
      <w:ind w:left="4252"/>
    </w:pPr>
    <w:rPr>
      <w:rFonts w:ascii="Calibri" w:eastAsia="Calibri" w:hAnsi="Calibri" w:cs="Times New Roman"/>
      <w:lang w:eastAsia="en-US"/>
    </w:rPr>
  </w:style>
  <w:style w:type="paragraph" w:styleId="Date">
    <w:name w:val="Date"/>
    <w:basedOn w:val="Normal"/>
    <w:next w:val="Normal"/>
    <w:semiHidden/>
    <w:rsid w:val="007B1F8A"/>
    <w:rPr>
      <w:rFonts w:ascii="Calibri" w:eastAsia="Calibri" w:hAnsi="Calibri" w:cs="Times New Roman"/>
      <w:lang w:eastAsia="en-US"/>
    </w:rPr>
  </w:style>
  <w:style w:type="paragraph" w:styleId="E-mailSignature">
    <w:name w:val="E-mail Signature"/>
    <w:basedOn w:val="Normal"/>
    <w:semiHidden/>
    <w:rsid w:val="007B1F8A"/>
    <w:rPr>
      <w:rFonts w:ascii="Calibri" w:eastAsia="Calibri" w:hAnsi="Calibri" w:cs="Times New Roman"/>
      <w:lang w:eastAsia="en-US"/>
    </w:rPr>
  </w:style>
  <w:style w:type="character" w:styleId="Emphasis">
    <w:name w:val="Emphasis"/>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qFormat/>
    <w:rsid w:val="007B1F8A"/>
    <w:rPr>
      <w:rFonts w:ascii="Calibri" w:eastAsia="Calibri" w:hAnsi="Calibri" w:cs="Times New Roman"/>
      <w:sz w:val="20"/>
      <w:szCs w:val="20"/>
      <w:lang w:eastAsia="en-US"/>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eastAsia="Calibri" w:hAnsi="Arial" w:cs="Arial"/>
      <w:sz w:val="24"/>
      <w:lang w:eastAsia="en-US"/>
    </w:rPr>
  </w:style>
  <w:style w:type="paragraph" w:styleId="EnvelopeReturn">
    <w:name w:val="envelope return"/>
    <w:basedOn w:val="Normal"/>
    <w:semiHidden/>
    <w:rsid w:val="007B1F8A"/>
    <w:rPr>
      <w:rFonts w:ascii="Arial" w:eastAsia="Calibri" w:hAnsi="Arial" w:cs="Arial"/>
      <w:sz w:val="20"/>
      <w:szCs w:val="20"/>
      <w:lang w:eastAsia="en-US"/>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rFonts w:ascii="Calibri" w:eastAsia="Calibri" w:hAnsi="Calibri" w:cs="Times New Roman"/>
      <w:i/>
      <w:iCs/>
      <w:lang w:eastAsia="en-U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eastAsia="Calibri" w:hAnsi="Courier New" w:cs="Courier New"/>
      <w:sz w:val="20"/>
      <w:szCs w:val="20"/>
      <w:lang w:eastAsia="en-US"/>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rPr>
      <w:rFonts w:ascii="Calibri" w:eastAsia="Calibri" w:hAnsi="Calibri" w:cs="Times New Roman"/>
      <w:lang w:eastAsia="en-US"/>
    </w:rPr>
  </w:style>
  <w:style w:type="paragraph" w:styleId="List2">
    <w:name w:val="List 2"/>
    <w:basedOn w:val="Normal"/>
    <w:semiHidden/>
    <w:rsid w:val="007B1F8A"/>
    <w:pPr>
      <w:ind w:left="566" w:hanging="283"/>
    </w:pPr>
    <w:rPr>
      <w:rFonts w:ascii="Calibri" w:eastAsia="Calibri" w:hAnsi="Calibri" w:cs="Times New Roman"/>
      <w:lang w:eastAsia="en-US"/>
    </w:rPr>
  </w:style>
  <w:style w:type="paragraph" w:styleId="List3">
    <w:name w:val="List 3"/>
    <w:basedOn w:val="Normal"/>
    <w:semiHidden/>
    <w:rsid w:val="007B1F8A"/>
    <w:pPr>
      <w:ind w:left="849" w:hanging="283"/>
    </w:pPr>
    <w:rPr>
      <w:rFonts w:ascii="Calibri" w:eastAsia="Calibri" w:hAnsi="Calibri" w:cs="Times New Roman"/>
      <w:lang w:eastAsia="en-US"/>
    </w:rPr>
  </w:style>
  <w:style w:type="paragraph" w:styleId="List4">
    <w:name w:val="List 4"/>
    <w:basedOn w:val="Normal"/>
    <w:semiHidden/>
    <w:rsid w:val="007B1F8A"/>
    <w:pPr>
      <w:ind w:left="1132" w:hanging="283"/>
    </w:pPr>
    <w:rPr>
      <w:rFonts w:ascii="Calibri" w:eastAsia="Calibri" w:hAnsi="Calibri" w:cs="Times New Roman"/>
      <w:lang w:eastAsia="en-US"/>
    </w:rPr>
  </w:style>
  <w:style w:type="paragraph" w:styleId="List5">
    <w:name w:val="List 5"/>
    <w:basedOn w:val="Normal"/>
    <w:semiHidden/>
    <w:rsid w:val="007B1F8A"/>
    <w:pPr>
      <w:ind w:left="1415" w:hanging="283"/>
    </w:pPr>
    <w:rPr>
      <w:rFonts w:ascii="Calibri" w:eastAsia="Calibri" w:hAnsi="Calibri" w:cs="Times New Roman"/>
      <w:lang w:eastAsia="en-US"/>
    </w:rPr>
  </w:style>
  <w:style w:type="paragraph" w:styleId="ListBullet2">
    <w:name w:val="List Bullet 2"/>
    <w:basedOn w:val="Normal"/>
    <w:autoRedefine/>
    <w:semiHidden/>
    <w:rsid w:val="007B1F8A"/>
    <w:pPr>
      <w:numPr>
        <w:numId w:val="5"/>
      </w:numPr>
    </w:pPr>
    <w:rPr>
      <w:rFonts w:ascii="Calibri" w:eastAsia="Calibri" w:hAnsi="Calibri" w:cs="Times New Roman"/>
      <w:lang w:eastAsia="en-US"/>
    </w:rPr>
  </w:style>
  <w:style w:type="paragraph" w:styleId="ListBullet3">
    <w:name w:val="List Bullet 3"/>
    <w:basedOn w:val="Normal"/>
    <w:autoRedefine/>
    <w:semiHidden/>
    <w:rsid w:val="007B1F8A"/>
    <w:pPr>
      <w:numPr>
        <w:numId w:val="6"/>
      </w:numPr>
    </w:pPr>
    <w:rPr>
      <w:rFonts w:ascii="Calibri" w:eastAsia="Calibri" w:hAnsi="Calibri" w:cs="Times New Roman"/>
      <w:lang w:eastAsia="en-US"/>
    </w:rPr>
  </w:style>
  <w:style w:type="paragraph" w:styleId="ListBullet4">
    <w:name w:val="List Bullet 4"/>
    <w:basedOn w:val="Normal"/>
    <w:autoRedefine/>
    <w:semiHidden/>
    <w:rsid w:val="007B1F8A"/>
    <w:pPr>
      <w:numPr>
        <w:numId w:val="7"/>
      </w:numPr>
    </w:pPr>
    <w:rPr>
      <w:rFonts w:ascii="Calibri" w:eastAsia="Calibri" w:hAnsi="Calibri" w:cs="Times New Roman"/>
      <w:lang w:eastAsia="en-US"/>
    </w:rPr>
  </w:style>
  <w:style w:type="paragraph" w:styleId="ListBullet5">
    <w:name w:val="List Bullet 5"/>
    <w:basedOn w:val="Normal"/>
    <w:autoRedefine/>
    <w:semiHidden/>
    <w:rsid w:val="007B1F8A"/>
    <w:pPr>
      <w:numPr>
        <w:numId w:val="8"/>
      </w:numPr>
    </w:pPr>
    <w:rPr>
      <w:rFonts w:ascii="Calibri" w:eastAsia="Calibri" w:hAnsi="Calibri" w:cs="Times New Roman"/>
      <w:lang w:eastAsia="en-US"/>
    </w:rPr>
  </w:style>
  <w:style w:type="paragraph" w:styleId="ListContinue">
    <w:name w:val="List Continue"/>
    <w:basedOn w:val="Normal"/>
    <w:semiHidden/>
    <w:rsid w:val="007B1F8A"/>
    <w:pPr>
      <w:ind w:left="283"/>
    </w:pPr>
    <w:rPr>
      <w:rFonts w:ascii="Calibri" w:eastAsia="Calibri" w:hAnsi="Calibri" w:cs="Times New Roman"/>
      <w:lang w:eastAsia="en-US"/>
    </w:rPr>
  </w:style>
  <w:style w:type="paragraph" w:styleId="ListContinue2">
    <w:name w:val="List Continue 2"/>
    <w:basedOn w:val="Normal"/>
    <w:semiHidden/>
    <w:rsid w:val="007B1F8A"/>
    <w:pPr>
      <w:ind w:left="566"/>
    </w:pPr>
    <w:rPr>
      <w:rFonts w:ascii="Calibri" w:eastAsia="Calibri" w:hAnsi="Calibri" w:cs="Times New Roman"/>
      <w:lang w:eastAsia="en-US"/>
    </w:rPr>
  </w:style>
  <w:style w:type="paragraph" w:styleId="ListContinue3">
    <w:name w:val="List Continue 3"/>
    <w:basedOn w:val="Normal"/>
    <w:semiHidden/>
    <w:rsid w:val="007B1F8A"/>
    <w:pPr>
      <w:ind w:left="849"/>
    </w:pPr>
    <w:rPr>
      <w:rFonts w:ascii="Calibri" w:eastAsia="Calibri" w:hAnsi="Calibri" w:cs="Times New Roman"/>
      <w:lang w:eastAsia="en-US"/>
    </w:rPr>
  </w:style>
  <w:style w:type="paragraph" w:styleId="ListContinue4">
    <w:name w:val="List Continue 4"/>
    <w:basedOn w:val="Normal"/>
    <w:semiHidden/>
    <w:rsid w:val="007B1F8A"/>
    <w:pPr>
      <w:ind w:left="1132"/>
    </w:pPr>
    <w:rPr>
      <w:rFonts w:ascii="Calibri" w:eastAsia="Calibri" w:hAnsi="Calibri" w:cs="Times New Roman"/>
      <w:lang w:eastAsia="en-US"/>
    </w:rPr>
  </w:style>
  <w:style w:type="paragraph" w:styleId="ListContinue5">
    <w:name w:val="List Continue 5"/>
    <w:basedOn w:val="Normal"/>
    <w:semiHidden/>
    <w:rsid w:val="007B1F8A"/>
    <w:pPr>
      <w:ind w:left="1415"/>
    </w:pPr>
    <w:rPr>
      <w:rFonts w:ascii="Calibri" w:eastAsia="Calibri" w:hAnsi="Calibri" w:cs="Times New Roman"/>
      <w:lang w:eastAsia="en-US"/>
    </w:rPr>
  </w:style>
  <w:style w:type="paragraph" w:styleId="ListNumber">
    <w:name w:val="List Number"/>
    <w:basedOn w:val="Normal"/>
    <w:semiHidden/>
    <w:rsid w:val="007B1F8A"/>
    <w:pPr>
      <w:numPr>
        <w:numId w:val="9"/>
      </w:numPr>
    </w:pPr>
    <w:rPr>
      <w:rFonts w:ascii="Calibri" w:eastAsia="Calibri" w:hAnsi="Calibri" w:cs="Times New Roman"/>
      <w:lang w:eastAsia="en-US"/>
    </w:rPr>
  </w:style>
  <w:style w:type="paragraph" w:styleId="ListNumber2">
    <w:name w:val="List Number 2"/>
    <w:basedOn w:val="Normal"/>
    <w:semiHidden/>
    <w:rsid w:val="007B1F8A"/>
    <w:pPr>
      <w:numPr>
        <w:numId w:val="10"/>
      </w:numPr>
    </w:pPr>
    <w:rPr>
      <w:rFonts w:ascii="Calibri" w:eastAsia="Calibri" w:hAnsi="Calibri" w:cs="Times New Roman"/>
      <w:lang w:eastAsia="en-US"/>
    </w:rPr>
  </w:style>
  <w:style w:type="paragraph" w:styleId="ListNumber3">
    <w:name w:val="List Number 3"/>
    <w:basedOn w:val="Normal"/>
    <w:semiHidden/>
    <w:rsid w:val="007B1F8A"/>
    <w:pPr>
      <w:numPr>
        <w:numId w:val="11"/>
      </w:numPr>
    </w:pPr>
    <w:rPr>
      <w:rFonts w:ascii="Calibri" w:eastAsia="Calibri" w:hAnsi="Calibri" w:cs="Times New Roman"/>
      <w:lang w:eastAsia="en-US"/>
    </w:rPr>
  </w:style>
  <w:style w:type="paragraph" w:styleId="ListNumber4">
    <w:name w:val="List Number 4"/>
    <w:basedOn w:val="Normal"/>
    <w:semiHidden/>
    <w:rsid w:val="007B1F8A"/>
    <w:pPr>
      <w:numPr>
        <w:numId w:val="12"/>
      </w:numPr>
    </w:pPr>
    <w:rPr>
      <w:rFonts w:ascii="Calibri" w:eastAsia="Calibri" w:hAnsi="Calibri" w:cs="Times New Roman"/>
      <w:lang w:eastAsia="en-US"/>
    </w:rPr>
  </w:style>
  <w:style w:type="paragraph" w:styleId="ListNumber5">
    <w:name w:val="List Number 5"/>
    <w:basedOn w:val="Normal"/>
    <w:semiHidden/>
    <w:rsid w:val="007B1F8A"/>
    <w:pPr>
      <w:numPr>
        <w:numId w:val="13"/>
      </w:numPr>
    </w:pPr>
    <w:rPr>
      <w:rFonts w:ascii="Calibri" w:eastAsia="Calibri" w:hAnsi="Calibri" w:cs="Times New Roman"/>
      <w:lang w:eastAsia="en-US"/>
    </w:r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sz w:val="24"/>
      <w:lang w:eastAsia="en-US"/>
    </w:rPr>
  </w:style>
  <w:style w:type="paragraph" w:styleId="NormalWeb">
    <w:name w:val="Normal (Web)"/>
    <w:basedOn w:val="Normal"/>
    <w:uiPriority w:val="99"/>
    <w:rsid w:val="007B1F8A"/>
    <w:rPr>
      <w:rFonts w:ascii="Calibri" w:eastAsia="Calibri" w:hAnsi="Calibri" w:cs="Times New Roman"/>
      <w:sz w:val="24"/>
      <w:lang w:eastAsia="en-US"/>
    </w:rPr>
  </w:style>
  <w:style w:type="paragraph" w:styleId="NormalIndent">
    <w:name w:val="Normal Indent"/>
    <w:basedOn w:val="Normal"/>
    <w:semiHidden/>
    <w:rsid w:val="007B1F8A"/>
    <w:pPr>
      <w:ind w:left="720"/>
    </w:pPr>
    <w:rPr>
      <w:rFonts w:ascii="Calibri" w:eastAsia="Calibri" w:hAnsi="Calibri" w:cs="Times New Roman"/>
      <w:lang w:eastAsia="en-US"/>
    </w:rPr>
  </w:style>
  <w:style w:type="paragraph" w:styleId="NoteHeading">
    <w:name w:val="Note Heading"/>
    <w:basedOn w:val="Normal"/>
    <w:next w:val="Normal"/>
    <w:semiHidden/>
    <w:rsid w:val="007B1F8A"/>
    <w:rPr>
      <w:rFonts w:ascii="Calibri" w:eastAsia="Calibri" w:hAnsi="Calibri" w:cs="Times New Roman"/>
      <w:lang w:eastAsia="en-US"/>
    </w:rPr>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eastAsia="Calibri" w:hAnsi="Courier New" w:cs="Courier New"/>
      <w:sz w:val="20"/>
      <w:szCs w:val="20"/>
      <w:lang w:eastAsia="en-US"/>
    </w:rPr>
  </w:style>
  <w:style w:type="paragraph" w:styleId="Salutation">
    <w:name w:val="Salutation"/>
    <w:basedOn w:val="Normal"/>
    <w:next w:val="Normal"/>
    <w:semiHidden/>
    <w:rsid w:val="007B1F8A"/>
    <w:rPr>
      <w:rFonts w:ascii="Calibri" w:eastAsia="Calibri" w:hAnsi="Calibri" w:cs="Times New Roman"/>
      <w:lang w:eastAsia="en-US"/>
    </w:rPr>
  </w:style>
  <w:style w:type="paragraph" w:styleId="Signature">
    <w:name w:val="Signature"/>
    <w:basedOn w:val="Normal"/>
    <w:semiHidden/>
    <w:rsid w:val="007B1F8A"/>
    <w:pPr>
      <w:ind w:left="4252"/>
    </w:pPr>
    <w:rPr>
      <w:rFonts w:ascii="Calibri" w:eastAsia="Calibri" w:hAnsi="Calibri" w:cs="Times New Roman"/>
      <w:lang w:eastAsia="en-US"/>
    </w:r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eastAsia="Calibri" w:hAnsi="Lucida Sans Unicode" w:cs="Arial"/>
      <w:b/>
      <w:color w:val="FF0000"/>
      <w:sz w:val="24"/>
      <w:lang w:eastAsia="en-US"/>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pPr>
    <w:rPr>
      <w:rFonts w:ascii="Calibri" w:eastAsia="Calibri" w:hAnsi="Calibri" w:cs="Times New Roman"/>
      <w:b/>
      <w:bCs/>
      <w:caps/>
      <w:sz w:val="20"/>
      <w:szCs w:val="20"/>
      <w:lang w:eastAsia="en-US"/>
    </w:rPr>
  </w:style>
  <w:style w:type="paragraph" w:styleId="Title">
    <w:name w:val="Title"/>
    <w:basedOn w:val="Normal"/>
    <w:qFormat/>
    <w:rsid w:val="007B1F8A"/>
    <w:pPr>
      <w:spacing w:before="240" w:after="60"/>
      <w:jc w:val="center"/>
      <w:outlineLvl w:val="0"/>
    </w:pPr>
    <w:rPr>
      <w:rFonts w:ascii="Lucida Sans Unicode" w:eastAsia="Calibri" w:hAnsi="Lucida Sans Unicode" w:cs="Arial"/>
      <w:b/>
      <w:bCs/>
      <w:color w:val="FF0000"/>
      <w:kern w:val="28"/>
      <w:sz w:val="36"/>
      <w:szCs w:val="32"/>
      <w:lang w:eastAsia="en-US"/>
    </w:rPr>
  </w:style>
  <w:style w:type="paragraph" w:styleId="TOC2">
    <w:name w:val="toc 2"/>
    <w:basedOn w:val="Normal"/>
    <w:next w:val="Normal"/>
    <w:autoRedefine/>
    <w:uiPriority w:val="39"/>
    <w:rsid w:val="003526AB"/>
    <w:pPr>
      <w:tabs>
        <w:tab w:val="left" w:pos="880"/>
        <w:tab w:val="right" w:leader="dot" w:pos="9628"/>
      </w:tabs>
      <w:ind w:left="220"/>
    </w:pPr>
    <w:rPr>
      <w:rFonts w:ascii="Calibri" w:eastAsia="Calibri" w:hAnsi="Calibri" w:cs="Times New Roman"/>
      <w:smallCaps/>
      <w:noProof/>
      <w:sz w:val="20"/>
      <w:szCs w:val="20"/>
      <w:lang w:eastAsia="en-US"/>
    </w:rPr>
  </w:style>
  <w:style w:type="paragraph" w:styleId="TOC3">
    <w:name w:val="toc 3"/>
    <w:basedOn w:val="Normal"/>
    <w:next w:val="Normal"/>
    <w:autoRedefine/>
    <w:uiPriority w:val="39"/>
    <w:rsid w:val="007B1F8A"/>
    <w:pPr>
      <w:ind w:left="440"/>
    </w:pPr>
    <w:rPr>
      <w:rFonts w:ascii="Calibri" w:eastAsia="Calibri" w:hAnsi="Calibri" w:cs="Times New Roman"/>
      <w:i/>
      <w:iCs/>
      <w:sz w:val="20"/>
      <w:szCs w:val="20"/>
      <w:lang w:eastAsia="en-US"/>
    </w:rPr>
  </w:style>
  <w:style w:type="paragraph" w:styleId="TOC4">
    <w:name w:val="toc 4"/>
    <w:basedOn w:val="Normal"/>
    <w:next w:val="Normal"/>
    <w:autoRedefine/>
    <w:uiPriority w:val="39"/>
    <w:rsid w:val="007B1F8A"/>
    <w:pPr>
      <w:ind w:left="660"/>
    </w:pPr>
    <w:rPr>
      <w:rFonts w:ascii="Calibri" w:eastAsia="Calibri" w:hAnsi="Calibri" w:cs="Times New Roman"/>
      <w:sz w:val="18"/>
      <w:szCs w:val="18"/>
      <w:lang w:eastAsia="en-US"/>
    </w:rPr>
  </w:style>
  <w:style w:type="paragraph" w:styleId="TOC5">
    <w:name w:val="toc 5"/>
    <w:basedOn w:val="Normal"/>
    <w:next w:val="Normal"/>
    <w:autoRedefine/>
    <w:semiHidden/>
    <w:rsid w:val="007B1F8A"/>
    <w:pPr>
      <w:ind w:left="880"/>
    </w:pPr>
    <w:rPr>
      <w:rFonts w:ascii="Calibri" w:eastAsia="Calibri" w:hAnsi="Calibri" w:cs="Times New Roman"/>
      <w:sz w:val="18"/>
      <w:szCs w:val="18"/>
      <w:lang w:eastAsia="en-US"/>
    </w:rPr>
  </w:style>
  <w:style w:type="paragraph" w:styleId="TOC6">
    <w:name w:val="toc 6"/>
    <w:basedOn w:val="Normal"/>
    <w:next w:val="Normal"/>
    <w:autoRedefine/>
    <w:semiHidden/>
    <w:rsid w:val="007B1F8A"/>
    <w:pPr>
      <w:ind w:left="1100"/>
    </w:pPr>
    <w:rPr>
      <w:rFonts w:ascii="Calibri" w:eastAsia="Calibri" w:hAnsi="Calibri" w:cs="Times New Roman"/>
      <w:sz w:val="18"/>
      <w:szCs w:val="18"/>
      <w:lang w:eastAsia="en-US"/>
    </w:rPr>
  </w:style>
  <w:style w:type="paragraph" w:styleId="TOC7">
    <w:name w:val="toc 7"/>
    <w:basedOn w:val="Normal"/>
    <w:next w:val="Normal"/>
    <w:autoRedefine/>
    <w:semiHidden/>
    <w:rsid w:val="007B1F8A"/>
    <w:pPr>
      <w:ind w:left="1320"/>
    </w:pPr>
    <w:rPr>
      <w:rFonts w:ascii="Calibri" w:eastAsia="Calibri" w:hAnsi="Calibri" w:cs="Times New Roman"/>
      <w:sz w:val="18"/>
      <w:szCs w:val="18"/>
      <w:lang w:eastAsia="en-US"/>
    </w:rPr>
  </w:style>
  <w:style w:type="paragraph" w:styleId="TOC8">
    <w:name w:val="toc 8"/>
    <w:basedOn w:val="Normal"/>
    <w:next w:val="Normal"/>
    <w:autoRedefine/>
    <w:semiHidden/>
    <w:rsid w:val="007B1F8A"/>
    <w:pPr>
      <w:ind w:left="1540"/>
    </w:pPr>
    <w:rPr>
      <w:rFonts w:ascii="Calibri" w:eastAsia="Calibri" w:hAnsi="Calibri" w:cs="Times New Roman"/>
      <w:sz w:val="18"/>
      <w:szCs w:val="18"/>
      <w:lang w:eastAsia="en-US"/>
    </w:rPr>
  </w:style>
  <w:style w:type="paragraph" w:styleId="TOC9">
    <w:name w:val="toc 9"/>
    <w:basedOn w:val="Normal"/>
    <w:next w:val="Normal"/>
    <w:autoRedefine/>
    <w:semiHidden/>
    <w:rsid w:val="007B1F8A"/>
    <w:pPr>
      <w:ind w:left="1760"/>
    </w:pPr>
    <w:rPr>
      <w:rFonts w:ascii="Calibri" w:eastAsia="Calibri" w:hAnsi="Calibri" w:cs="Times New Roman"/>
      <w:sz w:val="18"/>
      <w:szCs w:val="18"/>
      <w:lang w:eastAsia="en-US"/>
    </w:rPr>
  </w:style>
  <w:style w:type="paragraph" w:styleId="DocumentMap">
    <w:name w:val="Document Map"/>
    <w:basedOn w:val="Normal"/>
    <w:rsid w:val="00515D49"/>
    <w:pPr>
      <w:shd w:val="clear" w:color="auto" w:fill="000080"/>
    </w:pPr>
    <w:rPr>
      <w:rFonts w:ascii="Browallia New" w:eastAsia="Calibri" w:hAnsi="Browallia New" w:cs="Tahoma"/>
      <w:sz w:val="16"/>
      <w:lang w:eastAsia="en-US"/>
    </w:rPr>
  </w:style>
  <w:style w:type="paragraph" w:styleId="ListParagraph">
    <w:name w:val="List Paragraph"/>
    <w:basedOn w:val="Normal"/>
    <w:uiPriority w:val="34"/>
    <w:qFormat/>
    <w:rsid w:val="00C5544D"/>
    <w:pPr>
      <w:ind w:left="720"/>
      <w:contextualSpacing/>
    </w:pPr>
    <w:rPr>
      <w:rFonts w:ascii="Calibri" w:eastAsia="Calibri" w:hAnsi="Calibri" w:cs="Times New Roman"/>
      <w:lang w:eastAsia="en-US"/>
    </w:rPr>
  </w:style>
  <w:style w:type="character" w:customStyle="1" w:styleId="caps">
    <w:name w:val="caps"/>
    <w:basedOn w:val="DefaultParagraphFont"/>
    <w:rsid w:val="00A71ED0"/>
  </w:style>
  <w:style w:type="paragraph" w:customStyle="1" w:styleId="hivatal">
    <w:name w:val="hivatal"/>
    <w:basedOn w:val="Normal"/>
    <w:rsid w:val="002A0D9E"/>
    <w:pPr>
      <w:spacing w:before="100" w:beforeAutospacing="1" w:after="100" w:afterAutospacing="1"/>
    </w:pPr>
    <w:rPr>
      <w:rFonts w:ascii="Times New Roman" w:eastAsia="Times New Roman" w:hAnsi="Times New Roman" w:cs="Times New Roman"/>
      <w:sz w:val="24"/>
      <w:szCs w:val="24"/>
    </w:rPr>
  </w:style>
  <w:style w:type="paragraph" w:customStyle="1" w:styleId="nev">
    <w:name w:val="nev"/>
    <w:basedOn w:val="Normal"/>
    <w:rsid w:val="002A0D9E"/>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665334"/>
    <w:pPr>
      <w:spacing w:before="100" w:beforeAutospacing="1" w:after="100" w:afterAutospacing="1"/>
    </w:pPr>
    <w:rPr>
      <w:rFonts w:ascii="Times New Roman" w:eastAsia="Times New Roman" w:hAnsi="Times New Roman" w:cs="Times New Roman"/>
      <w:sz w:val="24"/>
      <w:szCs w:val="24"/>
    </w:rPr>
  </w:style>
  <w:style w:type="paragraph" w:customStyle="1" w:styleId="Date1">
    <w:name w:val="Date1"/>
    <w:basedOn w:val="Normal"/>
    <w:rsid w:val="00665334"/>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rsid w:val="00665334"/>
    <w:pPr>
      <w:spacing w:before="100" w:beforeAutospacing="1" w:after="100" w:afterAutospacing="1"/>
    </w:pPr>
    <w:rPr>
      <w:rFonts w:ascii="Times New Roman" w:eastAsia="Times New Roman" w:hAnsi="Times New Roman" w:cs="Times New Roman"/>
      <w:sz w:val="24"/>
      <w:szCs w:val="24"/>
    </w:rPr>
  </w:style>
  <w:style w:type="character" w:customStyle="1" w:styleId="light">
    <w:name w:val="light"/>
    <w:basedOn w:val="DefaultParagraphFont"/>
    <w:rsid w:val="00705450"/>
  </w:style>
  <w:style w:type="character" w:styleId="EndnoteReference">
    <w:name w:val="endnote reference"/>
    <w:uiPriority w:val="99"/>
    <w:semiHidden/>
    <w:rsid w:val="008741C9"/>
    <w:rPr>
      <w:vertAlign w:val="superscript"/>
    </w:rPr>
  </w:style>
  <w:style w:type="paragraph" w:styleId="BalloonText">
    <w:name w:val="Balloon Text"/>
    <w:basedOn w:val="Normal"/>
    <w:link w:val="BalloonTextChar"/>
    <w:rsid w:val="00A5282B"/>
    <w:rPr>
      <w:rFonts w:ascii="Tahoma" w:eastAsia="Calibri" w:hAnsi="Tahoma" w:cs="Tahoma"/>
      <w:sz w:val="16"/>
      <w:szCs w:val="16"/>
      <w:lang w:eastAsia="en-US"/>
    </w:rPr>
  </w:style>
  <w:style w:type="character" w:customStyle="1" w:styleId="BalloonTextChar">
    <w:name w:val="Balloon Text Char"/>
    <w:link w:val="BalloonText"/>
    <w:rsid w:val="00A5282B"/>
    <w:rPr>
      <w:rFonts w:ascii="Tahoma" w:eastAsia="Calibri" w:hAnsi="Tahoma" w:cs="Tahoma"/>
      <w:sz w:val="16"/>
      <w:szCs w:val="16"/>
      <w:lang w:eastAsia="en-US"/>
    </w:rPr>
  </w:style>
  <w:style w:type="character" w:customStyle="1" w:styleId="currencyconvertertext">
    <w:name w:val="currency_converter_text"/>
    <w:basedOn w:val="DefaultParagraphFont"/>
    <w:rsid w:val="00A5282B"/>
  </w:style>
  <w:style w:type="paragraph" w:customStyle="1" w:styleId="c01pointnumerotealtn">
    <w:name w:val="c01pointnumerotealtn"/>
    <w:basedOn w:val="Normal"/>
    <w:rsid w:val="000F51BA"/>
    <w:pPr>
      <w:spacing w:before="100" w:beforeAutospacing="1" w:after="100" w:afterAutospacing="1"/>
    </w:pPr>
    <w:rPr>
      <w:rFonts w:ascii="Times New Roman" w:eastAsia="Times New Roman" w:hAnsi="Times New Roman" w:cs="Times New Roman"/>
      <w:sz w:val="24"/>
      <w:szCs w:val="24"/>
    </w:rPr>
  </w:style>
  <w:style w:type="character" w:customStyle="1" w:styleId="currencyconverterlink">
    <w:name w:val="currency_converter_link"/>
    <w:basedOn w:val="DefaultParagraphFont"/>
    <w:rsid w:val="000F51BA"/>
  </w:style>
  <w:style w:type="paragraph" w:customStyle="1" w:styleId="c02alineaalta">
    <w:name w:val="c02alineaalta"/>
    <w:basedOn w:val="Normal"/>
    <w:rsid w:val="00E56366"/>
    <w:pPr>
      <w:spacing w:before="100" w:beforeAutospacing="1" w:after="100" w:afterAutospacing="1"/>
    </w:pPr>
    <w:rPr>
      <w:rFonts w:ascii="Times New Roman" w:eastAsia="Times New Roman" w:hAnsi="Times New Roman" w:cs="Times New Roman"/>
      <w:sz w:val="24"/>
      <w:szCs w:val="24"/>
    </w:rPr>
  </w:style>
  <w:style w:type="paragraph" w:customStyle="1" w:styleId="c19centre">
    <w:name w:val="c19centre"/>
    <w:basedOn w:val="Normal"/>
    <w:rsid w:val="00E56366"/>
    <w:pPr>
      <w:spacing w:before="100" w:beforeAutospacing="1" w:after="100" w:afterAutospacing="1"/>
    </w:pPr>
    <w:rPr>
      <w:rFonts w:ascii="Times New Roman" w:eastAsia="Times New Roman" w:hAnsi="Times New Roman" w:cs="Times New Roman"/>
      <w:sz w:val="24"/>
      <w:szCs w:val="24"/>
    </w:rPr>
  </w:style>
  <w:style w:type="paragraph" w:customStyle="1" w:styleId="c71indicateur">
    <w:name w:val="c71indicateur"/>
    <w:basedOn w:val="Normal"/>
    <w:rsid w:val="00E5636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rsid w:val="00CC58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rchivedfiche">
    <w:name w:val="archived_fiche"/>
    <w:basedOn w:val="DefaultParagraphFont"/>
    <w:rsid w:val="001E3C15"/>
  </w:style>
  <w:style w:type="paragraph" w:styleId="FootnoteText">
    <w:name w:val="footnote text"/>
    <w:basedOn w:val="Normal"/>
    <w:link w:val="FootnoteTextChar"/>
    <w:rsid w:val="00493FE2"/>
    <w:rPr>
      <w:rFonts w:ascii="Calibri" w:eastAsia="Calibri" w:hAnsi="Calibri" w:cs="Times New Roman"/>
      <w:sz w:val="20"/>
      <w:szCs w:val="20"/>
      <w:lang w:eastAsia="en-US"/>
    </w:rPr>
  </w:style>
  <w:style w:type="character" w:customStyle="1" w:styleId="FootnoteTextChar">
    <w:name w:val="Footnote Text Char"/>
    <w:link w:val="FootnoteText"/>
    <w:rsid w:val="00493FE2"/>
    <w:rPr>
      <w:rFonts w:ascii="Calibri" w:eastAsia="Calibri" w:hAnsi="Calibri"/>
      <w:lang w:eastAsia="en-US"/>
    </w:rPr>
  </w:style>
  <w:style w:type="character" w:styleId="FootnoteReference">
    <w:name w:val="footnote reference"/>
    <w:rsid w:val="00493FE2"/>
    <w:rPr>
      <w:vertAlign w:val="superscript"/>
    </w:rPr>
  </w:style>
  <w:style w:type="character" w:customStyle="1" w:styleId="ssl0">
    <w:name w:val="ss_l0"/>
    <w:basedOn w:val="DefaultParagraphFont"/>
    <w:rsid w:val="002542DA"/>
  </w:style>
  <w:style w:type="character" w:customStyle="1" w:styleId="hit">
    <w:name w:val="hit"/>
    <w:basedOn w:val="DefaultParagraphFont"/>
    <w:rsid w:val="002542DA"/>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link w:val="EndnoteText"/>
    <w:rsid w:val="00B813E4"/>
    <w:rPr>
      <w:rFonts w:ascii="Calibri" w:eastAsia="Calibri" w:hAnsi="Calibri"/>
      <w:lang w:eastAsia="en-US"/>
    </w:rPr>
  </w:style>
  <w:style w:type="paragraph" w:customStyle="1" w:styleId="Default">
    <w:name w:val="Default"/>
    <w:rsid w:val="00D13C85"/>
    <w:pPr>
      <w:autoSpaceDE w:val="0"/>
      <w:autoSpaceDN w:val="0"/>
      <w:adjustRightInd w:val="0"/>
    </w:pPr>
    <w:rPr>
      <w:rFonts w:ascii="Arial" w:hAnsi="Arial" w:cs="Arial"/>
      <w:color w:val="000000"/>
      <w:sz w:val="24"/>
      <w:szCs w:val="24"/>
    </w:rPr>
  </w:style>
  <w:style w:type="character" w:customStyle="1" w:styleId="at6">
    <w:name w:val="a__t6"/>
    <w:basedOn w:val="DefaultParagraphFont"/>
    <w:rsid w:val="00BF4EA0"/>
  </w:style>
  <w:style w:type="character" w:customStyle="1" w:styleId="at2">
    <w:name w:val="a__t2"/>
    <w:basedOn w:val="DefaultParagraphFont"/>
    <w:rsid w:val="00BF4EA0"/>
  </w:style>
  <w:style w:type="character" w:customStyle="1" w:styleId="Heading2Char">
    <w:name w:val="Heading 2 Char"/>
    <w:basedOn w:val="DefaultParagraphFont"/>
    <w:link w:val="Heading2"/>
    <w:rsid w:val="00661B28"/>
    <w:rPr>
      <w:rFonts w:ascii="Trebuchet MS" w:eastAsia="Calibri" w:hAnsi="Trebuchet MS" w:cs="Arial"/>
      <w:b/>
      <w:bCs/>
      <w:iCs/>
      <w:sz w:val="22"/>
      <w:szCs w:val="28"/>
      <w:lang w:eastAsia="en-US"/>
    </w:rPr>
  </w:style>
  <w:style w:type="table" w:customStyle="1" w:styleId="TableGrid10">
    <w:name w:val="Table Grid1"/>
    <w:basedOn w:val="TableNormal"/>
    <w:next w:val="TableGrid"/>
    <w:rsid w:val="000C0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rsid w:val="000C0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rsid w:val="00A86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rsid w:val="003568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
    <w:name w:val="ft"/>
    <w:basedOn w:val="DefaultParagraphFont"/>
    <w:rsid w:val="00AC300D"/>
  </w:style>
  <w:style w:type="character" w:customStyle="1" w:styleId="Heading7Char">
    <w:name w:val="Heading 7 Char"/>
    <w:basedOn w:val="DefaultParagraphFont"/>
    <w:link w:val="Heading7"/>
    <w:rsid w:val="00F53DD7"/>
    <w:rPr>
      <w:rFonts w:ascii="Trebuchet MS" w:eastAsia="Calibri" w:hAnsi="Trebuchet MS"/>
      <w:b/>
      <w:szCs w:val="22"/>
      <w:lang w:eastAsia="en-US"/>
    </w:rPr>
  </w:style>
  <w:style w:type="character" w:customStyle="1" w:styleId="HeaderChar">
    <w:name w:val="Header Char"/>
    <w:basedOn w:val="DefaultParagraphFont"/>
    <w:link w:val="Header"/>
    <w:rsid w:val="00F53DD7"/>
    <w:rPr>
      <w:rFonts w:ascii="Lucida Sans Unicode" w:eastAsia="Calibri" w:hAnsi="Lucida Sans Unicode"/>
      <w:sz w:val="18"/>
      <w:szCs w:val="22"/>
      <w:lang w:eastAsia="en-US"/>
    </w:rPr>
  </w:style>
  <w:style w:type="character" w:customStyle="1" w:styleId="FooterChar">
    <w:name w:val="Footer Char"/>
    <w:basedOn w:val="DefaultParagraphFont"/>
    <w:link w:val="Footer"/>
    <w:rsid w:val="00F53DD7"/>
    <w:rPr>
      <w:rFonts w:ascii="Lucida Sans Unicode" w:eastAsia="Calibri" w:hAnsi="Lucida Sans Unicode"/>
      <w:sz w:val="18"/>
      <w:szCs w:val="22"/>
      <w:lang w:eastAsia="en-US"/>
    </w:rPr>
  </w:style>
  <w:style w:type="character" w:customStyle="1" w:styleId="verdana">
    <w:name w:val="verdana"/>
    <w:basedOn w:val="DefaultParagraphFont"/>
    <w:rsid w:val="0036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107">
      <w:bodyDiv w:val="1"/>
      <w:marLeft w:val="0"/>
      <w:marRight w:val="0"/>
      <w:marTop w:val="0"/>
      <w:marBottom w:val="0"/>
      <w:divBdr>
        <w:top w:val="none" w:sz="0" w:space="0" w:color="auto"/>
        <w:left w:val="none" w:sz="0" w:space="0" w:color="auto"/>
        <w:bottom w:val="none" w:sz="0" w:space="0" w:color="auto"/>
        <w:right w:val="none" w:sz="0" w:space="0" w:color="auto"/>
      </w:divBdr>
    </w:div>
    <w:div w:id="25914806">
      <w:bodyDiv w:val="1"/>
      <w:marLeft w:val="0"/>
      <w:marRight w:val="0"/>
      <w:marTop w:val="0"/>
      <w:marBottom w:val="0"/>
      <w:divBdr>
        <w:top w:val="none" w:sz="0" w:space="0" w:color="auto"/>
        <w:left w:val="none" w:sz="0" w:space="0" w:color="auto"/>
        <w:bottom w:val="none" w:sz="0" w:space="0" w:color="auto"/>
        <w:right w:val="none" w:sz="0" w:space="0" w:color="auto"/>
      </w:divBdr>
    </w:div>
    <w:div w:id="44448732">
      <w:bodyDiv w:val="1"/>
      <w:marLeft w:val="0"/>
      <w:marRight w:val="0"/>
      <w:marTop w:val="0"/>
      <w:marBottom w:val="0"/>
      <w:divBdr>
        <w:top w:val="none" w:sz="0" w:space="0" w:color="auto"/>
        <w:left w:val="none" w:sz="0" w:space="0" w:color="auto"/>
        <w:bottom w:val="none" w:sz="0" w:space="0" w:color="auto"/>
        <w:right w:val="none" w:sz="0" w:space="0" w:color="auto"/>
      </w:divBdr>
    </w:div>
    <w:div w:id="122120946">
      <w:bodyDiv w:val="1"/>
      <w:marLeft w:val="0"/>
      <w:marRight w:val="0"/>
      <w:marTop w:val="0"/>
      <w:marBottom w:val="0"/>
      <w:divBdr>
        <w:top w:val="none" w:sz="0" w:space="0" w:color="auto"/>
        <w:left w:val="none" w:sz="0" w:space="0" w:color="auto"/>
        <w:bottom w:val="none" w:sz="0" w:space="0" w:color="auto"/>
        <w:right w:val="none" w:sz="0" w:space="0" w:color="auto"/>
      </w:divBdr>
    </w:div>
    <w:div w:id="153617493">
      <w:bodyDiv w:val="1"/>
      <w:marLeft w:val="0"/>
      <w:marRight w:val="0"/>
      <w:marTop w:val="0"/>
      <w:marBottom w:val="0"/>
      <w:divBdr>
        <w:top w:val="none" w:sz="0" w:space="0" w:color="auto"/>
        <w:left w:val="none" w:sz="0" w:space="0" w:color="auto"/>
        <w:bottom w:val="none" w:sz="0" w:space="0" w:color="auto"/>
        <w:right w:val="none" w:sz="0" w:space="0" w:color="auto"/>
      </w:divBdr>
    </w:div>
    <w:div w:id="205260349">
      <w:bodyDiv w:val="1"/>
      <w:marLeft w:val="0"/>
      <w:marRight w:val="0"/>
      <w:marTop w:val="0"/>
      <w:marBottom w:val="0"/>
      <w:divBdr>
        <w:top w:val="none" w:sz="0" w:space="0" w:color="auto"/>
        <w:left w:val="none" w:sz="0" w:space="0" w:color="auto"/>
        <w:bottom w:val="none" w:sz="0" w:space="0" w:color="auto"/>
        <w:right w:val="none" w:sz="0" w:space="0" w:color="auto"/>
      </w:divBdr>
    </w:div>
    <w:div w:id="206645459">
      <w:bodyDiv w:val="1"/>
      <w:marLeft w:val="0"/>
      <w:marRight w:val="0"/>
      <w:marTop w:val="0"/>
      <w:marBottom w:val="0"/>
      <w:divBdr>
        <w:top w:val="none" w:sz="0" w:space="0" w:color="auto"/>
        <w:left w:val="none" w:sz="0" w:space="0" w:color="auto"/>
        <w:bottom w:val="none" w:sz="0" w:space="0" w:color="auto"/>
        <w:right w:val="none" w:sz="0" w:space="0" w:color="auto"/>
      </w:divBdr>
    </w:div>
    <w:div w:id="234126216">
      <w:bodyDiv w:val="1"/>
      <w:marLeft w:val="0"/>
      <w:marRight w:val="0"/>
      <w:marTop w:val="0"/>
      <w:marBottom w:val="0"/>
      <w:divBdr>
        <w:top w:val="none" w:sz="0" w:space="0" w:color="auto"/>
        <w:left w:val="none" w:sz="0" w:space="0" w:color="auto"/>
        <w:bottom w:val="none" w:sz="0" w:space="0" w:color="auto"/>
        <w:right w:val="none" w:sz="0" w:space="0" w:color="auto"/>
      </w:divBdr>
      <w:divsChild>
        <w:div w:id="5256700">
          <w:marLeft w:val="547"/>
          <w:marRight w:val="0"/>
          <w:marTop w:val="96"/>
          <w:marBottom w:val="0"/>
          <w:divBdr>
            <w:top w:val="none" w:sz="0" w:space="0" w:color="auto"/>
            <w:left w:val="none" w:sz="0" w:space="0" w:color="auto"/>
            <w:bottom w:val="none" w:sz="0" w:space="0" w:color="auto"/>
            <w:right w:val="none" w:sz="0" w:space="0" w:color="auto"/>
          </w:divBdr>
        </w:div>
        <w:div w:id="837580105">
          <w:marLeft w:val="547"/>
          <w:marRight w:val="0"/>
          <w:marTop w:val="96"/>
          <w:marBottom w:val="0"/>
          <w:divBdr>
            <w:top w:val="none" w:sz="0" w:space="0" w:color="auto"/>
            <w:left w:val="none" w:sz="0" w:space="0" w:color="auto"/>
            <w:bottom w:val="none" w:sz="0" w:space="0" w:color="auto"/>
            <w:right w:val="none" w:sz="0" w:space="0" w:color="auto"/>
          </w:divBdr>
        </w:div>
        <w:div w:id="1480152168">
          <w:marLeft w:val="547"/>
          <w:marRight w:val="0"/>
          <w:marTop w:val="96"/>
          <w:marBottom w:val="0"/>
          <w:divBdr>
            <w:top w:val="none" w:sz="0" w:space="0" w:color="auto"/>
            <w:left w:val="none" w:sz="0" w:space="0" w:color="auto"/>
            <w:bottom w:val="none" w:sz="0" w:space="0" w:color="auto"/>
            <w:right w:val="none" w:sz="0" w:space="0" w:color="auto"/>
          </w:divBdr>
        </w:div>
      </w:divsChild>
    </w:div>
    <w:div w:id="236748790">
      <w:bodyDiv w:val="1"/>
      <w:marLeft w:val="0"/>
      <w:marRight w:val="0"/>
      <w:marTop w:val="0"/>
      <w:marBottom w:val="0"/>
      <w:divBdr>
        <w:top w:val="none" w:sz="0" w:space="0" w:color="auto"/>
        <w:left w:val="none" w:sz="0" w:space="0" w:color="auto"/>
        <w:bottom w:val="none" w:sz="0" w:space="0" w:color="auto"/>
        <w:right w:val="none" w:sz="0" w:space="0" w:color="auto"/>
      </w:divBdr>
    </w:div>
    <w:div w:id="248776281">
      <w:bodyDiv w:val="1"/>
      <w:marLeft w:val="0"/>
      <w:marRight w:val="0"/>
      <w:marTop w:val="0"/>
      <w:marBottom w:val="0"/>
      <w:divBdr>
        <w:top w:val="none" w:sz="0" w:space="0" w:color="auto"/>
        <w:left w:val="none" w:sz="0" w:space="0" w:color="auto"/>
        <w:bottom w:val="none" w:sz="0" w:space="0" w:color="auto"/>
        <w:right w:val="none" w:sz="0" w:space="0" w:color="auto"/>
      </w:divBdr>
    </w:div>
    <w:div w:id="267085821">
      <w:bodyDiv w:val="1"/>
      <w:marLeft w:val="0"/>
      <w:marRight w:val="0"/>
      <w:marTop w:val="0"/>
      <w:marBottom w:val="0"/>
      <w:divBdr>
        <w:top w:val="none" w:sz="0" w:space="0" w:color="auto"/>
        <w:left w:val="none" w:sz="0" w:space="0" w:color="auto"/>
        <w:bottom w:val="none" w:sz="0" w:space="0" w:color="auto"/>
        <w:right w:val="none" w:sz="0" w:space="0" w:color="auto"/>
      </w:divBdr>
      <w:divsChild>
        <w:div w:id="172843827">
          <w:marLeft w:val="547"/>
          <w:marRight w:val="0"/>
          <w:marTop w:val="134"/>
          <w:marBottom w:val="0"/>
          <w:divBdr>
            <w:top w:val="none" w:sz="0" w:space="0" w:color="auto"/>
            <w:left w:val="none" w:sz="0" w:space="0" w:color="auto"/>
            <w:bottom w:val="none" w:sz="0" w:space="0" w:color="auto"/>
            <w:right w:val="none" w:sz="0" w:space="0" w:color="auto"/>
          </w:divBdr>
        </w:div>
        <w:div w:id="565381684">
          <w:marLeft w:val="1166"/>
          <w:marRight w:val="0"/>
          <w:marTop w:val="82"/>
          <w:marBottom w:val="0"/>
          <w:divBdr>
            <w:top w:val="none" w:sz="0" w:space="0" w:color="auto"/>
            <w:left w:val="none" w:sz="0" w:space="0" w:color="auto"/>
            <w:bottom w:val="none" w:sz="0" w:space="0" w:color="auto"/>
            <w:right w:val="none" w:sz="0" w:space="0" w:color="auto"/>
          </w:divBdr>
        </w:div>
        <w:div w:id="649286693">
          <w:marLeft w:val="1166"/>
          <w:marRight w:val="0"/>
          <w:marTop w:val="82"/>
          <w:marBottom w:val="0"/>
          <w:divBdr>
            <w:top w:val="none" w:sz="0" w:space="0" w:color="auto"/>
            <w:left w:val="none" w:sz="0" w:space="0" w:color="auto"/>
            <w:bottom w:val="none" w:sz="0" w:space="0" w:color="auto"/>
            <w:right w:val="none" w:sz="0" w:space="0" w:color="auto"/>
          </w:divBdr>
        </w:div>
        <w:div w:id="887296960">
          <w:marLeft w:val="1166"/>
          <w:marRight w:val="0"/>
          <w:marTop w:val="115"/>
          <w:marBottom w:val="0"/>
          <w:divBdr>
            <w:top w:val="none" w:sz="0" w:space="0" w:color="auto"/>
            <w:left w:val="none" w:sz="0" w:space="0" w:color="auto"/>
            <w:bottom w:val="none" w:sz="0" w:space="0" w:color="auto"/>
            <w:right w:val="none" w:sz="0" w:space="0" w:color="auto"/>
          </w:divBdr>
        </w:div>
        <w:div w:id="968976432">
          <w:marLeft w:val="547"/>
          <w:marRight w:val="0"/>
          <w:marTop w:val="134"/>
          <w:marBottom w:val="0"/>
          <w:divBdr>
            <w:top w:val="none" w:sz="0" w:space="0" w:color="auto"/>
            <w:left w:val="none" w:sz="0" w:space="0" w:color="auto"/>
            <w:bottom w:val="none" w:sz="0" w:space="0" w:color="auto"/>
            <w:right w:val="none" w:sz="0" w:space="0" w:color="auto"/>
          </w:divBdr>
        </w:div>
        <w:div w:id="1322346513">
          <w:marLeft w:val="1166"/>
          <w:marRight w:val="0"/>
          <w:marTop w:val="82"/>
          <w:marBottom w:val="0"/>
          <w:divBdr>
            <w:top w:val="none" w:sz="0" w:space="0" w:color="auto"/>
            <w:left w:val="none" w:sz="0" w:space="0" w:color="auto"/>
            <w:bottom w:val="none" w:sz="0" w:space="0" w:color="auto"/>
            <w:right w:val="none" w:sz="0" w:space="0" w:color="auto"/>
          </w:divBdr>
        </w:div>
        <w:div w:id="1401095333">
          <w:marLeft w:val="1166"/>
          <w:marRight w:val="0"/>
          <w:marTop w:val="82"/>
          <w:marBottom w:val="0"/>
          <w:divBdr>
            <w:top w:val="none" w:sz="0" w:space="0" w:color="auto"/>
            <w:left w:val="none" w:sz="0" w:space="0" w:color="auto"/>
            <w:bottom w:val="none" w:sz="0" w:space="0" w:color="auto"/>
            <w:right w:val="none" w:sz="0" w:space="0" w:color="auto"/>
          </w:divBdr>
        </w:div>
        <w:div w:id="1576428498">
          <w:marLeft w:val="1166"/>
          <w:marRight w:val="0"/>
          <w:marTop w:val="82"/>
          <w:marBottom w:val="0"/>
          <w:divBdr>
            <w:top w:val="none" w:sz="0" w:space="0" w:color="auto"/>
            <w:left w:val="none" w:sz="0" w:space="0" w:color="auto"/>
            <w:bottom w:val="none" w:sz="0" w:space="0" w:color="auto"/>
            <w:right w:val="none" w:sz="0" w:space="0" w:color="auto"/>
          </w:divBdr>
        </w:div>
        <w:div w:id="1624384814">
          <w:marLeft w:val="547"/>
          <w:marRight w:val="0"/>
          <w:marTop w:val="134"/>
          <w:marBottom w:val="0"/>
          <w:divBdr>
            <w:top w:val="none" w:sz="0" w:space="0" w:color="auto"/>
            <w:left w:val="none" w:sz="0" w:space="0" w:color="auto"/>
            <w:bottom w:val="none" w:sz="0" w:space="0" w:color="auto"/>
            <w:right w:val="none" w:sz="0" w:space="0" w:color="auto"/>
          </w:divBdr>
        </w:div>
        <w:div w:id="2107651389">
          <w:marLeft w:val="1166"/>
          <w:marRight w:val="0"/>
          <w:marTop w:val="115"/>
          <w:marBottom w:val="0"/>
          <w:divBdr>
            <w:top w:val="none" w:sz="0" w:space="0" w:color="auto"/>
            <w:left w:val="none" w:sz="0" w:space="0" w:color="auto"/>
            <w:bottom w:val="none" w:sz="0" w:space="0" w:color="auto"/>
            <w:right w:val="none" w:sz="0" w:space="0" w:color="auto"/>
          </w:divBdr>
        </w:div>
      </w:divsChild>
    </w:div>
    <w:div w:id="274555769">
      <w:bodyDiv w:val="1"/>
      <w:marLeft w:val="0"/>
      <w:marRight w:val="0"/>
      <w:marTop w:val="0"/>
      <w:marBottom w:val="0"/>
      <w:divBdr>
        <w:top w:val="none" w:sz="0" w:space="0" w:color="auto"/>
        <w:left w:val="none" w:sz="0" w:space="0" w:color="auto"/>
        <w:bottom w:val="none" w:sz="0" w:space="0" w:color="auto"/>
        <w:right w:val="none" w:sz="0" w:space="0" w:color="auto"/>
      </w:divBdr>
    </w:div>
    <w:div w:id="291715552">
      <w:bodyDiv w:val="1"/>
      <w:marLeft w:val="0"/>
      <w:marRight w:val="0"/>
      <w:marTop w:val="0"/>
      <w:marBottom w:val="0"/>
      <w:divBdr>
        <w:top w:val="none" w:sz="0" w:space="0" w:color="auto"/>
        <w:left w:val="none" w:sz="0" w:space="0" w:color="auto"/>
        <w:bottom w:val="none" w:sz="0" w:space="0" w:color="auto"/>
        <w:right w:val="none" w:sz="0" w:space="0" w:color="auto"/>
      </w:divBdr>
    </w:div>
    <w:div w:id="333800030">
      <w:bodyDiv w:val="1"/>
      <w:marLeft w:val="0"/>
      <w:marRight w:val="0"/>
      <w:marTop w:val="0"/>
      <w:marBottom w:val="0"/>
      <w:divBdr>
        <w:top w:val="none" w:sz="0" w:space="0" w:color="auto"/>
        <w:left w:val="none" w:sz="0" w:space="0" w:color="auto"/>
        <w:bottom w:val="none" w:sz="0" w:space="0" w:color="auto"/>
        <w:right w:val="none" w:sz="0" w:space="0" w:color="auto"/>
      </w:divBdr>
    </w:div>
    <w:div w:id="351683262">
      <w:bodyDiv w:val="1"/>
      <w:marLeft w:val="0"/>
      <w:marRight w:val="0"/>
      <w:marTop w:val="0"/>
      <w:marBottom w:val="0"/>
      <w:divBdr>
        <w:top w:val="none" w:sz="0" w:space="0" w:color="auto"/>
        <w:left w:val="none" w:sz="0" w:space="0" w:color="auto"/>
        <w:bottom w:val="none" w:sz="0" w:space="0" w:color="auto"/>
        <w:right w:val="none" w:sz="0" w:space="0" w:color="auto"/>
      </w:divBdr>
    </w:div>
    <w:div w:id="376592894">
      <w:bodyDiv w:val="1"/>
      <w:marLeft w:val="0"/>
      <w:marRight w:val="0"/>
      <w:marTop w:val="0"/>
      <w:marBottom w:val="0"/>
      <w:divBdr>
        <w:top w:val="none" w:sz="0" w:space="0" w:color="auto"/>
        <w:left w:val="none" w:sz="0" w:space="0" w:color="auto"/>
        <w:bottom w:val="none" w:sz="0" w:space="0" w:color="auto"/>
        <w:right w:val="none" w:sz="0" w:space="0" w:color="auto"/>
      </w:divBdr>
    </w:div>
    <w:div w:id="517937050">
      <w:bodyDiv w:val="1"/>
      <w:marLeft w:val="0"/>
      <w:marRight w:val="0"/>
      <w:marTop w:val="0"/>
      <w:marBottom w:val="0"/>
      <w:divBdr>
        <w:top w:val="none" w:sz="0" w:space="0" w:color="auto"/>
        <w:left w:val="none" w:sz="0" w:space="0" w:color="auto"/>
        <w:bottom w:val="none" w:sz="0" w:space="0" w:color="auto"/>
        <w:right w:val="none" w:sz="0" w:space="0" w:color="auto"/>
      </w:divBdr>
    </w:div>
    <w:div w:id="520751435">
      <w:bodyDiv w:val="1"/>
      <w:marLeft w:val="0"/>
      <w:marRight w:val="0"/>
      <w:marTop w:val="0"/>
      <w:marBottom w:val="0"/>
      <w:divBdr>
        <w:top w:val="none" w:sz="0" w:space="0" w:color="auto"/>
        <w:left w:val="none" w:sz="0" w:space="0" w:color="auto"/>
        <w:bottom w:val="none" w:sz="0" w:space="0" w:color="auto"/>
        <w:right w:val="none" w:sz="0" w:space="0" w:color="auto"/>
      </w:divBdr>
    </w:div>
    <w:div w:id="645087565">
      <w:bodyDiv w:val="1"/>
      <w:marLeft w:val="0"/>
      <w:marRight w:val="0"/>
      <w:marTop w:val="0"/>
      <w:marBottom w:val="0"/>
      <w:divBdr>
        <w:top w:val="none" w:sz="0" w:space="0" w:color="auto"/>
        <w:left w:val="none" w:sz="0" w:space="0" w:color="auto"/>
        <w:bottom w:val="none" w:sz="0" w:space="0" w:color="auto"/>
        <w:right w:val="none" w:sz="0" w:space="0" w:color="auto"/>
      </w:divBdr>
    </w:div>
    <w:div w:id="659889992">
      <w:bodyDiv w:val="1"/>
      <w:marLeft w:val="0"/>
      <w:marRight w:val="0"/>
      <w:marTop w:val="0"/>
      <w:marBottom w:val="0"/>
      <w:divBdr>
        <w:top w:val="none" w:sz="0" w:space="0" w:color="auto"/>
        <w:left w:val="none" w:sz="0" w:space="0" w:color="auto"/>
        <w:bottom w:val="none" w:sz="0" w:space="0" w:color="auto"/>
        <w:right w:val="none" w:sz="0" w:space="0" w:color="auto"/>
      </w:divBdr>
      <w:divsChild>
        <w:div w:id="224068724">
          <w:marLeft w:val="1166"/>
          <w:marRight w:val="0"/>
          <w:marTop w:val="96"/>
          <w:marBottom w:val="0"/>
          <w:divBdr>
            <w:top w:val="none" w:sz="0" w:space="0" w:color="auto"/>
            <w:left w:val="none" w:sz="0" w:space="0" w:color="auto"/>
            <w:bottom w:val="none" w:sz="0" w:space="0" w:color="auto"/>
            <w:right w:val="none" w:sz="0" w:space="0" w:color="auto"/>
          </w:divBdr>
        </w:div>
        <w:div w:id="283003525">
          <w:marLeft w:val="1166"/>
          <w:marRight w:val="0"/>
          <w:marTop w:val="82"/>
          <w:marBottom w:val="0"/>
          <w:divBdr>
            <w:top w:val="none" w:sz="0" w:space="0" w:color="auto"/>
            <w:left w:val="none" w:sz="0" w:space="0" w:color="auto"/>
            <w:bottom w:val="none" w:sz="0" w:space="0" w:color="auto"/>
            <w:right w:val="none" w:sz="0" w:space="0" w:color="auto"/>
          </w:divBdr>
        </w:div>
        <w:div w:id="478351020">
          <w:marLeft w:val="547"/>
          <w:marRight w:val="0"/>
          <w:marTop w:val="96"/>
          <w:marBottom w:val="0"/>
          <w:divBdr>
            <w:top w:val="none" w:sz="0" w:space="0" w:color="auto"/>
            <w:left w:val="none" w:sz="0" w:space="0" w:color="auto"/>
            <w:bottom w:val="none" w:sz="0" w:space="0" w:color="auto"/>
            <w:right w:val="none" w:sz="0" w:space="0" w:color="auto"/>
          </w:divBdr>
        </w:div>
        <w:div w:id="542715584">
          <w:marLeft w:val="547"/>
          <w:marRight w:val="0"/>
          <w:marTop w:val="96"/>
          <w:marBottom w:val="0"/>
          <w:divBdr>
            <w:top w:val="none" w:sz="0" w:space="0" w:color="auto"/>
            <w:left w:val="none" w:sz="0" w:space="0" w:color="auto"/>
            <w:bottom w:val="none" w:sz="0" w:space="0" w:color="auto"/>
            <w:right w:val="none" w:sz="0" w:space="0" w:color="auto"/>
          </w:divBdr>
        </w:div>
        <w:div w:id="973370073">
          <w:marLeft w:val="547"/>
          <w:marRight w:val="0"/>
          <w:marTop w:val="96"/>
          <w:marBottom w:val="0"/>
          <w:divBdr>
            <w:top w:val="none" w:sz="0" w:space="0" w:color="auto"/>
            <w:left w:val="none" w:sz="0" w:space="0" w:color="auto"/>
            <w:bottom w:val="none" w:sz="0" w:space="0" w:color="auto"/>
            <w:right w:val="none" w:sz="0" w:space="0" w:color="auto"/>
          </w:divBdr>
        </w:div>
        <w:div w:id="1311404509">
          <w:marLeft w:val="1166"/>
          <w:marRight w:val="0"/>
          <w:marTop w:val="82"/>
          <w:marBottom w:val="0"/>
          <w:divBdr>
            <w:top w:val="none" w:sz="0" w:space="0" w:color="auto"/>
            <w:left w:val="none" w:sz="0" w:space="0" w:color="auto"/>
            <w:bottom w:val="none" w:sz="0" w:space="0" w:color="auto"/>
            <w:right w:val="none" w:sz="0" w:space="0" w:color="auto"/>
          </w:divBdr>
        </w:div>
        <w:div w:id="1356158112">
          <w:marLeft w:val="1800"/>
          <w:marRight w:val="0"/>
          <w:marTop w:val="82"/>
          <w:marBottom w:val="0"/>
          <w:divBdr>
            <w:top w:val="none" w:sz="0" w:space="0" w:color="auto"/>
            <w:left w:val="none" w:sz="0" w:space="0" w:color="auto"/>
            <w:bottom w:val="none" w:sz="0" w:space="0" w:color="auto"/>
            <w:right w:val="none" w:sz="0" w:space="0" w:color="auto"/>
          </w:divBdr>
        </w:div>
        <w:div w:id="1387997654">
          <w:marLeft w:val="1166"/>
          <w:marRight w:val="0"/>
          <w:marTop w:val="96"/>
          <w:marBottom w:val="0"/>
          <w:divBdr>
            <w:top w:val="none" w:sz="0" w:space="0" w:color="auto"/>
            <w:left w:val="none" w:sz="0" w:space="0" w:color="auto"/>
            <w:bottom w:val="none" w:sz="0" w:space="0" w:color="auto"/>
            <w:right w:val="none" w:sz="0" w:space="0" w:color="auto"/>
          </w:divBdr>
        </w:div>
        <w:div w:id="1391463013">
          <w:marLeft w:val="1166"/>
          <w:marRight w:val="0"/>
          <w:marTop w:val="82"/>
          <w:marBottom w:val="0"/>
          <w:divBdr>
            <w:top w:val="none" w:sz="0" w:space="0" w:color="auto"/>
            <w:left w:val="none" w:sz="0" w:space="0" w:color="auto"/>
            <w:bottom w:val="none" w:sz="0" w:space="0" w:color="auto"/>
            <w:right w:val="none" w:sz="0" w:space="0" w:color="auto"/>
          </w:divBdr>
        </w:div>
        <w:div w:id="1652632342">
          <w:marLeft w:val="1166"/>
          <w:marRight w:val="0"/>
          <w:marTop w:val="82"/>
          <w:marBottom w:val="0"/>
          <w:divBdr>
            <w:top w:val="none" w:sz="0" w:space="0" w:color="auto"/>
            <w:left w:val="none" w:sz="0" w:space="0" w:color="auto"/>
            <w:bottom w:val="none" w:sz="0" w:space="0" w:color="auto"/>
            <w:right w:val="none" w:sz="0" w:space="0" w:color="auto"/>
          </w:divBdr>
        </w:div>
        <w:div w:id="1660577436">
          <w:marLeft w:val="1166"/>
          <w:marRight w:val="0"/>
          <w:marTop w:val="96"/>
          <w:marBottom w:val="0"/>
          <w:divBdr>
            <w:top w:val="none" w:sz="0" w:space="0" w:color="auto"/>
            <w:left w:val="none" w:sz="0" w:space="0" w:color="auto"/>
            <w:bottom w:val="none" w:sz="0" w:space="0" w:color="auto"/>
            <w:right w:val="none" w:sz="0" w:space="0" w:color="auto"/>
          </w:divBdr>
        </w:div>
      </w:divsChild>
    </w:div>
    <w:div w:id="725034212">
      <w:bodyDiv w:val="1"/>
      <w:marLeft w:val="0"/>
      <w:marRight w:val="0"/>
      <w:marTop w:val="0"/>
      <w:marBottom w:val="0"/>
      <w:divBdr>
        <w:top w:val="none" w:sz="0" w:space="0" w:color="auto"/>
        <w:left w:val="none" w:sz="0" w:space="0" w:color="auto"/>
        <w:bottom w:val="none" w:sz="0" w:space="0" w:color="auto"/>
        <w:right w:val="none" w:sz="0" w:space="0" w:color="auto"/>
      </w:divBdr>
    </w:div>
    <w:div w:id="796144690">
      <w:bodyDiv w:val="1"/>
      <w:marLeft w:val="0"/>
      <w:marRight w:val="0"/>
      <w:marTop w:val="0"/>
      <w:marBottom w:val="0"/>
      <w:divBdr>
        <w:top w:val="none" w:sz="0" w:space="0" w:color="auto"/>
        <w:left w:val="none" w:sz="0" w:space="0" w:color="auto"/>
        <w:bottom w:val="none" w:sz="0" w:space="0" w:color="auto"/>
        <w:right w:val="none" w:sz="0" w:space="0" w:color="auto"/>
      </w:divBdr>
    </w:div>
    <w:div w:id="854928059">
      <w:bodyDiv w:val="1"/>
      <w:marLeft w:val="0"/>
      <w:marRight w:val="0"/>
      <w:marTop w:val="0"/>
      <w:marBottom w:val="0"/>
      <w:divBdr>
        <w:top w:val="none" w:sz="0" w:space="0" w:color="auto"/>
        <w:left w:val="none" w:sz="0" w:space="0" w:color="auto"/>
        <w:bottom w:val="none" w:sz="0" w:space="0" w:color="auto"/>
        <w:right w:val="none" w:sz="0" w:space="0" w:color="auto"/>
      </w:divBdr>
      <w:divsChild>
        <w:div w:id="827206385">
          <w:marLeft w:val="547"/>
          <w:marRight w:val="0"/>
          <w:marTop w:val="86"/>
          <w:marBottom w:val="0"/>
          <w:divBdr>
            <w:top w:val="none" w:sz="0" w:space="0" w:color="auto"/>
            <w:left w:val="none" w:sz="0" w:space="0" w:color="auto"/>
            <w:bottom w:val="none" w:sz="0" w:space="0" w:color="auto"/>
            <w:right w:val="none" w:sz="0" w:space="0" w:color="auto"/>
          </w:divBdr>
        </w:div>
        <w:div w:id="1897472083">
          <w:marLeft w:val="547"/>
          <w:marRight w:val="0"/>
          <w:marTop w:val="86"/>
          <w:marBottom w:val="0"/>
          <w:divBdr>
            <w:top w:val="none" w:sz="0" w:space="0" w:color="auto"/>
            <w:left w:val="none" w:sz="0" w:space="0" w:color="auto"/>
            <w:bottom w:val="none" w:sz="0" w:space="0" w:color="auto"/>
            <w:right w:val="none" w:sz="0" w:space="0" w:color="auto"/>
          </w:divBdr>
        </w:div>
      </w:divsChild>
    </w:div>
    <w:div w:id="860750909">
      <w:bodyDiv w:val="1"/>
      <w:marLeft w:val="0"/>
      <w:marRight w:val="0"/>
      <w:marTop w:val="0"/>
      <w:marBottom w:val="0"/>
      <w:divBdr>
        <w:top w:val="none" w:sz="0" w:space="0" w:color="auto"/>
        <w:left w:val="none" w:sz="0" w:space="0" w:color="auto"/>
        <w:bottom w:val="none" w:sz="0" w:space="0" w:color="auto"/>
        <w:right w:val="none" w:sz="0" w:space="0" w:color="auto"/>
      </w:divBdr>
    </w:div>
    <w:div w:id="865827222">
      <w:bodyDiv w:val="1"/>
      <w:marLeft w:val="0"/>
      <w:marRight w:val="0"/>
      <w:marTop w:val="0"/>
      <w:marBottom w:val="0"/>
      <w:divBdr>
        <w:top w:val="none" w:sz="0" w:space="0" w:color="auto"/>
        <w:left w:val="none" w:sz="0" w:space="0" w:color="auto"/>
        <w:bottom w:val="none" w:sz="0" w:space="0" w:color="auto"/>
        <w:right w:val="none" w:sz="0" w:space="0" w:color="auto"/>
      </w:divBdr>
    </w:div>
    <w:div w:id="868841116">
      <w:bodyDiv w:val="1"/>
      <w:marLeft w:val="0"/>
      <w:marRight w:val="0"/>
      <w:marTop w:val="0"/>
      <w:marBottom w:val="0"/>
      <w:divBdr>
        <w:top w:val="none" w:sz="0" w:space="0" w:color="auto"/>
        <w:left w:val="none" w:sz="0" w:space="0" w:color="auto"/>
        <w:bottom w:val="none" w:sz="0" w:space="0" w:color="auto"/>
        <w:right w:val="none" w:sz="0" w:space="0" w:color="auto"/>
      </w:divBdr>
    </w:div>
    <w:div w:id="877160172">
      <w:bodyDiv w:val="1"/>
      <w:marLeft w:val="0"/>
      <w:marRight w:val="0"/>
      <w:marTop w:val="0"/>
      <w:marBottom w:val="0"/>
      <w:divBdr>
        <w:top w:val="none" w:sz="0" w:space="0" w:color="auto"/>
        <w:left w:val="none" w:sz="0" w:space="0" w:color="auto"/>
        <w:bottom w:val="none" w:sz="0" w:space="0" w:color="auto"/>
        <w:right w:val="none" w:sz="0" w:space="0" w:color="auto"/>
      </w:divBdr>
    </w:div>
    <w:div w:id="890925878">
      <w:bodyDiv w:val="1"/>
      <w:marLeft w:val="0"/>
      <w:marRight w:val="0"/>
      <w:marTop w:val="0"/>
      <w:marBottom w:val="0"/>
      <w:divBdr>
        <w:top w:val="none" w:sz="0" w:space="0" w:color="auto"/>
        <w:left w:val="none" w:sz="0" w:space="0" w:color="auto"/>
        <w:bottom w:val="none" w:sz="0" w:space="0" w:color="auto"/>
        <w:right w:val="none" w:sz="0" w:space="0" w:color="auto"/>
      </w:divBdr>
    </w:div>
    <w:div w:id="927495718">
      <w:bodyDiv w:val="1"/>
      <w:marLeft w:val="0"/>
      <w:marRight w:val="0"/>
      <w:marTop w:val="0"/>
      <w:marBottom w:val="0"/>
      <w:divBdr>
        <w:top w:val="none" w:sz="0" w:space="0" w:color="auto"/>
        <w:left w:val="none" w:sz="0" w:space="0" w:color="auto"/>
        <w:bottom w:val="none" w:sz="0" w:space="0" w:color="auto"/>
        <w:right w:val="none" w:sz="0" w:space="0" w:color="auto"/>
      </w:divBdr>
    </w:div>
    <w:div w:id="934366814">
      <w:bodyDiv w:val="1"/>
      <w:marLeft w:val="0"/>
      <w:marRight w:val="0"/>
      <w:marTop w:val="0"/>
      <w:marBottom w:val="0"/>
      <w:divBdr>
        <w:top w:val="none" w:sz="0" w:space="0" w:color="auto"/>
        <w:left w:val="none" w:sz="0" w:space="0" w:color="auto"/>
        <w:bottom w:val="none" w:sz="0" w:space="0" w:color="auto"/>
        <w:right w:val="none" w:sz="0" w:space="0" w:color="auto"/>
      </w:divBdr>
    </w:div>
    <w:div w:id="988241370">
      <w:bodyDiv w:val="1"/>
      <w:marLeft w:val="0"/>
      <w:marRight w:val="0"/>
      <w:marTop w:val="0"/>
      <w:marBottom w:val="0"/>
      <w:divBdr>
        <w:top w:val="none" w:sz="0" w:space="0" w:color="auto"/>
        <w:left w:val="none" w:sz="0" w:space="0" w:color="auto"/>
        <w:bottom w:val="none" w:sz="0" w:space="0" w:color="auto"/>
        <w:right w:val="none" w:sz="0" w:space="0" w:color="auto"/>
      </w:divBdr>
    </w:div>
    <w:div w:id="992291171">
      <w:bodyDiv w:val="1"/>
      <w:marLeft w:val="0"/>
      <w:marRight w:val="0"/>
      <w:marTop w:val="0"/>
      <w:marBottom w:val="0"/>
      <w:divBdr>
        <w:top w:val="none" w:sz="0" w:space="0" w:color="auto"/>
        <w:left w:val="none" w:sz="0" w:space="0" w:color="auto"/>
        <w:bottom w:val="none" w:sz="0" w:space="0" w:color="auto"/>
        <w:right w:val="none" w:sz="0" w:space="0" w:color="auto"/>
      </w:divBdr>
    </w:div>
    <w:div w:id="1004670379">
      <w:bodyDiv w:val="1"/>
      <w:marLeft w:val="0"/>
      <w:marRight w:val="0"/>
      <w:marTop w:val="0"/>
      <w:marBottom w:val="0"/>
      <w:divBdr>
        <w:top w:val="none" w:sz="0" w:space="0" w:color="auto"/>
        <w:left w:val="none" w:sz="0" w:space="0" w:color="auto"/>
        <w:bottom w:val="none" w:sz="0" w:space="0" w:color="auto"/>
        <w:right w:val="none" w:sz="0" w:space="0" w:color="auto"/>
      </w:divBdr>
    </w:div>
    <w:div w:id="1097825941">
      <w:bodyDiv w:val="1"/>
      <w:marLeft w:val="0"/>
      <w:marRight w:val="0"/>
      <w:marTop w:val="0"/>
      <w:marBottom w:val="0"/>
      <w:divBdr>
        <w:top w:val="none" w:sz="0" w:space="0" w:color="auto"/>
        <w:left w:val="none" w:sz="0" w:space="0" w:color="auto"/>
        <w:bottom w:val="none" w:sz="0" w:space="0" w:color="auto"/>
        <w:right w:val="none" w:sz="0" w:space="0" w:color="auto"/>
      </w:divBdr>
    </w:div>
    <w:div w:id="1110514337">
      <w:bodyDiv w:val="1"/>
      <w:marLeft w:val="0"/>
      <w:marRight w:val="0"/>
      <w:marTop w:val="0"/>
      <w:marBottom w:val="0"/>
      <w:divBdr>
        <w:top w:val="none" w:sz="0" w:space="0" w:color="auto"/>
        <w:left w:val="none" w:sz="0" w:space="0" w:color="auto"/>
        <w:bottom w:val="none" w:sz="0" w:space="0" w:color="auto"/>
        <w:right w:val="none" w:sz="0" w:space="0" w:color="auto"/>
      </w:divBdr>
    </w:div>
    <w:div w:id="1131096032">
      <w:bodyDiv w:val="1"/>
      <w:marLeft w:val="0"/>
      <w:marRight w:val="0"/>
      <w:marTop w:val="0"/>
      <w:marBottom w:val="0"/>
      <w:divBdr>
        <w:top w:val="none" w:sz="0" w:space="0" w:color="auto"/>
        <w:left w:val="none" w:sz="0" w:space="0" w:color="auto"/>
        <w:bottom w:val="none" w:sz="0" w:space="0" w:color="auto"/>
        <w:right w:val="none" w:sz="0" w:space="0" w:color="auto"/>
      </w:divBdr>
      <w:divsChild>
        <w:div w:id="635455555">
          <w:marLeft w:val="0"/>
          <w:marRight w:val="0"/>
          <w:marTop w:val="0"/>
          <w:marBottom w:val="0"/>
          <w:divBdr>
            <w:top w:val="none" w:sz="0" w:space="0" w:color="auto"/>
            <w:left w:val="none" w:sz="0" w:space="0" w:color="auto"/>
            <w:bottom w:val="none" w:sz="0" w:space="0" w:color="auto"/>
            <w:right w:val="none" w:sz="0" w:space="0" w:color="auto"/>
          </w:divBdr>
          <w:divsChild>
            <w:div w:id="14295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88044">
      <w:bodyDiv w:val="1"/>
      <w:marLeft w:val="0"/>
      <w:marRight w:val="0"/>
      <w:marTop w:val="0"/>
      <w:marBottom w:val="0"/>
      <w:divBdr>
        <w:top w:val="none" w:sz="0" w:space="0" w:color="auto"/>
        <w:left w:val="none" w:sz="0" w:space="0" w:color="auto"/>
        <w:bottom w:val="none" w:sz="0" w:space="0" w:color="auto"/>
        <w:right w:val="none" w:sz="0" w:space="0" w:color="auto"/>
      </w:divBdr>
    </w:div>
    <w:div w:id="1163819486">
      <w:bodyDiv w:val="1"/>
      <w:marLeft w:val="0"/>
      <w:marRight w:val="0"/>
      <w:marTop w:val="0"/>
      <w:marBottom w:val="0"/>
      <w:divBdr>
        <w:top w:val="none" w:sz="0" w:space="0" w:color="auto"/>
        <w:left w:val="none" w:sz="0" w:space="0" w:color="auto"/>
        <w:bottom w:val="none" w:sz="0" w:space="0" w:color="auto"/>
        <w:right w:val="none" w:sz="0" w:space="0" w:color="auto"/>
      </w:divBdr>
    </w:div>
    <w:div w:id="1181702708">
      <w:bodyDiv w:val="1"/>
      <w:marLeft w:val="0"/>
      <w:marRight w:val="0"/>
      <w:marTop w:val="0"/>
      <w:marBottom w:val="0"/>
      <w:divBdr>
        <w:top w:val="none" w:sz="0" w:space="0" w:color="auto"/>
        <w:left w:val="none" w:sz="0" w:space="0" w:color="auto"/>
        <w:bottom w:val="none" w:sz="0" w:space="0" w:color="auto"/>
        <w:right w:val="none" w:sz="0" w:space="0" w:color="auto"/>
      </w:divBdr>
    </w:div>
    <w:div w:id="1216937992">
      <w:bodyDiv w:val="1"/>
      <w:marLeft w:val="0"/>
      <w:marRight w:val="0"/>
      <w:marTop w:val="0"/>
      <w:marBottom w:val="0"/>
      <w:divBdr>
        <w:top w:val="none" w:sz="0" w:space="0" w:color="auto"/>
        <w:left w:val="none" w:sz="0" w:space="0" w:color="auto"/>
        <w:bottom w:val="none" w:sz="0" w:space="0" w:color="auto"/>
        <w:right w:val="none" w:sz="0" w:space="0" w:color="auto"/>
      </w:divBdr>
    </w:div>
    <w:div w:id="1224944267">
      <w:bodyDiv w:val="1"/>
      <w:marLeft w:val="0"/>
      <w:marRight w:val="0"/>
      <w:marTop w:val="0"/>
      <w:marBottom w:val="0"/>
      <w:divBdr>
        <w:top w:val="none" w:sz="0" w:space="0" w:color="auto"/>
        <w:left w:val="none" w:sz="0" w:space="0" w:color="auto"/>
        <w:bottom w:val="none" w:sz="0" w:space="0" w:color="auto"/>
        <w:right w:val="none" w:sz="0" w:space="0" w:color="auto"/>
      </w:divBdr>
      <w:divsChild>
        <w:div w:id="1713267517">
          <w:marLeft w:val="547"/>
          <w:marRight w:val="0"/>
          <w:marTop w:val="62"/>
          <w:marBottom w:val="0"/>
          <w:divBdr>
            <w:top w:val="none" w:sz="0" w:space="0" w:color="auto"/>
            <w:left w:val="none" w:sz="0" w:space="0" w:color="auto"/>
            <w:bottom w:val="none" w:sz="0" w:space="0" w:color="auto"/>
            <w:right w:val="none" w:sz="0" w:space="0" w:color="auto"/>
          </w:divBdr>
        </w:div>
      </w:divsChild>
    </w:div>
    <w:div w:id="1247112689">
      <w:bodyDiv w:val="1"/>
      <w:marLeft w:val="0"/>
      <w:marRight w:val="0"/>
      <w:marTop w:val="0"/>
      <w:marBottom w:val="0"/>
      <w:divBdr>
        <w:top w:val="none" w:sz="0" w:space="0" w:color="auto"/>
        <w:left w:val="none" w:sz="0" w:space="0" w:color="auto"/>
        <w:bottom w:val="none" w:sz="0" w:space="0" w:color="auto"/>
        <w:right w:val="none" w:sz="0" w:space="0" w:color="auto"/>
      </w:divBdr>
    </w:div>
    <w:div w:id="1274635634">
      <w:bodyDiv w:val="1"/>
      <w:marLeft w:val="0"/>
      <w:marRight w:val="0"/>
      <w:marTop w:val="0"/>
      <w:marBottom w:val="0"/>
      <w:divBdr>
        <w:top w:val="none" w:sz="0" w:space="0" w:color="auto"/>
        <w:left w:val="none" w:sz="0" w:space="0" w:color="auto"/>
        <w:bottom w:val="none" w:sz="0" w:space="0" w:color="auto"/>
        <w:right w:val="none" w:sz="0" w:space="0" w:color="auto"/>
      </w:divBdr>
      <w:divsChild>
        <w:div w:id="69234528">
          <w:marLeft w:val="0"/>
          <w:marRight w:val="0"/>
          <w:marTop w:val="0"/>
          <w:marBottom w:val="0"/>
          <w:divBdr>
            <w:top w:val="none" w:sz="0" w:space="0" w:color="auto"/>
            <w:left w:val="none" w:sz="0" w:space="0" w:color="auto"/>
            <w:bottom w:val="none" w:sz="0" w:space="0" w:color="auto"/>
            <w:right w:val="none" w:sz="0" w:space="0" w:color="auto"/>
          </w:divBdr>
        </w:div>
        <w:div w:id="373507197">
          <w:marLeft w:val="0"/>
          <w:marRight w:val="0"/>
          <w:marTop w:val="0"/>
          <w:marBottom w:val="0"/>
          <w:divBdr>
            <w:top w:val="none" w:sz="0" w:space="0" w:color="auto"/>
            <w:left w:val="none" w:sz="0" w:space="0" w:color="auto"/>
            <w:bottom w:val="none" w:sz="0" w:space="0" w:color="auto"/>
            <w:right w:val="none" w:sz="0" w:space="0" w:color="auto"/>
          </w:divBdr>
          <w:divsChild>
            <w:div w:id="472795180">
              <w:marLeft w:val="0"/>
              <w:marRight w:val="0"/>
              <w:marTop w:val="0"/>
              <w:marBottom w:val="0"/>
              <w:divBdr>
                <w:top w:val="none" w:sz="0" w:space="0" w:color="auto"/>
                <w:left w:val="none" w:sz="0" w:space="0" w:color="auto"/>
                <w:bottom w:val="none" w:sz="0" w:space="0" w:color="auto"/>
                <w:right w:val="none" w:sz="0" w:space="0" w:color="auto"/>
              </w:divBdr>
            </w:div>
            <w:div w:id="851457944">
              <w:marLeft w:val="0"/>
              <w:marRight w:val="0"/>
              <w:marTop w:val="0"/>
              <w:marBottom w:val="0"/>
              <w:divBdr>
                <w:top w:val="none" w:sz="0" w:space="0" w:color="auto"/>
                <w:left w:val="none" w:sz="0" w:space="0" w:color="auto"/>
                <w:bottom w:val="none" w:sz="0" w:space="0" w:color="auto"/>
                <w:right w:val="none" w:sz="0" w:space="0" w:color="auto"/>
              </w:divBdr>
            </w:div>
            <w:div w:id="1342204106">
              <w:marLeft w:val="0"/>
              <w:marRight w:val="0"/>
              <w:marTop w:val="0"/>
              <w:marBottom w:val="0"/>
              <w:divBdr>
                <w:top w:val="none" w:sz="0" w:space="0" w:color="auto"/>
                <w:left w:val="none" w:sz="0" w:space="0" w:color="auto"/>
                <w:bottom w:val="none" w:sz="0" w:space="0" w:color="auto"/>
                <w:right w:val="none" w:sz="0" w:space="0" w:color="auto"/>
              </w:divBdr>
            </w:div>
            <w:div w:id="1570458805">
              <w:marLeft w:val="0"/>
              <w:marRight w:val="0"/>
              <w:marTop w:val="0"/>
              <w:marBottom w:val="0"/>
              <w:divBdr>
                <w:top w:val="none" w:sz="0" w:space="0" w:color="auto"/>
                <w:left w:val="none" w:sz="0" w:space="0" w:color="auto"/>
                <w:bottom w:val="none" w:sz="0" w:space="0" w:color="auto"/>
                <w:right w:val="none" w:sz="0" w:space="0" w:color="auto"/>
              </w:divBdr>
            </w:div>
          </w:divsChild>
        </w:div>
        <w:div w:id="1431850544">
          <w:marLeft w:val="0"/>
          <w:marRight w:val="0"/>
          <w:marTop w:val="0"/>
          <w:marBottom w:val="0"/>
          <w:divBdr>
            <w:top w:val="none" w:sz="0" w:space="0" w:color="auto"/>
            <w:left w:val="none" w:sz="0" w:space="0" w:color="auto"/>
            <w:bottom w:val="none" w:sz="0" w:space="0" w:color="auto"/>
            <w:right w:val="none" w:sz="0" w:space="0" w:color="auto"/>
          </w:divBdr>
        </w:div>
      </w:divsChild>
    </w:div>
    <w:div w:id="1322151421">
      <w:bodyDiv w:val="1"/>
      <w:marLeft w:val="0"/>
      <w:marRight w:val="0"/>
      <w:marTop w:val="0"/>
      <w:marBottom w:val="0"/>
      <w:divBdr>
        <w:top w:val="none" w:sz="0" w:space="0" w:color="auto"/>
        <w:left w:val="none" w:sz="0" w:space="0" w:color="auto"/>
        <w:bottom w:val="none" w:sz="0" w:space="0" w:color="auto"/>
        <w:right w:val="none" w:sz="0" w:space="0" w:color="auto"/>
      </w:divBdr>
    </w:div>
    <w:div w:id="1428967856">
      <w:bodyDiv w:val="1"/>
      <w:marLeft w:val="0"/>
      <w:marRight w:val="0"/>
      <w:marTop w:val="0"/>
      <w:marBottom w:val="0"/>
      <w:divBdr>
        <w:top w:val="none" w:sz="0" w:space="0" w:color="auto"/>
        <w:left w:val="none" w:sz="0" w:space="0" w:color="auto"/>
        <w:bottom w:val="none" w:sz="0" w:space="0" w:color="auto"/>
        <w:right w:val="none" w:sz="0" w:space="0" w:color="auto"/>
      </w:divBdr>
    </w:div>
    <w:div w:id="1446776369">
      <w:bodyDiv w:val="1"/>
      <w:marLeft w:val="0"/>
      <w:marRight w:val="0"/>
      <w:marTop w:val="0"/>
      <w:marBottom w:val="0"/>
      <w:divBdr>
        <w:top w:val="none" w:sz="0" w:space="0" w:color="auto"/>
        <w:left w:val="none" w:sz="0" w:space="0" w:color="auto"/>
        <w:bottom w:val="none" w:sz="0" w:space="0" w:color="auto"/>
        <w:right w:val="none" w:sz="0" w:space="0" w:color="auto"/>
      </w:divBdr>
    </w:div>
    <w:div w:id="1475681531">
      <w:bodyDiv w:val="1"/>
      <w:marLeft w:val="0"/>
      <w:marRight w:val="0"/>
      <w:marTop w:val="0"/>
      <w:marBottom w:val="0"/>
      <w:divBdr>
        <w:top w:val="none" w:sz="0" w:space="0" w:color="auto"/>
        <w:left w:val="none" w:sz="0" w:space="0" w:color="auto"/>
        <w:bottom w:val="none" w:sz="0" w:space="0" w:color="auto"/>
        <w:right w:val="none" w:sz="0" w:space="0" w:color="auto"/>
      </w:divBdr>
    </w:div>
    <w:div w:id="1600604145">
      <w:bodyDiv w:val="1"/>
      <w:marLeft w:val="0"/>
      <w:marRight w:val="0"/>
      <w:marTop w:val="0"/>
      <w:marBottom w:val="0"/>
      <w:divBdr>
        <w:top w:val="none" w:sz="0" w:space="0" w:color="auto"/>
        <w:left w:val="none" w:sz="0" w:space="0" w:color="auto"/>
        <w:bottom w:val="none" w:sz="0" w:space="0" w:color="auto"/>
        <w:right w:val="none" w:sz="0" w:space="0" w:color="auto"/>
      </w:divBdr>
    </w:div>
    <w:div w:id="1614942900">
      <w:bodyDiv w:val="1"/>
      <w:marLeft w:val="0"/>
      <w:marRight w:val="0"/>
      <w:marTop w:val="0"/>
      <w:marBottom w:val="0"/>
      <w:divBdr>
        <w:top w:val="none" w:sz="0" w:space="0" w:color="auto"/>
        <w:left w:val="none" w:sz="0" w:space="0" w:color="auto"/>
        <w:bottom w:val="none" w:sz="0" w:space="0" w:color="auto"/>
        <w:right w:val="none" w:sz="0" w:space="0" w:color="auto"/>
      </w:divBdr>
    </w:div>
    <w:div w:id="1657688775">
      <w:bodyDiv w:val="1"/>
      <w:marLeft w:val="0"/>
      <w:marRight w:val="0"/>
      <w:marTop w:val="0"/>
      <w:marBottom w:val="0"/>
      <w:divBdr>
        <w:top w:val="none" w:sz="0" w:space="0" w:color="auto"/>
        <w:left w:val="none" w:sz="0" w:space="0" w:color="auto"/>
        <w:bottom w:val="none" w:sz="0" w:space="0" w:color="auto"/>
        <w:right w:val="none" w:sz="0" w:space="0" w:color="auto"/>
      </w:divBdr>
    </w:div>
    <w:div w:id="1672297616">
      <w:bodyDiv w:val="1"/>
      <w:marLeft w:val="0"/>
      <w:marRight w:val="0"/>
      <w:marTop w:val="0"/>
      <w:marBottom w:val="0"/>
      <w:divBdr>
        <w:top w:val="none" w:sz="0" w:space="0" w:color="auto"/>
        <w:left w:val="none" w:sz="0" w:space="0" w:color="auto"/>
        <w:bottom w:val="none" w:sz="0" w:space="0" w:color="auto"/>
        <w:right w:val="none" w:sz="0" w:space="0" w:color="auto"/>
      </w:divBdr>
    </w:div>
    <w:div w:id="1729259606">
      <w:bodyDiv w:val="1"/>
      <w:marLeft w:val="0"/>
      <w:marRight w:val="0"/>
      <w:marTop w:val="0"/>
      <w:marBottom w:val="0"/>
      <w:divBdr>
        <w:top w:val="none" w:sz="0" w:space="0" w:color="auto"/>
        <w:left w:val="none" w:sz="0" w:space="0" w:color="auto"/>
        <w:bottom w:val="none" w:sz="0" w:space="0" w:color="auto"/>
        <w:right w:val="none" w:sz="0" w:space="0" w:color="auto"/>
      </w:divBdr>
    </w:div>
    <w:div w:id="1745252755">
      <w:bodyDiv w:val="1"/>
      <w:marLeft w:val="0"/>
      <w:marRight w:val="0"/>
      <w:marTop w:val="0"/>
      <w:marBottom w:val="0"/>
      <w:divBdr>
        <w:top w:val="none" w:sz="0" w:space="0" w:color="auto"/>
        <w:left w:val="none" w:sz="0" w:space="0" w:color="auto"/>
        <w:bottom w:val="none" w:sz="0" w:space="0" w:color="auto"/>
        <w:right w:val="none" w:sz="0" w:space="0" w:color="auto"/>
      </w:divBdr>
    </w:div>
    <w:div w:id="1754202452">
      <w:bodyDiv w:val="1"/>
      <w:marLeft w:val="0"/>
      <w:marRight w:val="0"/>
      <w:marTop w:val="0"/>
      <w:marBottom w:val="0"/>
      <w:divBdr>
        <w:top w:val="none" w:sz="0" w:space="0" w:color="auto"/>
        <w:left w:val="none" w:sz="0" w:space="0" w:color="auto"/>
        <w:bottom w:val="none" w:sz="0" w:space="0" w:color="auto"/>
        <w:right w:val="none" w:sz="0" w:space="0" w:color="auto"/>
      </w:divBdr>
    </w:div>
    <w:div w:id="1766267686">
      <w:bodyDiv w:val="1"/>
      <w:marLeft w:val="0"/>
      <w:marRight w:val="0"/>
      <w:marTop w:val="0"/>
      <w:marBottom w:val="0"/>
      <w:divBdr>
        <w:top w:val="none" w:sz="0" w:space="0" w:color="auto"/>
        <w:left w:val="none" w:sz="0" w:space="0" w:color="auto"/>
        <w:bottom w:val="none" w:sz="0" w:space="0" w:color="auto"/>
        <w:right w:val="none" w:sz="0" w:space="0" w:color="auto"/>
      </w:divBdr>
    </w:div>
    <w:div w:id="1794322054">
      <w:bodyDiv w:val="1"/>
      <w:marLeft w:val="0"/>
      <w:marRight w:val="0"/>
      <w:marTop w:val="0"/>
      <w:marBottom w:val="0"/>
      <w:divBdr>
        <w:top w:val="none" w:sz="0" w:space="0" w:color="auto"/>
        <w:left w:val="none" w:sz="0" w:space="0" w:color="auto"/>
        <w:bottom w:val="none" w:sz="0" w:space="0" w:color="auto"/>
        <w:right w:val="none" w:sz="0" w:space="0" w:color="auto"/>
      </w:divBdr>
    </w:div>
    <w:div w:id="1811749852">
      <w:bodyDiv w:val="1"/>
      <w:marLeft w:val="0"/>
      <w:marRight w:val="0"/>
      <w:marTop w:val="0"/>
      <w:marBottom w:val="0"/>
      <w:divBdr>
        <w:top w:val="none" w:sz="0" w:space="0" w:color="auto"/>
        <w:left w:val="none" w:sz="0" w:space="0" w:color="auto"/>
        <w:bottom w:val="none" w:sz="0" w:space="0" w:color="auto"/>
        <w:right w:val="none" w:sz="0" w:space="0" w:color="auto"/>
      </w:divBdr>
    </w:div>
    <w:div w:id="1835996658">
      <w:bodyDiv w:val="1"/>
      <w:marLeft w:val="0"/>
      <w:marRight w:val="0"/>
      <w:marTop w:val="0"/>
      <w:marBottom w:val="0"/>
      <w:divBdr>
        <w:top w:val="none" w:sz="0" w:space="0" w:color="auto"/>
        <w:left w:val="none" w:sz="0" w:space="0" w:color="auto"/>
        <w:bottom w:val="none" w:sz="0" w:space="0" w:color="auto"/>
        <w:right w:val="none" w:sz="0" w:space="0" w:color="auto"/>
      </w:divBdr>
    </w:div>
    <w:div w:id="1844515330">
      <w:bodyDiv w:val="1"/>
      <w:marLeft w:val="0"/>
      <w:marRight w:val="0"/>
      <w:marTop w:val="0"/>
      <w:marBottom w:val="0"/>
      <w:divBdr>
        <w:top w:val="none" w:sz="0" w:space="0" w:color="auto"/>
        <w:left w:val="none" w:sz="0" w:space="0" w:color="auto"/>
        <w:bottom w:val="none" w:sz="0" w:space="0" w:color="auto"/>
        <w:right w:val="none" w:sz="0" w:space="0" w:color="auto"/>
      </w:divBdr>
      <w:divsChild>
        <w:div w:id="187987269">
          <w:marLeft w:val="1166"/>
          <w:marRight w:val="0"/>
          <w:marTop w:val="72"/>
          <w:marBottom w:val="0"/>
          <w:divBdr>
            <w:top w:val="none" w:sz="0" w:space="0" w:color="auto"/>
            <w:left w:val="none" w:sz="0" w:space="0" w:color="auto"/>
            <w:bottom w:val="none" w:sz="0" w:space="0" w:color="auto"/>
            <w:right w:val="none" w:sz="0" w:space="0" w:color="auto"/>
          </w:divBdr>
        </w:div>
        <w:div w:id="881409184">
          <w:marLeft w:val="547"/>
          <w:marRight w:val="0"/>
          <w:marTop w:val="86"/>
          <w:marBottom w:val="0"/>
          <w:divBdr>
            <w:top w:val="none" w:sz="0" w:space="0" w:color="auto"/>
            <w:left w:val="none" w:sz="0" w:space="0" w:color="auto"/>
            <w:bottom w:val="none" w:sz="0" w:space="0" w:color="auto"/>
            <w:right w:val="none" w:sz="0" w:space="0" w:color="auto"/>
          </w:divBdr>
        </w:div>
        <w:div w:id="1032150723">
          <w:marLeft w:val="547"/>
          <w:marRight w:val="0"/>
          <w:marTop w:val="86"/>
          <w:marBottom w:val="0"/>
          <w:divBdr>
            <w:top w:val="none" w:sz="0" w:space="0" w:color="auto"/>
            <w:left w:val="none" w:sz="0" w:space="0" w:color="auto"/>
            <w:bottom w:val="none" w:sz="0" w:space="0" w:color="auto"/>
            <w:right w:val="none" w:sz="0" w:space="0" w:color="auto"/>
          </w:divBdr>
        </w:div>
        <w:div w:id="1043679733">
          <w:marLeft w:val="1166"/>
          <w:marRight w:val="0"/>
          <w:marTop w:val="72"/>
          <w:marBottom w:val="0"/>
          <w:divBdr>
            <w:top w:val="none" w:sz="0" w:space="0" w:color="auto"/>
            <w:left w:val="none" w:sz="0" w:space="0" w:color="auto"/>
            <w:bottom w:val="none" w:sz="0" w:space="0" w:color="auto"/>
            <w:right w:val="none" w:sz="0" w:space="0" w:color="auto"/>
          </w:divBdr>
        </w:div>
        <w:div w:id="1110927864">
          <w:marLeft w:val="547"/>
          <w:marRight w:val="0"/>
          <w:marTop w:val="86"/>
          <w:marBottom w:val="0"/>
          <w:divBdr>
            <w:top w:val="none" w:sz="0" w:space="0" w:color="auto"/>
            <w:left w:val="none" w:sz="0" w:space="0" w:color="auto"/>
            <w:bottom w:val="none" w:sz="0" w:space="0" w:color="auto"/>
            <w:right w:val="none" w:sz="0" w:space="0" w:color="auto"/>
          </w:divBdr>
        </w:div>
        <w:div w:id="1637567051">
          <w:marLeft w:val="1166"/>
          <w:marRight w:val="0"/>
          <w:marTop w:val="72"/>
          <w:marBottom w:val="0"/>
          <w:divBdr>
            <w:top w:val="none" w:sz="0" w:space="0" w:color="auto"/>
            <w:left w:val="none" w:sz="0" w:space="0" w:color="auto"/>
            <w:bottom w:val="none" w:sz="0" w:space="0" w:color="auto"/>
            <w:right w:val="none" w:sz="0" w:space="0" w:color="auto"/>
          </w:divBdr>
        </w:div>
        <w:div w:id="1684043171">
          <w:marLeft w:val="547"/>
          <w:marRight w:val="0"/>
          <w:marTop w:val="86"/>
          <w:marBottom w:val="0"/>
          <w:divBdr>
            <w:top w:val="none" w:sz="0" w:space="0" w:color="auto"/>
            <w:left w:val="none" w:sz="0" w:space="0" w:color="auto"/>
            <w:bottom w:val="none" w:sz="0" w:space="0" w:color="auto"/>
            <w:right w:val="none" w:sz="0" w:space="0" w:color="auto"/>
          </w:divBdr>
        </w:div>
        <w:div w:id="1755974891">
          <w:marLeft w:val="1166"/>
          <w:marRight w:val="0"/>
          <w:marTop w:val="72"/>
          <w:marBottom w:val="0"/>
          <w:divBdr>
            <w:top w:val="none" w:sz="0" w:space="0" w:color="auto"/>
            <w:left w:val="none" w:sz="0" w:space="0" w:color="auto"/>
            <w:bottom w:val="none" w:sz="0" w:space="0" w:color="auto"/>
            <w:right w:val="none" w:sz="0" w:space="0" w:color="auto"/>
          </w:divBdr>
        </w:div>
        <w:div w:id="2133358070">
          <w:marLeft w:val="1166"/>
          <w:marRight w:val="0"/>
          <w:marTop w:val="72"/>
          <w:marBottom w:val="0"/>
          <w:divBdr>
            <w:top w:val="none" w:sz="0" w:space="0" w:color="auto"/>
            <w:left w:val="none" w:sz="0" w:space="0" w:color="auto"/>
            <w:bottom w:val="none" w:sz="0" w:space="0" w:color="auto"/>
            <w:right w:val="none" w:sz="0" w:space="0" w:color="auto"/>
          </w:divBdr>
        </w:div>
      </w:divsChild>
    </w:div>
    <w:div w:id="1949390622">
      <w:bodyDiv w:val="1"/>
      <w:marLeft w:val="0"/>
      <w:marRight w:val="0"/>
      <w:marTop w:val="0"/>
      <w:marBottom w:val="0"/>
      <w:divBdr>
        <w:top w:val="none" w:sz="0" w:space="0" w:color="auto"/>
        <w:left w:val="none" w:sz="0" w:space="0" w:color="auto"/>
        <w:bottom w:val="none" w:sz="0" w:space="0" w:color="auto"/>
        <w:right w:val="none" w:sz="0" w:space="0" w:color="auto"/>
      </w:divBdr>
    </w:div>
    <w:div w:id="1978339486">
      <w:bodyDiv w:val="1"/>
      <w:marLeft w:val="0"/>
      <w:marRight w:val="0"/>
      <w:marTop w:val="0"/>
      <w:marBottom w:val="0"/>
      <w:divBdr>
        <w:top w:val="none" w:sz="0" w:space="0" w:color="auto"/>
        <w:left w:val="none" w:sz="0" w:space="0" w:color="auto"/>
        <w:bottom w:val="none" w:sz="0" w:space="0" w:color="auto"/>
        <w:right w:val="none" w:sz="0" w:space="0" w:color="auto"/>
      </w:divBdr>
    </w:div>
    <w:div w:id="1982342003">
      <w:bodyDiv w:val="1"/>
      <w:marLeft w:val="0"/>
      <w:marRight w:val="0"/>
      <w:marTop w:val="0"/>
      <w:marBottom w:val="0"/>
      <w:divBdr>
        <w:top w:val="none" w:sz="0" w:space="0" w:color="auto"/>
        <w:left w:val="none" w:sz="0" w:space="0" w:color="auto"/>
        <w:bottom w:val="none" w:sz="0" w:space="0" w:color="auto"/>
        <w:right w:val="none" w:sz="0" w:space="0" w:color="auto"/>
      </w:divBdr>
    </w:div>
    <w:div w:id="1997224569">
      <w:bodyDiv w:val="1"/>
      <w:marLeft w:val="0"/>
      <w:marRight w:val="0"/>
      <w:marTop w:val="0"/>
      <w:marBottom w:val="0"/>
      <w:divBdr>
        <w:top w:val="none" w:sz="0" w:space="0" w:color="auto"/>
        <w:left w:val="none" w:sz="0" w:space="0" w:color="auto"/>
        <w:bottom w:val="none" w:sz="0" w:space="0" w:color="auto"/>
        <w:right w:val="none" w:sz="0" w:space="0" w:color="auto"/>
      </w:divBdr>
    </w:div>
    <w:div w:id="1997416061">
      <w:bodyDiv w:val="1"/>
      <w:marLeft w:val="0"/>
      <w:marRight w:val="0"/>
      <w:marTop w:val="0"/>
      <w:marBottom w:val="0"/>
      <w:divBdr>
        <w:top w:val="none" w:sz="0" w:space="0" w:color="auto"/>
        <w:left w:val="none" w:sz="0" w:space="0" w:color="auto"/>
        <w:bottom w:val="none" w:sz="0" w:space="0" w:color="auto"/>
        <w:right w:val="none" w:sz="0" w:space="0" w:color="auto"/>
      </w:divBdr>
    </w:div>
    <w:div w:id="2024089793">
      <w:bodyDiv w:val="1"/>
      <w:marLeft w:val="0"/>
      <w:marRight w:val="0"/>
      <w:marTop w:val="0"/>
      <w:marBottom w:val="0"/>
      <w:divBdr>
        <w:top w:val="none" w:sz="0" w:space="0" w:color="auto"/>
        <w:left w:val="none" w:sz="0" w:space="0" w:color="auto"/>
        <w:bottom w:val="none" w:sz="0" w:space="0" w:color="auto"/>
        <w:right w:val="none" w:sz="0" w:space="0" w:color="auto"/>
      </w:divBdr>
      <w:divsChild>
        <w:div w:id="211968170">
          <w:marLeft w:val="0"/>
          <w:marRight w:val="0"/>
          <w:marTop w:val="0"/>
          <w:marBottom w:val="0"/>
          <w:divBdr>
            <w:top w:val="none" w:sz="0" w:space="0" w:color="auto"/>
            <w:left w:val="none" w:sz="0" w:space="0" w:color="auto"/>
            <w:bottom w:val="none" w:sz="0" w:space="0" w:color="auto"/>
            <w:right w:val="none" w:sz="0" w:space="0" w:color="auto"/>
          </w:divBdr>
          <w:divsChild>
            <w:div w:id="92241379">
              <w:marLeft w:val="0"/>
              <w:marRight w:val="0"/>
              <w:marTop w:val="0"/>
              <w:marBottom w:val="0"/>
              <w:divBdr>
                <w:top w:val="none" w:sz="0" w:space="0" w:color="auto"/>
                <w:left w:val="none" w:sz="0" w:space="0" w:color="auto"/>
                <w:bottom w:val="none" w:sz="0" w:space="0" w:color="auto"/>
                <w:right w:val="none" w:sz="0" w:space="0" w:color="auto"/>
              </w:divBdr>
              <w:divsChild>
                <w:div w:id="1988239672">
                  <w:marLeft w:val="0"/>
                  <w:marRight w:val="0"/>
                  <w:marTop w:val="0"/>
                  <w:marBottom w:val="0"/>
                  <w:divBdr>
                    <w:top w:val="none" w:sz="0" w:space="0" w:color="auto"/>
                    <w:left w:val="none" w:sz="0" w:space="0" w:color="auto"/>
                    <w:bottom w:val="none" w:sz="0" w:space="0" w:color="auto"/>
                    <w:right w:val="none" w:sz="0" w:space="0" w:color="auto"/>
                  </w:divBdr>
                </w:div>
              </w:divsChild>
            </w:div>
            <w:div w:id="2436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9554">
      <w:bodyDiv w:val="1"/>
      <w:marLeft w:val="0"/>
      <w:marRight w:val="0"/>
      <w:marTop w:val="0"/>
      <w:marBottom w:val="0"/>
      <w:divBdr>
        <w:top w:val="none" w:sz="0" w:space="0" w:color="auto"/>
        <w:left w:val="none" w:sz="0" w:space="0" w:color="auto"/>
        <w:bottom w:val="none" w:sz="0" w:space="0" w:color="auto"/>
        <w:right w:val="none" w:sz="0" w:space="0" w:color="auto"/>
      </w:divBdr>
    </w:div>
    <w:div w:id="2042633424">
      <w:bodyDiv w:val="1"/>
      <w:marLeft w:val="0"/>
      <w:marRight w:val="0"/>
      <w:marTop w:val="0"/>
      <w:marBottom w:val="0"/>
      <w:divBdr>
        <w:top w:val="none" w:sz="0" w:space="0" w:color="auto"/>
        <w:left w:val="none" w:sz="0" w:space="0" w:color="auto"/>
        <w:bottom w:val="none" w:sz="0" w:space="0" w:color="auto"/>
        <w:right w:val="none" w:sz="0" w:space="0" w:color="auto"/>
      </w:divBdr>
    </w:div>
    <w:div w:id="2053536365">
      <w:bodyDiv w:val="1"/>
      <w:marLeft w:val="0"/>
      <w:marRight w:val="0"/>
      <w:marTop w:val="0"/>
      <w:marBottom w:val="0"/>
      <w:divBdr>
        <w:top w:val="none" w:sz="0" w:space="0" w:color="auto"/>
        <w:left w:val="none" w:sz="0" w:space="0" w:color="auto"/>
        <w:bottom w:val="none" w:sz="0" w:space="0" w:color="auto"/>
        <w:right w:val="none" w:sz="0" w:space="0" w:color="auto"/>
      </w:divBdr>
    </w:div>
    <w:div w:id="2103841097">
      <w:bodyDiv w:val="1"/>
      <w:marLeft w:val="0"/>
      <w:marRight w:val="0"/>
      <w:marTop w:val="0"/>
      <w:marBottom w:val="0"/>
      <w:divBdr>
        <w:top w:val="none" w:sz="0" w:space="0" w:color="auto"/>
        <w:left w:val="none" w:sz="0" w:space="0" w:color="auto"/>
        <w:bottom w:val="none" w:sz="0" w:space="0" w:color="auto"/>
        <w:right w:val="none" w:sz="0" w:space="0" w:color="auto"/>
      </w:divBdr>
    </w:div>
    <w:div w:id="2120294421">
      <w:bodyDiv w:val="1"/>
      <w:marLeft w:val="0"/>
      <w:marRight w:val="0"/>
      <w:marTop w:val="0"/>
      <w:marBottom w:val="0"/>
      <w:divBdr>
        <w:top w:val="none" w:sz="0" w:space="0" w:color="auto"/>
        <w:left w:val="none" w:sz="0" w:space="0" w:color="auto"/>
        <w:bottom w:val="none" w:sz="0" w:space="0" w:color="auto"/>
        <w:right w:val="none" w:sz="0" w:space="0" w:color="auto"/>
      </w:divBdr>
    </w:div>
    <w:div w:id="21442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im.com/" TargetMode="External"/><Relationship Id="rId117" Type="http://schemas.openxmlformats.org/officeDocument/2006/relationships/hyperlink" Target="http://europa.eu/legislation_summaries/environment/waste_management/l21207_en.htm" TargetMode="External"/><Relationship Id="rId21" Type="http://schemas.openxmlformats.org/officeDocument/2006/relationships/hyperlink" Target="http://www.indaver.com/" TargetMode="External"/><Relationship Id="rId42" Type="http://schemas.openxmlformats.org/officeDocument/2006/relationships/hyperlink" Target="http://www.groupe-seche.com" TargetMode="External"/><Relationship Id="rId47" Type="http://schemas.openxmlformats.org/officeDocument/2006/relationships/image" Target="media/image2.emf"/><Relationship Id="rId63" Type="http://schemas.openxmlformats.org/officeDocument/2006/relationships/hyperlink" Target="http://www.psiru.org/sites/default/files/2010-02-G-trends.doc" TargetMode="External"/><Relationship Id="rId68" Type="http://schemas.openxmlformats.org/officeDocument/2006/relationships/hyperlink" Target="http://www.walqing.eu/fileadmin/download/external_website/publications/WALQING_socialpartnershipseries_2011.19_Waste_BUL.pdf" TargetMode="External"/><Relationship Id="rId84" Type="http://schemas.openxmlformats.org/officeDocument/2006/relationships/hyperlink" Target="http://www.wastegovernance.org/index_eng.html" TargetMode="External"/><Relationship Id="rId89" Type="http://schemas.openxmlformats.org/officeDocument/2006/relationships/hyperlink" Target="http://www2.ademe.fr/servlet/getDoc?cid=96&amp;m=3&amp;id=80873&amp;p2=14227&amp;ref=14227" TargetMode="External"/><Relationship Id="rId112" Type="http://schemas.openxmlformats.org/officeDocument/2006/relationships/hyperlink" Target="http://europa.eu/legislation_summaries/environment/waste_management/l11022_en.htm" TargetMode="External"/><Relationship Id="rId133" Type="http://schemas.openxmlformats.org/officeDocument/2006/relationships/hyperlink" Target="http://europa.eu/legislation_summaries/environment/waste_management/l21205_en.htm" TargetMode="External"/><Relationship Id="rId138" Type="http://schemas.openxmlformats.org/officeDocument/2006/relationships/hyperlink" Target="http://eur-lex.europa.eu/LexUriServ/LexUriServ.do?uri=CELEX:32008L0098:EN:NOT" TargetMode="External"/><Relationship Id="rId16" Type="http://schemas.openxmlformats.org/officeDocument/2006/relationships/hyperlink" Target="http://www.psiru.org/sites/default/files/2007-06-G-EWCs.doc" TargetMode="External"/><Relationship Id="rId107" Type="http://schemas.openxmlformats.org/officeDocument/2006/relationships/hyperlink" Target="http://europa.eu/legislation_summaries/environment/waste_management/index_en.htm" TargetMode="External"/><Relationship Id="rId11" Type="http://schemas.openxmlformats.org/officeDocument/2006/relationships/image" Target="media/image1.png"/><Relationship Id="rId32" Type="http://schemas.openxmlformats.org/officeDocument/2006/relationships/hyperlink" Target="http://www.vangansewinkelgroep.com" TargetMode="External"/><Relationship Id="rId37" Type="http://schemas.openxmlformats.org/officeDocument/2006/relationships/hyperlink" Target="http://www.fcc.es" TargetMode="External"/><Relationship Id="rId53" Type="http://schemas.openxmlformats.org/officeDocument/2006/relationships/hyperlink" Target="file:///\\193.60.77.220\psiru\Working\Projects\Waste%20management\www.fcc.es\fccweb\wcm\idc\groups\public\documents\document\mdaw\mdi3\~edisp\cscp039605.pdf" TargetMode="External"/><Relationship Id="rId58" Type="http://schemas.openxmlformats.org/officeDocument/2006/relationships/hyperlink" Target="http://www.bis.gov.uk/assets/biscore/business-sectors/docs/f/11-1088-from-waste-management-to-resource-recovery" TargetMode="External"/><Relationship Id="rId74" Type="http://schemas.openxmlformats.org/officeDocument/2006/relationships/hyperlink" Target="http://epp.eurostat.ec.europa.eu/cache/ITY_OFFPUB/KS-SF-11-031/EN/KS-SF-11-031-EN.PDF" TargetMode="External"/><Relationship Id="rId79" Type="http://schemas.openxmlformats.org/officeDocument/2006/relationships/image" Target="media/image5.png"/><Relationship Id="rId102" Type="http://schemas.openxmlformats.org/officeDocument/2006/relationships/hyperlink" Target="http://www.ciriec.ulg.ac.be/fr/telechargements/WORKING_PAPERS/WP09-10.pdf" TargetMode="External"/><Relationship Id="rId123" Type="http://schemas.openxmlformats.org/officeDocument/2006/relationships/hyperlink" Target="http://europa.eu/legislation_summaries/environment/waste_management/ev0031_en.htm" TargetMode="External"/><Relationship Id="rId128" Type="http://schemas.openxmlformats.org/officeDocument/2006/relationships/hyperlink" Target="http://europa.eu/legislation_summaries/environment/waste_management/l28053_en.htm" TargetMode="External"/><Relationship Id="rId144" Type="http://schemas.openxmlformats.org/officeDocument/2006/relationships/footer" Target="footer3.xml"/><Relationship Id="rId5" Type="http://schemas.openxmlformats.org/officeDocument/2006/relationships/settings" Target="settings.xml"/><Relationship Id="rId90" Type="http://schemas.openxmlformats.org/officeDocument/2006/relationships/hyperlink" Target="http://www2.ademe.fr/servlet/getDoc?cid=96&amp;m=3&amp;id=80873&amp;p2=14227&amp;ref=14227" TargetMode="External"/><Relationship Id="rId95" Type="http://schemas.openxmlformats.org/officeDocument/2006/relationships/hyperlink" Target="http://www.ciriec.ulg.ac.be/fr/telechargements/WORKING_PAPERS/WP09-02.pdf" TargetMode="External"/><Relationship Id="rId22" Type="http://schemas.openxmlformats.org/officeDocument/2006/relationships/hyperlink" Target="http://www.urbaser.com/" TargetMode="External"/><Relationship Id="rId27" Type="http://schemas.openxmlformats.org/officeDocument/2006/relationships/hyperlink" Target="http://www.lassila-tikanoja.com/" TargetMode="External"/><Relationship Id="rId43" Type="http://schemas.openxmlformats.org/officeDocument/2006/relationships/hyperlink" Target="http://www.shanks.co.uk" TargetMode="External"/><Relationship Id="rId48" Type="http://schemas.openxmlformats.org/officeDocument/2006/relationships/hyperlink" Target="http://www.finance.veolia.com/docs/VE-20-F-2011-EN.pdf" TargetMode="External"/><Relationship Id="rId64" Type="http://schemas.openxmlformats.org/officeDocument/2006/relationships/hyperlink" Target="http://kommunalwiki.boell.de/index.php/In-_und_Outsourcing_in_der_kommunalen_Abfallwirtschaft" TargetMode="External"/><Relationship Id="rId69" Type="http://schemas.openxmlformats.org/officeDocument/2006/relationships/hyperlink" Target="http://www2.ademe.fr/servlet/getDoc?cid=96&amp;m=3&amp;id=80873&amp;p2=14227&amp;ref=14227" TargetMode="External"/><Relationship Id="rId113" Type="http://schemas.openxmlformats.org/officeDocument/2006/relationships/hyperlink" Target="http://europa.eu/legislation_summaries/environment/waste_management/l28168_en.htm" TargetMode="External"/><Relationship Id="rId118" Type="http://schemas.openxmlformats.org/officeDocument/2006/relationships/hyperlink" Target="http://europa.eu/legislation_summaries/environment/waste_management/l21201_en.htm" TargetMode="External"/><Relationship Id="rId134" Type="http://schemas.openxmlformats.org/officeDocument/2006/relationships/hyperlink" Target="http://europa.eu/legislation_summaries/environment/waste_management/l11020_en.htm" TargetMode="External"/><Relationship Id="rId139" Type="http://schemas.openxmlformats.org/officeDocument/2006/relationships/image" Target="media/image6.emf"/><Relationship Id="rId80" Type="http://schemas.openxmlformats.org/officeDocument/2006/relationships/hyperlink" Target="http://ec.europa.eu/environment/waste/index.htm" TargetMode="External"/><Relationship Id="rId85" Type="http://schemas.openxmlformats.org/officeDocument/2006/relationships/hyperlink" Target="http://www.wastegovernance.org/Documents/TR_3_301111_.pdf" TargetMode="External"/><Relationship Id="rId3" Type="http://schemas.openxmlformats.org/officeDocument/2006/relationships/styles" Target="styles.xml"/><Relationship Id="rId12" Type="http://schemas.openxmlformats.org/officeDocument/2006/relationships/hyperlink" Target="http://www.epsu.org" TargetMode="External"/><Relationship Id="rId17" Type="http://schemas.openxmlformats.org/officeDocument/2006/relationships/hyperlink" Target="http://www.veolia-environmentalservices.com/" TargetMode="External"/><Relationship Id="rId25" Type="http://schemas.openxmlformats.org/officeDocument/2006/relationships/hyperlink" Target="http://www.biffa.co.uk/" TargetMode="External"/><Relationship Id="rId33" Type="http://schemas.openxmlformats.org/officeDocument/2006/relationships/hyperlink" Target="http://www.jakob-becker.de/" TargetMode="External"/><Relationship Id="rId38" Type="http://schemas.openxmlformats.org/officeDocument/2006/relationships/hyperlink" Target="http://www.lassila-tikanoja.com/" TargetMode="External"/><Relationship Id="rId46" Type="http://schemas.openxmlformats.org/officeDocument/2006/relationships/hyperlink" Target="http://www.veoliaenvironnement.com/" TargetMode="External"/><Relationship Id="rId59" Type="http://schemas.openxmlformats.org/officeDocument/2006/relationships/chart" Target="charts/chart2.xml"/><Relationship Id="rId67" Type="http://schemas.openxmlformats.org/officeDocument/2006/relationships/hyperlink" Target="http://www.ciriec.ulg.ac.be/fr/telechargements/WORKING_PAPERS/WP10-03.pdf" TargetMode="External"/><Relationship Id="rId103" Type="http://schemas.openxmlformats.org/officeDocument/2006/relationships/header" Target="header1.xml"/><Relationship Id="rId108" Type="http://schemas.openxmlformats.org/officeDocument/2006/relationships/hyperlink" Target="http://europa.eu/legislation_summaries/environment/waste_management/ev0010_en.htm" TargetMode="External"/><Relationship Id="rId116" Type="http://schemas.openxmlformats.org/officeDocument/2006/relationships/hyperlink" Target="http://europa.eu/legislation_summaries/environment/waste_management/l21199_en.htm" TargetMode="External"/><Relationship Id="rId124" Type="http://schemas.openxmlformats.org/officeDocument/2006/relationships/hyperlink" Target="http://europa.eu/legislation_summaries/environment/waste_management/ev0027_en.htm" TargetMode="External"/><Relationship Id="rId129" Type="http://schemas.openxmlformats.org/officeDocument/2006/relationships/hyperlink" Target="http://europa.eu/legislation_summaries/environment/waste_management/l28088_en.htm" TargetMode="External"/><Relationship Id="rId137" Type="http://schemas.openxmlformats.org/officeDocument/2006/relationships/hyperlink" Target="http://europa.eu/legislation_summaries/environment/waste_management/en0027_en.htm" TargetMode="External"/><Relationship Id="rId20" Type="http://schemas.openxmlformats.org/officeDocument/2006/relationships/hyperlink" Target="http://www.alba.info/" TargetMode="External"/><Relationship Id="rId41" Type="http://schemas.openxmlformats.org/officeDocument/2006/relationships/hyperlink" Target="http://www.saubermacher.at" TargetMode="External"/><Relationship Id="rId54" Type="http://schemas.openxmlformats.org/officeDocument/2006/relationships/hyperlink" Target="http://epp.eurostat.ec.europa.eu/portal/page/portal/employment_unemployment_lfs/data/database" TargetMode="External"/><Relationship Id="rId62" Type="http://schemas.openxmlformats.org/officeDocument/2006/relationships/hyperlink" Target="http://www.bis.gov.uk/assets/biscore/business-sectors/docs/f/11-1088-from-waste-management-to-resource-recovery" TargetMode="External"/><Relationship Id="rId70" Type="http://schemas.openxmlformats.org/officeDocument/2006/relationships/hyperlink" Target="http://www.epsu.org/IMG/pdf/Redraft_DH_remunicipalization_2_.pdf" TargetMode="External"/><Relationship Id="rId75" Type="http://schemas.openxmlformats.org/officeDocument/2006/relationships/hyperlink" Target="http://europa.eu/rapid/pressReleasesAction.do?reference=STAT/12/48&amp;format=HTML&amp;aged=1&amp;language=EN&amp;guiLanguage=en" TargetMode="External"/><Relationship Id="rId83" Type="http://schemas.openxmlformats.org/officeDocument/2006/relationships/hyperlink" Target="http://epp.eurostat.ec.europa.eu/cache/ITY_OFFPUB/KS-SF-11-031/EN/KS-SF-11-031-EN.PDF" TargetMode="External"/><Relationship Id="rId88" Type="http://schemas.openxmlformats.org/officeDocument/2006/relationships/hyperlink" Target="http://kommunalwiki.boell.de/index.php/In-_und_Outsourcing_in_der_kommunalen_Abfallwirtschaft" TargetMode="External"/><Relationship Id="rId91" Type="http://schemas.openxmlformats.org/officeDocument/2006/relationships/hyperlink" Target="http://www2.ademe.fr/servlet/getDoc?cid=96&amp;m=3&amp;id=83366&amp;p2=14227&amp;ref=14227" TargetMode="External"/><Relationship Id="rId96" Type="http://schemas.openxmlformats.org/officeDocument/2006/relationships/hyperlink" Target="http://www.walqing.eu/fileadmin/download/external_website/publications/WALQING_socialpartnershipseries_2011.19_Waste_BUL.pdf" TargetMode="External"/><Relationship Id="rId111" Type="http://schemas.openxmlformats.org/officeDocument/2006/relationships/hyperlink" Target="http://europa.eu/legislation_summaries/environment/waste_management/l28072_en.htm" TargetMode="External"/><Relationship Id="rId132" Type="http://schemas.openxmlformats.org/officeDocument/2006/relationships/hyperlink" Target="http://europa.eu/legislation_summaries/environment/waste_management/l21204_en.htm" TargetMode="External"/><Relationship Id="rId140" Type="http://schemas.openxmlformats.org/officeDocument/2006/relationships/image" Target="media/image7.emf"/><Relationship Id="rId14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siru.org/sites/default/files/2010-02-G-trends.doc" TargetMode="External"/><Relationship Id="rId23" Type="http://schemas.openxmlformats.org/officeDocument/2006/relationships/hyperlink" Target="http://www.vangansewinkelgroep.com/" TargetMode="External"/><Relationship Id="rId28" Type="http://schemas.openxmlformats.org/officeDocument/2006/relationships/hyperlink" Target="http://www.ragnsells.com/" TargetMode="External"/><Relationship Id="rId36" Type="http://schemas.openxmlformats.org/officeDocument/2006/relationships/hyperlink" Target="http://www.delta.nl" TargetMode="External"/><Relationship Id="rId49" Type="http://schemas.openxmlformats.org/officeDocument/2006/relationships/hyperlink" Target="http://www.finance.veolia.com/docs/VE-20-F-2011-EN.pdf" TargetMode="External"/><Relationship Id="rId57" Type="http://schemas.openxmlformats.org/officeDocument/2006/relationships/hyperlink" Target="http://www2.ademe.fr/servlet/getDoc?cid=96&amp;m=3&amp;id=80873&amp;p2=14227&amp;ref=14227" TargetMode="External"/><Relationship Id="rId106" Type="http://schemas.openxmlformats.org/officeDocument/2006/relationships/footer" Target="footer2.xml"/><Relationship Id="rId114" Type="http://schemas.openxmlformats.org/officeDocument/2006/relationships/hyperlink" Target="http://europa.eu/legislation_summaries/environment/waste_management/ev0009_en.htm" TargetMode="External"/><Relationship Id="rId119" Type="http://schemas.openxmlformats.org/officeDocument/2006/relationships/hyperlink" Target="http://europa.eu/legislation_summaries/environment/waste_management/l21202_en.htm" TargetMode="External"/><Relationship Id="rId127" Type="http://schemas.openxmlformats.org/officeDocument/2006/relationships/hyperlink" Target="http://europa.eu/legislation_summaries/environment/waste_management/ev0011_en.htm" TargetMode="External"/><Relationship Id="rId10" Type="http://schemas.openxmlformats.org/officeDocument/2006/relationships/hyperlink" Target="http://www.epsu.org/" TargetMode="External"/><Relationship Id="rId31" Type="http://schemas.openxmlformats.org/officeDocument/2006/relationships/hyperlink" Target="http://www.alba-online.de" TargetMode="External"/><Relationship Id="rId44" Type="http://schemas.openxmlformats.org/officeDocument/2006/relationships/hyperlink" Target="http://www.suez-environnement.com" TargetMode="External"/><Relationship Id="rId52" Type="http://schemas.openxmlformats.org/officeDocument/2006/relationships/hyperlink" Target="http://www.suez-environnement.com/wp-content/uploads/2012/04/DDR-SEC-2011-Version-anglaise-d%C3%A9finitive.pdf" TargetMode="External"/><Relationship Id="rId60" Type="http://schemas.openxmlformats.org/officeDocument/2006/relationships/hyperlink" Target="http://www2.ademe.fr/servlet/getDoc?cid=96&amp;m=3&amp;id=80873&amp;p2=14227&amp;ref=14227" TargetMode="External"/><Relationship Id="rId65" Type="http://schemas.openxmlformats.org/officeDocument/2006/relationships/hyperlink" Target="http://www.bis.gov.uk/assets/biscore/business-sectors/docs/f/11-1088-from-waste-management-to-resource-recovery" TargetMode="External"/><Relationship Id="rId73" Type="http://schemas.openxmlformats.org/officeDocument/2006/relationships/image" Target="media/image3.emf"/><Relationship Id="rId78" Type="http://schemas.openxmlformats.org/officeDocument/2006/relationships/hyperlink" Target="http://www.epsu.org/a/8193" TargetMode="External"/><Relationship Id="rId81" Type="http://schemas.openxmlformats.org/officeDocument/2006/relationships/hyperlink" Target="http://europa.eu/legislation_summaries/environment/waste_management/index_en.htm" TargetMode="External"/><Relationship Id="rId86" Type="http://schemas.openxmlformats.org/officeDocument/2006/relationships/hyperlink" Target="http://www.ciriec.ulg.ac.be/fr/telechargements/WORKING_PAPERS/WP11-07.pdf" TargetMode="External"/><Relationship Id="rId94" Type="http://schemas.openxmlformats.org/officeDocument/2006/relationships/hyperlink" Target="http://www.ciriec.ulg.ac.be/fr/telechargements/WORKING_PAPERS/WP10-10.pdf" TargetMode="External"/><Relationship Id="rId99" Type="http://schemas.openxmlformats.org/officeDocument/2006/relationships/hyperlink" Target="http://www.bis.gov.uk/assets/biscore/business-sectors/docs/f/11-1088-from-waste-management-to-resource-recovery" TargetMode="External"/><Relationship Id="rId101" Type="http://schemas.openxmlformats.org/officeDocument/2006/relationships/hyperlink" Target="http://www.ciriec.ulg.ac.be/fr/telechargements/WORKING_PAPERS/WP10-09.pdf" TargetMode="External"/><Relationship Id="rId122" Type="http://schemas.openxmlformats.org/officeDocument/2006/relationships/hyperlink" Target="http://europa.eu/legislation_summaries/environment/waste_management/l21210_en.htm" TargetMode="External"/><Relationship Id="rId130" Type="http://schemas.openxmlformats.org/officeDocument/2006/relationships/hyperlink" Target="http://europa.eu/legislation_summaries/environment/waste_management/l24199_en.htm" TargetMode="External"/><Relationship Id="rId135" Type="http://schemas.openxmlformats.org/officeDocument/2006/relationships/hyperlink" Target="http://europa.eu/legislation_summaries/environment/waste_management/l28099_en.htm" TargetMode="External"/><Relationship Id="rId143" Type="http://schemas.openxmlformats.org/officeDocument/2006/relationships/header" Target="header3.xm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j.hall@gre.ac.uk" TargetMode="External"/><Relationship Id="rId13" Type="http://schemas.openxmlformats.org/officeDocument/2006/relationships/hyperlink" Target="http://www.epsu.org" TargetMode="External"/><Relationship Id="rId18" Type="http://schemas.openxmlformats.org/officeDocument/2006/relationships/hyperlink" Target="http://www.suez-environnement.com/" TargetMode="External"/><Relationship Id="rId39" Type="http://schemas.openxmlformats.org/officeDocument/2006/relationships/hyperlink" Target="http://www.ragnsells.se" TargetMode="External"/><Relationship Id="rId109" Type="http://schemas.openxmlformats.org/officeDocument/2006/relationships/hyperlink" Target="http://europa.eu/legislation_summaries/environment/waste_management/l28082_en.htm" TargetMode="External"/><Relationship Id="rId34" Type="http://schemas.openxmlformats.org/officeDocument/2006/relationships/hyperlink" Target="http://www.cespa.es" TargetMode="External"/><Relationship Id="rId50" Type="http://schemas.openxmlformats.org/officeDocument/2006/relationships/hyperlink" Target="http://www.suez-environnement.com" TargetMode="External"/><Relationship Id="rId55" Type="http://schemas.openxmlformats.org/officeDocument/2006/relationships/chart" Target="charts/chart1.xml"/><Relationship Id="rId76" Type="http://schemas.openxmlformats.org/officeDocument/2006/relationships/image" Target="media/image4.emf"/><Relationship Id="rId97" Type="http://schemas.openxmlformats.org/officeDocument/2006/relationships/hyperlink" Target="http://www.ciriec.ulg.ac.be/fr/telechargements/WORKING_PAPERS/WP10-03.pdf" TargetMode="External"/><Relationship Id="rId104" Type="http://schemas.openxmlformats.org/officeDocument/2006/relationships/footer" Target="footer1.xml"/><Relationship Id="rId120" Type="http://schemas.openxmlformats.org/officeDocument/2006/relationships/hyperlink" Target="http://europa.eu/legislation_summaries/environment/waste_management/l21225_en.htm" TargetMode="External"/><Relationship Id="rId125" Type="http://schemas.openxmlformats.org/officeDocument/2006/relationships/hyperlink" Target="http://europa.eu/legislation_summaries/environment/waste_management/l28045_en.htm" TargetMode="External"/><Relationship Id="rId141" Type="http://schemas.openxmlformats.org/officeDocument/2006/relationships/hyperlink" Target="http://www.ceep.eu/images/stories/pdf/events/16072009/thomas-probst.pdf" TargetMode="External"/><Relationship Id="rId146" Type="http://schemas.openxmlformats.org/officeDocument/2006/relationships/footer" Target="footer4.xml"/><Relationship Id="rId7" Type="http://schemas.openxmlformats.org/officeDocument/2006/relationships/footnotes" Target="footnotes.xml"/><Relationship Id="rId71" Type="http://schemas.openxmlformats.org/officeDocument/2006/relationships/hyperlink" Target="http://www.bis.gov.uk/assets/biscore/business-sectors/docs/f/11-1088-from-waste-management-to-resource-recovery" TargetMode="External"/><Relationship Id="rId92" Type="http://schemas.openxmlformats.org/officeDocument/2006/relationships/hyperlink" Target="http://www.ccomptes.fr/fr/CC/documents/Communiques/Communique_presse_rapport_public_thematique_collectivites_locales_et_dechets_menagers.pdf" TargetMode="External"/><Relationship Id="rId2" Type="http://schemas.openxmlformats.org/officeDocument/2006/relationships/numbering" Target="numbering.xml"/><Relationship Id="rId29" Type="http://schemas.openxmlformats.org/officeDocument/2006/relationships/hyperlink" Target="http://www.groupe-seche.com/" TargetMode="External"/><Relationship Id="rId24" Type="http://schemas.openxmlformats.org/officeDocument/2006/relationships/hyperlink" Target="http://www.cespa.es/" TargetMode="External"/><Relationship Id="rId40" Type="http://schemas.openxmlformats.org/officeDocument/2006/relationships/hyperlink" Target="http://www.remondis.com" TargetMode="External"/><Relationship Id="rId45" Type="http://schemas.openxmlformats.org/officeDocument/2006/relationships/hyperlink" Target="http://www.urbaser.es" TargetMode="External"/><Relationship Id="rId66" Type="http://schemas.openxmlformats.org/officeDocument/2006/relationships/hyperlink" Target="http://www2.ademe.fr/servlet/getDoc?cid=96&amp;m=3&amp;id=80873&amp;p2=14227&amp;ref=14227" TargetMode="External"/><Relationship Id="rId87" Type="http://schemas.openxmlformats.org/officeDocument/2006/relationships/hyperlink" Target="http://ec.europa.eu/social/BlobServlet?docId=3761&amp;langId=en" TargetMode="External"/><Relationship Id="rId110" Type="http://schemas.openxmlformats.org/officeDocument/2006/relationships/hyperlink" Target="http://europa.eu/legislation_summaries/environment/waste_management/l21208_en.htm" TargetMode="External"/><Relationship Id="rId115" Type="http://schemas.openxmlformats.org/officeDocument/2006/relationships/hyperlink" Target="http://europa.eu/legislation_summaries/environment/waste_management/l28043_en.htm" TargetMode="External"/><Relationship Id="rId131" Type="http://schemas.openxmlformats.org/officeDocument/2006/relationships/hyperlink" Target="http://europa.eu/legislation_summaries/environment/waste_management/l21203_en.htm" TargetMode="External"/><Relationship Id="rId136" Type="http://schemas.openxmlformats.org/officeDocument/2006/relationships/hyperlink" Target="http://europa.eu/legislation_summaries/environment/waste_management/l28097_en.htm" TargetMode="External"/><Relationship Id="rId61" Type="http://schemas.openxmlformats.org/officeDocument/2006/relationships/hyperlink" Target="http://www2.ademe.fr/servlet/getDoc?cid=96&amp;m=3&amp;id=80873&amp;p2=14227&amp;ref=14227" TargetMode="External"/><Relationship Id="rId82" Type="http://schemas.openxmlformats.org/officeDocument/2006/relationships/hyperlink" Target="http://epp.eurostat.ec.europa.eu/cache/ITY_OFFPUB/CH_11_2011_XLS/EN/CH_11_2011_XLS-EN.XLS" TargetMode="External"/><Relationship Id="rId19" Type="http://schemas.openxmlformats.org/officeDocument/2006/relationships/hyperlink" Target="http://www.remondis.com/" TargetMode="External"/><Relationship Id="rId14" Type="http://schemas.openxmlformats.org/officeDocument/2006/relationships/hyperlink" Target="http://www.psiru.org/sites/default/files/2010-02-G-EWCs.doc" TargetMode="External"/><Relationship Id="rId30" Type="http://schemas.openxmlformats.org/officeDocument/2006/relationships/hyperlink" Target="http://www.saubermacher.com/" TargetMode="External"/><Relationship Id="rId35" Type="http://schemas.openxmlformats.org/officeDocument/2006/relationships/hyperlink" Target="http://www.cnim.com" TargetMode="External"/><Relationship Id="rId56" Type="http://schemas.openxmlformats.org/officeDocument/2006/relationships/hyperlink" Target="http://epp.eurostat.ec.europa.eu/portal/page/portal/employment_unemployment_lfs/data/database" TargetMode="External"/><Relationship Id="rId77" Type="http://schemas.openxmlformats.org/officeDocument/2006/relationships/hyperlink" Target="http://scp.eionet.europa.eu/wp/2011wp4" TargetMode="External"/><Relationship Id="rId100" Type="http://schemas.openxmlformats.org/officeDocument/2006/relationships/hyperlink" Target="http://www.ciriec.ulg.ac.be/fr/telechargements/WORKING_PAPERS/WP10-01.pdf" TargetMode="External"/><Relationship Id="rId105" Type="http://schemas.openxmlformats.org/officeDocument/2006/relationships/header" Target="header2.xml"/><Relationship Id="rId126" Type="http://schemas.openxmlformats.org/officeDocument/2006/relationships/hyperlink" Target="http://europa.eu/legislation_summaries/environment/waste_management/l28134_en.htm"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suez-environnement.com/wp-content/uploads/2012/04/DDR-SEC-2011-Version-anglaise-d%C3%A9finitive.pdf" TargetMode="External"/><Relationship Id="rId72" Type="http://schemas.openxmlformats.org/officeDocument/2006/relationships/hyperlink" Target="http://eur-lex.europa.eu/JOHtml.do?uri=OJ:L:2012:197:SOM:EN:HTML" TargetMode="External"/><Relationship Id="rId93" Type="http://schemas.openxmlformats.org/officeDocument/2006/relationships/hyperlink" Target="http://www2.ademe.fr/servlet/KBaseShow?sort=-1&amp;cid=96&amp;m=3&amp;catid=12614" TargetMode="External"/><Relationship Id="rId98" Type="http://schemas.openxmlformats.org/officeDocument/2006/relationships/hyperlink" Target="http://www.ub.edu/irea/working_papers/2009/200923.pdf" TargetMode="External"/><Relationship Id="rId121" Type="http://schemas.openxmlformats.org/officeDocument/2006/relationships/hyperlink" Target="http://europa.eu/legislation_summaries/environment/waste_management/n26102_en.htm" TargetMode="External"/><Relationship Id="rId142" Type="http://schemas.openxmlformats.org/officeDocument/2006/relationships/hyperlink" Target="http://www.ceep.eu/images/stories/pdf/events/16072009/thomas-probst.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2.ademe.fr/servlet/getDoc?cid=96&amp;m=3&amp;id=83366&amp;p2=14227&amp;ref=14227" TargetMode="External"/><Relationship Id="rId13" Type="http://schemas.openxmlformats.org/officeDocument/2006/relationships/hyperlink" Target="http://www.ipsos-mori.com/Assets/Docs/Archive/Polls/waste_recycling.pdf" TargetMode="External"/><Relationship Id="rId18" Type="http://schemas.openxmlformats.org/officeDocument/2006/relationships/hyperlink" Target="http://www.gemeinderat-online.de/fileadmin/default/files/PDF_Dokumente/Studie_HVB.pdf" TargetMode="External"/><Relationship Id="rId26" Type="http://schemas.openxmlformats.org/officeDocument/2006/relationships/hyperlink" Target="http://bankwatch.org/sites/default/files/comments-EBRD-MEI-policy-06May2012.pdf" TargetMode="External"/><Relationship Id="rId39" Type="http://schemas.openxmlformats.org/officeDocument/2006/relationships/hyperlink" Target="http://jno.hu/en/?&amp;menu=downloads&amp;doc=ECJ_case_law" TargetMode="External"/><Relationship Id="rId3" Type="http://schemas.openxmlformats.org/officeDocument/2006/relationships/hyperlink" Target="http://www.suez-environnement.com/document/?f=profile/en/ddr_se_2009_en.pdf" TargetMode="External"/><Relationship Id="rId21" Type="http://schemas.openxmlformats.org/officeDocument/2006/relationships/hyperlink" Target="http://kommunalwiki.boell.de/index.php/In-_und_Outsourcing_in_der_kommunalen_Abfallwirtschaft" TargetMode="External"/><Relationship Id="rId34" Type="http://schemas.openxmlformats.org/officeDocument/2006/relationships/hyperlink" Target="http://eur-lex.europa.eu/LexUriServ/LexUriServ.do?uri=OJ:L:2008:312:0003:01:EN:HTML" TargetMode="External"/><Relationship Id="rId42" Type="http://schemas.openxmlformats.org/officeDocument/2006/relationships/hyperlink" Target="http://curia.europa.eu/jurisp/cgi-bin/form.pl?lang=en&amp;alljur=alljur&amp;jurcdj=jurcdj&amp;jurtpi=jurtpi&amp;jurtfp=jurtfp&amp;numaff=&amp;nomusuel=&amp;ddatefs=08&amp;mdatefs=06&amp;ydatefs=2009&amp;ddatefe=10&amp;mdatefe=06&amp;ydatefe=2009&amp;docnodecision=docnodecision&amp;allcommjo=allcommjo&amp;affint=affint&amp;affclose=affclose&amp;alldocrec=alldocrec&amp;docor=docor&amp;docav=docav&amp;docsom=docsom&amp;docinf=docinf&amp;alldocnorec=alldocnorec&amp;docnoor=docnoor&amp;radtypeord=on&amp;newform=newform&amp;docj=docj&amp;docop=docop&amp;docnoj=docnoj&amp;typeord=ALL&amp;domaine=&amp;mots=&amp;resmax=100&amp;Submit=Rechercher" TargetMode="External"/><Relationship Id="rId7" Type="http://schemas.openxmlformats.org/officeDocument/2006/relationships/hyperlink" Target="http://www.ciriec.ulg.ac.be/fr/telechargements/WORKING_PAPERS/WP11-07.pdf" TargetMode="External"/><Relationship Id="rId12" Type="http://schemas.openxmlformats.org/officeDocument/2006/relationships/hyperlink" Target="http://www.vku.de/service-navigation/presse/pressemitteilungen/liste-pressemitteilung/pressemitteilung-vks-1910.html" TargetMode="External"/><Relationship Id="rId17" Type="http://schemas.openxmlformats.org/officeDocument/2006/relationships/hyperlink" Target="http://kommunalwiki.boell.de/index.php/In-_und_Outsourcing_in_der_kommunalen_Abfallwirtschaft" TargetMode="External"/><Relationship Id="rId25" Type="http://schemas.openxmlformats.org/officeDocument/2006/relationships/hyperlink" Target="http://epp.eurostat.ec.europa.eu/cache/ITY_OFFPUB/CH_11_2011_XLS/EN/CH_11_2011_XLS-EN.XLS" TargetMode="External"/><Relationship Id="rId33" Type="http://schemas.openxmlformats.org/officeDocument/2006/relationships/hyperlink" Target="http://www.hub-4.com/news/4806/covanta-energy-signs-agreement-with-gmb-union-as-company-plans-to-build-cheshire-energy-from-waste-facility" TargetMode="External"/><Relationship Id="rId38" Type="http://schemas.openxmlformats.org/officeDocument/2006/relationships/hyperlink" Target="http://jno.hu/en/?&amp;menu=commissioner" TargetMode="External"/><Relationship Id="rId2" Type="http://schemas.openxmlformats.org/officeDocument/2006/relationships/hyperlink" Target="http://www.finance.veolia.com/docs/Pages%20de%20Presentation-Investor-Day-2011-proprete.pdf" TargetMode="External"/><Relationship Id="rId16" Type="http://schemas.openxmlformats.org/officeDocument/2006/relationships/hyperlink" Target="http://www.walqing.eu/fileadmin/download/external_website/publications/WALQING_socialpartnershipseries_2011.19_Waste_BUL.pdf" TargetMode="External"/><Relationship Id="rId20" Type="http://schemas.openxmlformats.org/officeDocument/2006/relationships/hyperlink" Target="http://www.ub.edu/irea/working_papers/2009/200923.pdf" TargetMode="External"/><Relationship Id="rId29" Type="http://schemas.openxmlformats.org/officeDocument/2006/relationships/hyperlink" Target="http://www2.ademe.fr" TargetMode="External"/><Relationship Id="rId41" Type="http://schemas.openxmlformats.org/officeDocument/2006/relationships/hyperlink" Target="http://europa.eu/rapid/pressReleasesAction.do?reference=IP/12/659&amp;format=HTML&amp;aged=0&amp;language=EN&amp;guiLanguage=en" TargetMode="External"/><Relationship Id="rId1" Type="http://schemas.openxmlformats.org/officeDocument/2006/relationships/hyperlink" Target="http://www.finance.veolia.com/docs/3-Rapport-Gestion-062012-version-mise-en-ligne.pdf" TargetMode="External"/><Relationship Id="rId6" Type="http://schemas.openxmlformats.org/officeDocument/2006/relationships/hyperlink" Target="http://www.vangansewinkelgroep.com/library/VGWG_UK_Annual_report-2011_web.pdf" TargetMode="External"/><Relationship Id="rId11" Type="http://schemas.openxmlformats.org/officeDocument/2006/relationships/hyperlink" Target="http://kommunalwiki.boell.de/index.php/In-_und_Outsourcing_in_der_kommunalen_Abfallwirtschaft" TargetMode="External"/><Relationship Id="rId24" Type="http://schemas.openxmlformats.org/officeDocument/2006/relationships/hyperlink" Target="http://europa.eu/rapid/pressReleasesAction.do?reference=IP/12/898&amp;format=HTML&amp;aged=0&amp;language=EN&amp;guiLanguage=en" TargetMode="External"/><Relationship Id="rId32" Type="http://schemas.openxmlformats.org/officeDocument/2006/relationships/hyperlink" Target="http://www.hub-4.com/news/5006/commercial-waste-strategy-will-save-local-authorities-millions" TargetMode="External"/><Relationship Id="rId37" Type="http://schemas.openxmlformats.org/officeDocument/2006/relationships/hyperlink" Target="http://jno.hu/en" TargetMode="External"/><Relationship Id="rId40" Type="http://schemas.openxmlformats.org/officeDocument/2006/relationships/hyperlink" Target="http://ec.europa.eu/environment/legal/law/statistics.htm" TargetMode="External"/><Relationship Id="rId5" Type="http://schemas.openxmlformats.org/officeDocument/2006/relationships/hyperlink" Target="http://www.remondis.com/uploads/tx_3spdfs/RA_3_11_EN_Online_04.pdf" TargetMode="External"/><Relationship Id="rId15" Type="http://schemas.openxmlformats.org/officeDocument/2006/relationships/hyperlink" Target="http://www.vku.de/service-navigation/presse/pressemitteilungen/liste-pressemitteilung/pressemitteilung-vks-1910.html" TargetMode="External"/><Relationship Id="rId23" Type="http://schemas.openxmlformats.org/officeDocument/2006/relationships/hyperlink" Target="http://ec.europa.eu/eu_law/docs/docs_infringements/annual_report_28/sec_2011_1093_en.pdf" TargetMode="External"/><Relationship Id="rId28" Type="http://schemas.openxmlformats.org/officeDocument/2006/relationships/hyperlink" Target="http://www.telegraphindia.com/1120919/jsp/nation/story_15993420.jsp" TargetMode="External"/><Relationship Id="rId36" Type="http://schemas.openxmlformats.org/officeDocument/2006/relationships/hyperlink" Target="http://eur-lex.europa.eu/LexUriServ/LexUriServ.do?uri=OJ:L:2008:312:0003:01:EN:HTML" TargetMode="External"/><Relationship Id="rId10" Type="http://schemas.openxmlformats.org/officeDocument/2006/relationships/hyperlink" Target="http://www2.ademe.fr" TargetMode="External"/><Relationship Id="rId19" Type="http://schemas.openxmlformats.org/officeDocument/2006/relationships/hyperlink" Target="http://www.ccomptes.fr/fr/CC/documents/Communiques/Communique_presse_rapport_public_thematique_collectivites_locales_et_dechets_menagers.pdf" TargetMode="External"/><Relationship Id="rId31" Type="http://schemas.openxmlformats.org/officeDocument/2006/relationships/hyperlink" Target="http://www.ft.com/cms/s/0/d80835d6-e121-11e1-839a-00144feab49a.html" TargetMode="External"/><Relationship Id="rId44" Type="http://schemas.openxmlformats.org/officeDocument/2006/relationships/hyperlink" Target="http://curia.europa.eu/jurisp/cgi-bin/form.pl?lang=en&amp;newform=newform&amp;alljur=alljur&amp;jurcdj=jurcdj&amp;jurtpi=jurtpi&amp;jurtfp=jurtfp&amp;alldocrec=alldocrec&amp;docj=docj&amp;docor=docor&amp;docop=docop&amp;docav=docav&amp;docsom=docsom&amp;docinf=docinf&amp;alldocnorec=alldocnorec&amp;docnoj=docnoj&amp;docnoor=docnoor&amp;radtypeord=on&amp;typeord=ALL&amp;docnodecision=docnodecision&amp;allcommjo=allcommjo&amp;affint=affint&amp;affclose=affclose&amp;numaff=&amp;ddatefs=01&amp;mdatefs=01&amp;ydatefs=2006&amp;ddatefe=01&amp;mdatefe=11&amp;ydatefe=2009&amp;nomusuel=&amp;domaine=&amp;mots=waste+AND+Italy&amp;resmax=100&amp;Submit=Submit" TargetMode="External"/><Relationship Id="rId4" Type="http://schemas.openxmlformats.org/officeDocument/2006/relationships/hyperlink" Target="http://www.suez-environnement.com/wp-content/uploads/2012/08/SE_H1-2012_VA_DEF2_WEB.pdf" TargetMode="External"/><Relationship Id="rId9" Type="http://schemas.openxmlformats.org/officeDocument/2006/relationships/hyperlink" Target="http://www.bis.gov.uk/assets/biscore/business-sectors/docs/f/11-1088-from-waste-management-to-resource-recovery" TargetMode="External"/><Relationship Id="rId14" Type="http://schemas.openxmlformats.org/officeDocument/2006/relationships/hyperlink" Target="http://kommunalwiki.boell.de/index.php/In-_und_Outsourcing_in_der_kommunalen_Abfallwirtschaft" TargetMode="External"/><Relationship Id="rId22" Type="http://schemas.openxmlformats.org/officeDocument/2006/relationships/hyperlink" Target="http://www.bis.gov.uk/assets/biscore/business-sectors/docs/f/11-1088-from-waste-management-to-resource-recovery" TargetMode="External"/><Relationship Id="rId27" Type="http://schemas.openxmlformats.org/officeDocument/2006/relationships/hyperlink" Target="http://www.retech-germany.net" TargetMode="External"/><Relationship Id="rId30" Type="http://schemas.openxmlformats.org/officeDocument/2006/relationships/hyperlink" Target="http://www.psiru.org/reports/2007-06-G-EWCs.doc" TargetMode="External"/><Relationship Id="rId35" Type="http://schemas.openxmlformats.org/officeDocument/2006/relationships/hyperlink" Target="http://eur-lex.europa.eu/LexUriServ/LexUriServ.do?uri=OJ:L:2008:312:0003:01:EN:HTML" TargetMode="External"/><Relationship Id="rId43" Type="http://schemas.openxmlformats.org/officeDocument/2006/relationships/hyperlink" Target="http://www.ceep.eu/index.php?option=com_content&amp;view=article&amp;id=146%3Aceep-welcomes-a-further-step-towards-freedom-of-choice-for-local-authorities&amp;catid=1%3Alatest-news&amp;Itemid=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Work\Waste%20management\lfsa_egan22d-extra.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Work\Waste%20management\empgvadat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46010162418167"/>
          <c:y val="3.0560197316375916E-2"/>
          <c:w val="0.51187792355355444"/>
          <c:h val="0.90048397129549562"/>
        </c:manualLayout>
      </c:layout>
      <c:lineChart>
        <c:grouping val="standard"/>
        <c:varyColors val="0"/>
        <c:ser>
          <c:idx val="0"/>
          <c:order val="0"/>
          <c:tx>
            <c:strRef>
              <c:f>'[lfsa_egan22d-extra.xls]Sheet1'!$B$9</c:f>
              <c:strCache>
                <c:ptCount val="1"/>
                <c:pt idx="0">
                  <c:v>Germany</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'[lfsa_egan22d-extra.xls]Sheet1'!$C$9:$F$9</c:f>
              <c:numCache>
                <c:formatCode>General</c:formatCode>
                <c:ptCount val="4"/>
                <c:pt idx="0">
                  <c:v>134000</c:v>
                </c:pt>
                <c:pt idx="1">
                  <c:v>138100</c:v>
                </c:pt>
                <c:pt idx="2">
                  <c:v>132800</c:v>
                </c:pt>
                <c:pt idx="3">
                  <c:v>146200</c:v>
                </c:pt>
              </c:numCache>
            </c:numRef>
          </c:val>
          <c:smooth val="0"/>
        </c:ser>
        <c:ser>
          <c:idx val="1"/>
          <c:order val="1"/>
          <c:tx>
            <c:strRef>
              <c:f>'[lfsa_egan22d-extra.xls]Sheet1'!$B$10</c:f>
              <c:strCache>
                <c:ptCount val="1"/>
                <c:pt idx="0">
                  <c:v>United Kingdom</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'[lfsa_egan22d-extra.xls]Sheet1'!$C$10:$F$10</c:f>
              <c:numCache>
                <c:formatCode>General</c:formatCode>
                <c:ptCount val="4"/>
                <c:pt idx="0">
                  <c:v>148800</c:v>
                </c:pt>
                <c:pt idx="1">
                  <c:v>116000</c:v>
                </c:pt>
                <c:pt idx="2">
                  <c:v>104700</c:v>
                </c:pt>
                <c:pt idx="3">
                  <c:v>118600</c:v>
                </c:pt>
              </c:numCache>
            </c:numRef>
          </c:val>
          <c:smooth val="0"/>
        </c:ser>
        <c:ser>
          <c:idx val="2"/>
          <c:order val="2"/>
          <c:tx>
            <c:strRef>
              <c:f>'[lfsa_egan22d-extra.xls]Sheet1'!$B$11</c:f>
              <c:strCache>
                <c:ptCount val="1"/>
                <c:pt idx="0">
                  <c:v>France</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'[lfsa_egan22d-extra.xls]Sheet1'!$C$11:$F$11</c:f>
              <c:numCache>
                <c:formatCode>General</c:formatCode>
                <c:ptCount val="4"/>
                <c:pt idx="0">
                  <c:v>106900</c:v>
                </c:pt>
                <c:pt idx="1">
                  <c:v>104500</c:v>
                </c:pt>
                <c:pt idx="2">
                  <c:v>103700</c:v>
                </c:pt>
                <c:pt idx="3">
                  <c:v>113100</c:v>
                </c:pt>
              </c:numCache>
            </c:numRef>
          </c:val>
          <c:smooth val="0"/>
        </c:ser>
        <c:ser>
          <c:idx val="3"/>
          <c:order val="3"/>
          <c:tx>
            <c:strRef>
              <c:f>'[lfsa_egan22d-extra.xls]Sheet1'!$B$12</c:f>
              <c:strCache>
                <c:ptCount val="1"/>
                <c:pt idx="0">
                  <c:v>Turkey</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'[lfsa_egan22d-extra.xls]Sheet1'!$C$12:$F$12</c:f>
              <c:numCache>
                <c:formatCode>General</c:formatCode>
                <c:ptCount val="4"/>
                <c:pt idx="1">
                  <c:v>28300</c:v>
                </c:pt>
                <c:pt idx="2">
                  <c:v>66100</c:v>
                </c:pt>
                <c:pt idx="3">
                  <c:v>93700</c:v>
                </c:pt>
              </c:numCache>
            </c:numRef>
          </c:val>
          <c:smooth val="0"/>
        </c:ser>
        <c:ser>
          <c:idx val="4"/>
          <c:order val="4"/>
          <c:tx>
            <c:strRef>
              <c:f>'[lfsa_egan22d-extra.xls]Sheet1'!$B$13</c:f>
              <c:strCache>
                <c:ptCount val="1"/>
                <c:pt idx="0">
                  <c:v>Italy</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'[lfsa_egan22d-extra.xls]Sheet1'!$C$13:$F$13</c:f>
              <c:numCache>
                <c:formatCode>General</c:formatCode>
                <c:ptCount val="4"/>
                <c:pt idx="0">
                  <c:v>128800</c:v>
                </c:pt>
                <c:pt idx="1">
                  <c:v>140900</c:v>
                </c:pt>
                <c:pt idx="2">
                  <c:v>155900</c:v>
                </c:pt>
                <c:pt idx="3">
                  <c:v>148500</c:v>
                </c:pt>
              </c:numCache>
            </c:numRef>
          </c:val>
          <c:smooth val="0"/>
        </c:ser>
        <c:ser>
          <c:idx val="5"/>
          <c:order val="5"/>
          <c:tx>
            <c:strRef>
              <c:f>'[lfsa_egan22d-extra.xls]Sheet1'!$B$14</c:f>
              <c:strCache>
                <c:ptCount val="1"/>
                <c:pt idx="0">
                  <c:v>Spain</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'[lfsa_egan22d-extra.xls]Sheet1'!$C$14:$F$14</c:f>
              <c:numCache>
                <c:formatCode>General</c:formatCode>
                <c:ptCount val="4"/>
                <c:pt idx="0">
                  <c:v>67900</c:v>
                </c:pt>
                <c:pt idx="1">
                  <c:v>75800</c:v>
                </c:pt>
                <c:pt idx="2">
                  <c:v>61900</c:v>
                </c:pt>
                <c:pt idx="3">
                  <c:v>75700</c:v>
                </c:pt>
              </c:numCache>
            </c:numRef>
          </c:val>
          <c:smooth val="0"/>
        </c:ser>
        <c:ser>
          <c:idx val="6"/>
          <c:order val="6"/>
          <c:tx>
            <c:strRef>
              <c:f>'[lfsa_egan22d-extra.xls]Sheet1'!$B$15</c:f>
              <c:strCache>
                <c:ptCount val="1"/>
                <c:pt idx="0">
                  <c:v>Poland</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'[lfsa_egan22d-extra.xls]Sheet1'!$C$15:$F$15</c:f>
              <c:numCache>
                <c:formatCode>General</c:formatCode>
                <c:ptCount val="4"/>
                <c:pt idx="0">
                  <c:v>58500</c:v>
                </c:pt>
                <c:pt idx="1">
                  <c:v>65300</c:v>
                </c:pt>
                <c:pt idx="2">
                  <c:v>61200</c:v>
                </c:pt>
                <c:pt idx="3">
                  <c:v>67000</c:v>
                </c:pt>
              </c:numCache>
            </c:numRef>
          </c:val>
          <c:smooth val="0"/>
        </c:ser>
        <c:ser>
          <c:idx val="7"/>
          <c:order val="7"/>
          <c:tx>
            <c:strRef>
              <c:f>'[lfsa_egan22d-extra.xls]Sheet1'!$B$16</c:f>
              <c:strCache>
                <c:ptCount val="1"/>
                <c:pt idx="0">
                  <c:v>Romania</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'[lfsa_egan22d-extra.xls]Sheet1'!$C$16:$F$16</c:f>
              <c:numCache>
                <c:formatCode>General</c:formatCode>
                <c:ptCount val="4"/>
                <c:pt idx="0">
                  <c:v>32800</c:v>
                </c:pt>
                <c:pt idx="1">
                  <c:v>28700</c:v>
                </c:pt>
                <c:pt idx="2">
                  <c:v>33300</c:v>
                </c:pt>
                <c:pt idx="3">
                  <c:v>34800</c:v>
                </c:pt>
              </c:numCache>
            </c:numRef>
          </c:val>
          <c:smooth val="0"/>
        </c:ser>
        <c:ser>
          <c:idx val="8"/>
          <c:order val="8"/>
          <c:tx>
            <c:strRef>
              <c:f>'[lfsa_egan22d-extra.xls]Sheet1'!$B$17</c:f>
              <c:strCache>
                <c:ptCount val="1"/>
                <c:pt idx="0">
                  <c:v>Netherlands</c:v>
                </c:pt>
              </c:strCache>
            </c:strRef>
          </c:tx>
          <c:marker>
            <c:symbol val="none"/>
          </c:marker>
          <c:cat>
            <c:numRef>
              <c:f>'[lfsa_egan22d-extra.xls]Sheet1'!$C$8:$F$8</c:f>
              <c:numCache>
                <c:formatCode>General</c:formatCode>
                <c:ptCount val="4"/>
                <c:pt idx="0">
                  <c:v>2008</c:v>
                </c:pt>
                <c:pt idx="1">
                  <c:v>2009</c:v>
                </c:pt>
                <c:pt idx="2">
                  <c:v>2010</c:v>
                </c:pt>
                <c:pt idx="3">
                  <c:v>2011</c:v>
                </c:pt>
              </c:numCache>
            </c:numRef>
          </c:cat>
          <c:val>
            <c:numRef>
              <c:f>'[lfsa_egan22d-extra.xls]Sheet1'!$C$17:$F$17</c:f>
              <c:numCache>
                <c:formatCode>General</c:formatCode>
                <c:ptCount val="4"/>
                <c:pt idx="0">
                  <c:v>25700</c:v>
                </c:pt>
                <c:pt idx="1">
                  <c:v>26900</c:v>
                </c:pt>
                <c:pt idx="2">
                  <c:v>25000</c:v>
                </c:pt>
                <c:pt idx="3">
                  <c:v>21600</c:v>
                </c:pt>
              </c:numCache>
            </c:numRef>
          </c:val>
          <c:smooth val="0"/>
        </c:ser>
        <c:dLbls>
          <c:showLegendKey val="0"/>
          <c:showVal val="0"/>
          <c:showCatName val="0"/>
          <c:showSerName val="0"/>
          <c:showPercent val="0"/>
          <c:showBubbleSize val="0"/>
        </c:dLbls>
        <c:marker val="1"/>
        <c:smooth val="0"/>
        <c:axId val="120363648"/>
        <c:axId val="120365440"/>
      </c:lineChart>
      <c:catAx>
        <c:axId val="120363648"/>
        <c:scaling>
          <c:orientation val="minMax"/>
        </c:scaling>
        <c:delete val="0"/>
        <c:axPos val="b"/>
        <c:numFmt formatCode="General" sourceLinked="1"/>
        <c:majorTickMark val="out"/>
        <c:minorTickMark val="none"/>
        <c:tickLblPos val="nextTo"/>
        <c:crossAx val="120365440"/>
        <c:crosses val="autoZero"/>
        <c:auto val="1"/>
        <c:lblAlgn val="ctr"/>
        <c:lblOffset val="100"/>
        <c:noMultiLvlLbl val="0"/>
      </c:catAx>
      <c:valAx>
        <c:axId val="120365440"/>
        <c:scaling>
          <c:orientation val="minMax"/>
        </c:scaling>
        <c:delete val="0"/>
        <c:axPos val="l"/>
        <c:majorGridlines/>
        <c:numFmt formatCode="General" sourceLinked="1"/>
        <c:majorTickMark val="out"/>
        <c:minorTickMark val="none"/>
        <c:tickLblPos val="nextTo"/>
        <c:crossAx val="1203636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0"/>
              <c:spPr/>
              <c:txPr>
                <a:bodyPr/>
                <a:lstStyle/>
                <a:p>
                  <a:pPr>
                    <a:defRPr sz="800" baseline="0">
                      <a:latin typeface="Calibri" pitchFamily="34" charset="0"/>
                    </a:defRPr>
                  </a:pPr>
                  <a:endParaRPr lang="en-US"/>
                </a:p>
              </c:txPr>
              <c:showLegendKey val="0"/>
              <c:showVal val="0"/>
              <c:showCatName val="1"/>
              <c:showSerName val="0"/>
              <c:showPercent val="1"/>
              <c:showBubbleSize val="0"/>
            </c:dLbl>
            <c:dLbl>
              <c:idx val="1"/>
              <c:spPr/>
              <c:txPr>
                <a:bodyPr/>
                <a:lstStyle/>
                <a:p>
                  <a:pPr>
                    <a:defRPr sz="800" baseline="0">
                      <a:latin typeface="Calibri" pitchFamily="34" charset="0"/>
                    </a:defRPr>
                  </a:pPr>
                  <a:endParaRPr lang="en-US"/>
                </a:p>
              </c:txPr>
              <c:showLegendKey val="0"/>
              <c:showVal val="0"/>
              <c:showCatName val="1"/>
              <c:showSerName val="0"/>
              <c:showPercent val="1"/>
              <c:showBubbleSize val="0"/>
            </c:dLbl>
            <c:dLbl>
              <c:idx val="3"/>
              <c:spPr/>
              <c:txPr>
                <a:bodyPr/>
                <a:lstStyle/>
                <a:p>
                  <a:pPr>
                    <a:defRPr sz="800" baseline="0">
                      <a:latin typeface="Calibri" pitchFamily="34" charset="0"/>
                    </a:defRPr>
                  </a:pPr>
                  <a:endParaRPr lang="en-US"/>
                </a:p>
              </c:txPr>
              <c:showLegendKey val="0"/>
              <c:showVal val="0"/>
              <c:showCatName val="1"/>
              <c:showSerName val="0"/>
              <c:showPercent val="1"/>
              <c:showBubbleSize val="0"/>
            </c:dLbl>
            <c:dLbl>
              <c:idx val="4"/>
              <c:spPr/>
              <c:txPr>
                <a:bodyPr/>
                <a:lstStyle/>
                <a:p>
                  <a:pPr>
                    <a:defRPr sz="800" baseline="0">
                      <a:latin typeface="Calibri" pitchFamily="34" charset="0"/>
                    </a:defRPr>
                  </a:pPr>
                  <a:endParaRPr lang="en-US"/>
                </a:p>
              </c:txPr>
              <c:showLegendKey val="0"/>
              <c:showVal val="0"/>
              <c:showCatName val="1"/>
              <c:showSerName val="0"/>
              <c:showPercent val="1"/>
              <c:showBubbleSize val="0"/>
            </c:dLbl>
            <c:txPr>
              <a:bodyPr/>
              <a:lstStyle/>
              <a:p>
                <a:pPr>
                  <a:defRPr sz="900" baseline="0">
                    <a:latin typeface="Calibri" pitchFamily="34" charset="0"/>
                  </a:defRPr>
                </a:pPr>
                <a:endParaRPr lang="en-US"/>
              </a:p>
            </c:txPr>
            <c:showLegendKey val="0"/>
            <c:showVal val="0"/>
            <c:showCatName val="1"/>
            <c:showSerName val="0"/>
            <c:showPercent val="1"/>
            <c:showBubbleSize val="0"/>
            <c:showLeaderLines val="1"/>
          </c:dLbls>
          <c:cat>
            <c:strRef>
              <c:f>france!$J$3:$J$7</c:f>
              <c:strCache>
                <c:ptCount val="5"/>
                <c:pt idx="0">
                  <c:v>COLLECTION</c:v>
                </c:pt>
                <c:pt idx="1">
                  <c:v>TREATMENT (landfill/incineration/compost)</c:v>
                </c:pt>
                <c:pt idx="2">
                  <c:v>RECOVERY</c:v>
                </c:pt>
                <c:pt idx="3">
                  <c:v>RECYCLING (NEW PRODUCTS)</c:v>
                </c:pt>
                <c:pt idx="4">
                  <c:v>HAZARDOUS WASTE</c:v>
                </c:pt>
              </c:strCache>
            </c:strRef>
          </c:cat>
          <c:val>
            <c:numRef>
              <c:f>france!$K$3:$K$7</c:f>
              <c:numCache>
                <c:formatCode>General</c:formatCode>
                <c:ptCount val="5"/>
                <c:pt idx="0">
                  <c:v>59984</c:v>
                </c:pt>
                <c:pt idx="1">
                  <c:v>8118</c:v>
                </c:pt>
                <c:pt idx="2">
                  <c:v>30602</c:v>
                </c:pt>
                <c:pt idx="3">
                  <c:v>46000</c:v>
                </c:pt>
                <c:pt idx="4">
                  <c:v>6722</c:v>
                </c:pt>
              </c:numCache>
            </c:numRef>
          </c:val>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C53C-561C-4CAB-B883-C467944A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Template>
  <TotalTime>918</TotalTime>
  <Pages>33</Pages>
  <Words>12650</Words>
  <Characters>72105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84586</CharactersWithSpaces>
  <SharedDoc>false</SharedDoc>
  <HLinks>
    <vt:vector size="954" baseType="variant">
      <vt:variant>
        <vt:i4>2359414</vt:i4>
      </vt:variant>
      <vt:variant>
        <vt:i4>471</vt:i4>
      </vt:variant>
      <vt:variant>
        <vt:i4>0</vt:i4>
      </vt:variant>
      <vt:variant>
        <vt:i4>5</vt:i4>
      </vt:variant>
      <vt:variant>
        <vt:lpwstr>http://www.ceep.eu/images/stories/pdf/events/16072009/thomas-probst.pdf</vt:lpwstr>
      </vt:variant>
      <vt:variant>
        <vt:lpwstr/>
      </vt:variant>
      <vt:variant>
        <vt:i4>2359414</vt:i4>
      </vt:variant>
      <vt:variant>
        <vt:i4>468</vt:i4>
      </vt:variant>
      <vt:variant>
        <vt:i4>0</vt:i4>
      </vt:variant>
      <vt:variant>
        <vt:i4>5</vt:i4>
      </vt:variant>
      <vt:variant>
        <vt:lpwstr>http://www.ceep.eu/images/stories/pdf/events/16072009/thomas-probst.pdf</vt:lpwstr>
      </vt:variant>
      <vt:variant>
        <vt:lpwstr/>
      </vt:variant>
      <vt:variant>
        <vt:i4>5111812</vt:i4>
      </vt:variant>
      <vt:variant>
        <vt:i4>465</vt:i4>
      </vt:variant>
      <vt:variant>
        <vt:i4>0</vt:i4>
      </vt:variant>
      <vt:variant>
        <vt:i4>5</vt:i4>
      </vt:variant>
      <vt:variant>
        <vt:lpwstr>http://eur-lex.europa.eu/LexUriServ/LexUriServ.do?uri=CELEX:32008L0098:EN:NOT</vt:lpwstr>
      </vt:variant>
      <vt:variant>
        <vt:lpwstr/>
      </vt:variant>
      <vt:variant>
        <vt:i4>6160496</vt:i4>
      </vt:variant>
      <vt:variant>
        <vt:i4>462</vt:i4>
      </vt:variant>
      <vt:variant>
        <vt:i4>0</vt:i4>
      </vt:variant>
      <vt:variant>
        <vt:i4>5</vt:i4>
      </vt:variant>
      <vt:variant>
        <vt:lpwstr>http://europa.eu/legislation_summaries/environment/waste_management/l27048_en.htm</vt:lpwstr>
      </vt:variant>
      <vt:variant>
        <vt:lpwstr/>
      </vt:variant>
      <vt:variant>
        <vt:i4>5308530</vt:i4>
      </vt:variant>
      <vt:variant>
        <vt:i4>459</vt:i4>
      </vt:variant>
      <vt:variant>
        <vt:i4>0</vt:i4>
      </vt:variant>
      <vt:variant>
        <vt:i4>5</vt:i4>
      </vt:variant>
      <vt:variant>
        <vt:lpwstr>http://europa.eu/legislation_summaries/environment/waste_management/l28097_en.htm</vt:lpwstr>
      </vt:variant>
      <vt:variant>
        <vt:lpwstr/>
      </vt:variant>
      <vt:variant>
        <vt:i4>6226034</vt:i4>
      </vt:variant>
      <vt:variant>
        <vt:i4>456</vt:i4>
      </vt:variant>
      <vt:variant>
        <vt:i4>0</vt:i4>
      </vt:variant>
      <vt:variant>
        <vt:i4>5</vt:i4>
      </vt:variant>
      <vt:variant>
        <vt:lpwstr>http://europa.eu/legislation_summaries/environment/waste_management/l28099_en.htm</vt:lpwstr>
      </vt:variant>
      <vt:variant>
        <vt:lpwstr/>
      </vt:variant>
      <vt:variant>
        <vt:i4>5570672</vt:i4>
      </vt:variant>
      <vt:variant>
        <vt:i4>453</vt:i4>
      </vt:variant>
      <vt:variant>
        <vt:i4>0</vt:i4>
      </vt:variant>
      <vt:variant>
        <vt:i4>5</vt:i4>
      </vt:variant>
      <vt:variant>
        <vt:lpwstr>http://europa.eu/legislation_summaries/environment/waste_management/l11020_en.htm</vt:lpwstr>
      </vt:variant>
      <vt:variant>
        <vt:lpwstr/>
      </vt:variant>
      <vt:variant>
        <vt:i4>5308530</vt:i4>
      </vt:variant>
      <vt:variant>
        <vt:i4>450</vt:i4>
      </vt:variant>
      <vt:variant>
        <vt:i4>0</vt:i4>
      </vt:variant>
      <vt:variant>
        <vt:i4>5</vt:i4>
      </vt:variant>
      <vt:variant>
        <vt:lpwstr>http://europa.eu/legislation_summaries/environment/waste_management/l21205_en.htm</vt:lpwstr>
      </vt:variant>
      <vt:variant>
        <vt:lpwstr/>
      </vt:variant>
      <vt:variant>
        <vt:i4>5242994</vt:i4>
      </vt:variant>
      <vt:variant>
        <vt:i4>447</vt:i4>
      </vt:variant>
      <vt:variant>
        <vt:i4>0</vt:i4>
      </vt:variant>
      <vt:variant>
        <vt:i4>5</vt:i4>
      </vt:variant>
      <vt:variant>
        <vt:lpwstr>http://europa.eu/legislation_summaries/environment/waste_management/l21204_en.htm</vt:lpwstr>
      </vt:variant>
      <vt:variant>
        <vt:lpwstr/>
      </vt:variant>
      <vt:variant>
        <vt:i4>5701746</vt:i4>
      </vt:variant>
      <vt:variant>
        <vt:i4>444</vt:i4>
      </vt:variant>
      <vt:variant>
        <vt:i4>0</vt:i4>
      </vt:variant>
      <vt:variant>
        <vt:i4>5</vt:i4>
      </vt:variant>
      <vt:variant>
        <vt:lpwstr>http://europa.eu/legislation_summaries/environment/waste_management/l21203_en.htm</vt:lpwstr>
      </vt:variant>
      <vt:variant>
        <vt:lpwstr/>
      </vt:variant>
      <vt:variant>
        <vt:i4>6160510</vt:i4>
      </vt:variant>
      <vt:variant>
        <vt:i4>441</vt:i4>
      </vt:variant>
      <vt:variant>
        <vt:i4>0</vt:i4>
      </vt:variant>
      <vt:variant>
        <vt:i4>5</vt:i4>
      </vt:variant>
      <vt:variant>
        <vt:lpwstr>http://europa.eu/legislation_summaries/environment/waste_management/l24199_en.htm</vt:lpwstr>
      </vt:variant>
      <vt:variant>
        <vt:lpwstr/>
      </vt:variant>
      <vt:variant>
        <vt:i4>6160499</vt:i4>
      </vt:variant>
      <vt:variant>
        <vt:i4>438</vt:i4>
      </vt:variant>
      <vt:variant>
        <vt:i4>0</vt:i4>
      </vt:variant>
      <vt:variant>
        <vt:i4>5</vt:i4>
      </vt:variant>
      <vt:variant>
        <vt:lpwstr>http://europa.eu/legislation_summaries/environment/waste_management/l28088_en.htm</vt:lpwstr>
      </vt:variant>
      <vt:variant>
        <vt:lpwstr/>
      </vt:variant>
      <vt:variant>
        <vt:i4>5570686</vt:i4>
      </vt:variant>
      <vt:variant>
        <vt:i4>435</vt:i4>
      </vt:variant>
      <vt:variant>
        <vt:i4>0</vt:i4>
      </vt:variant>
      <vt:variant>
        <vt:i4>5</vt:i4>
      </vt:variant>
      <vt:variant>
        <vt:lpwstr>http://europa.eu/legislation_summaries/environment/waste_management/l28053_en.htm</vt:lpwstr>
      </vt:variant>
      <vt:variant>
        <vt:lpwstr/>
      </vt:variant>
      <vt:variant>
        <vt:i4>5570674</vt:i4>
      </vt:variant>
      <vt:variant>
        <vt:i4>432</vt:i4>
      </vt:variant>
      <vt:variant>
        <vt:i4>0</vt:i4>
      </vt:variant>
      <vt:variant>
        <vt:i4>5</vt:i4>
      </vt:variant>
      <vt:variant>
        <vt:lpwstr>http://europa.eu/legislation_summaries/environment/waste_management/l28192_en.htm</vt:lpwstr>
      </vt:variant>
      <vt:variant>
        <vt:lpwstr/>
      </vt:variant>
      <vt:variant>
        <vt:i4>1245307</vt:i4>
      </vt:variant>
      <vt:variant>
        <vt:i4>429</vt:i4>
      </vt:variant>
      <vt:variant>
        <vt:i4>0</vt:i4>
      </vt:variant>
      <vt:variant>
        <vt:i4>5</vt:i4>
      </vt:variant>
      <vt:variant>
        <vt:lpwstr>http://europa.eu/legislation_summaries/environment/waste_management/ev0011_en.htm</vt:lpwstr>
      </vt:variant>
      <vt:variant>
        <vt:lpwstr/>
      </vt:variant>
      <vt:variant>
        <vt:i4>5439608</vt:i4>
      </vt:variant>
      <vt:variant>
        <vt:i4>426</vt:i4>
      </vt:variant>
      <vt:variant>
        <vt:i4>0</vt:i4>
      </vt:variant>
      <vt:variant>
        <vt:i4>5</vt:i4>
      </vt:variant>
      <vt:variant>
        <vt:lpwstr>http://europa.eu/legislation_summaries/environment/waste_management/l28134_en.htm</vt:lpwstr>
      </vt:variant>
      <vt:variant>
        <vt:lpwstr/>
      </vt:variant>
      <vt:variant>
        <vt:i4>5505139</vt:i4>
      </vt:variant>
      <vt:variant>
        <vt:i4>423</vt:i4>
      </vt:variant>
      <vt:variant>
        <vt:i4>0</vt:i4>
      </vt:variant>
      <vt:variant>
        <vt:i4>5</vt:i4>
      </vt:variant>
      <vt:variant>
        <vt:lpwstr>http://europa.eu/legislation_summaries/environment/waste_management/l21210_en.htm</vt:lpwstr>
      </vt:variant>
      <vt:variant>
        <vt:lpwstr/>
      </vt:variant>
      <vt:variant>
        <vt:i4>5701754</vt:i4>
      </vt:variant>
      <vt:variant>
        <vt:i4>420</vt:i4>
      </vt:variant>
      <vt:variant>
        <vt:i4>0</vt:i4>
      </vt:variant>
      <vt:variant>
        <vt:i4>5</vt:i4>
      </vt:variant>
      <vt:variant>
        <vt:lpwstr>http://europa.eu/legislation_summaries/environment/waste_management/l28110_en.htm</vt:lpwstr>
      </vt:variant>
      <vt:variant>
        <vt:lpwstr/>
      </vt:variant>
      <vt:variant>
        <vt:i4>5570679</vt:i4>
      </vt:variant>
      <vt:variant>
        <vt:i4>417</vt:i4>
      </vt:variant>
      <vt:variant>
        <vt:i4>0</vt:i4>
      </vt:variant>
      <vt:variant>
        <vt:i4>5</vt:i4>
      </vt:variant>
      <vt:variant>
        <vt:lpwstr>http://europa.eu/legislation_summaries/environment/waste_management/n26102_en.htm</vt:lpwstr>
      </vt:variant>
      <vt:variant>
        <vt:lpwstr/>
      </vt:variant>
      <vt:variant>
        <vt:i4>5308528</vt:i4>
      </vt:variant>
      <vt:variant>
        <vt:i4>414</vt:i4>
      </vt:variant>
      <vt:variant>
        <vt:i4>0</vt:i4>
      </vt:variant>
      <vt:variant>
        <vt:i4>5</vt:i4>
      </vt:variant>
      <vt:variant>
        <vt:lpwstr>http://europa.eu/legislation_summaries/environment/waste_management/l21225_en.htm</vt:lpwstr>
      </vt:variant>
      <vt:variant>
        <vt:lpwstr/>
      </vt:variant>
      <vt:variant>
        <vt:i4>5374066</vt:i4>
      </vt:variant>
      <vt:variant>
        <vt:i4>411</vt:i4>
      </vt:variant>
      <vt:variant>
        <vt:i4>0</vt:i4>
      </vt:variant>
      <vt:variant>
        <vt:i4>5</vt:i4>
      </vt:variant>
      <vt:variant>
        <vt:lpwstr>http://europa.eu/legislation_summaries/environment/waste_management/l21206_en.htm</vt:lpwstr>
      </vt:variant>
      <vt:variant>
        <vt:lpwstr/>
      </vt:variant>
      <vt:variant>
        <vt:i4>5636210</vt:i4>
      </vt:variant>
      <vt:variant>
        <vt:i4>408</vt:i4>
      </vt:variant>
      <vt:variant>
        <vt:i4>0</vt:i4>
      </vt:variant>
      <vt:variant>
        <vt:i4>5</vt:i4>
      </vt:variant>
      <vt:variant>
        <vt:lpwstr>http://europa.eu/legislation_summaries/environment/waste_management/l21202_en.htm</vt:lpwstr>
      </vt:variant>
      <vt:variant>
        <vt:lpwstr/>
      </vt:variant>
      <vt:variant>
        <vt:i4>5570674</vt:i4>
      </vt:variant>
      <vt:variant>
        <vt:i4>405</vt:i4>
      </vt:variant>
      <vt:variant>
        <vt:i4>0</vt:i4>
      </vt:variant>
      <vt:variant>
        <vt:i4>5</vt:i4>
      </vt:variant>
      <vt:variant>
        <vt:lpwstr>http://europa.eu/legislation_summaries/environment/waste_management/l21201_en.htm</vt:lpwstr>
      </vt:variant>
      <vt:variant>
        <vt:lpwstr/>
      </vt:variant>
      <vt:variant>
        <vt:i4>5439602</vt:i4>
      </vt:variant>
      <vt:variant>
        <vt:i4>402</vt:i4>
      </vt:variant>
      <vt:variant>
        <vt:i4>0</vt:i4>
      </vt:variant>
      <vt:variant>
        <vt:i4>5</vt:i4>
      </vt:variant>
      <vt:variant>
        <vt:lpwstr>http://europa.eu/legislation_summaries/environment/waste_management/l21207_en.htm</vt:lpwstr>
      </vt:variant>
      <vt:variant>
        <vt:lpwstr/>
      </vt:variant>
      <vt:variant>
        <vt:i4>5570687</vt:i4>
      </vt:variant>
      <vt:variant>
        <vt:i4>399</vt:i4>
      </vt:variant>
      <vt:variant>
        <vt:i4>0</vt:i4>
      </vt:variant>
      <vt:variant>
        <vt:i4>5</vt:i4>
      </vt:variant>
      <vt:variant>
        <vt:lpwstr>http://europa.eu/legislation_summaries/environment/waste_management/l28043_en.htm</vt:lpwstr>
      </vt:variant>
      <vt:variant>
        <vt:lpwstr/>
      </vt:variant>
      <vt:variant>
        <vt:i4>6160507</vt:i4>
      </vt:variant>
      <vt:variant>
        <vt:i4>396</vt:i4>
      </vt:variant>
      <vt:variant>
        <vt:i4>0</vt:i4>
      </vt:variant>
      <vt:variant>
        <vt:i4>5</vt:i4>
      </vt:variant>
      <vt:variant>
        <vt:lpwstr>http://europa.eu/legislation_summaries/environment/waste_management/l21199_en.htm</vt:lpwstr>
      </vt:variant>
      <vt:variant>
        <vt:lpwstr/>
      </vt:variant>
      <vt:variant>
        <vt:i4>5701744</vt:i4>
      </vt:variant>
      <vt:variant>
        <vt:i4>393</vt:i4>
      </vt:variant>
      <vt:variant>
        <vt:i4>0</vt:i4>
      </vt:variant>
      <vt:variant>
        <vt:i4>5</vt:i4>
      </vt:variant>
      <vt:variant>
        <vt:lpwstr>http://europa.eu/legislation_summaries/environment/waste_management/l11022_en.htm</vt:lpwstr>
      </vt:variant>
      <vt:variant>
        <vt:lpwstr/>
      </vt:variant>
      <vt:variant>
        <vt:i4>5505148</vt:i4>
      </vt:variant>
      <vt:variant>
        <vt:i4>390</vt:i4>
      </vt:variant>
      <vt:variant>
        <vt:i4>0</vt:i4>
      </vt:variant>
      <vt:variant>
        <vt:i4>5</vt:i4>
      </vt:variant>
      <vt:variant>
        <vt:lpwstr>http://europa.eu/legislation_summaries/environment/waste_management/l28072_en.htm</vt:lpwstr>
      </vt:variant>
      <vt:variant>
        <vt:lpwstr/>
      </vt:variant>
      <vt:variant>
        <vt:i4>6029426</vt:i4>
      </vt:variant>
      <vt:variant>
        <vt:i4>387</vt:i4>
      </vt:variant>
      <vt:variant>
        <vt:i4>0</vt:i4>
      </vt:variant>
      <vt:variant>
        <vt:i4>5</vt:i4>
      </vt:variant>
      <vt:variant>
        <vt:lpwstr>http://europa.eu/legislation_summaries/environment/waste_management/l21208_en.htm</vt:lpwstr>
      </vt:variant>
      <vt:variant>
        <vt:lpwstr/>
      </vt:variant>
      <vt:variant>
        <vt:i4>5439613</vt:i4>
      </vt:variant>
      <vt:variant>
        <vt:i4>384</vt:i4>
      </vt:variant>
      <vt:variant>
        <vt:i4>0</vt:i4>
      </vt:variant>
      <vt:variant>
        <vt:i4>5</vt:i4>
      </vt:variant>
      <vt:variant>
        <vt:lpwstr>http://europa.eu/legislation_summaries/environment/waste_management/l28065_en.htm</vt:lpwstr>
      </vt:variant>
      <vt:variant>
        <vt:lpwstr/>
      </vt:variant>
      <vt:variant>
        <vt:i4>5505139</vt:i4>
      </vt:variant>
      <vt:variant>
        <vt:i4>381</vt:i4>
      </vt:variant>
      <vt:variant>
        <vt:i4>0</vt:i4>
      </vt:variant>
      <vt:variant>
        <vt:i4>5</vt:i4>
      </vt:variant>
      <vt:variant>
        <vt:lpwstr>http://europa.eu/legislation_summaries/environment/waste_management/l28082_en.htm</vt:lpwstr>
      </vt:variant>
      <vt:variant>
        <vt:lpwstr/>
      </vt:variant>
      <vt:variant>
        <vt:i4>5439615</vt:i4>
      </vt:variant>
      <vt:variant>
        <vt:i4>378</vt:i4>
      </vt:variant>
      <vt:variant>
        <vt:i4>0</vt:i4>
      </vt:variant>
      <vt:variant>
        <vt:i4>5</vt:i4>
      </vt:variant>
      <vt:variant>
        <vt:lpwstr>http://europa.eu/legislation_summaries/environment/waste_management/l28045_en.htm</vt:lpwstr>
      </vt:variant>
      <vt:variant>
        <vt:lpwstr/>
      </vt:variant>
      <vt:variant>
        <vt:i4>6226045</vt:i4>
      </vt:variant>
      <vt:variant>
        <vt:i4>375</vt:i4>
      </vt:variant>
      <vt:variant>
        <vt:i4>0</vt:i4>
      </vt:variant>
      <vt:variant>
        <vt:i4>5</vt:i4>
      </vt:variant>
      <vt:variant>
        <vt:lpwstr>http://europa.eu/legislation_summaries/environment/waste_management/l28168_en.htm</vt:lpwstr>
      </vt:variant>
      <vt:variant>
        <vt:lpwstr/>
      </vt:variant>
      <vt:variant>
        <vt:i4>5243003</vt:i4>
      </vt:variant>
      <vt:variant>
        <vt:i4>372</vt:i4>
      </vt:variant>
      <vt:variant>
        <vt:i4>0</vt:i4>
      </vt:variant>
      <vt:variant>
        <vt:i4>5</vt:i4>
      </vt:variant>
      <vt:variant>
        <vt:lpwstr>http://europa.eu/legislation_summaries/environment/waste_management/l21197_en.htm</vt:lpwstr>
      </vt:variant>
      <vt:variant>
        <vt:lpwstr/>
      </vt:variant>
      <vt:variant>
        <vt:i4>1179771</vt:i4>
      </vt:variant>
      <vt:variant>
        <vt:i4>369</vt:i4>
      </vt:variant>
      <vt:variant>
        <vt:i4>0</vt:i4>
      </vt:variant>
      <vt:variant>
        <vt:i4>5</vt:i4>
      </vt:variant>
      <vt:variant>
        <vt:lpwstr>http://europa.eu/legislation_summaries/environment/waste_management/ev0010_en.htm</vt:lpwstr>
      </vt:variant>
      <vt:variant>
        <vt:lpwstr/>
      </vt:variant>
      <vt:variant>
        <vt:i4>6553612</vt:i4>
      </vt:variant>
      <vt:variant>
        <vt:i4>366</vt:i4>
      </vt:variant>
      <vt:variant>
        <vt:i4>0</vt:i4>
      </vt:variant>
      <vt:variant>
        <vt:i4>5</vt:i4>
      </vt:variant>
      <vt:variant>
        <vt:lpwstr>http://europa.eu/legislation_summaries/environment/waste_management/index_en.htm</vt:lpwstr>
      </vt:variant>
      <vt:variant>
        <vt:lpwstr/>
      </vt:variant>
      <vt:variant>
        <vt:i4>5505070</vt:i4>
      </vt:variant>
      <vt:variant>
        <vt:i4>363</vt:i4>
      </vt:variant>
      <vt:variant>
        <vt:i4>0</vt:i4>
      </vt:variant>
      <vt:variant>
        <vt:i4>5</vt:i4>
      </vt:variant>
      <vt:variant>
        <vt:lpwstr>http://www.wastegovernance.org/Documents/TR_3_301111_.pdf</vt:lpwstr>
      </vt:variant>
      <vt:variant>
        <vt:lpwstr/>
      </vt:variant>
      <vt:variant>
        <vt:i4>6225975</vt:i4>
      </vt:variant>
      <vt:variant>
        <vt:i4>360</vt:i4>
      </vt:variant>
      <vt:variant>
        <vt:i4>0</vt:i4>
      </vt:variant>
      <vt:variant>
        <vt:i4>5</vt:i4>
      </vt:variant>
      <vt:variant>
        <vt:lpwstr>http://www.wastegovernance.org/index_eng.html</vt:lpwstr>
      </vt:variant>
      <vt:variant>
        <vt:lpwstr/>
      </vt:variant>
      <vt:variant>
        <vt:i4>7864376</vt:i4>
      </vt:variant>
      <vt:variant>
        <vt:i4>357</vt:i4>
      </vt:variant>
      <vt:variant>
        <vt:i4>0</vt:i4>
      </vt:variant>
      <vt:variant>
        <vt:i4>5</vt:i4>
      </vt:variant>
      <vt:variant>
        <vt:lpwstr>wasteaware.org</vt:lpwstr>
      </vt:variant>
      <vt:variant>
        <vt:lpwstr/>
      </vt:variant>
      <vt:variant>
        <vt:i4>4718716</vt:i4>
      </vt:variant>
      <vt:variant>
        <vt:i4>354</vt:i4>
      </vt:variant>
      <vt:variant>
        <vt:i4>0</vt:i4>
      </vt:variant>
      <vt:variant>
        <vt:i4>5</vt:i4>
      </vt:variant>
      <vt:variant>
        <vt:lpwstr>http://www.bmu.de/english/waste_management/aktuell/3865.php</vt:lpwstr>
      </vt:variant>
      <vt:variant>
        <vt:lpwstr/>
      </vt:variant>
      <vt:variant>
        <vt:i4>2293860</vt:i4>
      </vt:variant>
      <vt:variant>
        <vt:i4>351</vt:i4>
      </vt:variant>
      <vt:variant>
        <vt:i4>0</vt:i4>
      </vt:variant>
      <vt:variant>
        <vt:i4>5</vt:i4>
      </vt:variant>
      <vt:variant>
        <vt:lpwstr>http://www.bmu.de/abfallwirtschaft/aktuell/3794.php</vt:lpwstr>
      </vt:variant>
      <vt:variant>
        <vt:lpwstr/>
      </vt:variant>
      <vt:variant>
        <vt:i4>65623</vt:i4>
      </vt:variant>
      <vt:variant>
        <vt:i4>348</vt:i4>
      </vt:variant>
      <vt:variant>
        <vt:i4>0</vt:i4>
      </vt:variant>
      <vt:variant>
        <vt:i4>5</vt:i4>
      </vt:variant>
      <vt:variant>
        <vt:lpwstr>http://www2.ademe.fr/servlet/KBaseShow?sort=-1&amp;cid=96&amp;m=3&amp;catid=12614</vt:lpwstr>
      </vt:variant>
      <vt:variant>
        <vt:lpwstr/>
      </vt:variant>
      <vt:variant>
        <vt:i4>917598</vt:i4>
      </vt:variant>
      <vt:variant>
        <vt:i4>345</vt:i4>
      </vt:variant>
      <vt:variant>
        <vt:i4>0</vt:i4>
      </vt:variant>
      <vt:variant>
        <vt:i4>5</vt:i4>
      </vt:variant>
      <vt:variant>
        <vt:lpwstr>http://www.psiru.org/sites/default/files/2010-02-G-trends.doc</vt:lpwstr>
      </vt:variant>
      <vt:variant>
        <vt:lpwstr/>
      </vt:variant>
      <vt:variant>
        <vt:i4>4456510</vt:i4>
      </vt:variant>
      <vt:variant>
        <vt:i4>342</vt:i4>
      </vt:variant>
      <vt:variant>
        <vt:i4>0</vt:i4>
      </vt:variant>
      <vt:variant>
        <vt:i4>5</vt:i4>
      </vt:variant>
      <vt:variant>
        <vt:lpwstr>http://www.ccomptes.fr/fr/CC/documents/Communiques/Communique_presse_rapport_public_thematique_collectivites_locales_et_dechets_menagers.pdf</vt:lpwstr>
      </vt:variant>
      <vt:variant>
        <vt:lpwstr/>
      </vt:variant>
      <vt:variant>
        <vt:i4>852004</vt:i4>
      </vt:variant>
      <vt:variant>
        <vt:i4>339</vt:i4>
      </vt:variant>
      <vt:variant>
        <vt:i4>0</vt:i4>
      </vt:variant>
      <vt:variant>
        <vt:i4>5</vt:i4>
      </vt:variant>
      <vt:variant>
        <vt:lpwstr>http://www.ub.edu/irea/working_papers/2009/200923.pdf</vt:lpwstr>
      </vt:variant>
      <vt:variant>
        <vt:lpwstr/>
      </vt:variant>
      <vt:variant>
        <vt:i4>983149</vt:i4>
      </vt:variant>
      <vt:variant>
        <vt:i4>336</vt:i4>
      </vt:variant>
      <vt:variant>
        <vt:i4>0</vt:i4>
      </vt:variant>
      <vt:variant>
        <vt:i4>5</vt:i4>
      </vt:variant>
      <vt:variant>
        <vt:lpwstr>http://www.ciriec.ulg.ac.be/fr/telechargements/WORKING_PAPERS/WP11-07.pdf</vt:lpwstr>
      </vt:variant>
      <vt:variant>
        <vt:lpwstr/>
      </vt:variant>
      <vt:variant>
        <vt:i4>6750262</vt:i4>
      </vt:variant>
      <vt:variant>
        <vt:i4>333</vt:i4>
      </vt:variant>
      <vt:variant>
        <vt:i4>0</vt:i4>
      </vt:variant>
      <vt:variant>
        <vt:i4>5</vt:i4>
      </vt:variant>
      <vt:variant>
        <vt:lpwstr>http://www2.ademe.fr/servlet/getDoc?cid=96&amp;m=3&amp;id=83366&amp;p2=14227&amp;ref=14227</vt:lpwstr>
      </vt:variant>
      <vt:variant>
        <vt:lpwstr/>
      </vt:variant>
      <vt:variant>
        <vt:i4>6619192</vt:i4>
      </vt:variant>
      <vt:variant>
        <vt:i4>330</vt:i4>
      </vt:variant>
      <vt:variant>
        <vt:i4>0</vt:i4>
      </vt:variant>
      <vt:variant>
        <vt:i4>5</vt:i4>
      </vt:variant>
      <vt:variant>
        <vt:lpwstr>http://www2.ademe.fr/servlet/getDoc?cid=96&amp;m=3&amp;id=80873&amp;p2=14227&amp;ref=14227</vt:lpwstr>
      </vt:variant>
      <vt:variant>
        <vt:lpwstr/>
      </vt:variant>
      <vt:variant>
        <vt:i4>6619192</vt:i4>
      </vt:variant>
      <vt:variant>
        <vt:i4>327</vt:i4>
      </vt:variant>
      <vt:variant>
        <vt:i4>0</vt:i4>
      </vt:variant>
      <vt:variant>
        <vt:i4>5</vt:i4>
      </vt:variant>
      <vt:variant>
        <vt:lpwstr>http://www2.ademe.fr/servlet/getDoc?cid=96&amp;m=3&amp;id=80873&amp;p2=14227&amp;ref=14227</vt:lpwstr>
      </vt:variant>
      <vt:variant>
        <vt:lpwstr/>
      </vt:variant>
      <vt:variant>
        <vt:i4>3473465</vt:i4>
      </vt:variant>
      <vt:variant>
        <vt:i4>324</vt:i4>
      </vt:variant>
      <vt:variant>
        <vt:i4>0</vt:i4>
      </vt:variant>
      <vt:variant>
        <vt:i4>5</vt:i4>
      </vt:variant>
      <vt:variant>
        <vt:lpwstr>http://www.bis.gov.uk/assets/biscore/business-sectors/docs/f/11-1088-from-waste-management-to-resource-recovery</vt:lpwstr>
      </vt:variant>
      <vt:variant>
        <vt:lpwstr/>
      </vt:variant>
      <vt:variant>
        <vt:i4>3473465</vt:i4>
      </vt:variant>
      <vt:variant>
        <vt:i4>321</vt:i4>
      </vt:variant>
      <vt:variant>
        <vt:i4>0</vt:i4>
      </vt:variant>
      <vt:variant>
        <vt:i4>5</vt:i4>
      </vt:variant>
      <vt:variant>
        <vt:lpwstr>http://www.bis.gov.uk/assets/biscore/business-sectors/docs/f/11-1088-from-waste-management-to-resource-recovery</vt:lpwstr>
      </vt:variant>
      <vt:variant>
        <vt:lpwstr/>
      </vt:variant>
      <vt:variant>
        <vt:i4>3473465</vt:i4>
      </vt:variant>
      <vt:variant>
        <vt:i4>318</vt:i4>
      </vt:variant>
      <vt:variant>
        <vt:i4>0</vt:i4>
      </vt:variant>
      <vt:variant>
        <vt:i4>5</vt:i4>
      </vt:variant>
      <vt:variant>
        <vt:lpwstr>http://www.bis.gov.uk/assets/biscore/business-sectors/docs/f/11-1088-from-waste-management-to-resource-recovery</vt:lpwstr>
      </vt:variant>
      <vt:variant>
        <vt:lpwstr/>
      </vt:variant>
      <vt:variant>
        <vt:i4>3473465</vt:i4>
      </vt:variant>
      <vt:variant>
        <vt:i4>315</vt:i4>
      </vt:variant>
      <vt:variant>
        <vt:i4>0</vt:i4>
      </vt:variant>
      <vt:variant>
        <vt:i4>5</vt:i4>
      </vt:variant>
      <vt:variant>
        <vt:lpwstr>http://www.bis.gov.uk/assets/biscore/business-sectors/docs/f/11-1088-from-waste-management-to-resource-recovery</vt:lpwstr>
      </vt:variant>
      <vt:variant>
        <vt:lpwstr/>
      </vt:variant>
      <vt:variant>
        <vt:i4>917609</vt:i4>
      </vt:variant>
      <vt:variant>
        <vt:i4>312</vt:i4>
      </vt:variant>
      <vt:variant>
        <vt:i4>0</vt:i4>
      </vt:variant>
      <vt:variant>
        <vt:i4>5</vt:i4>
      </vt:variant>
      <vt:variant>
        <vt:lpwstr>http://www.ciriec.ulg.ac.be/fr/telechargements/WORKING_PAPERS/WP10-03.pdf</vt:lpwstr>
      </vt:variant>
      <vt:variant>
        <vt:lpwstr/>
      </vt:variant>
      <vt:variant>
        <vt:i4>7340132</vt:i4>
      </vt:variant>
      <vt:variant>
        <vt:i4>309</vt:i4>
      </vt:variant>
      <vt:variant>
        <vt:i4>0</vt:i4>
      </vt:variant>
      <vt:variant>
        <vt:i4>5</vt:i4>
      </vt:variant>
      <vt:variant>
        <vt:lpwstr>http://www.retech-germany.net/english/topics/waste_management_made_in_germany/structure/dok/660.php</vt:lpwstr>
      </vt:variant>
      <vt:variant>
        <vt:lpwstr/>
      </vt:variant>
      <vt:variant>
        <vt:i4>6619192</vt:i4>
      </vt:variant>
      <vt:variant>
        <vt:i4>306</vt:i4>
      </vt:variant>
      <vt:variant>
        <vt:i4>0</vt:i4>
      </vt:variant>
      <vt:variant>
        <vt:i4>5</vt:i4>
      </vt:variant>
      <vt:variant>
        <vt:lpwstr>http://www2.ademe.fr/servlet/getDoc?cid=96&amp;m=3&amp;id=80873&amp;p2=14227&amp;ref=14227</vt:lpwstr>
      </vt:variant>
      <vt:variant>
        <vt:lpwstr/>
      </vt:variant>
      <vt:variant>
        <vt:i4>917609</vt:i4>
      </vt:variant>
      <vt:variant>
        <vt:i4>303</vt:i4>
      </vt:variant>
      <vt:variant>
        <vt:i4>0</vt:i4>
      </vt:variant>
      <vt:variant>
        <vt:i4>5</vt:i4>
      </vt:variant>
      <vt:variant>
        <vt:lpwstr>http://www.ciriec.ulg.ac.be/fr/telechargements/WORKING_PAPERS/WP10-03.pdf</vt:lpwstr>
      </vt:variant>
      <vt:variant>
        <vt:lpwstr/>
      </vt:variant>
      <vt:variant>
        <vt:i4>6619192</vt:i4>
      </vt:variant>
      <vt:variant>
        <vt:i4>300</vt:i4>
      </vt:variant>
      <vt:variant>
        <vt:i4>0</vt:i4>
      </vt:variant>
      <vt:variant>
        <vt:i4>5</vt:i4>
      </vt:variant>
      <vt:variant>
        <vt:lpwstr>http://www2.ademe.fr/servlet/getDoc?cid=96&amp;m=3&amp;id=80873&amp;p2=14227&amp;ref=14227</vt:lpwstr>
      </vt:variant>
      <vt:variant>
        <vt:lpwstr/>
      </vt:variant>
      <vt:variant>
        <vt:i4>6619192</vt:i4>
      </vt:variant>
      <vt:variant>
        <vt:i4>297</vt:i4>
      </vt:variant>
      <vt:variant>
        <vt:i4>0</vt:i4>
      </vt:variant>
      <vt:variant>
        <vt:i4>5</vt:i4>
      </vt:variant>
      <vt:variant>
        <vt:lpwstr>http://www2.ademe.fr/servlet/getDoc?cid=96&amp;m=3&amp;id=80873&amp;p2=14227&amp;ref=14227</vt:lpwstr>
      </vt:variant>
      <vt:variant>
        <vt:lpwstr/>
      </vt:variant>
      <vt:variant>
        <vt:i4>3473465</vt:i4>
      </vt:variant>
      <vt:variant>
        <vt:i4>294</vt:i4>
      </vt:variant>
      <vt:variant>
        <vt:i4>0</vt:i4>
      </vt:variant>
      <vt:variant>
        <vt:i4>5</vt:i4>
      </vt:variant>
      <vt:variant>
        <vt:lpwstr>http://www.bis.gov.uk/assets/biscore/business-sectors/docs/f/11-1088-from-waste-management-to-resource-recovery</vt:lpwstr>
      </vt:variant>
      <vt:variant>
        <vt:lpwstr/>
      </vt:variant>
      <vt:variant>
        <vt:i4>6750262</vt:i4>
      </vt:variant>
      <vt:variant>
        <vt:i4>291</vt:i4>
      </vt:variant>
      <vt:variant>
        <vt:i4>0</vt:i4>
      </vt:variant>
      <vt:variant>
        <vt:i4>5</vt:i4>
      </vt:variant>
      <vt:variant>
        <vt:lpwstr>http://www2.ademe.fr/servlet/getDoc?cid=96&amp;m=3&amp;id=83366&amp;p2=14227&amp;ref=14227</vt:lpwstr>
      </vt:variant>
      <vt:variant>
        <vt:lpwstr/>
      </vt:variant>
      <vt:variant>
        <vt:i4>6815778</vt:i4>
      </vt:variant>
      <vt:variant>
        <vt:i4>288</vt:i4>
      </vt:variant>
      <vt:variant>
        <vt:i4>0</vt:i4>
      </vt:variant>
      <vt:variant>
        <vt:i4>5</vt:i4>
      </vt:variant>
      <vt:variant>
        <vt:lpwstr>http://scp.eionet.europa.eu/wp/2011wp4</vt:lpwstr>
      </vt:variant>
      <vt:variant>
        <vt:lpwstr/>
      </vt:variant>
      <vt:variant>
        <vt:i4>7995489</vt:i4>
      </vt:variant>
      <vt:variant>
        <vt:i4>285</vt:i4>
      </vt:variant>
      <vt:variant>
        <vt:i4>0</vt:i4>
      </vt:variant>
      <vt:variant>
        <vt:i4>5</vt:i4>
      </vt:variant>
      <vt:variant>
        <vt:lpwstr>http://www.ceep.eu/images/stories/pdf/events/16072009/ruedriger-siechau-en.pdf</vt:lpwstr>
      </vt:variant>
      <vt:variant>
        <vt:lpwstr/>
      </vt:variant>
      <vt:variant>
        <vt:i4>2359414</vt:i4>
      </vt:variant>
      <vt:variant>
        <vt:i4>282</vt:i4>
      </vt:variant>
      <vt:variant>
        <vt:i4>0</vt:i4>
      </vt:variant>
      <vt:variant>
        <vt:i4>5</vt:i4>
      </vt:variant>
      <vt:variant>
        <vt:lpwstr>http://www.ceep.eu/images/stories/pdf/events/16072009/thomas-probst.pdf</vt:lpwstr>
      </vt:variant>
      <vt:variant>
        <vt:lpwstr/>
      </vt:variant>
      <vt:variant>
        <vt:i4>1310781</vt:i4>
      </vt:variant>
      <vt:variant>
        <vt:i4>275</vt:i4>
      </vt:variant>
      <vt:variant>
        <vt:i4>0</vt:i4>
      </vt:variant>
      <vt:variant>
        <vt:i4>5</vt:i4>
      </vt:variant>
      <vt:variant>
        <vt:lpwstr/>
      </vt:variant>
      <vt:variant>
        <vt:lpwstr>_Toc333044944</vt:lpwstr>
      </vt:variant>
      <vt:variant>
        <vt:i4>1310781</vt:i4>
      </vt:variant>
      <vt:variant>
        <vt:i4>269</vt:i4>
      </vt:variant>
      <vt:variant>
        <vt:i4>0</vt:i4>
      </vt:variant>
      <vt:variant>
        <vt:i4>5</vt:i4>
      </vt:variant>
      <vt:variant>
        <vt:lpwstr/>
      </vt:variant>
      <vt:variant>
        <vt:lpwstr>_Toc333044943</vt:lpwstr>
      </vt:variant>
      <vt:variant>
        <vt:i4>1310781</vt:i4>
      </vt:variant>
      <vt:variant>
        <vt:i4>263</vt:i4>
      </vt:variant>
      <vt:variant>
        <vt:i4>0</vt:i4>
      </vt:variant>
      <vt:variant>
        <vt:i4>5</vt:i4>
      </vt:variant>
      <vt:variant>
        <vt:lpwstr/>
      </vt:variant>
      <vt:variant>
        <vt:lpwstr>_Toc333044942</vt:lpwstr>
      </vt:variant>
      <vt:variant>
        <vt:i4>1310781</vt:i4>
      </vt:variant>
      <vt:variant>
        <vt:i4>257</vt:i4>
      </vt:variant>
      <vt:variant>
        <vt:i4>0</vt:i4>
      </vt:variant>
      <vt:variant>
        <vt:i4>5</vt:i4>
      </vt:variant>
      <vt:variant>
        <vt:lpwstr/>
      </vt:variant>
      <vt:variant>
        <vt:lpwstr>_Toc333044941</vt:lpwstr>
      </vt:variant>
      <vt:variant>
        <vt:i4>1310781</vt:i4>
      </vt:variant>
      <vt:variant>
        <vt:i4>251</vt:i4>
      </vt:variant>
      <vt:variant>
        <vt:i4>0</vt:i4>
      </vt:variant>
      <vt:variant>
        <vt:i4>5</vt:i4>
      </vt:variant>
      <vt:variant>
        <vt:lpwstr/>
      </vt:variant>
      <vt:variant>
        <vt:lpwstr>_Toc333044940</vt:lpwstr>
      </vt:variant>
      <vt:variant>
        <vt:i4>1245245</vt:i4>
      </vt:variant>
      <vt:variant>
        <vt:i4>245</vt:i4>
      </vt:variant>
      <vt:variant>
        <vt:i4>0</vt:i4>
      </vt:variant>
      <vt:variant>
        <vt:i4>5</vt:i4>
      </vt:variant>
      <vt:variant>
        <vt:lpwstr/>
      </vt:variant>
      <vt:variant>
        <vt:lpwstr>_Toc333044939</vt:lpwstr>
      </vt:variant>
      <vt:variant>
        <vt:i4>1245245</vt:i4>
      </vt:variant>
      <vt:variant>
        <vt:i4>239</vt:i4>
      </vt:variant>
      <vt:variant>
        <vt:i4>0</vt:i4>
      </vt:variant>
      <vt:variant>
        <vt:i4>5</vt:i4>
      </vt:variant>
      <vt:variant>
        <vt:lpwstr/>
      </vt:variant>
      <vt:variant>
        <vt:lpwstr>_Toc333044938</vt:lpwstr>
      </vt:variant>
      <vt:variant>
        <vt:i4>1245245</vt:i4>
      </vt:variant>
      <vt:variant>
        <vt:i4>233</vt:i4>
      </vt:variant>
      <vt:variant>
        <vt:i4>0</vt:i4>
      </vt:variant>
      <vt:variant>
        <vt:i4>5</vt:i4>
      </vt:variant>
      <vt:variant>
        <vt:lpwstr/>
      </vt:variant>
      <vt:variant>
        <vt:lpwstr>_Toc333044937</vt:lpwstr>
      </vt:variant>
      <vt:variant>
        <vt:i4>1245245</vt:i4>
      </vt:variant>
      <vt:variant>
        <vt:i4>227</vt:i4>
      </vt:variant>
      <vt:variant>
        <vt:i4>0</vt:i4>
      </vt:variant>
      <vt:variant>
        <vt:i4>5</vt:i4>
      </vt:variant>
      <vt:variant>
        <vt:lpwstr/>
      </vt:variant>
      <vt:variant>
        <vt:lpwstr>_Toc333044936</vt:lpwstr>
      </vt:variant>
      <vt:variant>
        <vt:i4>1245245</vt:i4>
      </vt:variant>
      <vt:variant>
        <vt:i4>221</vt:i4>
      </vt:variant>
      <vt:variant>
        <vt:i4>0</vt:i4>
      </vt:variant>
      <vt:variant>
        <vt:i4>5</vt:i4>
      </vt:variant>
      <vt:variant>
        <vt:lpwstr/>
      </vt:variant>
      <vt:variant>
        <vt:lpwstr>_Toc333044935</vt:lpwstr>
      </vt:variant>
      <vt:variant>
        <vt:i4>1245245</vt:i4>
      </vt:variant>
      <vt:variant>
        <vt:i4>215</vt:i4>
      </vt:variant>
      <vt:variant>
        <vt:i4>0</vt:i4>
      </vt:variant>
      <vt:variant>
        <vt:i4>5</vt:i4>
      </vt:variant>
      <vt:variant>
        <vt:lpwstr/>
      </vt:variant>
      <vt:variant>
        <vt:lpwstr>_Toc333044934</vt:lpwstr>
      </vt:variant>
      <vt:variant>
        <vt:i4>1245245</vt:i4>
      </vt:variant>
      <vt:variant>
        <vt:i4>209</vt:i4>
      </vt:variant>
      <vt:variant>
        <vt:i4>0</vt:i4>
      </vt:variant>
      <vt:variant>
        <vt:i4>5</vt:i4>
      </vt:variant>
      <vt:variant>
        <vt:lpwstr/>
      </vt:variant>
      <vt:variant>
        <vt:lpwstr>_Toc333044933</vt:lpwstr>
      </vt:variant>
      <vt:variant>
        <vt:i4>1245245</vt:i4>
      </vt:variant>
      <vt:variant>
        <vt:i4>203</vt:i4>
      </vt:variant>
      <vt:variant>
        <vt:i4>0</vt:i4>
      </vt:variant>
      <vt:variant>
        <vt:i4>5</vt:i4>
      </vt:variant>
      <vt:variant>
        <vt:lpwstr/>
      </vt:variant>
      <vt:variant>
        <vt:lpwstr>_Toc333044932</vt:lpwstr>
      </vt:variant>
      <vt:variant>
        <vt:i4>1245245</vt:i4>
      </vt:variant>
      <vt:variant>
        <vt:i4>197</vt:i4>
      </vt:variant>
      <vt:variant>
        <vt:i4>0</vt:i4>
      </vt:variant>
      <vt:variant>
        <vt:i4>5</vt:i4>
      </vt:variant>
      <vt:variant>
        <vt:lpwstr/>
      </vt:variant>
      <vt:variant>
        <vt:lpwstr>_Toc333044931</vt:lpwstr>
      </vt:variant>
      <vt:variant>
        <vt:i4>1245245</vt:i4>
      </vt:variant>
      <vt:variant>
        <vt:i4>191</vt:i4>
      </vt:variant>
      <vt:variant>
        <vt:i4>0</vt:i4>
      </vt:variant>
      <vt:variant>
        <vt:i4>5</vt:i4>
      </vt:variant>
      <vt:variant>
        <vt:lpwstr/>
      </vt:variant>
      <vt:variant>
        <vt:lpwstr>_Toc333044930</vt:lpwstr>
      </vt:variant>
      <vt:variant>
        <vt:i4>1179709</vt:i4>
      </vt:variant>
      <vt:variant>
        <vt:i4>185</vt:i4>
      </vt:variant>
      <vt:variant>
        <vt:i4>0</vt:i4>
      </vt:variant>
      <vt:variant>
        <vt:i4>5</vt:i4>
      </vt:variant>
      <vt:variant>
        <vt:lpwstr/>
      </vt:variant>
      <vt:variant>
        <vt:lpwstr>_Toc333044929</vt:lpwstr>
      </vt:variant>
      <vt:variant>
        <vt:i4>1179709</vt:i4>
      </vt:variant>
      <vt:variant>
        <vt:i4>179</vt:i4>
      </vt:variant>
      <vt:variant>
        <vt:i4>0</vt:i4>
      </vt:variant>
      <vt:variant>
        <vt:i4>5</vt:i4>
      </vt:variant>
      <vt:variant>
        <vt:lpwstr/>
      </vt:variant>
      <vt:variant>
        <vt:lpwstr>_Toc333044928</vt:lpwstr>
      </vt:variant>
      <vt:variant>
        <vt:i4>1179709</vt:i4>
      </vt:variant>
      <vt:variant>
        <vt:i4>173</vt:i4>
      </vt:variant>
      <vt:variant>
        <vt:i4>0</vt:i4>
      </vt:variant>
      <vt:variant>
        <vt:i4>5</vt:i4>
      </vt:variant>
      <vt:variant>
        <vt:lpwstr/>
      </vt:variant>
      <vt:variant>
        <vt:lpwstr>_Toc333044927</vt:lpwstr>
      </vt:variant>
      <vt:variant>
        <vt:i4>1179709</vt:i4>
      </vt:variant>
      <vt:variant>
        <vt:i4>167</vt:i4>
      </vt:variant>
      <vt:variant>
        <vt:i4>0</vt:i4>
      </vt:variant>
      <vt:variant>
        <vt:i4>5</vt:i4>
      </vt:variant>
      <vt:variant>
        <vt:lpwstr/>
      </vt:variant>
      <vt:variant>
        <vt:lpwstr>_Toc333044926</vt:lpwstr>
      </vt:variant>
      <vt:variant>
        <vt:i4>1179709</vt:i4>
      </vt:variant>
      <vt:variant>
        <vt:i4>161</vt:i4>
      </vt:variant>
      <vt:variant>
        <vt:i4>0</vt:i4>
      </vt:variant>
      <vt:variant>
        <vt:i4>5</vt:i4>
      </vt:variant>
      <vt:variant>
        <vt:lpwstr/>
      </vt:variant>
      <vt:variant>
        <vt:lpwstr>_Toc333044925</vt:lpwstr>
      </vt:variant>
      <vt:variant>
        <vt:i4>1179709</vt:i4>
      </vt:variant>
      <vt:variant>
        <vt:i4>155</vt:i4>
      </vt:variant>
      <vt:variant>
        <vt:i4>0</vt:i4>
      </vt:variant>
      <vt:variant>
        <vt:i4>5</vt:i4>
      </vt:variant>
      <vt:variant>
        <vt:lpwstr/>
      </vt:variant>
      <vt:variant>
        <vt:lpwstr>_Toc333044924</vt:lpwstr>
      </vt:variant>
      <vt:variant>
        <vt:i4>1179709</vt:i4>
      </vt:variant>
      <vt:variant>
        <vt:i4>149</vt:i4>
      </vt:variant>
      <vt:variant>
        <vt:i4>0</vt:i4>
      </vt:variant>
      <vt:variant>
        <vt:i4>5</vt:i4>
      </vt:variant>
      <vt:variant>
        <vt:lpwstr/>
      </vt:variant>
      <vt:variant>
        <vt:lpwstr>_Toc333044923</vt:lpwstr>
      </vt:variant>
      <vt:variant>
        <vt:i4>1179709</vt:i4>
      </vt:variant>
      <vt:variant>
        <vt:i4>143</vt:i4>
      </vt:variant>
      <vt:variant>
        <vt:i4>0</vt:i4>
      </vt:variant>
      <vt:variant>
        <vt:i4>5</vt:i4>
      </vt:variant>
      <vt:variant>
        <vt:lpwstr/>
      </vt:variant>
      <vt:variant>
        <vt:lpwstr>_Toc333044922</vt:lpwstr>
      </vt:variant>
      <vt:variant>
        <vt:i4>1179709</vt:i4>
      </vt:variant>
      <vt:variant>
        <vt:i4>137</vt:i4>
      </vt:variant>
      <vt:variant>
        <vt:i4>0</vt:i4>
      </vt:variant>
      <vt:variant>
        <vt:i4>5</vt:i4>
      </vt:variant>
      <vt:variant>
        <vt:lpwstr/>
      </vt:variant>
      <vt:variant>
        <vt:lpwstr>_Toc333044921</vt:lpwstr>
      </vt:variant>
      <vt:variant>
        <vt:i4>1179709</vt:i4>
      </vt:variant>
      <vt:variant>
        <vt:i4>131</vt:i4>
      </vt:variant>
      <vt:variant>
        <vt:i4>0</vt:i4>
      </vt:variant>
      <vt:variant>
        <vt:i4>5</vt:i4>
      </vt:variant>
      <vt:variant>
        <vt:lpwstr/>
      </vt:variant>
      <vt:variant>
        <vt:lpwstr>_Toc333044920</vt:lpwstr>
      </vt:variant>
      <vt:variant>
        <vt:i4>1114173</vt:i4>
      </vt:variant>
      <vt:variant>
        <vt:i4>125</vt:i4>
      </vt:variant>
      <vt:variant>
        <vt:i4>0</vt:i4>
      </vt:variant>
      <vt:variant>
        <vt:i4>5</vt:i4>
      </vt:variant>
      <vt:variant>
        <vt:lpwstr/>
      </vt:variant>
      <vt:variant>
        <vt:lpwstr>_Toc333044919</vt:lpwstr>
      </vt:variant>
      <vt:variant>
        <vt:i4>1114173</vt:i4>
      </vt:variant>
      <vt:variant>
        <vt:i4>119</vt:i4>
      </vt:variant>
      <vt:variant>
        <vt:i4>0</vt:i4>
      </vt:variant>
      <vt:variant>
        <vt:i4>5</vt:i4>
      </vt:variant>
      <vt:variant>
        <vt:lpwstr/>
      </vt:variant>
      <vt:variant>
        <vt:lpwstr>_Toc333044918</vt:lpwstr>
      </vt:variant>
      <vt:variant>
        <vt:i4>1114173</vt:i4>
      </vt:variant>
      <vt:variant>
        <vt:i4>113</vt:i4>
      </vt:variant>
      <vt:variant>
        <vt:i4>0</vt:i4>
      </vt:variant>
      <vt:variant>
        <vt:i4>5</vt:i4>
      </vt:variant>
      <vt:variant>
        <vt:lpwstr/>
      </vt:variant>
      <vt:variant>
        <vt:lpwstr>_Toc333044917</vt:lpwstr>
      </vt:variant>
      <vt:variant>
        <vt:i4>1114173</vt:i4>
      </vt:variant>
      <vt:variant>
        <vt:i4>107</vt:i4>
      </vt:variant>
      <vt:variant>
        <vt:i4>0</vt:i4>
      </vt:variant>
      <vt:variant>
        <vt:i4>5</vt:i4>
      </vt:variant>
      <vt:variant>
        <vt:lpwstr/>
      </vt:variant>
      <vt:variant>
        <vt:lpwstr>_Toc333044916</vt:lpwstr>
      </vt:variant>
      <vt:variant>
        <vt:i4>1114173</vt:i4>
      </vt:variant>
      <vt:variant>
        <vt:i4>101</vt:i4>
      </vt:variant>
      <vt:variant>
        <vt:i4>0</vt:i4>
      </vt:variant>
      <vt:variant>
        <vt:i4>5</vt:i4>
      </vt:variant>
      <vt:variant>
        <vt:lpwstr/>
      </vt:variant>
      <vt:variant>
        <vt:lpwstr>_Toc333044915</vt:lpwstr>
      </vt:variant>
      <vt:variant>
        <vt:i4>1114173</vt:i4>
      </vt:variant>
      <vt:variant>
        <vt:i4>95</vt:i4>
      </vt:variant>
      <vt:variant>
        <vt:i4>0</vt:i4>
      </vt:variant>
      <vt:variant>
        <vt:i4>5</vt:i4>
      </vt:variant>
      <vt:variant>
        <vt:lpwstr/>
      </vt:variant>
      <vt:variant>
        <vt:lpwstr>_Toc333044914</vt:lpwstr>
      </vt:variant>
      <vt:variant>
        <vt:i4>1114173</vt:i4>
      </vt:variant>
      <vt:variant>
        <vt:i4>89</vt:i4>
      </vt:variant>
      <vt:variant>
        <vt:i4>0</vt:i4>
      </vt:variant>
      <vt:variant>
        <vt:i4>5</vt:i4>
      </vt:variant>
      <vt:variant>
        <vt:lpwstr/>
      </vt:variant>
      <vt:variant>
        <vt:lpwstr>_Toc333044913</vt:lpwstr>
      </vt:variant>
      <vt:variant>
        <vt:i4>1114173</vt:i4>
      </vt:variant>
      <vt:variant>
        <vt:i4>83</vt:i4>
      </vt:variant>
      <vt:variant>
        <vt:i4>0</vt:i4>
      </vt:variant>
      <vt:variant>
        <vt:i4>5</vt:i4>
      </vt:variant>
      <vt:variant>
        <vt:lpwstr/>
      </vt:variant>
      <vt:variant>
        <vt:lpwstr>_Toc333044912</vt:lpwstr>
      </vt:variant>
      <vt:variant>
        <vt:i4>1114173</vt:i4>
      </vt:variant>
      <vt:variant>
        <vt:i4>77</vt:i4>
      </vt:variant>
      <vt:variant>
        <vt:i4>0</vt:i4>
      </vt:variant>
      <vt:variant>
        <vt:i4>5</vt:i4>
      </vt:variant>
      <vt:variant>
        <vt:lpwstr/>
      </vt:variant>
      <vt:variant>
        <vt:lpwstr>_Toc333044911</vt:lpwstr>
      </vt:variant>
      <vt:variant>
        <vt:i4>1114173</vt:i4>
      </vt:variant>
      <vt:variant>
        <vt:i4>71</vt:i4>
      </vt:variant>
      <vt:variant>
        <vt:i4>0</vt:i4>
      </vt:variant>
      <vt:variant>
        <vt:i4>5</vt:i4>
      </vt:variant>
      <vt:variant>
        <vt:lpwstr/>
      </vt:variant>
      <vt:variant>
        <vt:lpwstr>_Toc333044910</vt:lpwstr>
      </vt:variant>
      <vt:variant>
        <vt:i4>1048637</vt:i4>
      </vt:variant>
      <vt:variant>
        <vt:i4>65</vt:i4>
      </vt:variant>
      <vt:variant>
        <vt:i4>0</vt:i4>
      </vt:variant>
      <vt:variant>
        <vt:i4>5</vt:i4>
      </vt:variant>
      <vt:variant>
        <vt:lpwstr/>
      </vt:variant>
      <vt:variant>
        <vt:lpwstr>_Toc333044909</vt:lpwstr>
      </vt:variant>
      <vt:variant>
        <vt:i4>1048637</vt:i4>
      </vt:variant>
      <vt:variant>
        <vt:i4>59</vt:i4>
      </vt:variant>
      <vt:variant>
        <vt:i4>0</vt:i4>
      </vt:variant>
      <vt:variant>
        <vt:i4>5</vt:i4>
      </vt:variant>
      <vt:variant>
        <vt:lpwstr/>
      </vt:variant>
      <vt:variant>
        <vt:lpwstr>_Toc333044908</vt:lpwstr>
      </vt:variant>
      <vt:variant>
        <vt:i4>1048637</vt:i4>
      </vt:variant>
      <vt:variant>
        <vt:i4>53</vt:i4>
      </vt:variant>
      <vt:variant>
        <vt:i4>0</vt:i4>
      </vt:variant>
      <vt:variant>
        <vt:i4>5</vt:i4>
      </vt:variant>
      <vt:variant>
        <vt:lpwstr/>
      </vt:variant>
      <vt:variant>
        <vt:lpwstr>_Toc333044907</vt:lpwstr>
      </vt:variant>
      <vt:variant>
        <vt:i4>1048637</vt:i4>
      </vt:variant>
      <vt:variant>
        <vt:i4>47</vt:i4>
      </vt:variant>
      <vt:variant>
        <vt:i4>0</vt:i4>
      </vt:variant>
      <vt:variant>
        <vt:i4>5</vt:i4>
      </vt:variant>
      <vt:variant>
        <vt:lpwstr/>
      </vt:variant>
      <vt:variant>
        <vt:lpwstr>_Toc333044906</vt:lpwstr>
      </vt:variant>
      <vt:variant>
        <vt:i4>1048637</vt:i4>
      </vt:variant>
      <vt:variant>
        <vt:i4>41</vt:i4>
      </vt:variant>
      <vt:variant>
        <vt:i4>0</vt:i4>
      </vt:variant>
      <vt:variant>
        <vt:i4>5</vt:i4>
      </vt:variant>
      <vt:variant>
        <vt:lpwstr/>
      </vt:variant>
      <vt:variant>
        <vt:lpwstr>_Toc333044905</vt:lpwstr>
      </vt:variant>
      <vt:variant>
        <vt:i4>1048637</vt:i4>
      </vt:variant>
      <vt:variant>
        <vt:i4>35</vt:i4>
      </vt:variant>
      <vt:variant>
        <vt:i4>0</vt:i4>
      </vt:variant>
      <vt:variant>
        <vt:i4>5</vt:i4>
      </vt:variant>
      <vt:variant>
        <vt:lpwstr/>
      </vt:variant>
      <vt:variant>
        <vt:lpwstr>_Toc333044904</vt:lpwstr>
      </vt:variant>
      <vt:variant>
        <vt:i4>1048637</vt:i4>
      </vt:variant>
      <vt:variant>
        <vt:i4>29</vt:i4>
      </vt:variant>
      <vt:variant>
        <vt:i4>0</vt:i4>
      </vt:variant>
      <vt:variant>
        <vt:i4>5</vt:i4>
      </vt:variant>
      <vt:variant>
        <vt:lpwstr/>
      </vt:variant>
      <vt:variant>
        <vt:lpwstr>_Toc333044903</vt:lpwstr>
      </vt:variant>
      <vt:variant>
        <vt:i4>1048637</vt:i4>
      </vt:variant>
      <vt:variant>
        <vt:i4>23</vt:i4>
      </vt:variant>
      <vt:variant>
        <vt:i4>0</vt:i4>
      </vt:variant>
      <vt:variant>
        <vt:i4>5</vt:i4>
      </vt:variant>
      <vt:variant>
        <vt:lpwstr/>
      </vt:variant>
      <vt:variant>
        <vt:lpwstr>_Toc333044902</vt:lpwstr>
      </vt:variant>
      <vt:variant>
        <vt:i4>1048637</vt:i4>
      </vt:variant>
      <vt:variant>
        <vt:i4>17</vt:i4>
      </vt:variant>
      <vt:variant>
        <vt:i4>0</vt:i4>
      </vt:variant>
      <vt:variant>
        <vt:i4>5</vt:i4>
      </vt:variant>
      <vt:variant>
        <vt:lpwstr/>
      </vt:variant>
      <vt:variant>
        <vt:lpwstr>_Toc333044901</vt:lpwstr>
      </vt:variant>
      <vt:variant>
        <vt:i4>1048637</vt:i4>
      </vt:variant>
      <vt:variant>
        <vt:i4>11</vt:i4>
      </vt:variant>
      <vt:variant>
        <vt:i4>0</vt:i4>
      </vt:variant>
      <vt:variant>
        <vt:i4>5</vt:i4>
      </vt:variant>
      <vt:variant>
        <vt:lpwstr/>
      </vt:variant>
      <vt:variant>
        <vt:lpwstr>_Toc333044900</vt:lpwstr>
      </vt:variant>
      <vt:variant>
        <vt:i4>1638460</vt:i4>
      </vt:variant>
      <vt:variant>
        <vt:i4>5</vt:i4>
      </vt:variant>
      <vt:variant>
        <vt:i4>0</vt:i4>
      </vt:variant>
      <vt:variant>
        <vt:i4>5</vt:i4>
      </vt:variant>
      <vt:variant>
        <vt:lpwstr/>
      </vt:variant>
      <vt:variant>
        <vt:lpwstr>_Toc333044899</vt:lpwstr>
      </vt:variant>
      <vt:variant>
        <vt:i4>6422538</vt:i4>
      </vt:variant>
      <vt:variant>
        <vt:i4>0</vt:i4>
      </vt:variant>
      <vt:variant>
        <vt:i4>0</vt:i4>
      </vt:variant>
      <vt:variant>
        <vt:i4>5</vt:i4>
      </vt:variant>
      <vt:variant>
        <vt:lpwstr>mailto:d.j.hall@gre.ac.uk</vt:lpwstr>
      </vt:variant>
      <vt:variant>
        <vt:lpwstr/>
      </vt:variant>
      <vt:variant>
        <vt:i4>6946902</vt:i4>
      </vt:variant>
      <vt:variant>
        <vt:i4>15</vt:i4>
      </vt:variant>
      <vt:variant>
        <vt:i4>0</vt:i4>
      </vt:variant>
      <vt:variant>
        <vt:i4>5</vt:i4>
      </vt:variant>
      <vt:variant>
        <vt:lpwstr>mailto:psiru@psiru.org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9</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ariant>
        <vt:i4>8126577</vt:i4>
      </vt:variant>
      <vt:variant>
        <vt:i4>123</vt:i4>
      </vt:variant>
      <vt:variant>
        <vt:i4>0</vt:i4>
      </vt:variant>
      <vt:variant>
        <vt:i4>5</vt:i4>
      </vt:variant>
      <vt:variant>
        <vt:lpwstr>http://curia.europa.eu/jurisp/cgi-bin/form.pl?lang=en&amp;newform=newform&amp;alljur=alljur&amp;jurcdj=jurcdj&amp;jurtpi=jurtpi&amp;jurtfp=jurtfp&amp;alldocrec=alldocrec&amp;docj=docj&amp;docor=docor&amp;docop=docop&amp;docav=docav&amp;docsom=docsom&amp;docinf=docinf&amp;alldocnorec=alldocnorec&amp;docnoj=docnoj&amp;docnoor=docnoor&amp;radtypeord=on&amp;typeord=ALL&amp;docnodecision=docnodecision&amp;allcommjo=allcommjo&amp;affint=affint&amp;affclose=affclose&amp;numaff=&amp;ddatefs=01&amp;mdatefs=01&amp;ydatefs=2006&amp;ddatefe=01&amp;mdatefe=11&amp;ydatefe=2009&amp;nomusuel=&amp;domaine=&amp;mots=waste+AND+Italy&amp;resmax=100&amp;Submit=Submit</vt:lpwstr>
      </vt:variant>
      <vt:variant>
        <vt:lpwstr/>
      </vt:variant>
      <vt:variant>
        <vt:i4>6291484</vt:i4>
      </vt:variant>
      <vt:variant>
        <vt:i4>120</vt:i4>
      </vt:variant>
      <vt:variant>
        <vt:i4>0</vt:i4>
      </vt:variant>
      <vt:variant>
        <vt:i4>5</vt:i4>
      </vt:variant>
      <vt:variant>
        <vt:lpwstr>http://www.ceep.eu/index.php?option=com_content&amp;view=article&amp;id=146%3Aceep-welcomes-a-further-step-towards-freedom-of-choice-for-local-authorities&amp;catid=1%3Alatest-news&amp;Itemid=1</vt:lpwstr>
      </vt:variant>
      <vt:variant>
        <vt:lpwstr/>
      </vt:variant>
      <vt:variant>
        <vt:i4>2162737</vt:i4>
      </vt:variant>
      <vt:variant>
        <vt:i4>117</vt:i4>
      </vt:variant>
      <vt:variant>
        <vt:i4>0</vt:i4>
      </vt:variant>
      <vt:variant>
        <vt:i4>5</vt:i4>
      </vt:variant>
      <vt:variant>
        <vt:lpwstr>http://curia.europa.eu/jurisp/cgi-bin/form.pl?lang=en&amp;alljur=alljur&amp;jurcdj=jurcdj&amp;jurtpi=jurtpi&amp;jurtfp=jurtfp&amp;numaff=&amp;nomusuel=&amp;ddatefs=08&amp;mdatefs=06&amp;ydatefs=2009&amp;ddatefe=10&amp;mdatefe=06&amp;ydatefe=2009&amp;docnodecision=docnodecision&amp;allcommjo=allcommjo&amp;affint=affint&amp;affclose=affclose&amp;alldocrec=alldocrec&amp;docor=docor&amp;docav=docav&amp;docsom=docsom&amp;docinf=docinf&amp;alldocnorec=alldocnorec&amp;docnoor=docnoor&amp;radtypeord=on&amp;newform=newform&amp;docj=docj&amp;docop=docop&amp;docnoj=docnoj&amp;typeord=ALL&amp;domaine=&amp;mots=&amp;resmax=100&amp;Submit=Rechercher</vt:lpwstr>
      </vt:variant>
      <vt:variant>
        <vt:lpwstr/>
      </vt:variant>
      <vt:variant>
        <vt:i4>8126577</vt:i4>
      </vt:variant>
      <vt:variant>
        <vt:i4>114</vt:i4>
      </vt:variant>
      <vt:variant>
        <vt:i4>0</vt:i4>
      </vt:variant>
      <vt:variant>
        <vt:i4>5</vt:i4>
      </vt:variant>
      <vt:variant>
        <vt:lpwstr>http://curia.europa.eu/jurisp/cgi-bin/form.pl?lang=en&amp;newform=newform&amp;alljur=alljur&amp;jurcdj=jurcdj&amp;jurtpi=jurtpi&amp;jurtfp=jurtfp&amp;alldocrec=alldocrec&amp;docj=docj&amp;docor=docor&amp;docop=docop&amp;docav=docav&amp;docsom=docsom&amp;docinf=docinf&amp;alldocnorec=alldocnorec&amp;docnoj=docnoj&amp;docnoor=docnoor&amp;radtypeord=on&amp;typeord=ALL&amp;docnodecision=docnodecision&amp;allcommjo=allcommjo&amp;affint=affint&amp;affclose=affclose&amp;numaff=&amp;ddatefs=01&amp;mdatefs=01&amp;ydatefs=2007&amp;ddatefe=01&amp;mdatefe=12&amp;ydatefe=2009&amp;nomusuel=&amp;domaine=&amp;mots=%22waste+management%22&amp;resmax=100&amp;Submit=Submit</vt:lpwstr>
      </vt:variant>
      <vt:variant>
        <vt:lpwstr/>
      </vt:variant>
      <vt:variant>
        <vt:i4>2949237</vt:i4>
      </vt:variant>
      <vt:variant>
        <vt:i4>111</vt:i4>
      </vt:variant>
      <vt:variant>
        <vt:i4>0</vt:i4>
      </vt:variant>
      <vt:variant>
        <vt:i4>5</vt:i4>
      </vt:variant>
      <vt:variant>
        <vt:lpwstr>http://www.euronews.net/2008/05/06/italy-s-rubbish-handling-festers-all-the-way-to-the-ecj/</vt:lpwstr>
      </vt:variant>
      <vt:variant>
        <vt:lpwstr/>
      </vt:variant>
      <vt:variant>
        <vt:i4>3538986</vt:i4>
      </vt:variant>
      <vt:variant>
        <vt:i4>108</vt:i4>
      </vt:variant>
      <vt:variant>
        <vt:i4>0</vt:i4>
      </vt:variant>
      <vt:variant>
        <vt:i4>5</vt:i4>
      </vt:variant>
      <vt:variant>
        <vt:lpwstr>http://europa.eu/rapid/pressReleasesAction.do?reference=IP/08/705&amp;</vt:lpwstr>
      </vt:variant>
      <vt:variant>
        <vt:lpwstr>fnB2</vt:lpwstr>
      </vt:variant>
      <vt:variant>
        <vt:i4>1835010</vt:i4>
      </vt:variant>
      <vt:variant>
        <vt:i4>105</vt:i4>
      </vt:variant>
      <vt:variant>
        <vt:i4>0</vt:i4>
      </vt:variant>
      <vt:variant>
        <vt:i4>5</vt:i4>
      </vt:variant>
      <vt:variant>
        <vt:lpwstr>http://ec.europa.eu/environment/legal/law/statistics.htm</vt:lpwstr>
      </vt:variant>
      <vt:variant>
        <vt:lpwstr/>
      </vt:variant>
      <vt:variant>
        <vt:i4>5963787</vt:i4>
      </vt:variant>
      <vt:variant>
        <vt:i4>102</vt:i4>
      </vt:variant>
      <vt:variant>
        <vt:i4>0</vt:i4>
      </vt:variant>
      <vt:variant>
        <vt:i4>5</vt:i4>
      </vt:variant>
      <vt:variant>
        <vt:lpwstr>http://jno.hu/en/?&amp;menu=downloads&amp;doc=ECJ_case_law</vt:lpwstr>
      </vt:variant>
      <vt:variant>
        <vt:lpwstr/>
      </vt:variant>
      <vt:variant>
        <vt:i4>131166</vt:i4>
      </vt:variant>
      <vt:variant>
        <vt:i4>99</vt:i4>
      </vt:variant>
      <vt:variant>
        <vt:i4>0</vt:i4>
      </vt:variant>
      <vt:variant>
        <vt:i4>5</vt:i4>
      </vt:variant>
      <vt:variant>
        <vt:lpwstr>http://jno.hu/en/?&amp;menu=commissioner</vt:lpwstr>
      </vt:variant>
      <vt:variant>
        <vt:lpwstr/>
      </vt:variant>
      <vt:variant>
        <vt:i4>458841</vt:i4>
      </vt:variant>
      <vt:variant>
        <vt:i4>96</vt:i4>
      </vt:variant>
      <vt:variant>
        <vt:i4>0</vt:i4>
      </vt:variant>
      <vt:variant>
        <vt:i4>5</vt:i4>
      </vt:variant>
      <vt:variant>
        <vt:lpwstr>http://jno.hu/en</vt:lpwstr>
      </vt:variant>
      <vt:variant>
        <vt:lpwstr/>
      </vt:variant>
      <vt:variant>
        <vt:i4>7667773</vt:i4>
      </vt:variant>
      <vt:variant>
        <vt:i4>93</vt:i4>
      </vt:variant>
      <vt:variant>
        <vt:i4>0</vt:i4>
      </vt:variant>
      <vt:variant>
        <vt:i4>5</vt:i4>
      </vt:variant>
      <vt:variant>
        <vt:lpwstr>http://eur-lex.europa.eu/LexUriServ/LexUriServ.do?uri=OJ:L:2008:312:0003:01:EN:HTML</vt:lpwstr>
      </vt:variant>
      <vt:variant>
        <vt:lpwstr/>
      </vt:variant>
      <vt:variant>
        <vt:i4>7667773</vt:i4>
      </vt:variant>
      <vt:variant>
        <vt:i4>90</vt:i4>
      </vt:variant>
      <vt:variant>
        <vt:i4>0</vt:i4>
      </vt:variant>
      <vt:variant>
        <vt:i4>5</vt:i4>
      </vt:variant>
      <vt:variant>
        <vt:lpwstr>http://eur-lex.europa.eu/LexUriServ/LexUriServ.do?uri=OJ:L:2008:312:0003:01:EN:HTML</vt:lpwstr>
      </vt:variant>
      <vt:variant>
        <vt:lpwstr/>
      </vt:variant>
      <vt:variant>
        <vt:i4>7667773</vt:i4>
      </vt:variant>
      <vt:variant>
        <vt:i4>87</vt:i4>
      </vt:variant>
      <vt:variant>
        <vt:i4>0</vt:i4>
      </vt:variant>
      <vt:variant>
        <vt:i4>5</vt:i4>
      </vt:variant>
      <vt:variant>
        <vt:lpwstr>http://eur-lex.europa.eu/LexUriServ/LexUriServ.do?uri=OJ:L:2008:312:0003:01:EN:HTML</vt:lpwstr>
      </vt:variant>
      <vt:variant>
        <vt:lpwstr/>
      </vt:variant>
      <vt:variant>
        <vt:i4>3473466</vt:i4>
      </vt:variant>
      <vt:variant>
        <vt:i4>84</vt:i4>
      </vt:variant>
      <vt:variant>
        <vt:i4>0</vt:i4>
      </vt:variant>
      <vt:variant>
        <vt:i4>5</vt:i4>
      </vt:variant>
      <vt:variant>
        <vt:lpwstr>http://www.psiru.org/reports/2008-11-munic.doc</vt:lpwstr>
      </vt:variant>
      <vt:variant>
        <vt:lpwstr/>
      </vt:variant>
      <vt:variant>
        <vt:i4>2949239</vt:i4>
      </vt:variant>
      <vt:variant>
        <vt:i4>81</vt:i4>
      </vt:variant>
      <vt:variant>
        <vt:i4>0</vt:i4>
      </vt:variant>
      <vt:variant>
        <vt:i4>5</vt:i4>
      </vt:variant>
      <vt:variant>
        <vt:lpwstr>http://www.psiru.org/reports/2009-07-PE-WEF.doc</vt:lpwstr>
      </vt:variant>
      <vt:variant>
        <vt:lpwstr/>
      </vt:variant>
      <vt:variant>
        <vt:i4>3473466</vt:i4>
      </vt:variant>
      <vt:variant>
        <vt:i4>78</vt:i4>
      </vt:variant>
      <vt:variant>
        <vt:i4>0</vt:i4>
      </vt:variant>
      <vt:variant>
        <vt:i4>5</vt:i4>
      </vt:variant>
      <vt:variant>
        <vt:lpwstr>http://www.psiru.org/reports/2008-11-munic.doc</vt:lpwstr>
      </vt:variant>
      <vt:variant>
        <vt:lpwstr/>
      </vt:variant>
      <vt:variant>
        <vt:i4>5898331</vt:i4>
      </vt:variant>
      <vt:variant>
        <vt:i4>75</vt:i4>
      </vt:variant>
      <vt:variant>
        <vt:i4>0</vt:i4>
      </vt:variant>
      <vt:variant>
        <vt:i4>5</vt:i4>
      </vt:variant>
      <vt:variant>
        <vt:lpwstr>http://www.afscmeinfocenter.org/2009/10/forty-years-since-king-the-memphis-sanitation-strike.htm</vt:lpwstr>
      </vt:variant>
      <vt:variant>
        <vt:lpwstr/>
      </vt:variant>
      <vt:variant>
        <vt:i4>4456521</vt:i4>
      </vt:variant>
      <vt:variant>
        <vt:i4>72</vt:i4>
      </vt:variant>
      <vt:variant>
        <vt:i4>0</vt:i4>
      </vt:variant>
      <vt:variant>
        <vt:i4>5</vt:i4>
      </vt:variant>
      <vt:variant>
        <vt:lpwstr>http://libcom.org/news/france-binmen-strike-over-pay-03042007</vt:lpwstr>
      </vt:variant>
      <vt:variant>
        <vt:lpwstr/>
      </vt:variant>
      <vt:variant>
        <vt:i4>6815780</vt:i4>
      </vt:variant>
      <vt:variant>
        <vt:i4>69</vt:i4>
      </vt:variant>
      <vt:variant>
        <vt:i4>0</vt:i4>
      </vt:variant>
      <vt:variant>
        <vt:i4>5</vt:i4>
      </vt:variant>
      <vt:variant>
        <vt:lpwstr>http://ec.europa.eu/social/BlobServlet?docId=3761&amp;langId=en</vt:lpwstr>
      </vt:variant>
      <vt:variant>
        <vt:lpwstr/>
      </vt:variant>
      <vt:variant>
        <vt:i4>7667748</vt:i4>
      </vt:variant>
      <vt:variant>
        <vt:i4>66</vt:i4>
      </vt:variant>
      <vt:variant>
        <vt:i4>0</vt:i4>
      </vt:variant>
      <vt:variant>
        <vt:i4>5</vt:i4>
      </vt:variant>
      <vt:variant>
        <vt:lpwstr>http://www.psiru.org/reports/2007-06-G-EWCs.doc</vt:lpwstr>
      </vt:variant>
      <vt:variant>
        <vt:lpwstr/>
      </vt:variant>
      <vt:variant>
        <vt:i4>3473508</vt:i4>
      </vt:variant>
      <vt:variant>
        <vt:i4>63</vt:i4>
      </vt:variant>
      <vt:variant>
        <vt:i4>0</vt:i4>
      </vt:variant>
      <vt:variant>
        <vt:i4>5</vt:i4>
      </vt:variant>
      <vt:variant>
        <vt:lpwstr>http://www.psiru.org/reports/2006-02-G-EUwaste.doc</vt:lpwstr>
      </vt:variant>
      <vt:variant>
        <vt:lpwstr/>
      </vt:variant>
      <vt:variant>
        <vt:i4>6815780</vt:i4>
      </vt:variant>
      <vt:variant>
        <vt:i4>60</vt:i4>
      </vt:variant>
      <vt:variant>
        <vt:i4>0</vt:i4>
      </vt:variant>
      <vt:variant>
        <vt:i4>5</vt:i4>
      </vt:variant>
      <vt:variant>
        <vt:lpwstr>http://ec.europa.eu/social/BlobServlet?docId=3761&amp;langId=en</vt:lpwstr>
      </vt:variant>
      <vt:variant>
        <vt:lpwstr/>
      </vt:variant>
      <vt:variant>
        <vt:i4>6815780</vt:i4>
      </vt:variant>
      <vt:variant>
        <vt:i4>57</vt:i4>
      </vt:variant>
      <vt:variant>
        <vt:i4>0</vt:i4>
      </vt:variant>
      <vt:variant>
        <vt:i4>5</vt:i4>
      </vt:variant>
      <vt:variant>
        <vt:lpwstr>http://ec.europa.eu/social/BlobServlet?docId=3761&amp;langId=en</vt:lpwstr>
      </vt:variant>
      <vt:variant>
        <vt:lpwstr/>
      </vt:variant>
      <vt:variant>
        <vt:i4>3014679</vt:i4>
      </vt:variant>
      <vt:variant>
        <vt:i4>54</vt:i4>
      </vt:variant>
      <vt:variant>
        <vt:i4>0</vt:i4>
      </vt:variant>
      <vt:variant>
        <vt:i4>5</vt:i4>
      </vt:variant>
      <vt:variant>
        <vt:lpwstr>http://www.ceep.eu/index.php?searchword=waste&amp;ordering=&amp;searchphrase=all&amp;Itemid=1&amp;option=com_search</vt:lpwstr>
      </vt:variant>
      <vt:variant>
        <vt:lpwstr/>
      </vt:variant>
      <vt:variant>
        <vt:i4>4456452</vt:i4>
      </vt:variant>
      <vt:variant>
        <vt:i4>51</vt:i4>
      </vt:variant>
      <vt:variant>
        <vt:i4>0</vt:i4>
      </vt:variant>
      <vt:variant>
        <vt:i4>5</vt:i4>
      </vt:variant>
      <vt:variant>
        <vt:lpwstr>http://www.bankwatch.org/</vt:lpwstr>
      </vt:variant>
      <vt:variant>
        <vt:lpwstr/>
      </vt:variant>
      <vt:variant>
        <vt:i4>1245241</vt:i4>
      </vt:variant>
      <vt:variant>
        <vt:i4>48</vt:i4>
      </vt:variant>
      <vt:variant>
        <vt:i4>0</vt:i4>
      </vt:variant>
      <vt:variant>
        <vt:i4>5</vt:i4>
      </vt:variant>
      <vt:variant>
        <vt:lpwstr>http://www.bankwatch.org/billions/files/Letter_FoEE-BW_to_ Barroso-11-05-09.pdf</vt:lpwstr>
      </vt:variant>
      <vt:variant>
        <vt:lpwstr/>
      </vt:variant>
      <vt:variant>
        <vt:i4>852004</vt:i4>
      </vt:variant>
      <vt:variant>
        <vt:i4>45</vt:i4>
      </vt:variant>
      <vt:variant>
        <vt:i4>0</vt:i4>
      </vt:variant>
      <vt:variant>
        <vt:i4>5</vt:i4>
      </vt:variant>
      <vt:variant>
        <vt:lpwstr>http://www.ub.edu/irea/working_papers/2009/200923.pdf</vt:lpwstr>
      </vt:variant>
      <vt:variant>
        <vt:lpwstr/>
      </vt:variant>
      <vt:variant>
        <vt:i4>4390921</vt:i4>
      </vt:variant>
      <vt:variant>
        <vt:i4>42</vt:i4>
      </vt:variant>
      <vt:variant>
        <vt:i4>0</vt:i4>
      </vt:variant>
      <vt:variant>
        <vt:i4>5</vt:i4>
      </vt:variant>
      <vt:variant>
        <vt:lpwstr>http://www.psiru.org/reports/2005-10-W-effic.doc</vt:lpwstr>
      </vt:variant>
      <vt:variant>
        <vt:lpwstr/>
      </vt:variant>
      <vt:variant>
        <vt:i4>5570591</vt:i4>
      </vt:variant>
      <vt:variant>
        <vt:i4>39</vt:i4>
      </vt:variant>
      <vt:variant>
        <vt:i4>0</vt:i4>
      </vt:variant>
      <vt:variant>
        <vt:i4>5</vt:i4>
      </vt:variant>
      <vt:variant>
        <vt:lpwstr>http://www.psiru.org/reports/2009-03-W-companies.doc</vt:lpwstr>
      </vt:variant>
      <vt:variant>
        <vt:lpwstr/>
      </vt:variant>
      <vt:variant>
        <vt:i4>5242891</vt:i4>
      </vt:variant>
      <vt:variant>
        <vt:i4>36</vt:i4>
      </vt:variant>
      <vt:variant>
        <vt:i4>0</vt:i4>
      </vt:variant>
      <vt:variant>
        <vt:i4>5</vt:i4>
      </vt:variant>
      <vt:variant>
        <vt:lpwstr>http://www.psiru.org/reports/2009-12-E-Indon.doc</vt:lpwstr>
      </vt:variant>
      <vt:variant>
        <vt:lpwstr/>
      </vt:variant>
      <vt:variant>
        <vt:i4>7078015</vt:i4>
      </vt:variant>
      <vt:variant>
        <vt:i4>33</vt:i4>
      </vt:variant>
      <vt:variant>
        <vt:i4>0</vt:i4>
      </vt:variant>
      <vt:variant>
        <vt:i4>5</vt:i4>
      </vt:variant>
      <vt:variant>
        <vt:lpwstr>http://www.hub-4.com/news/4806/covanta-energy-signs-agreement-with-gmb-union-as-company-plans-to-build-cheshire-energy-from-waste-facility</vt:lpwstr>
      </vt:variant>
      <vt:variant>
        <vt:lpwstr/>
      </vt:variant>
      <vt:variant>
        <vt:i4>70</vt:i4>
      </vt:variant>
      <vt:variant>
        <vt:i4>30</vt:i4>
      </vt:variant>
      <vt:variant>
        <vt:i4>0</vt:i4>
      </vt:variant>
      <vt:variant>
        <vt:i4>5</vt:i4>
      </vt:variant>
      <vt:variant>
        <vt:lpwstr>http://www.hub-4.com/news/5006/commercial-waste-strategy-will-save-local-authorities-millions</vt:lpwstr>
      </vt:variant>
      <vt:variant>
        <vt:lpwstr/>
      </vt:variant>
      <vt:variant>
        <vt:i4>3145841</vt:i4>
      </vt:variant>
      <vt:variant>
        <vt:i4>27</vt:i4>
      </vt:variant>
      <vt:variant>
        <vt:i4>0</vt:i4>
      </vt:variant>
      <vt:variant>
        <vt:i4>5</vt:i4>
      </vt:variant>
      <vt:variant>
        <vt:lpwstr>http://www.ft.com/cms/s/0/d80835d6-e121-11e1-839a-00144feab49a.html</vt:lpwstr>
      </vt:variant>
      <vt:variant>
        <vt:lpwstr>axzz23vxDmGso</vt:lpwstr>
      </vt:variant>
      <vt:variant>
        <vt:i4>5242955</vt:i4>
      </vt:variant>
      <vt:variant>
        <vt:i4>24</vt:i4>
      </vt:variant>
      <vt:variant>
        <vt:i4>0</vt:i4>
      </vt:variant>
      <vt:variant>
        <vt:i4>5</vt:i4>
      </vt:variant>
      <vt:variant>
        <vt:lpwstr>http://www2.ademe.fr/</vt:lpwstr>
      </vt:variant>
      <vt:variant>
        <vt:lpwstr/>
      </vt:variant>
      <vt:variant>
        <vt:i4>2097168</vt:i4>
      </vt:variant>
      <vt:variant>
        <vt:i4>21</vt:i4>
      </vt:variant>
      <vt:variant>
        <vt:i4>0</vt:i4>
      </vt:variant>
      <vt:variant>
        <vt:i4>5</vt:i4>
      </vt:variant>
      <vt:variant>
        <vt:lpwstr>http://www.lexisnexis.com/uk/nexis/results/docview/docview.do?docLinkInd=true&amp;risb=21_T8621427685&amp;format=GNBFULL&amp;sort=BOOLEAN&amp;startDocNo=1&amp;resultsUrlKey=29_T8621427688&amp;cisb=22_T8621427687&amp;treeMax=false&amp;treeWidth=0&amp;csi=305050&amp;docNo=37</vt:lpwstr>
      </vt:variant>
      <vt:variant>
        <vt:lpwstr/>
      </vt:variant>
      <vt:variant>
        <vt:i4>6750259</vt:i4>
      </vt:variant>
      <vt:variant>
        <vt:i4>18</vt:i4>
      </vt:variant>
      <vt:variant>
        <vt:i4>0</vt:i4>
      </vt:variant>
      <vt:variant>
        <vt:i4>5</vt:i4>
      </vt:variant>
      <vt:variant>
        <vt:lpwstr>http://www.fead.be/</vt:lpwstr>
      </vt:variant>
      <vt:variant>
        <vt:lpwstr/>
      </vt:variant>
      <vt:variant>
        <vt:i4>5242955</vt:i4>
      </vt:variant>
      <vt:variant>
        <vt:i4>15</vt:i4>
      </vt:variant>
      <vt:variant>
        <vt:i4>0</vt:i4>
      </vt:variant>
      <vt:variant>
        <vt:i4>5</vt:i4>
      </vt:variant>
      <vt:variant>
        <vt:lpwstr>http://www2.ademe.fr/</vt:lpwstr>
      </vt:variant>
      <vt:variant>
        <vt:lpwstr/>
      </vt:variant>
      <vt:variant>
        <vt:i4>7733327</vt:i4>
      </vt:variant>
      <vt:variant>
        <vt:i4>12</vt:i4>
      </vt:variant>
      <vt:variant>
        <vt:i4>0</vt:i4>
      </vt:variant>
      <vt:variant>
        <vt:i4>5</vt:i4>
      </vt:variant>
      <vt:variant>
        <vt:lpwstr>http://www.veolia-environmentalservices.com/documents/200908060937-RESULTATS-SEM-2009_en.pdf</vt:lpwstr>
      </vt:variant>
      <vt:variant>
        <vt:lpwstr/>
      </vt:variant>
      <vt:variant>
        <vt:i4>7995489</vt:i4>
      </vt:variant>
      <vt:variant>
        <vt:i4>9</vt:i4>
      </vt:variant>
      <vt:variant>
        <vt:i4>0</vt:i4>
      </vt:variant>
      <vt:variant>
        <vt:i4>5</vt:i4>
      </vt:variant>
      <vt:variant>
        <vt:lpwstr>http://www.ceep.eu/images/stories/pdf/events/16072009/ruedriger-siechau-en.pdf</vt:lpwstr>
      </vt:variant>
      <vt:variant>
        <vt:lpwstr/>
      </vt:variant>
      <vt:variant>
        <vt:i4>7995489</vt:i4>
      </vt:variant>
      <vt:variant>
        <vt:i4>6</vt:i4>
      </vt:variant>
      <vt:variant>
        <vt:i4>0</vt:i4>
      </vt:variant>
      <vt:variant>
        <vt:i4>5</vt:i4>
      </vt:variant>
      <vt:variant>
        <vt:lpwstr>http://www.ceep.eu/images/stories/pdf/events/16072009/ruedriger-siechau-en.pdf</vt:lpwstr>
      </vt:variant>
      <vt:variant>
        <vt:lpwstr/>
      </vt:variant>
      <vt:variant>
        <vt:i4>3932287</vt:i4>
      </vt:variant>
      <vt:variant>
        <vt:i4>3</vt:i4>
      </vt:variant>
      <vt:variant>
        <vt:i4>0</vt:i4>
      </vt:variant>
      <vt:variant>
        <vt:i4>5</vt:i4>
      </vt:variant>
      <vt:variant>
        <vt:lpwstr>http://www.ceep.eu/images/stories/pdf/events/16072009/ilie-brie.pdf</vt:lpwstr>
      </vt:variant>
      <vt:variant>
        <vt:lpwstr/>
      </vt:variant>
      <vt:variant>
        <vt:i4>3932184</vt:i4>
      </vt:variant>
      <vt:variant>
        <vt:i4>0</vt:i4>
      </vt:variant>
      <vt:variant>
        <vt:i4>0</vt:i4>
      </vt:variant>
      <vt:variant>
        <vt:i4>5</vt:i4>
      </vt:variant>
      <vt:variant>
        <vt:lpwstr>http://www.eds-destatis.de/en/press/download/09_03/031-2009-03-09.pdf</vt:lpwstr>
      </vt:variant>
      <vt:variant>
        <vt:lpwstr/>
      </vt:variant>
      <vt:variant>
        <vt:i4>5111901</vt:i4>
      </vt:variant>
      <vt:variant>
        <vt:i4>3</vt:i4>
      </vt:variant>
      <vt:variant>
        <vt:i4>0</vt:i4>
      </vt:variant>
      <vt:variant>
        <vt:i4>5</vt:i4>
      </vt:variant>
      <vt:variant>
        <vt:lpwstr>http://www.epsu.org/</vt:lpwstr>
      </vt:variant>
      <vt:variant>
        <vt:lpwstr/>
      </vt:variant>
      <vt:variant>
        <vt:i4>5111901</vt:i4>
      </vt:variant>
      <vt:variant>
        <vt:i4>0</vt:i4>
      </vt:variant>
      <vt:variant>
        <vt:i4>0</vt:i4>
      </vt:variant>
      <vt:variant>
        <vt:i4>5</vt:i4>
      </vt:variant>
      <vt:variant>
        <vt:lpwstr>http://www.epsu.org/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Hall</cp:lastModifiedBy>
  <cp:revision>9</cp:revision>
  <cp:lastPrinted>2012-09-20T16:54:00Z</cp:lastPrinted>
  <dcterms:created xsi:type="dcterms:W3CDTF">2012-09-18T15:52:00Z</dcterms:created>
  <dcterms:modified xsi:type="dcterms:W3CDTF">2012-09-24T15:31:00Z</dcterms:modified>
</cp:coreProperties>
</file>