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3E3DE" w14:textId="77777777" w:rsidR="00082723" w:rsidRPr="003813A8" w:rsidRDefault="003813A8">
      <w:pPr>
        <w:spacing w:after="160"/>
        <w:ind w:left="-5"/>
        <w:rPr>
          <w:rFonts w:asciiTheme="minorHAnsi" w:hAnsiTheme="minorHAnsi" w:cstheme="minorHAnsi"/>
          <w:sz w:val="24"/>
          <w:szCs w:val="24"/>
        </w:rPr>
      </w:pPr>
      <w:r w:rsidRPr="003813A8">
        <w:rPr>
          <w:rFonts w:asciiTheme="minorHAnsi" w:hAnsiTheme="minorHAnsi" w:cstheme="minorHAnsi"/>
          <w:b/>
          <w:sz w:val="24"/>
          <w:szCs w:val="24"/>
        </w:rPr>
        <w:t xml:space="preserve">Keynote </w:t>
      </w:r>
    </w:p>
    <w:p w14:paraId="05E9854F"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 xml:space="preserve">Progresses, Setbacks and New Challenges for Equality Diversity and Inclusion in 2020 </w:t>
      </w:r>
    </w:p>
    <w:p w14:paraId="6AABCA04" w14:textId="77777777" w:rsidR="00082723" w:rsidRPr="003813A8" w:rsidRDefault="003813A8">
      <w:pPr>
        <w:spacing w:after="160"/>
        <w:ind w:left="0" w:firstLine="0"/>
        <w:rPr>
          <w:rFonts w:asciiTheme="minorHAnsi" w:hAnsiTheme="minorHAnsi" w:cstheme="minorHAnsi"/>
          <w:sz w:val="24"/>
          <w:szCs w:val="24"/>
        </w:rPr>
      </w:pPr>
      <w:r w:rsidRPr="003813A8">
        <w:rPr>
          <w:rFonts w:asciiTheme="minorHAnsi" w:hAnsiTheme="minorHAnsi" w:cstheme="minorHAnsi"/>
          <w:b/>
          <w:sz w:val="24"/>
          <w:szCs w:val="24"/>
        </w:rPr>
        <w:t xml:space="preserve"> </w:t>
      </w:r>
    </w:p>
    <w:p w14:paraId="5B71DCA2" w14:textId="77777777" w:rsidR="00082723" w:rsidRPr="003813A8" w:rsidRDefault="003813A8">
      <w:pPr>
        <w:pStyle w:val="Heading1"/>
        <w:ind w:left="-5"/>
        <w:rPr>
          <w:rFonts w:asciiTheme="minorHAnsi" w:hAnsiTheme="minorHAnsi" w:cstheme="minorHAnsi"/>
          <w:sz w:val="24"/>
          <w:szCs w:val="24"/>
        </w:rPr>
      </w:pPr>
      <w:r w:rsidRPr="003813A8">
        <w:rPr>
          <w:rFonts w:asciiTheme="minorHAnsi" w:hAnsiTheme="minorHAnsi" w:cstheme="minorHAnsi"/>
          <w:sz w:val="24"/>
          <w:szCs w:val="24"/>
        </w:rPr>
        <w:t xml:space="preserve">Dr Fiona Bartels-Ellis OBE </w:t>
      </w:r>
    </w:p>
    <w:p w14:paraId="7D96ED0B" w14:textId="2704A9ED" w:rsidR="00082723" w:rsidRPr="003813A8" w:rsidRDefault="003813A8" w:rsidP="003813A8">
      <w:pPr>
        <w:spacing w:after="111"/>
        <w:ind w:left="0" w:firstLine="0"/>
        <w:rPr>
          <w:rFonts w:asciiTheme="minorHAnsi" w:hAnsiTheme="minorHAnsi" w:cstheme="minorHAnsi"/>
          <w:sz w:val="24"/>
          <w:szCs w:val="24"/>
        </w:rPr>
      </w:pPr>
      <w:r w:rsidRPr="003813A8">
        <w:rPr>
          <w:rFonts w:asciiTheme="minorHAnsi" w:hAnsiTheme="minorHAnsi" w:cstheme="minorHAnsi"/>
          <w:sz w:val="24"/>
          <w:szCs w:val="24"/>
        </w:rPr>
        <w:t xml:space="preserve"> </w:t>
      </w:r>
      <w:r w:rsidRPr="003813A8">
        <w:rPr>
          <w:rFonts w:asciiTheme="minorHAnsi" w:hAnsiTheme="minorHAnsi" w:cstheme="minorHAnsi"/>
          <w:noProof/>
          <w:sz w:val="24"/>
          <w:szCs w:val="24"/>
        </w:rPr>
        <w:drawing>
          <wp:inline distT="0" distB="0" distL="0" distR="0" wp14:anchorId="3D904342" wp14:editId="62711377">
            <wp:extent cx="2133473" cy="1598930"/>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4"/>
                    <a:stretch>
                      <a:fillRect/>
                    </a:stretch>
                  </pic:blipFill>
                  <pic:spPr>
                    <a:xfrm>
                      <a:off x="0" y="0"/>
                      <a:ext cx="2133473" cy="1598930"/>
                    </a:xfrm>
                    <a:prstGeom prst="rect">
                      <a:avLst/>
                    </a:prstGeom>
                  </pic:spPr>
                </pic:pic>
              </a:graphicData>
            </a:graphic>
          </wp:inline>
        </w:drawing>
      </w:r>
    </w:p>
    <w:p w14:paraId="2210B1F0" w14:textId="77777777" w:rsidR="00082723" w:rsidRPr="003813A8" w:rsidRDefault="003813A8">
      <w:pPr>
        <w:spacing w:after="3"/>
        <w:ind w:left="-5"/>
        <w:rPr>
          <w:rFonts w:asciiTheme="minorHAnsi" w:hAnsiTheme="minorHAnsi" w:cstheme="minorHAnsi"/>
          <w:sz w:val="24"/>
          <w:szCs w:val="24"/>
        </w:rPr>
      </w:pPr>
      <w:r w:rsidRPr="003813A8">
        <w:rPr>
          <w:rFonts w:asciiTheme="minorHAnsi" w:hAnsiTheme="minorHAnsi" w:cstheme="minorHAnsi"/>
          <w:sz w:val="24"/>
          <w:szCs w:val="24"/>
        </w:rPr>
        <w:t xml:space="preserve">Fiona is Global Head of Equality, </w:t>
      </w:r>
      <w:proofErr w:type="gramStart"/>
      <w:r w:rsidRPr="003813A8">
        <w:rPr>
          <w:rFonts w:asciiTheme="minorHAnsi" w:hAnsiTheme="minorHAnsi" w:cstheme="minorHAnsi"/>
          <w:sz w:val="24"/>
          <w:szCs w:val="24"/>
        </w:rPr>
        <w:t>Diversity</w:t>
      </w:r>
      <w:proofErr w:type="gramEnd"/>
      <w:r w:rsidRPr="003813A8">
        <w:rPr>
          <w:rFonts w:asciiTheme="minorHAnsi" w:hAnsiTheme="minorHAnsi" w:cstheme="minorHAnsi"/>
          <w:sz w:val="24"/>
          <w:szCs w:val="24"/>
        </w:rPr>
        <w:t xml:space="preserve"> and Inclusion (EDI) at the British Council. She has responsibility for setting and driving the strategic direction of EDI across offices in over 110 countries and territories. She is a member of the Higher Educat</w:t>
      </w:r>
      <w:r w:rsidRPr="003813A8">
        <w:rPr>
          <w:rFonts w:asciiTheme="minorHAnsi" w:hAnsiTheme="minorHAnsi" w:cstheme="minorHAnsi"/>
          <w:sz w:val="24"/>
          <w:szCs w:val="24"/>
        </w:rPr>
        <w:t xml:space="preserve">ion Academy and her local Race Equality Council, a Fellow of the Royal Society of </w:t>
      </w:r>
      <w:proofErr w:type="gramStart"/>
      <w:r w:rsidRPr="003813A8">
        <w:rPr>
          <w:rFonts w:asciiTheme="minorHAnsi" w:hAnsiTheme="minorHAnsi" w:cstheme="minorHAnsi"/>
          <w:sz w:val="24"/>
          <w:szCs w:val="24"/>
        </w:rPr>
        <w:t>Arts</w:t>
      </w:r>
      <w:proofErr w:type="gramEnd"/>
      <w:r w:rsidRPr="003813A8">
        <w:rPr>
          <w:rFonts w:asciiTheme="minorHAnsi" w:hAnsiTheme="minorHAnsi" w:cstheme="minorHAnsi"/>
          <w:sz w:val="24"/>
          <w:szCs w:val="24"/>
        </w:rPr>
        <w:t xml:space="preserve"> and a Trustee of AGF supporting gifted and talented </w:t>
      </w:r>
    </w:p>
    <w:p w14:paraId="7587103D" w14:textId="77777777" w:rsidR="00082723" w:rsidRPr="003813A8" w:rsidRDefault="003813A8">
      <w:pPr>
        <w:spacing w:after="1"/>
        <w:ind w:left="-5"/>
        <w:rPr>
          <w:rFonts w:asciiTheme="minorHAnsi" w:hAnsiTheme="minorHAnsi" w:cstheme="minorHAnsi"/>
          <w:sz w:val="24"/>
          <w:szCs w:val="24"/>
        </w:rPr>
      </w:pPr>
      <w:r w:rsidRPr="003813A8">
        <w:rPr>
          <w:rFonts w:asciiTheme="minorHAnsi" w:hAnsiTheme="minorHAnsi" w:cstheme="minorHAnsi"/>
          <w:sz w:val="24"/>
          <w:szCs w:val="24"/>
        </w:rPr>
        <w:t xml:space="preserve">African girls in science.  Her qualifications include an Advanced Diploma in Social Work, a Post </w:t>
      </w:r>
    </w:p>
    <w:p w14:paraId="5986DC02"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Graduate Certifica</w:t>
      </w:r>
      <w:r w:rsidRPr="003813A8">
        <w:rPr>
          <w:rFonts w:asciiTheme="minorHAnsi" w:hAnsiTheme="minorHAnsi" w:cstheme="minorHAnsi"/>
          <w:sz w:val="24"/>
          <w:szCs w:val="24"/>
        </w:rPr>
        <w:t xml:space="preserve">te in Higher Education, an </w:t>
      </w:r>
      <w:proofErr w:type="spellStart"/>
      <w:proofErr w:type="gramStart"/>
      <w:r w:rsidRPr="003813A8">
        <w:rPr>
          <w:rFonts w:asciiTheme="minorHAnsi" w:hAnsiTheme="minorHAnsi" w:cstheme="minorHAnsi"/>
          <w:sz w:val="24"/>
          <w:szCs w:val="24"/>
        </w:rPr>
        <w:t>M.Phil</w:t>
      </w:r>
      <w:proofErr w:type="spellEnd"/>
      <w:proofErr w:type="gramEnd"/>
      <w:r w:rsidRPr="003813A8">
        <w:rPr>
          <w:rFonts w:asciiTheme="minorHAnsi" w:hAnsiTheme="minorHAnsi" w:cstheme="minorHAnsi"/>
          <w:sz w:val="24"/>
          <w:szCs w:val="24"/>
        </w:rPr>
        <w:t xml:space="preserve"> in Social Policy and a Doctorate in Professional Studies.  Her contribution has been acknowledged through </w:t>
      </w:r>
      <w:proofErr w:type="gramStart"/>
      <w:r w:rsidRPr="003813A8">
        <w:rPr>
          <w:rFonts w:asciiTheme="minorHAnsi" w:hAnsiTheme="minorHAnsi" w:cstheme="minorHAnsi"/>
          <w:sz w:val="24"/>
          <w:szCs w:val="24"/>
        </w:rPr>
        <w:t>a number of</w:t>
      </w:r>
      <w:proofErr w:type="gramEnd"/>
      <w:r w:rsidRPr="003813A8">
        <w:rPr>
          <w:rFonts w:asciiTheme="minorHAnsi" w:hAnsiTheme="minorHAnsi" w:cstheme="minorHAnsi"/>
          <w:sz w:val="24"/>
          <w:szCs w:val="24"/>
        </w:rPr>
        <w:t xml:space="preserve"> awards and recognition in </w:t>
      </w:r>
      <w:r w:rsidRPr="003813A8">
        <w:rPr>
          <w:rFonts w:asciiTheme="minorHAnsi" w:hAnsiTheme="minorHAnsi" w:cstheme="minorHAnsi"/>
          <w:sz w:val="24"/>
          <w:szCs w:val="24"/>
        </w:rPr>
        <w:t xml:space="preserve">the Britain’s most influential people of African and African Heritage </w:t>
      </w:r>
      <w:proofErr w:type="spellStart"/>
      <w:r w:rsidRPr="003813A8">
        <w:rPr>
          <w:rFonts w:asciiTheme="minorHAnsi" w:hAnsiTheme="minorHAnsi" w:cstheme="minorHAnsi"/>
          <w:sz w:val="24"/>
          <w:szCs w:val="24"/>
        </w:rPr>
        <w:t>Powerlis</w:t>
      </w:r>
      <w:r w:rsidRPr="003813A8">
        <w:rPr>
          <w:rFonts w:asciiTheme="minorHAnsi" w:hAnsiTheme="minorHAnsi" w:cstheme="minorHAnsi"/>
          <w:sz w:val="24"/>
          <w:szCs w:val="24"/>
        </w:rPr>
        <w:t>ts</w:t>
      </w:r>
      <w:proofErr w:type="spellEnd"/>
      <w:r w:rsidRPr="003813A8">
        <w:rPr>
          <w:rFonts w:asciiTheme="minorHAnsi" w:hAnsiTheme="minorHAnsi" w:cstheme="minorHAnsi"/>
          <w:sz w:val="24"/>
          <w:szCs w:val="24"/>
        </w:rPr>
        <w:t xml:space="preserve">. </w:t>
      </w:r>
    </w:p>
    <w:p w14:paraId="25B32FA4" w14:textId="77777777" w:rsidR="00082723" w:rsidRPr="003813A8" w:rsidRDefault="003813A8">
      <w:pPr>
        <w:spacing w:after="155"/>
        <w:ind w:left="0" w:firstLine="0"/>
        <w:rPr>
          <w:rFonts w:asciiTheme="minorHAnsi" w:hAnsiTheme="minorHAnsi" w:cstheme="minorHAnsi"/>
          <w:sz w:val="24"/>
          <w:szCs w:val="24"/>
        </w:rPr>
      </w:pPr>
      <w:r w:rsidRPr="003813A8">
        <w:rPr>
          <w:rFonts w:asciiTheme="minorHAnsi" w:hAnsiTheme="minorHAnsi" w:cstheme="minorHAnsi"/>
          <w:sz w:val="24"/>
          <w:szCs w:val="24"/>
        </w:rPr>
        <w:t xml:space="preserve"> </w:t>
      </w:r>
    </w:p>
    <w:p w14:paraId="6637642B" w14:textId="77777777" w:rsidR="00082723" w:rsidRPr="003813A8" w:rsidRDefault="003813A8">
      <w:pPr>
        <w:pStyle w:val="Heading1"/>
        <w:ind w:left="-5"/>
        <w:rPr>
          <w:rFonts w:asciiTheme="minorHAnsi" w:hAnsiTheme="minorHAnsi" w:cstheme="minorHAnsi"/>
          <w:sz w:val="24"/>
          <w:szCs w:val="24"/>
        </w:rPr>
      </w:pPr>
      <w:r w:rsidRPr="003813A8">
        <w:rPr>
          <w:rFonts w:asciiTheme="minorHAnsi" w:hAnsiTheme="minorHAnsi" w:cstheme="minorHAnsi"/>
          <w:sz w:val="24"/>
          <w:szCs w:val="24"/>
        </w:rPr>
        <w:t xml:space="preserve">Abstracts for conference papers </w:t>
      </w:r>
    </w:p>
    <w:p w14:paraId="760AAB4C" w14:textId="77777777" w:rsidR="00082723" w:rsidRPr="003813A8" w:rsidRDefault="003813A8">
      <w:pPr>
        <w:spacing w:after="175"/>
        <w:ind w:left="0" w:firstLine="0"/>
        <w:rPr>
          <w:rFonts w:asciiTheme="minorHAnsi" w:hAnsiTheme="minorHAnsi" w:cstheme="minorHAnsi"/>
          <w:sz w:val="24"/>
          <w:szCs w:val="24"/>
        </w:rPr>
      </w:pPr>
      <w:r w:rsidRPr="003813A8">
        <w:rPr>
          <w:rFonts w:asciiTheme="minorHAnsi" w:hAnsiTheme="minorHAnsi" w:cstheme="minorHAnsi"/>
          <w:b/>
          <w:sz w:val="24"/>
          <w:szCs w:val="24"/>
        </w:rPr>
        <w:t xml:space="preserve"> </w:t>
      </w:r>
    </w:p>
    <w:p w14:paraId="125A6F1C" w14:textId="77777777" w:rsidR="00082723" w:rsidRPr="003813A8" w:rsidRDefault="003813A8">
      <w:pPr>
        <w:spacing w:after="271"/>
        <w:ind w:left="0" w:right="17" w:firstLine="0"/>
        <w:jc w:val="center"/>
        <w:rPr>
          <w:rFonts w:asciiTheme="minorHAnsi" w:hAnsiTheme="minorHAnsi" w:cstheme="minorHAnsi"/>
          <w:sz w:val="24"/>
          <w:szCs w:val="24"/>
        </w:rPr>
      </w:pPr>
      <w:r w:rsidRPr="003813A8">
        <w:rPr>
          <w:rFonts w:asciiTheme="minorHAnsi" w:eastAsia="Times New Roman" w:hAnsiTheme="minorHAnsi" w:cstheme="minorHAnsi"/>
          <w:b/>
          <w:sz w:val="24"/>
          <w:szCs w:val="24"/>
        </w:rPr>
        <w:t xml:space="preserve">Intersectional microaggressions in situated interaction: A discursive approach </w:t>
      </w:r>
    </w:p>
    <w:p w14:paraId="32653940" w14:textId="77777777" w:rsidR="00082723" w:rsidRPr="003813A8" w:rsidRDefault="003813A8">
      <w:pPr>
        <w:spacing w:after="276"/>
        <w:ind w:right="11"/>
        <w:jc w:val="center"/>
        <w:rPr>
          <w:rFonts w:asciiTheme="minorHAnsi" w:hAnsiTheme="minorHAnsi" w:cstheme="minorHAnsi"/>
          <w:sz w:val="24"/>
          <w:szCs w:val="24"/>
        </w:rPr>
      </w:pPr>
      <w:r w:rsidRPr="003813A8">
        <w:rPr>
          <w:rFonts w:asciiTheme="minorHAnsi" w:eastAsia="Times New Roman" w:hAnsiTheme="minorHAnsi" w:cstheme="minorHAnsi"/>
          <w:sz w:val="24"/>
          <w:szCs w:val="24"/>
        </w:rPr>
        <w:t xml:space="preserve">Rosemary </w:t>
      </w:r>
      <w:proofErr w:type="spellStart"/>
      <w:r w:rsidRPr="003813A8">
        <w:rPr>
          <w:rFonts w:asciiTheme="minorHAnsi" w:eastAsia="Times New Roman" w:hAnsiTheme="minorHAnsi" w:cstheme="minorHAnsi"/>
          <w:sz w:val="24"/>
          <w:szCs w:val="24"/>
        </w:rPr>
        <w:t>Lobban</w:t>
      </w:r>
      <w:proofErr w:type="spellEnd"/>
      <w:r w:rsidRPr="003813A8">
        <w:rPr>
          <w:rFonts w:asciiTheme="minorHAnsi" w:eastAsia="Times New Roman" w:hAnsiTheme="minorHAnsi" w:cstheme="minorHAnsi"/>
          <w:sz w:val="24"/>
          <w:szCs w:val="24"/>
        </w:rPr>
        <w:t xml:space="preserve"> &amp; Russell </w:t>
      </w:r>
      <w:proofErr w:type="spellStart"/>
      <w:r w:rsidRPr="003813A8">
        <w:rPr>
          <w:rFonts w:asciiTheme="minorHAnsi" w:eastAsia="Times New Roman" w:hAnsiTheme="minorHAnsi" w:cstheme="minorHAnsi"/>
          <w:sz w:val="24"/>
          <w:szCs w:val="24"/>
        </w:rPr>
        <w:t>Luyt</w:t>
      </w:r>
      <w:proofErr w:type="spellEnd"/>
      <w:r w:rsidRPr="003813A8">
        <w:rPr>
          <w:rFonts w:asciiTheme="minorHAnsi" w:eastAsia="Times New Roman" w:hAnsiTheme="minorHAnsi" w:cstheme="minorHAnsi"/>
          <w:sz w:val="24"/>
          <w:szCs w:val="24"/>
        </w:rPr>
        <w:t xml:space="preserve"> </w:t>
      </w:r>
    </w:p>
    <w:p w14:paraId="705208F0" w14:textId="77777777" w:rsidR="00082723" w:rsidRPr="003813A8" w:rsidRDefault="003813A8">
      <w:pPr>
        <w:spacing w:after="276"/>
        <w:ind w:right="11"/>
        <w:jc w:val="center"/>
        <w:rPr>
          <w:rFonts w:asciiTheme="minorHAnsi" w:hAnsiTheme="minorHAnsi" w:cstheme="minorHAnsi"/>
          <w:sz w:val="24"/>
          <w:szCs w:val="24"/>
        </w:rPr>
      </w:pPr>
      <w:r w:rsidRPr="003813A8">
        <w:rPr>
          <w:rFonts w:asciiTheme="minorHAnsi" w:eastAsia="Times New Roman" w:hAnsiTheme="minorHAnsi" w:cstheme="minorHAnsi"/>
          <w:sz w:val="24"/>
          <w:szCs w:val="24"/>
        </w:rPr>
        <w:t xml:space="preserve">University of Greenwich, School of Human Sciences </w:t>
      </w:r>
    </w:p>
    <w:p w14:paraId="162DE457" w14:textId="77777777" w:rsidR="00082723" w:rsidRPr="003813A8" w:rsidRDefault="003813A8">
      <w:pPr>
        <w:spacing w:after="145" w:line="365" w:lineRule="auto"/>
        <w:ind w:left="-5"/>
        <w:rPr>
          <w:rFonts w:asciiTheme="minorHAnsi" w:hAnsiTheme="minorHAnsi" w:cstheme="minorHAnsi"/>
          <w:sz w:val="24"/>
          <w:szCs w:val="24"/>
        </w:rPr>
      </w:pPr>
      <w:r w:rsidRPr="003813A8">
        <w:rPr>
          <w:rFonts w:asciiTheme="minorHAnsi" w:eastAsia="Times New Roman" w:hAnsiTheme="minorHAnsi" w:cstheme="minorHAnsi"/>
          <w:sz w:val="24"/>
          <w:szCs w:val="24"/>
        </w:rPr>
        <w:t>Parallels might be drawn between Connell’s (2005) notion of ‘marginalised masculinities’ and Crenshaw’s (1989) concept of ‘intersectionality’. However, whilst Connell’s concept relates to the practices of disadvantaged groups of men, Crenshaw’s draws atten</w:t>
      </w:r>
      <w:r w:rsidRPr="003813A8">
        <w:rPr>
          <w:rFonts w:asciiTheme="minorHAnsi" w:eastAsia="Times New Roman" w:hAnsiTheme="minorHAnsi" w:cstheme="minorHAnsi"/>
          <w:sz w:val="24"/>
          <w:szCs w:val="24"/>
        </w:rPr>
        <w:t xml:space="preserve">tion to the layering of disadvantage itself. Yet reconciling these two concerns may hold advantages in terms of better acknowledging and unpicking the complex ways in which intersecting social </w:t>
      </w:r>
      <w:r w:rsidRPr="003813A8">
        <w:rPr>
          <w:rFonts w:asciiTheme="minorHAnsi" w:eastAsia="Times New Roman" w:hAnsiTheme="minorHAnsi" w:cstheme="minorHAnsi"/>
          <w:sz w:val="24"/>
          <w:szCs w:val="24"/>
        </w:rPr>
        <w:lastRenderedPageBreak/>
        <w:t>categorisations can exacerbate disadvantage. In this spirit, he</w:t>
      </w:r>
      <w:r w:rsidRPr="003813A8">
        <w:rPr>
          <w:rFonts w:asciiTheme="minorHAnsi" w:eastAsia="Times New Roman" w:hAnsiTheme="minorHAnsi" w:cstheme="minorHAnsi"/>
          <w:sz w:val="24"/>
          <w:szCs w:val="24"/>
        </w:rPr>
        <w:t xml:space="preserve">re, </w:t>
      </w:r>
      <w:r w:rsidRPr="003813A8">
        <w:rPr>
          <w:rFonts w:asciiTheme="minorHAnsi" w:eastAsia="Times New Roman" w:hAnsiTheme="minorHAnsi" w:cstheme="minorHAnsi"/>
          <w:i/>
          <w:sz w:val="24"/>
          <w:szCs w:val="24"/>
        </w:rPr>
        <w:t>the marginalising</w:t>
      </w:r>
      <w:r w:rsidRPr="003813A8">
        <w:rPr>
          <w:rFonts w:asciiTheme="minorHAnsi" w:eastAsia="Times New Roman" w:hAnsiTheme="minorHAnsi" w:cstheme="minorHAnsi"/>
          <w:sz w:val="24"/>
          <w:szCs w:val="24"/>
        </w:rPr>
        <w:t xml:space="preserve"> </w:t>
      </w:r>
      <w:r w:rsidRPr="003813A8">
        <w:rPr>
          <w:rFonts w:asciiTheme="minorHAnsi" w:eastAsia="Times New Roman" w:hAnsiTheme="minorHAnsi" w:cstheme="minorHAnsi"/>
          <w:i/>
          <w:sz w:val="24"/>
          <w:szCs w:val="24"/>
        </w:rPr>
        <w:t xml:space="preserve">of </w:t>
      </w:r>
      <w:r w:rsidRPr="003813A8">
        <w:rPr>
          <w:rFonts w:asciiTheme="minorHAnsi" w:eastAsia="Times New Roman" w:hAnsiTheme="minorHAnsi" w:cstheme="minorHAnsi"/>
          <w:sz w:val="24"/>
          <w:szCs w:val="24"/>
        </w:rPr>
        <w:t>masculinities is explored – as an outcome achieved through discursive means, in situated interaction, as intersecting social categories are used to account for negatively-assessed practices. In other words, the focus is on how peop</w:t>
      </w:r>
      <w:r w:rsidRPr="003813A8">
        <w:rPr>
          <w:rFonts w:asciiTheme="minorHAnsi" w:eastAsia="Times New Roman" w:hAnsiTheme="minorHAnsi" w:cstheme="minorHAnsi"/>
          <w:sz w:val="24"/>
          <w:szCs w:val="24"/>
        </w:rPr>
        <w:t xml:space="preserve">le reproduce disadvantage in everyday interactions as they negatively assess </w:t>
      </w:r>
      <w:proofErr w:type="gramStart"/>
      <w:r w:rsidRPr="003813A8">
        <w:rPr>
          <w:rFonts w:asciiTheme="minorHAnsi" w:eastAsia="Times New Roman" w:hAnsiTheme="minorHAnsi" w:cstheme="minorHAnsi"/>
          <w:sz w:val="24"/>
          <w:szCs w:val="24"/>
        </w:rPr>
        <w:t>particular behaviours</w:t>
      </w:r>
      <w:proofErr w:type="gramEnd"/>
      <w:r w:rsidRPr="003813A8">
        <w:rPr>
          <w:rFonts w:asciiTheme="minorHAnsi" w:eastAsia="Times New Roman" w:hAnsiTheme="minorHAnsi" w:cstheme="minorHAnsi"/>
          <w:sz w:val="24"/>
          <w:szCs w:val="24"/>
        </w:rPr>
        <w:t xml:space="preserve"> or characteristics and account for their uptake or manifestation in terms of group membership. Marginalisation, it is argued, is accomplished through various</w:t>
      </w:r>
      <w:r w:rsidRPr="003813A8">
        <w:rPr>
          <w:rFonts w:asciiTheme="minorHAnsi" w:eastAsia="Times New Roman" w:hAnsiTheme="minorHAnsi" w:cstheme="minorHAnsi"/>
          <w:sz w:val="24"/>
          <w:szCs w:val="24"/>
        </w:rPr>
        <w:t xml:space="preserve"> social practices, for example, ‘microaggressions’. Sue (2010) conceptualises as “active manifestations of marginality” (p. 5). Here, they are operationalised as instances where inequality of justified or individuals are criticised </w:t>
      </w:r>
      <w:proofErr w:type="gramStart"/>
      <w:r w:rsidRPr="003813A8">
        <w:rPr>
          <w:rFonts w:asciiTheme="minorHAnsi" w:eastAsia="Times New Roman" w:hAnsiTheme="minorHAnsi" w:cstheme="minorHAnsi"/>
          <w:sz w:val="24"/>
          <w:szCs w:val="24"/>
        </w:rPr>
        <w:t>on the basis of</w:t>
      </w:r>
      <w:proofErr w:type="gramEnd"/>
      <w:r w:rsidRPr="003813A8">
        <w:rPr>
          <w:rFonts w:asciiTheme="minorHAnsi" w:eastAsia="Times New Roman" w:hAnsiTheme="minorHAnsi" w:cstheme="minorHAnsi"/>
          <w:sz w:val="24"/>
          <w:szCs w:val="24"/>
        </w:rPr>
        <w:t xml:space="preserve"> membersh</w:t>
      </w:r>
      <w:r w:rsidRPr="003813A8">
        <w:rPr>
          <w:rFonts w:asciiTheme="minorHAnsi" w:eastAsia="Times New Roman" w:hAnsiTheme="minorHAnsi" w:cstheme="minorHAnsi"/>
          <w:sz w:val="24"/>
          <w:szCs w:val="24"/>
        </w:rPr>
        <w:t xml:space="preserve">ip to a particular group. In this way, marginalisation can be evidenced in practice at an interactional level. </w:t>
      </w:r>
    </w:p>
    <w:p w14:paraId="799D8889" w14:textId="77777777" w:rsidR="00082723" w:rsidRPr="003813A8" w:rsidRDefault="003813A8">
      <w:pPr>
        <w:spacing w:after="37" w:line="365" w:lineRule="auto"/>
        <w:ind w:left="-5"/>
        <w:rPr>
          <w:rFonts w:asciiTheme="minorHAnsi" w:hAnsiTheme="minorHAnsi" w:cstheme="minorHAnsi"/>
          <w:sz w:val="24"/>
          <w:szCs w:val="24"/>
        </w:rPr>
      </w:pPr>
      <w:r w:rsidRPr="003813A8">
        <w:rPr>
          <w:rFonts w:asciiTheme="minorHAnsi" w:eastAsia="Times New Roman" w:hAnsiTheme="minorHAnsi" w:cstheme="minorHAnsi"/>
          <w:sz w:val="24"/>
          <w:szCs w:val="24"/>
        </w:rPr>
        <w:t xml:space="preserve">Membership Categorisation Analysis (MCA) is a particularly appropriate toolkit for such analyses due to its focus on the mechanisms and effects </w:t>
      </w:r>
      <w:r w:rsidRPr="003813A8">
        <w:rPr>
          <w:rFonts w:asciiTheme="minorHAnsi" w:eastAsia="Times New Roman" w:hAnsiTheme="minorHAnsi" w:cstheme="minorHAnsi"/>
          <w:sz w:val="24"/>
          <w:szCs w:val="24"/>
        </w:rPr>
        <w:t xml:space="preserve">of categorisation. Concepts such as </w:t>
      </w:r>
    </w:p>
    <w:p w14:paraId="2B8BF30C" w14:textId="77777777" w:rsidR="00082723" w:rsidRPr="003813A8" w:rsidRDefault="003813A8">
      <w:pPr>
        <w:spacing w:after="145" w:line="365" w:lineRule="auto"/>
        <w:ind w:left="-5"/>
        <w:rPr>
          <w:rFonts w:asciiTheme="minorHAnsi" w:hAnsiTheme="minorHAnsi" w:cstheme="minorHAnsi"/>
          <w:sz w:val="24"/>
          <w:szCs w:val="24"/>
        </w:rPr>
      </w:pPr>
      <w:r w:rsidRPr="003813A8">
        <w:rPr>
          <w:rFonts w:asciiTheme="minorHAnsi" w:eastAsia="Times New Roman" w:hAnsiTheme="minorHAnsi" w:cstheme="minorHAnsi"/>
          <w:sz w:val="24"/>
          <w:szCs w:val="24"/>
        </w:rPr>
        <w:t xml:space="preserve">‘category-tied predicates’ and ‘category-bound activities’, for example, are especially useful for gaining purchase on the reproduction of associations between </w:t>
      </w:r>
      <w:proofErr w:type="gramStart"/>
      <w:r w:rsidRPr="003813A8">
        <w:rPr>
          <w:rFonts w:asciiTheme="minorHAnsi" w:eastAsia="Times New Roman" w:hAnsiTheme="minorHAnsi" w:cstheme="minorHAnsi"/>
          <w:sz w:val="24"/>
          <w:szCs w:val="24"/>
        </w:rPr>
        <w:t>particular categories</w:t>
      </w:r>
      <w:proofErr w:type="gramEnd"/>
      <w:r w:rsidRPr="003813A8">
        <w:rPr>
          <w:rFonts w:asciiTheme="minorHAnsi" w:eastAsia="Times New Roman" w:hAnsiTheme="minorHAnsi" w:cstheme="minorHAnsi"/>
          <w:sz w:val="24"/>
          <w:szCs w:val="24"/>
        </w:rPr>
        <w:t xml:space="preserve"> of people and particular characterist</w:t>
      </w:r>
      <w:r w:rsidRPr="003813A8">
        <w:rPr>
          <w:rFonts w:asciiTheme="minorHAnsi" w:eastAsia="Times New Roman" w:hAnsiTheme="minorHAnsi" w:cstheme="minorHAnsi"/>
          <w:sz w:val="24"/>
          <w:szCs w:val="24"/>
        </w:rPr>
        <w:t>ics and behaviours. As such, it is possible, “to examine, at the microlevel, how the building blocks of fundamental cultural divisions are formulated and exploited as part of the local construction of social meanings.” (</w:t>
      </w:r>
      <w:proofErr w:type="spellStart"/>
      <w:r w:rsidRPr="003813A8">
        <w:rPr>
          <w:rFonts w:asciiTheme="minorHAnsi" w:eastAsia="Times New Roman" w:hAnsiTheme="minorHAnsi" w:cstheme="minorHAnsi"/>
          <w:sz w:val="24"/>
          <w:szCs w:val="24"/>
        </w:rPr>
        <w:t>Stokoe</w:t>
      </w:r>
      <w:proofErr w:type="spellEnd"/>
      <w:r w:rsidRPr="003813A8">
        <w:rPr>
          <w:rFonts w:asciiTheme="minorHAnsi" w:eastAsia="Times New Roman" w:hAnsiTheme="minorHAnsi" w:cstheme="minorHAnsi"/>
          <w:sz w:val="24"/>
          <w:szCs w:val="24"/>
        </w:rPr>
        <w:t xml:space="preserve">, 2004, pp. 112-113). </w:t>
      </w:r>
    </w:p>
    <w:p w14:paraId="32F7CFD4" w14:textId="77777777" w:rsidR="00082723" w:rsidRPr="003813A8" w:rsidRDefault="003813A8">
      <w:pPr>
        <w:spacing w:after="27" w:line="365" w:lineRule="auto"/>
        <w:ind w:left="-5"/>
        <w:rPr>
          <w:rFonts w:asciiTheme="minorHAnsi" w:hAnsiTheme="minorHAnsi" w:cstheme="minorHAnsi"/>
          <w:sz w:val="24"/>
          <w:szCs w:val="24"/>
        </w:rPr>
      </w:pPr>
      <w:r w:rsidRPr="003813A8">
        <w:rPr>
          <w:rFonts w:asciiTheme="minorHAnsi" w:eastAsia="Times New Roman" w:hAnsiTheme="minorHAnsi" w:cstheme="minorHAnsi"/>
          <w:sz w:val="24"/>
          <w:szCs w:val="24"/>
        </w:rPr>
        <w:t>Convers</w:t>
      </w:r>
      <w:r w:rsidRPr="003813A8">
        <w:rPr>
          <w:rFonts w:asciiTheme="minorHAnsi" w:eastAsia="Times New Roman" w:hAnsiTheme="minorHAnsi" w:cstheme="minorHAnsi"/>
          <w:sz w:val="24"/>
          <w:szCs w:val="24"/>
        </w:rPr>
        <w:t>ational data collected during focus groups industry settings will be used to illustrate how intersecting social categorisations are utilised by participants to account for why some men enact sexism. These excerpts therefore demonstrate how particular mascu</w:t>
      </w:r>
      <w:r w:rsidRPr="003813A8">
        <w:rPr>
          <w:rFonts w:asciiTheme="minorHAnsi" w:eastAsia="Times New Roman" w:hAnsiTheme="minorHAnsi" w:cstheme="minorHAnsi"/>
          <w:sz w:val="24"/>
          <w:szCs w:val="24"/>
        </w:rPr>
        <w:t xml:space="preserve">linities are </w:t>
      </w:r>
    </w:p>
    <w:p w14:paraId="67ECC1E5" w14:textId="77777777" w:rsidR="00082723" w:rsidRPr="003813A8" w:rsidRDefault="003813A8">
      <w:pPr>
        <w:spacing w:after="145" w:line="365" w:lineRule="auto"/>
        <w:ind w:left="-5"/>
        <w:rPr>
          <w:rFonts w:asciiTheme="minorHAnsi" w:hAnsiTheme="minorHAnsi" w:cstheme="minorHAnsi"/>
          <w:sz w:val="24"/>
          <w:szCs w:val="24"/>
        </w:rPr>
      </w:pPr>
      <w:r w:rsidRPr="003813A8">
        <w:rPr>
          <w:rFonts w:asciiTheme="minorHAnsi" w:eastAsia="Times New Roman" w:hAnsiTheme="minorHAnsi" w:cstheme="minorHAnsi"/>
          <w:sz w:val="24"/>
          <w:szCs w:val="24"/>
        </w:rPr>
        <w:t xml:space="preserve">‘marginalised’ in and through microaggressions. Three different intersecting membership categorisation devices are represented in the excerpts: ‘class’, ‘race’, and ‘sexuality’. Implications for theory and practice will be discussed.   </w:t>
      </w:r>
    </w:p>
    <w:p w14:paraId="00D74BC8" w14:textId="77777777" w:rsidR="00082723" w:rsidRPr="003813A8" w:rsidRDefault="003813A8">
      <w:pPr>
        <w:spacing w:after="276"/>
        <w:ind w:left="0" w:firstLine="0"/>
        <w:rPr>
          <w:rFonts w:asciiTheme="minorHAnsi" w:hAnsiTheme="minorHAnsi" w:cstheme="minorHAnsi"/>
          <w:sz w:val="24"/>
          <w:szCs w:val="24"/>
        </w:rPr>
      </w:pPr>
      <w:r w:rsidRPr="003813A8">
        <w:rPr>
          <w:rFonts w:asciiTheme="minorHAnsi" w:eastAsia="Times New Roman" w:hAnsiTheme="minorHAnsi" w:cstheme="minorHAnsi"/>
          <w:b/>
          <w:sz w:val="24"/>
          <w:szCs w:val="24"/>
        </w:rPr>
        <w:t>Refer</w:t>
      </w:r>
      <w:r w:rsidRPr="003813A8">
        <w:rPr>
          <w:rFonts w:asciiTheme="minorHAnsi" w:eastAsia="Times New Roman" w:hAnsiTheme="minorHAnsi" w:cstheme="minorHAnsi"/>
          <w:b/>
          <w:sz w:val="24"/>
          <w:szCs w:val="24"/>
        </w:rPr>
        <w:t xml:space="preserve">ences </w:t>
      </w:r>
    </w:p>
    <w:p w14:paraId="5E82E61C" w14:textId="77777777" w:rsidR="00082723" w:rsidRPr="003813A8" w:rsidRDefault="003813A8">
      <w:pPr>
        <w:spacing w:after="112"/>
        <w:ind w:left="-5"/>
        <w:rPr>
          <w:rFonts w:asciiTheme="minorHAnsi" w:hAnsiTheme="minorHAnsi" w:cstheme="minorHAnsi"/>
          <w:sz w:val="24"/>
          <w:szCs w:val="24"/>
        </w:rPr>
      </w:pPr>
      <w:r w:rsidRPr="003813A8">
        <w:rPr>
          <w:rFonts w:asciiTheme="minorHAnsi" w:eastAsia="Times New Roman" w:hAnsiTheme="minorHAnsi" w:cstheme="minorHAnsi"/>
          <w:sz w:val="24"/>
          <w:szCs w:val="24"/>
        </w:rPr>
        <w:t xml:space="preserve">Connell, R.W. (2005). </w:t>
      </w:r>
      <w:r w:rsidRPr="003813A8">
        <w:rPr>
          <w:rFonts w:asciiTheme="minorHAnsi" w:eastAsia="Times New Roman" w:hAnsiTheme="minorHAnsi" w:cstheme="minorHAnsi"/>
          <w:i/>
          <w:sz w:val="24"/>
          <w:szCs w:val="24"/>
        </w:rPr>
        <w:t xml:space="preserve">Masculinities </w:t>
      </w:r>
      <w:r w:rsidRPr="003813A8">
        <w:rPr>
          <w:rFonts w:asciiTheme="minorHAnsi" w:eastAsia="Times New Roman" w:hAnsiTheme="minorHAnsi" w:cstheme="minorHAnsi"/>
          <w:sz w:val="24"/>
          <w:szCs w:val="24"/>
        </w:rPr>
        <w:t xml:space="preserve">(2nd Ed.). Cambridge: Polity Press.  </w:t>
      </w:r>
    </w:p>
    <w:p w14:paraId="5EC2B1B0" w14:textId="77777777" w:rsidR="00082723" w:rsidRPr="003813A8" w:rsidRDefault="003813A8">
      <w:pPr>
        <w:spacing w:after="0" w:line="365" w:lineRule="auto"/>
        <w:ind w:left="552" w:hanging="567"/>
        <w:rPr>
          <w:rFonts w:asciiTheme="minorHAnsi" w:hAnsiTheme="minorHAnsi" w:cstheme="minorHAnsi"/>
          <w:sz w:val="24"/>
          <w:szCs w:val="24"/>
        </w:rPr>
      </w:pPr>
      <w:r w:rsidRPr="003813A8">
        <w:rPr>
          <w:rFonts w:asciiTheme="minorHAnsi" w:eastAsia="Times New Roman" w:hAnsiTheme="minorHAnsi" w:cstheme="minorHAnsi"/>
          <w:sz w:val="24"/>
          <w:szCs w:val="24"/>
        </w:rPr>
        <w:t xml:space="preserve">Crenshaw, K. (1989). Demarginalizing the intersection of race and sex: A Black feminist critique of antidiscrimination doctrine, feminist theory and antiracist politics. </w:t>
      </w:r>
      <w:r w:rsidRPr="003813A8">
        <w:rPr>
          <w:rFonts w:asciiTheme="minorHAnsi" w:eastAsia="Times New Roman" w:hAnsiTheme="minorHAnsi" w:cstheme="minorHAnsi"/>
          <w:i/>
          <w:sz w:val="24"/>
          <w:szCs w:val="24"/>
        </w:rPr>
        <w:t>Unive</w:t>
      </w:r>
      <w:r w:rsidRPr="003813A8">
        <w:rPr>
          <w:rFonts w:asciiTheme="minorHAnsi" w:eastAsia="Times New Roman" w:hAnsiTheme="minorHAnsi" w:cstheme="minorHAnsi"/>
          <w:i/>
          <w:sz w:val="24"/>
          <w:szCs w:val="24"/>
        </w:rPr>
        <w:t>rsity of Chicago Legal Forum, 1989</w:t>
      </w:r>
      <w:r w:rsidRPr="003813A8">
        <w:rPr>
          <w:rFonts w:asciiTheme="minorHAnsi" w:eastAsia="Times New Roman" w:hAnsiTheme="minorHAnsi" w:cstheme="minorHAnsi"/>
          <w:sz w:val="24"/>
          <w:szCs w:val="24"/>
        </w:rPr>
        <w:t xml:space="preserve">, 139-168. </w:t>
      </w:r>
    </w:p>
    <w:p w14:paraId="6E27995B" w14:textId="77777777" w:rsidR="00082723" w:rsidRPr="003813A8" w:rsidRDefault="003813A8">
      <w:pPr>
        <w:spacing w:after="0" w:line="365" w:lineRule="auto"/>
        <w:ind w:left="552" w:hanging="567"/>
        <w:rPr>
          <w:rFonts w:asciiTheme="minorHAnsi" w:hAnsiTheme="minorHAnsi" w:cstheme="minorHAnsi"/>
          <w:sz w:val="24"/>
          <w:szCs w:val="24"/>
        </w:rPr>
      </w:pPr>
      <w:proofErr w:type="spellStart"/>
      <w:r w:rsidRPr="003813A8">
        <w:rPr>
          <w:rFonts w:asciiTheme="minorHAnsi" w:eastAsia="Times New Roman" w:hAnsiTheme="minorHAnsi" w:cstheme="minorHAnsi"/>
          <w:sz w:val="24"/>
          <w:szCs w:val="24"/>
        </w:rPr>
        <w:lastRenderedPageBreak/>
        <w:t>Stokoe</w:t>
      </w:r>
      <w:proofErr w:type="spellEnd"/>
      <w:r w:rsidRPr="003813A8">
        <w:rPr>
          <w:rFonts w:asciiTheme="minorHAnsi" w:eastAsia="Times New Roman" w:hAnsiTheme="minorHAnsi" w:cstheme="minorHAnsi"/>
          <w:sz w:val="24"/>
          <w:szCs w:val="24"/>
        </w:rPr>
        <w:t xml:space="preserve">, E.H. (2004). Gender and discourse, </w:t>
      </w:r>
      <w:proofErr w:type="gramStart"/>
      <w:r w:rsidRPr="003813A8">
        <w:rPr>
          <w:rFonts w:asciiTheme="minorHAnsi" w:eastAsia="Times New Roman" w:hAnsiTheme="minorHAnsi" w:cstheme="minorHAnsi"/>
          <w:sz w:val="24"/>
          <w:szCs w:val="24"/>
        </w:rPr>
        <w:t>gender</w:t>
      </w:r>
      <w:proofErr w:type="gramEnd"/>
      <w:r w:rsidRPr="003813A8">
        <w:rPr>
          <w:rFonts w:asciiTheme="minorHAnsi" w:eastAsia="Times New Roman" w:hAnsiTheme="minorHAnsi" w:cstheme="minorHAnsi"/>
          <w:sz w:val="24"/>
          <w:szCs w:val="24"/>
        </w:rPr>
        <w:t xml:space="preserve"> and categorization: Current developments in language and gender research. </w:t>
      </w:r>
      <w:r w:rsidRPr="003813A8">
        <w:rPr>
          <w:rFonts w:asciiTheme="minorHAnsi" w:eastAsia="Times New Roman" w:hAnsiTheme="minorHAnsi" w:cstheme="minorHAnsi"/>
          <w:i/>
          <w:sz w:val="24"/>
          <w:szCs w:val="24"/>
        </w:rPr>
        <w:t>Qualitative Research in Psychology, 1</w:t>
      </w:r>
      <w:r w:rsidRPr="003813A8">
        <w:rPr>
          <w:rFonts w:asciiTheme="minorHAnsi" w:eastAsia="Times New Roman" w:hAnsiTheme="minorHAnsi" w:cstheme="minorHAnsi"/>
          <w:sz w:val="24"/>
          <w:szCs w:val="24"/>
        </w:rPr>
        <w:t xml:space="preserve">(2), 107-129. </w:t>
      </w:r>
    </w:p>
    <w:p w14:paraId="003331E5" w14:textId="77777777" w:rsidR="00082723" w:rsidRPr="003813A8" w:rsidRDefault="003813A8">
      <w:pPr>
        <w:spacing w:after="0" w:line="357" w:lineRule="auto"/>
        <w:ind w:left="567" w:hanging="567"/>
        <w:rPr>
          <w:rFonts w:asciiTheme="minorHAnsi" w:hAnsiTheme="minorHAnsi" w:cstheme="minorHAnsi"/>
          <w:sz w:val="24"/>
          <w:szCs w:val="24"/>
        </w:rPr>
      </w:pPr>
      <w:r w:rsidRPr="003813A8">
        <w:rPr>
          <w:rFonts w:asciiTheme="minorHAnsi" w:eastAsia="Times New Roman" w:hAnsiTheme="minorHAnsi" w:cstheme="minorHAnsi"/>
          <w:sz w:val="24"/>
          <w:szCs w:val="24"/>
        </w:rPr>
        <w:t xml:space="preserve">Sue, D.W. (Ed.) (2010). </w:t>
      </w:r>
      <w:r w:rsidRPr="003813A8">
        <w:rPr>
          <w:rFonts w:asciiTheme="minorHAnsi" w:eastAsia="Times New Roman" w:hAnsiTheme="minorHAnsi" w:cstheme="minorHAnsi"/>
          <w:i/>
          <w:sz w:val="24"/>
          <w:szCs w:val="24"/>
        </w:rPr>
        <w:t>Microaggre</w:t>
      </w:r>
      <w:r w:rsidRPr="003813A8">
        <w:rPr>
          <w:rFonts w:asciiTheme="minorHAnsi" w:eastAsia="Times New Roman" w:hAnsiTheme="minorHAnsi" w:cstheme="minorHAnsi"/>
          <w:i/>
          <w:sz w:val="24"/>
          <w:szCs w:val="24"/>
        </w:rPr>
        <w:t xml:space="preserve">ssions and marginality: Manifestation, </w:t>
      </w:r>
      <w:proofErr w:type="gramStart"/>
      <w:r w:rsidRPr="003813A8">
        <w:rPr>
          <w:rFonts w:asciiTheme="minorHAnsi" w:eastAsia="Times New Roman" w:hAnsiTheme="minorHAnsi" w:cstheme="minorHAnsi"/>
          <w:i/>
          <w:sz w:val="24"/>
          <w:szCs w:val="24"/>
        </w:rPr>
        <w:t>dynamics</w:t>
      </w:r>
      <w:proofErr w:type="gramEnd"/>
      <w:r w:rsidRPr="003813A8">
        <w:rPr>
          <w:rFonts w:asciiTheme="minorHAnsi" w:eastAsia="Times New Roman" w:hAnsiTheme="minorHAnsi" w:cstheme="minorHAnsi"/>
          <w:i/>
          <w:sz w:val="24"/>
          <w:szCs w:val="24"/>
        </w:rPr>
        <w:t xml:space="preserve"> and impact</w:t>
      </w:r>
      <w:r w:rsidRPr="003813A8">
        <w:rPr>
          <w:rFonts w:asciiTheme="minorHAnsi" w:eastAsia="Times New Roman" w:hAnsiTheme="minorHAnsi" w:cstheme="minorHAnsi"/>
          <w:sz w:val="24"/>
          <w:szCs w:val="24"/>
        </w:rPr>
        <w:t xml:space="preserve">. Hoboken, NJ: John Wiley &amp; Sons. </w:t>
      </w:r>
    </w:p>
    <w:p w14:paraId="470DDF27" w14:textId="77777777" w:rsidR="00082723" w:rsidRPr="003813A8" w:rsidRDefault="003813A8">
      <w:pPr>
        <w:spacing w:after="155"/>
        <w:ind w:left="0" w:firstLine="0"/>
        <w:rPr>
          <w:rFonts w:asciiTheme="minorHAnsi" w:hAnsiTheme="minorHAnsi" w:cstheme="minorHAnsi"/>
          <w:sz w:val="24"/>
          <w:szCs w:val="24"/>
        </w:rPr>
      </w:pPr>
      <w:r w:rsidRPr="003813A8">
        <w:rPr>
          <w:rFonts w:asciiTheme="minorHAnsi" w:hAnsiTheme="minorHAnsi" w:cstheme="minorHAnsi"/>
          <w:b/>
          <w:sz w:val="24"/>
          <w:szCs w:val="24"/>
        </w:rPr>
        <w:t xml:space="preserve"> </w:t>
      </w:r>
    </w:p>
    <w:p w14:paraId="7A36C783" w14:textId="77777777" w:rsidR="00082723" w:rsidRPr="003813A8" w:rsidRDefault="003813A8">
      <w:pPr>
        <w:spacing w:after="0"/>
        <w:ind w:left="0" w:firstLine="0"/>
        <w:rPr>
          <w:rFonts w:asciiTheme="minorHAnsi" w:hAnsiTheme="minorHAnsi" w:cstheme="minorHAnsi"/>
          <w:sz w:val="24"/>
          <w:szCs w:val="24"/>
        </w:rPr>
      </w:pPr>
      <w:r w:rsidRPr="003813A8">
        <w:rPr>
          <w:rFonts w:asciiTheme="minorHAnsi" w:hAnsiTheme="minorHAnsi" w:cstheme="minorHAnsi"/>
          <w:b/>
          <w:sz w:val="24"/>
          <w:szCs w:val="24"/>
        </w:rPr>
        <w:t xml:space="preserve"> </w:t>
      </w:r>
    </w:p>
    <w:p w14:paraId="2290EDD8" w14:textId="77777777" w:rsidR="00082723" w:rsidRPr="003813A8" w:rsidRDefault="003813A8">
      <w:pPr>
        <w:spacing w:after="163" w:line="256" w:lineRule="auto"/>
        <w:ind w:left="2429" w:hanging="2391"/>
        <w:rPr>
          <w:rFonts w:asciiTheme="minorHAnsi" w:hAnsiTheme="minorHAnsi" w:cstheme="minorHAnsi"/>
          <w:sz w:val="24"/>
          <w:szCs w:val="24"/>
        </w:rPr>
      </w:pPr>
      <w:r w:rsidRPr="003813A8">
        <w:rPr>
          <w:rFonts w:asciiTheme="minorHAnsi" w:hAnsiTheme="minorHAnsi" w:cstheme="minorHAnsi"/>
          <w:b/>
          <w:sz w:val="24"/>
          <w:szCs w:val="24"/>
        </w:rPr>
        <w:t xml:space="preserve">Who feels it knows it! Alterity, identity and ‘epistemological privilege’: challenging white privilege from a black perspective within the academy. </w:t>
      </w:r>
    </w:p>
    <w:p w14:paraId="2D0137AF" w14:textId="77777777" w:rsidR="00082723" w:rsidRPr="003813A8" w:rsidRDefault="003813A8">
      <w:pPr>
        <w:spacing w:after="0"/>
        <w:jc w:val="center"/>
        <w:rPr>
          <w:rFonts w:asciiTheme="minorHAnsi" w:hAnsiTheme="minorHAnsi" w:cstheme="minorHAnsi"/>
          <w:sz w:val="24"/>
          <w:szCs w:val="24"/>
        </w:rPr>
      </w:pPr>
      <w:r w:rsidRPr="003813A8">
        <w:rPr>
          <w:rFonts w:asciiTheme="minorHAnsi" w:hAnsiTheme="minorHAnsi" w:cstheme="minorHAnsi"/>
          <w:sz w:val="24"/>
          <w:szCs w:val="24"/>
        </w:rPr>
        <w:t xml:space="preserve">Dr </w:t>
      </w:r>
      <w:r w:rsidRPr="003813A8">
        <w:rPr>
          <w:rFonts w:asciiTheme="minorHAnsi" w:hAnsiTheme="minorHAnsi" w:cstheme="minorHAnsi"/>
          <w:sz w:val="24"/>
          <w:szCs w:val="24"/>
        </w:rPr>
        <w:t xml:space="preserve">William Henry </w:t>
      </w:r>
    </w:p>
    <w:p w14:paraId="22C2019A" w14:textId="77777777" w:rsidR="00082723" w:rsidRPr="003813A8" w:rsidRDefault="003813A8">
      <w:pPr>
        <w:spacing w:after="0"/>
        <w:jc w:val="center"/>
        <w:rPr>
          <w:rFonts w:asciiTheme="minorHAnsi" w:hAnsiTheme="minorHAnsi" w:cstheme="minorHAnsi"/>
          <w:sz w:val="24"/>
          <w:szCs w:val="24"/>
        </w:rPr>
      </w:pPr>
      <w:r w:rsidRPr="003813A8">
        <w:rPr>
          <w:rFonts w:asciiTheme="minorHAnsi" w:hAnsiTheme="minorHAnsi" w:cstheme="minorHAnsi"/>
          <w:sz w:val="24"/>
          <w:szCs w:val="24"/>
        </w:rPr>
        <w:t xml:space="preserve">Professor of Criminology and Sociology </w:t>
      </w:r>
    </w:p>
    <w:p w14:paraId="07C4404C" w14:textId="77777777" w:rsidR="00082723" w:rsidRPr="003813A8" w:rsidRDefault="003813A8">
      <w:pPr>
        <w:spacing w:after="0"/>
        <w:ind w:right="14"/>
        <w:jc w:val="center"/>
        <w:rPr>
          <w:rFonts w:asciiTheme="minorHAnsi" w:hAnsiTheme="minorHAnsi" w:cstheme="minorHAnsi"/>
          <w:sz w:val="24"/>
          <w:szCs w:val="24"/>
        </w:rPr>
      </w:pPr>
      <w:r w:rsidRPr="003813A8">
        <w:rPr>
          <w:rFonts w:asciiTheme="minorHAnsi" w:hAnsiTheme="minorHAnsi" w:cstheme="minorHAnsi"/>
          <w:sz w:val="24"/>
          <w:szCs w:val="24"/>
        </w:rPr>
        <w:t xml:space="preserve">School of Human and Social Sciences, University of West London </w:t>
      </w:r>
    </w:p>
    <w:p w14:paraId="0EE364CD" w14:textId="77777777" w:rsidR="00082723" w:rsidRPr="003813A8" w:rsidRDefault="003813A8">
      <w:pPr>
        <w:spacing w:after="74"/>
        <w:ind w:left="47" w:firstLine="0"/>
        <w:jc w:val="center"/>
        <w:rPr>
          <w:rFonts w:asciiTheme="minorHAnsi" w:hAnsiTheme="minorHAnsi" w:cstheme="minorHAnsi"/>
          <w:sz w:val="24"/>
          <w:szCs w:val="24"/>
        </w:rPr>
      </w:pPr>
      <w:r w:rsidRPr="003813A8">
        <w:rPr>
          <w:rFonts w:asciiTheme="minorHAnsi" w:hAnsiTheme="minorHAnsi" w:cstheme="minorHAnsi"/>
          <w:sz w:val="24"/>
          <w:szCs w:val="24"/>
        </w:rPr>
        <w:t xml:space="preserve"> </w:t>
      </w:r>
    </w:p>
    <w:p w14:paraId="449EC0FF" w14:textId="77777777" w:rsidR="00082723" w:rsidRPr="003813A8" w:rsidRDefault="003813A8">
      <w:pPr>
        <w:spacing w:after="1" w:line="320" w:lineRule="auto"/>
        <w:ind w:left="139" w:right="-10"/>
        <w:jc w:val="both"/>
        <w:rPr>
          <w:rFonts w:asciiTheme="minorHAnsi" w:hAnsiTheme="minorHAnsi" w:cstheme="minorHAnsi"/>
          <w:sz w:val="24"/>
          <w:szCs w:val="24"/>
        </w:rPr>
      </w:pPr>
      <w:r w:rsidRPr="003813A8">
        <w:rPr>
          <w:rFonts w:asciiTheme="minorHAnsi" w:eastAsia="Arial" w:hAnsiTheme="minorHAnsi" w:cstheme="minorHAnsi"/>
          <w:sz w:val="24"/>
          <w:szCs w:val="24"/>
        </w:rPr>
        <w:t xml:space="preserve">The paper considers some of the contemporary issues faced by black academics, denoting our constant struggles for equal and fair treatment, which are not based on what we bring to the table but the skin we are in. This enables us to consider Gabriel’s </w:t>
      </w:r>
    </w:p>
    <w:p w14:paraId="195EDD24" w14:textId="77777777" w:rsidR="00082723" w:rsidRPr="003813A8" w:rsidRDefault="003813A8">
      <w:pPr>
        <w:spacing w:after="1" w:line="320" w:lineRule="auto"/>
        <w:ind w:left="139" w:right="-10"/>
        <w:jc w:val="both"/>
        <w:rPr>
          <w:rFonts w:asciiTheme="minorHAnsi" w:hAnsiTheme="minorHAnsi" w:cstheme="minorHAnsi"/>
          <w:sz w:val="24"/>
          <w:szCs w:val="24"/>
        </w:rPr>
      </w:pPr>
      <w:r w:rsidRPr="003813A8">
        <w:rPr>
          <w:rFonts w:asciiTheme="minorHAnsi" w:eastAsia="Arial" w:hAnsiTheme="minorHAnsi" w:cstheme="minorHAnsi"/>
          <w:sz w:val="24"/>
          <w:szCs w:val="24"/>
        </w:rPr>
        <w:t>(20</w:t>
      </w:r>
      <w:r w:rsidRPr="003813A8">
        <w:rPr>
          <w:rFonts w:asciiTheme="minorHAnsi" w:eastAsia="Arial" w:hAnsiTheme="minorHAnsi" w:cstheme="minorHAnsi"/>
          <w:sz w:val="24"/>
          <w:szCs w:val="24"/>
        </w:rPr>
        <w:t xml:space="preserve">19) poignant reasoning as that which firmly locates the ‘nebulous’ concepts of ‘whiteness and white privilege’ in a socio-cultural and historical context. Doing so here requires interrogating and exposing the centrality of whiteness, making known that any </w:t>
      </w:r>
      <w:r w:rsidRPr="003813A8">
        <w:rPr>
          <w:rFonts w:asciiTheme="minorHAnsi" w:eastAsia="Arial" w:hAnsiTheme="minorHAnsi" w:cstheme="minorHAnsi"/>
          <w:sz w:val="24"/>
          <w:szCs w:val="24"/>
        </w:rPr>
        <w:t xml:space="preserve">discussion of the value of human life, in white racist societies, requires black voices to be at the forefront of discussions regarding, race, representation and belonging. The suggestion is that when negotiating identity through the lens of </w:t>
      </w:r>
    </w:p>
    <w:p w14:paraId="67567422" w14:textId="77777777" w:rsidR="00082723" w:rsidRPr="003813A8" w:rsidRDefault="003813A8">
      <w:pPr>
        <w:spacing w:after="147" w:line="320" w:lineRule="auto"/>
        <w:ind w:left="139" w:right="-10"/>
        <w:jc w:val="both"/>
        <w:rPr>
          <w:rFonts w:asciiTheme="minorHAnsi" w:hAnsiTheme="minorHAnsi" w:cstheme="minorHAnsi"/>
          <w:sz w:val="24"/>
          <w:szCs w:val="24"/>
        </w:rPr>
      </w:pPr>
      <w:r w:rsidRPr="003813A8">
        <w:rPr>
          <w:rFonts w:asciiTheme="minorHAnsi" w:eastAsia="Arial" w:hAnsiTheme="minorHAnsi" w:cstheme="minorHAnsi"/>
          <w:sz w:val="24"/>
          <w:szCs w:val="24"/>
        </w:rPr>
        <w:t>‘curricular d</w:t>
      </w:r>
      <w:r w:rsidRPr="003813A8">
        <w:rPr>
          <w:rFonts w:asciiTheme="minorHAnsi" w:eastAsia="Arial" w:hAnsiTheme="minorHAnsi" w:cstheme="minorHAnsi"/>
          <w:sz w:val="24"/>
          <w:szCs w:val="24"/>
        </w:rPr>
        <w:t>ecolonisation’ or ‘equitable inclusion’, white faculty who know what the deal is but choose to ‘side-step the matter of their own privilege’ do so simply because they can. Consequently, racial discrimination is an overly abstract concept to many white coll</w:t>
      </w:r>
      <w:r w:rsidRPr="003813A8">
        <w:rPr>
          <w:rFonts w:asciiTheme="minorHAnsi" w:eastAsia="Arial" w:hAnsiTheme="minorHAnsi" w:cstheme="minorHAnsi"/>
          <w:sz w:val="24"/>
          <w:szCs w:val="24"/>
        </w:rPr>
        <w:t>eagues, which is why this argument is framed through a ‘hermeneutic of suspicion’ (</w:t>
      </w:r>
      <w:proofErr w:type="spellStart"/>
      <w:r w:rsidRPr="003813A8">
        <w:rPr>
          <w:rFonts w:asciiTheme="minorHAnsi" w:eastAsia="Arial" w:hAnsiTheme="minorHAnsi" w:cstheme="minorHAnsi"/>
          <w:sz w:val="24"/>
          <w:szCs w:val="24"/>
        </w:rPr>
        <w:t>Ricoeur</w:t>
      </w:r>
      <w:proofErr w:type="spellEnd"/>
      <w:r w:rsidRPr="003813A8">
        <w:rPr>
          <w:rFonts w:asciiTheme="minorHAnsi" w:eastAsia="Arial" w:hAnsiTheme="minorHAnsi" w:cstheme="minorHAnsi"/>
          <w:sz w:val="24"/>
          <w:szCs w:val="24"/>
        </w:rPr>
        <w:t xml:space="preserve"> 1965), for we all have choices to make and positions to take based on the interior knowledges we bring to the table. However, in this empirical piece I will argue th</w:t>
      </w:r>
      <w:r w:rsidRPr="003813A8">
        <w:rPr>
          <w:rFonts w:asciiTheme="minorHAnsi" w:eastAsia="Arial" w:hAnsiTheme="minorHAnsi" w:cstheme="minorHAnsi"/>
          <w:sz w:val="24"/>
          <w:szCs w:val="24"/>
        </w:rPr>
        <w:t>at the reality is that only ‘white knowledges’ seem to matter in a system that was deliberately set up this way. A system that continues to privilege this discrete white racial group, especially within Higher Education (HE) institutions that are in too man</w:t>
      </w:r>
      <w:r w:rsidRPr="003813A8">
        <w:rPr>
          <w:rFonts w:asciiTheme="minorHAnsi" w:eastAsia="Arial" w:hAnsiTheme="minorHAnsi" w:cstheme="minorHAnsi"/>
          <w:sz w:val="24"/>
          <w:szCs w:val="24"/>
        </w:rPr>
        <w:t xml:space="preserve">y instances confidence draining and soul-destroying work environments for black academics. </w:t>
      </w:r>
    </w:p>
    <w:p w14:paraId="7AB2362F" w14:textId="77777777" w:rsidR="00082723" w:rsidRPr="003813A8" w:rsidRDefault="003813A8">
      <w:pPr>
        <w:spacing w:after="55" w:line="320" w:lineRule="auto"/>
        <w:ind w:left="139" w:right="-10"/>
        <w:jc w:val="both"/>
        <w:rPr>
          <w:rFonts w:asciiTheme="minorHAnsi" w:hAnsiTheme="minorHAnsi" w:cstheme="minorHAnsi"/>
          <w:sz w:val="24"/>
          <w:szCs w:val="24"/>
        </w:rPr>
      </w:pPr>
      <w:r w:rsidRPr="003813A8">
        <w:rPr>
          <w:rFonts w:asciiTheme="minorHAnsi" w:eastAsia="Arial" w:hAnsiTheme="minorHAnsi" w:cstheme="minorHAnsi"/>
          <w:sz w:val="24"/>
          <w:szCs w:val="24"/>
        </w:rPr>
        <w:t xml:space="preserve">Key words: Alterity, blackness, black academics, curricular decolonisation, racism, white privilege, whiteness. </w:t>
      </w:r>
    </w:p>
    <w:p w14:paraId="21D59041" w14:textId="77777777" w:rsidR="00082723" w:rsidRPr="003813A8" w:rsidRDefault="003813A8">
      <w:pPr>
        <w:spacing w:after="155"/>
        <w:ind w:left="0" w:firstLine="0"/>
        <w:rPr>
          <w:rFonts w:asciiTheme="minorHAnsi" w:hAnsiTheme="minorHAnsi" w:cstheme="minorHAnsi"/>
          <w:sz w:val="24"/>
          <w:szCs w:val="24"/>
        </w:rPr>
      </w:pPr>
      <w:r w:rsidRPr="003813A8">
        <w:rPr>
          <w:rFonts w:asciiTheme="minorHAnsi" w:hAnsiTheme="minorHAnsi" w:cstheme="minorHAnsi"/>
          <w:b/>
          <w:sz w:val="24"/>
          <w:szCs w:val="24"/>
        </w:rPr>
        <w:t xml:space="preserve"> </w:t>
      </w:r>
    </w:p>
    <w:p w14:paraId="190BC5BD" w14:textId="77777777" w:rsidR="00082723" w:rsidRPr="003813A8" w:rsidRDefault="003813A8">
      <w:pPr>
        <w:spacing w:after="161"/>
        <w:ind w:left="0" w:firstLine="0"/>
        <w:rPr>
          <w:rFonts w:asciiTheme="minorHAnsi" w:hAnsiTheme="minorHAnsi" w:cstheme="minorHAnsi"/>
          <w:sz w:val="24"/>
          <w:szCs w:val="24"/>
        </w:rPr>
      </w:pPr>
      <w:r w:rsidRPr="003813A8">
        <w:rPr>
          <w:rFonts w:asciiTheme="minorHAnsi" w:hAnsiTheme="minorHAnsi" w:cstheme="minorHAnsi"/>
          <w:b/>
          <w:sz w:val="24"/>
          <w:szCs w:val="24"/>
        </w:rPr>
        <w:lastRenderedPageBreak/>
        <w:t xml:space="preserve"> </w:t>
      </w:r>
    </w:p>
    <w:p w14:paraId="73AD9902" w14:textId="77777777" w:rsidR="00082723" w:rsidRPr="003813A8" w:rsidRDefault="003813A8">
      <w:pPr>
        <w:spacing w:after="160"/>
        <w:ind w:left="0" w:firstLine="0"/>
        <w:rPr>
          <w:rFonts w:asciiTheme="minorHAnsi" w:hAnsiTheme="minorHAnsi" w:cstheme="minorHAnsi"/>
          <w:sz w:val="24"/>
          <w:szCs w:val="24"/>
        </w:rPr>
      </w:pPr>
      <w:r w:rsidRPr="003813A8">
        <w:rPr>
          <w:rFonts w:asciiTheme="minorHAnsi" w:hAnsiTheme="minorHAnsi" w:cstheme="minorHAnsi"/>
          <w:b/>
          <w:sz w:val="24"/>
          <w:szCs w:val="24"/>
        </w:rPr>
        <w:t xml:space="preserve"> </w:t>
      </w:r>
    </w:p>
    <w:p w14:paraId="65D3C827" w14:textId="77777777" w:rsidR="00082723" w:rsidRPr="003813A8" w:rsidRDefault="003813A8">
      <w:pPr>
        <w:spacing w:after="155"/>
        <w:ind w:left="0" w:firstLine="0"/>
        <w:rPr>
          <w:rFonts w:asciiTheme="minorHAnsi" w:hAnsiTheme="minorHAnsi" w:cstheme="minorHAnsi"/>
          <w:sz w:val="24"/>
          <w:szCs w:val="24"/>
        </w:rPr>
      </w:pPr>
      <w:r w:rsidRPr="003813A8">
        <w:rPr>
          <w:rFonts w:asciiTheme="minorHAnsi" w:hAnsiTheme="minorHAnsi" w:cstheme="minorHAnsi"/>
          <w:b/>
          <w:sz w:val="24"/>
          <w:szCs w:val="24"/>
        </w:rPr>
        <w:t xml:space="preserve"> </w:t>
      </w:r>
    </w:p>
    <w:p w14:paraId="08B265B3" w14:textId="77777777" w:rsidR="00082723" w:rsidRPr="003813A8" w:rsidRDefault="003813A8">
      <w:pPr>
        <w:spacing w:after="160"/>
        <w:ind w:left="0" w:firstLine="0"/>
        <w:rPr>
          <w:rFonts w:asciiTheme="minorHAnsi" w:hAnsiTheme="minorHAnsi" w:cstheme="minorHAnsi"/>
          <w:sz w:val="24"/>
          <w:szCs w:val="24"/>
        </w:rPr>
      </w:pPr>
      <w:r w:rsidRPr="003813A8">
        <w:rPr>
          <w:rFonts w:asciiTheme="minorHAnsi" w:hAnsiTheme="minorHAnsi" w:cstheme="minorHAnsi"/>
          <w:b/>
          <w:sz w:val="24"/>
          <w:szCs w:val="24"/>
        </w:rPr>
        <w:t xml:space="preserve"> </w:t>
      </w:r>
    </w:p>
    <w:p w14:paraId="3EF43C39" w14:textId="77777777" w:rsidR="00082723" w:rsidRPr="003813A8" w:rsidRDefault="003813A8">
      <w:pPr>
        <w:spacing w:after="161"/>
        <w:ind w:left="0" w:firstLine="0"/>
        <w:rPr>
          <w:rFonts w:asciiTheme="minorHAnsi" w:hAnsiTheme="minorHAnsi" w:cstheme="minorHAnsi"/>
          <w:sz w:val="24"/>
          <w:szCs w:val="24"/>
        </w:rPr>
      </w:pPr>
      <w:r w:rsidRPr="003813A8">
        <w:rPr>
          <w:rFonts w:asciiTheme="minorHAnsi" w:hAnsiTheme="minorHAnsi" w:cstheme="minorHAnsi"/>
          <w:b/>
          <w:sz w:val="24"/>
          <w:szCs w:val="24"/>
        </w:rPr>
        <w:t xml:space="preserve"> </w:t>
      </w:r>
    </w:p>
    <w:p w14:paraId="3AB73963" w14:textId="77777777" w:rsidR="00082723" w:rsidRPr="003813A8" w:rsidRDefault="003813A8">
      <w:pPr>
        <w:spacing w:after="160"/>
        <w:ind w:left="0" w:firstLine="0"/>
        <w:rPr>
          <w:rFonts w:asciiTheme="minorHAnsi" w:hAnsiTheme="minorHAnsi" w:cstheme="minorHAnsi"/>
          <w:sz w:val="24"/>
          <w:szCs w:val="24"/>
        </w:rPr>
      </w:pPr>
      <w:r w:rsidRPr="003813A8">
        <w:rPr>
          <w:rFonts w:asciiTheme="minorHAnsi" w:hAnsiTheme="minorHAnsi" w:cstheme="minorHAnsi"/>
          <w:b/>
          <w:sz w:val="24"/>
          <w:szCs w:val="24"/>
        </w:rPr>
        <w:t xml:space="preserve"> </w:t>
      </w:r>
    </w:p>
    <w:p w14:paraId="22216D46" w14:textId="77777777" w:rsidR="00082723" w:rsidRPr="003813A8" w:rsidRDefault="003813A8">
      <w:pPr>
        <w:spacing w:after="155"/>
        <w:ind w:left="0" w:firstLine="0"/>
        <w:rPr>
          <w:rFonts w:asciiTheme="minorHAnsi" w:hAnsiTheme="minorHAnsi" w:cstheme="minorHAnsi"/>
          <w:sz w:val="24"/>
          <w:szCs w:val="24"/>
        </w:rPr>
      </w:pPr>
      <w:r w:rsidRPr="003813A8">
        <w:rPr>
          <w:rFonts w:asciiTheme="minorHAnsi" w:hAnsiTheme="minorHAnsi" w:cstheme="minorHAnsi"/>
          <w:b/>
          <w:sz w:val="24"/>
          <w:szCs w:val="24"/>
        </w:rPr>
        <w:t xml:space="preserve"> </w:t>
      </w:r>
    </w:p>
    <w:p w14:paraId="7769D5E4" w14:textId="77777777" w:rsidR="00082723" w:rsidRPr="003813A8" w:rsidRDefault="003813A8">
      <w:pPr>
        <w:spacing w:after="0"/>
        <w:ind w:left="0" w:firstLine="0"/>
        <w:rPr>
          <w:rFonts w:asciiTheme="minorHAnsi" w:hAnsiTheme="minorHAnsi" w:cstheme="minorHAnsi"/>
          <w:sz w:val="24"/>
          <w:szCs w:val="24"/>
        </w:rPr>
      </w:pPr>
      <w:r w:rsidRPr="003813A8">
        <w:rPr>
          <w:rFonts w:asciiTheme="minorHAnsi" w:hAnsiTheme="minorHAnsi" w:cstheme="minorHAnsi"/>
          <w:b/>
          <w:sz w:val="24"/>
          <w:szCs w:val="24"/>
        </w:rPr>
        <w:t xml:space="preserve"> </w:t>
      </w:r>
    </w:p>
    <w:p w14:paraId="323F8643" w14:textId="77777777" w:rsidR="00082723" w:rsidRPr="003813A8" w:rsidRDefault="003813A8">
      <w:pPr>
        <w:spacing w:after="160"/>
        <w:ind w:left="0" w:right="20" w:firstLine="0"/>
        <w:jc w:val="center"/>
        <w:rPr>
          <w:rFonts w:asciiTheme="minorHAnsi" w:hAnsiTheme="minorHAnsi" w:cstheme="minorHAnsi"/>
          <w:sz w:val="24"/>
          <w:szCs w:val="24"/>
        </w:rPr>
      </w:pPr>
      <w:r w:rsidRPr="003813A8">
        <w:rPr>
          <w:rFonts w:asciiTheme="minorHAnsi" w:hAnsiTheme="minorHAnsi" w:cstheme="minorHAnsi"/>
          <w:b/>
          <w:sz w:val="24"/>
          <w:szCs w:val="24"/>
        </w:rPr>
        <w:t>The Public/Private sector divide: disability discrimination cases at Employment Tribunals</w:t>
      </w:r>
      <w:r w:rsidRPr="003813A8">
        <w:rPr>
          <w:rFonts w:asciiTheme="minorHAnsi" w:hAnsiTheme="minorHAnsi" w:cstheme="minorHAnsi"/>
          <w:sz w:val="24"/>
          <w:szCs w:val="24"/>
        </w:rPr>
        <w:t xml:space="preserve">  </w:t>
      </w:r>
    </w:p>
    <w:p w14:paraId="4A0E8AB0" w14:textId="77777777" w:rsidR="00082723" w:rsidRPr="003813A8" w:rsidRDefault="003813A8">
      <w:pPr>
        <w:spacing w:after="156"/>
        <w:ind w:right="9"/>
        <w:jc w:val="center"/>
        <w:rPr>
          <w:rFonts w:asciiTheme="minorHAnsi" w:hAnsiTheme="minorHAnsi" w:cstheme="minorHAnsi"/>
          <w:sz w:val="24"/>
          <w:szCs w:val="24"/>
        </w:rPr>
      </w:pPr>
      <w:r w:rsidRPr="003813A8">
        <w:rPr>
          <w:rFonts w:asciiTheme="minorHAnsi" w:hAnsiTheme="minorHAnsi" w:cstheme="minorHAnsi"/>
          <w:sz w:val="24"/>
          <w:szCs w:val="24"/>
        </w:rPr>
        <w:t xml:space="preserve">Laura William, Birgit </w:t>
      </w:r>
      <w:proofErr w:type="spellStart"/>
      <w:r w:rsidRPr="003813A8">
        <w:rPr>
          <w:rFonts w:asciiTheme="minorHAnsi" w:hAnsiTheme="minorHAnsi" w:cstheme="minorHAnsi"/>
          <w:sz w:val="24"/>
          <w:szCs w:val="24"/>
        </w:rPr>
        <w:t>Pauksztat</w:t>
      </w:r>
      <w:proofErr w:type="spellEnd"/>
      <w:r w:rsidRPr="003813A8">
        <w:rPr>
          <w:rFonts w:asciiTheme="minorHAnsi" w:hAnsiTheme="minorHAnsi" w:cstheme="minorHAnsi"/>
          <w:sz w:val="24"/>
          <w:szCs w:val="24"/>
        </w:rPr>
        <w:t xml:space="preserve"> and Susan Corby  </w:t>
      </w:r>
    </w:p>
    <w:p w14:paraId="2AEB4D51" w14:textId="77777777" w:rsidR="00082723" w:rsidRPr="003813A8" w:rsidRDefault="003813A8">
      <w:pPr>
        <w:spacing w:after="160"/>
        <w:ind w:right="7"/>
        <w:jc w:val="center"/>
        <w:rPr>
          <w:rFonts w:asciiTheme="minorHAnsi" w:hAnsiTheme="minorHAnsi" w:cstheme="minorHAnsi"/>
          <w:sz w:val="24"/>
          <w:szCs w:val="24"/>
        </w:rPr>
      </w:pPr>
      <w:r w:rsidRPr="003813A8">
        <w:rPr>
          <w:rFonts w:asciiTheme="minorHAnsi" w:hAnsiTheme="minorHAnsi" w:cstheme="minorHAnsi"/>
          <w:sz w:val="24"/>
          <w:szCs w:val="24"/>
        </w:rPr>
        <w:t xml:space="preserve">Contact: L.C.William@Greenwich.ac.uk </w:t>
      </w:r>
    </w:p>
    <w:p w14:paraId="2001EBED" w14:textId="77777777" w:rsidR="00082723" w:rsidRPr="003813A8" w:rsidRDefault="003813A8">
      <w:pPr>
        <w:spacing w:after="2"/>
        <w:ind w:left="-5"/>
        <w:rPr>
          <w:rFonts w:asciiTheme="minorHAnsi" w:hAnsiTheme="minorHAnsi" w:cstheme="minorHAnsi"/>
          <w:sz w:val="24"/>
          <w:szCs w:val="24"/>
        </w:rPr>
      </w:pPr>
      <w:r w:rsidRPr="003813A8">
        <w:rPr>
          <w:rFonts w:asciiTheme="minorHAnsi" w:hAnsiTheme="minorHAnsi" w:cstheme="minorHAnsi"/>
          <w:sz w:val="24"/>
          <w:szCs w:val="24"/>
        </w:rPr>
        <w:t xml:space="preserve"> Despite an increasing prevalence of equality and diversity policies across </w:t>
      </w:r>
      <w:r w:rsidRPr="003813A8">
        <w:rPr>
          <w:rFonts w:asciiTheme="minorHAnsi" w:hAnsiTheme="minorHAnsi" w:cstheme="minorHAnsi"/>
          <w:sz w:val="24"/>
          <w:szCs w:val="24"/>
        </w:rPr>
        <w:t xml:space="preserve">organisations (Van </w:t>
      </w:r>
    </w:p>
    <w:p w14:paraId="04C4B23A" w14:textId="77777777" w:rsidR="00082723" w:rsidRPr="003813A8" w:rsidRDefault="003813A8">
      <w:pPr>
        <w:ind w:left="-5"/>
        <w:rPr>
          <w:rFonts w:asciiTheme="minorHAnsi" w:hAnsiTheme="minorHAnsi" w:cstheme="minorHAnsi"/>
          <w:sz w:val="24"/>
          <w:szCs w:val="24"/>
        </w:rPr>
      </w:pPr>
      <w:proofErr w:type="spellStart"/>
      <w:r w:rsidRPr="003813A8">
        <w:rPr>
          <w:rFonts w:asciiTheme="minorHAnsi" w:hAnsiTheme="minorHAnsi" w:cstheme="minorHAnsi"/>
          <w:sz w:val="24"/>
          <w:szCs w:val="24"/>
        </w:rPr>
        <w:t>Wanrooy</w:t>
      </w:r>
      <w:proofErr w:type="spellEnd"/>
      <w:r w:rsidRPr="003813A8">
        <w:rPr>
          <w:rFonts w:asciiTheme="minorHAnsi" w:hAnsiTheme="minorHAnsi" w:cstheme="minorHAnsi"/>
          <w:sz w:val="24"/>
          <w:szCs w:val="24"/>
        </w:rPr>
        <w:t xml:space="preserve"> et al., 2013) and growing attention being given to the role of HR and sustainability (De Stefano et al., 2018), claims of disability discrimination continue to be lodged at Employment Tribunals in England and Wales. These claims</w:t>
      </w:r>
      <w:r w:rsidRPr="003813A8">
        <w:rPr>
          <w:rFonts w:asciiTheme="minorHAnsi" w:hAnsiTheme="minorHAnsi" w:cstheme="minorHAnsi"/>
          <w:sz w:val="24"/>
          <w:szCs w:val="24"/>
        </w:rPr>
        <w:t xml:space="preserve"> are examined in this paper.   </w:t>
      </w:r>
    </w:p>
    <w:p w14:paraId="08F6075B"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Although a basic analysis of disability discrimination cases can be found in the Survey of Employment Tribunal Applications (SETA) (see Harding et al. (2014), these do not shed light on the factors that contribute to a claim</w:t>
      </w:r>
      <w:r w:rsidRPr="003813A8">
        <w:rPr>
          <w:rFonts w:asciiTheme="minorHAnsi" w:hAnsiTheme="minorHAnsi" w:cstheme="minorHAnsi"/>
          <w:sz w:val="24"/>
          <w:szCs w:val="24"/>
        </w:rPr>
        <w:t xml:space="preserve"> succeeding or alternatively being dismissed. Given this paucity of extant data, this research seeks to fill this gap.  </w:t>
      </w:r>
    </w:p>
    <w:p w14:paraId="6184EEF2"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 xml:space="preserve">Importantly also, this work differentiates between the different types of disability discrimination that can be claimed, comparing the </w:t>
      </w:r>
      <w:r w:rsidRPr="003813A8">
        <w:rPr>
          <w:rFonts w:asciiTheme="minorHAnsi" w:hAnsiTheme="minorHAnsi" w:cstheme="minorHAnsi"/>
          <w:sz w:val="24"/>
          <w:szCs w:val="24"/>
        </w:rPr>
        <w:t xml:space="preserve">private sector with the public sector. Such comparison throws light on the efficacy of different types of law; in </w:t>
      </w:r>
      <w:proofErr w:type="gramStart"/>
      <w:r w:rsidRPr="003813A8">
        <w:rPr>
          <w:rFonts w:asciiTheme="minorHAnsi" w:hAnsiTheme="minorHAnsi" w:cstheme="minorHAnsi"/>
          <w:sz w:val="24"/>
          <w:szCs w:val="24"/>
        </w:rPr>
        <w:t>Britain</w:t>
      </w:r>
      <w:proofErr w:type="gramEnd"/>
      <w:r w:rsidRPr="003813A8">
        <w:rPr>
          <w:rFonts w:asciiTheme="minorHAnsi" w:hAnsiTheme="minorHAnsi" w:cstheme="minorHAnsi"/>
          <w:sz w:val="24"/>
          <w:szCs w:val="24"/>
        </w:rPr>
        <w:t xml:space="preserve"> the form of the law is different in the public and private sector, which could give rise to differences in the frequency and type of d</w:t>
      </w:r>
      <w:r w:rsidRPr="003813A8">
        <w:rPr>
          <w:rFonts w:asciiTheme="minorHAnsi" w:hAnsiTheme="minorHAnsi" w:cstheme="minorHAnsi"/>
          <w:sz w:val="24"/>
          <w:szCs w:val="24"/>
        </w:rPr>
        <w:t>iscrimination claimed.  Both the private and public sectors are governed by command and control legislation which addresses discrimination through an adjudicatory process in an adversarial manner where the state provides a private forum for the deliberatio</w:t>
      </w:r>
      <w:r w:rsidRPr="003813A8">
        <w:rPr>
          <w:rFonts w:asciiTheme="minorHAnsi" w:hAnsiTheme="minorHAnsi" w:cstheme="minorHAnsi"/>
          <w:sz w:val="24"/>
          <w:szCs w:val="24"/>
        </w:rPr>
        <w:t>n of facts and the claimant, if successful, is compensated for past discrimination (Ford, 2018). The public sector, however, is also governed by reflexive legislation which requires organisations to be proactive to promote equality through the Public Secto</w:t>
      </w:r>
      <w:r w:rsidRPr="003813A8">
        <w:rPr>
          <w:rFonts w:asciiTheme="minorHAnsi" w:hAnsiTheme="minorHAnsi" w:cstheme="minorHAnsi"/>
          <w:sz w:val="24"/>
          <w:szCs w:val="24"/>
        </w:rPr>
        <w:t>r Equality Duty. This Duty focuses on eliminating the processes, attitudes and behaviours which result in discrimination and aims to eliminate discrimination even if no individual complaint has been lodged (</w:t>
      </w:r>
      <w:proofErr w:type="spellStart"/>
      <w:r w:rsidRPr="003813A8">
        <w:rPr>
          <w:rFonts w:asciiTheme="minorHAnsi" w:hAnsiTheme="minorHAnsi" w:cstheme="minorHAnsi"/>
          <w:sz w:val="24"/>
          <w:szCs w:val="24"/>
        </w:rPr>
        <w:t>Fredman</w:t>
      </w:r>
      <w:proofErr w:type="spellEnd"/>
      <w:r w:rsidRPr="003813A8">
        <w:rPr>
          <w:rFonts w:asciiTheme="minorHAnsi" w:hAnsiTheme="minorHAnsi" w:cstheme="minorHAnsi"/>
          <w:sz w:val="24"/>
          <w:szCs w:val="24"/>
        </w:rPr>
        <w:t>, 2012), but is it effective? Does this Du</w:t>
      </w:r>
      <w:r w:rsidRPr="003813A8">
        <w:rPr>
          <w:rFonts w:asciiTheme="minorHAnsi" w:hAnsiTheme="minorHAnsi" w:cstheme="minorHAnsi"/>
          <w:sz w:val="24"/>
          <w:szCs w:val="24"/>
        </w:rPr>
        <w:t>ty lead to less instances of disability discrimination being alleged or not? This paper, therefore, addresses key debates on the form of the law. While some argue that reflexive legislation is better placed than command and control legislation to fight ine</w:t>
      </w:r>
      <w:r w:rsidRPr="003813A8">
        <w:rPr>
          <w:rFonts w:asciiTheme="minorHAnsi" w:hAnsiTheme="minorHAnsi" w:cstheme="minorHAnsi"/>
          <w:sz w:val="24"/>
          <w:szCs w:val="24"/>
        </w:rPr>
        <w:t xml:space="preserve">quality (Ayres, 2012; </w:t>
      </w:r>
      <w:proofErr w:type="spellStart"/>
      <w:r w:rsidRPr="003813A8">
        <w:rPr>
          <w:rFonts w:asciiTheme="minorHAnsi" w:hAnsiTheme="minorHAnsi" w:cstheme="minorHAnsi"/>
          <w:sz w:val="24"/>
          <w:szCs w:val="24"/>
        </w:rPr>
        <w:t>Hepple</w:t>
      </w:r>
      <w:proofErr w:type="spellEnd"/>
      <w:r w:rsidRPr="003813A8">
        <w:rPr>
          <w:rFonts w:asciiTheme="minorHAnsi" w:hAnsiTheme="minorHAnsi" w:cstheme="minorHAnsi"/>
          <w:sz w:val="24"/>
          <w:szCs w:val="24"/>
        </w:rPr>
        <w:t xml:space="preserve">, 2011), others argue it is inadequate and </w:t>
      </w:r>
      <w:r w:rsidRPr="003813A8">
        <w:rPr>
          <w:rFonts w:asciiTheme="minorHAnsi" w:hAnsiTheme="minorHAnsi" w:cstheme="minorHAnsi"/>
          <w:sz w:val="24"/>
          <w:szCs w:val="24"/>
        </w:rPr>
        <w:t>that a ‘stick’ is more effective (</w:t>
      </w:r>
      <w:proofErr w:type="spellStart"/>
      <w:r w:rsidRPr="003813A8">
        <w:rPr>
          <w:rFonts w:asciiTheme="minorHAnsi" w:hAnsiTheme="minorHAnsi" w:cstheme="minorHAnsi"/>
          <w:sz w:val="24"/>
          <w:szCs w:val="24"/>
        </w:rPr>
        <w:t>Fredman</w:t>
      </w:r>
      <w:proofErr w:type="spellEnd"/>
      <w:r w:rsidRPr="003813A8">
        <w:rPr>
          <w:rFonts w:asciiTheme="minorHAnsi" w:hAnsiTheme="minorHAnsi" w:cstheme="minorHAnsi"/>
          <w:sz w:val="24"/>
          <w:szCs w:val="24"/>
        </w:rPr>
        <w:t xml:space="preserve">, 2012). </w:t>
      </w:r>
      <w:r w:rsidRPr="003813A8">
        <w:rPr>
          <w:rFonts w:asciiTheme="minorHAnsi" w:hAnsiTheme="minorHAnsi" w:cstheme="minorHAnsi"/>
          <w:sz w:val="24"/>
          <w:szCs w:val="24"/>
        </w:rPr>
        <w:t xml:space="preserve"> </w:t>
      </w:r>
    </w:p>
    <w:p w14:paraId="43CF9F4B"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lastRenderedPageBreak/>
        <w:t>This paper contributes to this debate by focusing on the characteristics of cases in the private and in the public sectors. In additi</w:t>
      </w:r>
      <w:r w:rsidRPr="003813A8">
        <w:rPr>
          <w:rFonts w:asciiTheme="minorHAnsi" w:hAnsiTheme="minorHAnsi" w:cstheme="minorHAnsi"/>
          <w:sz w:val="24"/>
          <w:szCs w:val="24"/>
        </w:rPr>
        <w:t xml:space="preserve">on, we compare the factors contributing to the outcomes of claims brought in the two sectors.  </w:t>
      </w:r>
    </w:p>
    <w:p w14:paraId="0F1ED0DF"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 xml:space="preserve">Methodology  </w:t>
      </w:r>
    </w:p>
    <w:p w14:paraId="2C3FBF93"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We collected a census of all disability discrimination Employment Tribunal cases that went to a preliminary hearing or beyond in the three calenda</w:t>
      </w:r>
      <w:r w:rsidRPr="003813A8">
        <w:rPr>
          <w:rFonts w:asciiTheme="minorHAnsi" w:hAnsiTheme="minorHAnsi" w:cstheme="minorHAnsi"/>
          <w:sz w:val="24"/>
          <w:szCs w:val="24"/>
        </w:rPr>
        <w:t xml:space="preserve">r years 2015-2017 inclusive, in England and Wales  </w:t>
      </w:r>
    </w:p>
    <w:p w14:paraId="24A52599"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 xml:space="preserve">The data were coded by two coders (interrater reliability: 97%), using a codebook developed for this study based broadly on the SETA data. Key variables included in the analyses for this study were </w:t>
      </w:r>
      <w:r w:rsidRPr="003813A8">
        <w:rPr>
          <w:rFonts w:asciiTheme="minorHAnsi" w:hAnsiTheme="minorHAnsi" w:cstheme="minorHAnsi"/>
          <w:sz w:val="24"/>
          <w:szCs w:val="24"/>
        </w:rPr>
        <w:t>claima</w:t>
      </w:r>
      <w:r w:rsidRPr="003813A8">
        <w:rPr>
          <w:rFonts w:asciiTheme="minorHAnsi" w:hAnsiTheme="minorHAnsi" w:cstheme="minorHAnsi"/>
          <w:sz w:val="24"/>
          <w:szCs w:val="24"/>
        </w:rPr>
        <w:t xml:space="preserve">nts’ gender, sector, representation of claimants and employers (“equality of arms”), as well as </w:t>
      </w:r>
      <w:r w:rsidRPr="003813A8">
        <w:rPr>
          <w:rFonts w:asciiTheme="minorHAnsi" w:hAnsiTheme="minorHAnsi" w:cstheme="minorHAnsi"/>
          <w:sz w:val="24"/>
          <w:szCs w:val="24"/>
        </w:rPr>
        <w:t>the types of disability discrimination claims. Excluding cases with missing information left data on 1172 claims that were part of 468 cases, presided by 149 ju</w:t>
      </w:r>
      <w:r w:rsidRPr="003813A8">
        <w:rPr>
          <w:rFonts w:asciiTheme="minorHAnsi" w:hAnsiTheme="minorHAnsi" w:cstheme="minorHAnsi"/>
          <w:sz w:val="24"/>
          <w:szCs w:val="24"/>
        </w:rPr>
        <w:t xml:space="preserve">dges for the analyses presented here.  </w:t>
      </w:r>
    </w:p>
    <w:p w14:paraId="6EA02516"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 xml:space="preserve"> Key findings  </w:t>
      </w:r>
    </w:p>
    <w:p w14:paraId="10BBBA47"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The following statistics provide an overview of our sample. Of the cases included in our dataset, 249 cases (with 614 claims) were brought in the private sector, and 219 cases (with 558 claims) in the</w:t>
      </w:r>
      <w:r w:rsidRPr="003813A8">
        <w:rPr>
          <w:rFonts w:asciiTheme="minorHAnsi" w:hAnsiTheme="minorHAnsi" w:cstheme="minorHAnsi"/>
          <w:sz w:val="24"/>
          <w:szCs w:val="24"/>
        </w:rPr>
        <w:t xml:space="preserve"> public sector. 56 % of the cases in the public sector and 39% of the cases in the private sector were brought by women. In the public sector, 51% of cases involved claimants with mental impairments (private sector: 33 %), and 60 % of the cases were brough</w:t>
      </w:r>
      <w:r w:rsidRPr="003813A8">
        <w:rPr>
          <w:rFonts w:asciiTheme="minorHAnsi" w:hAnsiTheme="minorHAnsi" w:cstheme="minorHAnsi"/>
          <w:sz w:val="24"/>
          <w:szCs w:val="24"/>
        </w:rPr>
        <w:t xml:space="preserve">t by claimants with physical impairments (private sector: 73 %). 50 % of the public sector claimants and 38% of the private sector claimants had legal representation.  </w:t>
      </w:r>
    </w:p>
    <w:p w14:paraId="0CE5DDE2" w14:textId="77777777" w:rsidR="00082723" w:rsidRPr="003813A8" w:rsidRDefault="003813A8">
      <w:pPr>
        <w:spacing w:after="162" w:line="258" w:lineRule="auto"/>
        <w:ind w:left="0" w:firstLine="0"/>
        <w:rPr>
          <w:rFonts w:asciiTheme="minorHAnsi" w:hAnsiTheme="minorHAnsi" w:cstheme="minorHAnsi"/>
          <w:sz w:val="24"/>
          <w:szCs w:val="24"/>
        </w:rPr>
      </w:pPr>
      <w:r w:rsidRPr="003813A8">
        <w:rPr>
          <w:rFonts w:asciiTheme="minorHAnsi" w:hAnsiTheme="minorHAnsi" w:cstheme="minorHAnsi"/>
          <w:sz w:val="24"/>
          <w:szCs w:val="24"/>
        </w:rPr>
        <w:t>The most frequently b</w:t>
      </w:r>
      <w:r w:rsidRPr="003813A8">
        <w:rPr>
          <w:rFonts w:asciiTheme="minorHAnsi" w:hAnsiTheme="minorHAnsi" w:cstheme="minorHAnsi"/>
          <w:sz w:val="24"/>
          <w:szCs w:val="24"/>
        </w:rPr>
        <w:t xml:space="preserve">rought types of disability discrimination claims were ‘Failure to </w:t>
      </w:r>
      <w:r w:rsidRPr="003813A8">
        <w:rPr>
          <w:rFonts w:asciiTheme="minorHAnsi" w:hAnsiTheme="minorHAnsi" w:cstheme="minorHAnsi"/>
          <w:sz w:val="24"/>
          <w:szCs w:val="24"/>
        </w:rPr>
        <w:t xml:space="preserve">Make Reasonable Adjustments’ and ‘Discrimination Arising from Disability’. The former was significantly </w:t>
      </w:r>
      <w:r w:rsidRPr="003813A8">
        <w:rPr>
          <w:rFonts w:asciiTheme="minorHAnsi" w:hAnsiTheme="minorHAnsi" w:cstheme="minorHAnsi"/>
          <w:sz w:val="24"/>
          <w:szCs w:val="24"/>
        </w:rPr>
        <w:t xml:space="preserve">more common in cases brought by public sector claimants, the latter was more common among private sector claimants.  </w:t>
      </w:r>
    </w:p>
    <w:p w14:paraId="697DE165"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 xml:space="preserve"> Multilevel multinomial logistic r</w:t>
      </w:r>
      <w:r w:rsidRPr="003813A8">
        <w:rPr>
          <w:rFonts w:asciiTheme="minorHAnsi" w:hAnsiTheme="minorHAnsi" w:cstheme="minorHAnsi"/>
          <w:sz w:val="24"/>
          <w:szCs w:val="24"/>
        </w:rPr>
        <w:t xml:space="preserve">egression analyses suggested that the outcomes of claims are to some extent associated with sector: private sector cases are more likely to be successful at full hearing than public sector cases. Moreover, different types of discrimination claims differed </w:t>
      </w:r>
      <w:r w:rsidRPr="003813A8">
        <w:rPr>
          <w:rFonts w:asciiTheme="minorHAnsi" w:hAnsiTheme="minorHAnsi" w:cstheme="minorHAnsi"/>
          <w:sz w:val="24"/>
          <w:szCs w:val="24"/>
        </w:rPr>
        <w:t xml:space="preserve">in their likelihood of success at full hearing.  </w:t>
      </w:r>
    </w:p>
    <w:p w14:paraId="1D3CC5AC"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 xml:space="preserve"> Impact  </w:t>
      </w:r>
    </w:p>
    <w:p w14:paraId="3F781321"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 xml:space="preserve">Understanding more about the effectiveness of British disability discrimination law enforcement by Employment Tribunals can shed light on whether and how the law should be reformed and provide insights into strategies that will secure access to justice, a </w:t>
      </w:r>
      <w:r w:rsidRPr="003813A8">
        <w:rPr>
          <w:rFonts w:asciiTheme="minorHAnsi" w:hAnsiTheme="minorHAnsi" w:cstheme="minorHAnsi"/>
          <w:sz w:val="24"/>
          <w:szCs w:val="24"/>
        </w:rPr>
        <w:t>key form of dignity and sustainably, in line with the UN 9th sustainable development goal of decent work. Focusing specifically on disability legislation highlights the experiences of a vulnerable group of workers and an especially complex form of legislat</w:t>
      </w:r>
      <w:r w:rsidRPr="003813A8">
        <w:rPr>
          <w:rFonts w:asciiTheme="minorHAnsi" w:hAnsiTheme="minorHAnsi" w:cstheme="minorHAnsi"/>
          <w:sz w:val="24"/>
          <w:szCs w:val="24"/>
        </w:rPr>
        <w:t xml:space="preserve">ion where there are low success rates (Ministry of Justice, 2019) and tribunal awards are generally low (Clark, 2017).  </w:t>
      </w:r>
    </w:p>
    <w:p w14:paraId="7C82A2F0" w14:textId="77777777" w:rsidR="00082723" w:rsidRPr="003813A8" w:rsidRDefault="003813A8">
      <w:pPr>
        <w:spacing w:after="160"/>
        <w:ind w:left="0" w:firstLine="0"/>
        <w:rPr>
          <w:rFonts w:asciiTheme="minorHAnsi" w:hAnsiTheme="minorHAnsi" w:cstheme="minorHAnsi"/>
          <w:sz w:val="24"/>
          <w:szCs w:val="24"/>
        </w:rPr>
      </w:pPr>
      <w:r w:rsidRPr="003813A8">
        <w:rPr>
          <w:rFonts w:asciiTheme="minorHAnsi" w:hAnsiTheme="minorHAnsi" w:cstheme="minorHAnsi"/>
          <w:sz w:val="24"/>
          <w:szCs w:val="24"/>
        </w:rPr>
        <w:t xml:space="preserve">  </w:t>
      </w:r>
    </w:p>
    <w:p w14:paraId="3AB1DC1B"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lastRenderedPageBreak/>
        <w:t xml:space="preserve">References  </w:t>
      </w:r>
    </w:p>
    <w:p w14:paraId="5455C8A8"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 xml:space="preserve">Ayres I. (2012) Responsive regulation: A co-author's appreciation. Regulation &amp; Governance 7: 145151.  </w:t>
      </w:r>
    </w:p>
    <w:p w14:paraId="79FFAE7E"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 xml:space="preserve">De Stefano F, </w:t>
      </w:r>
      <w:proofErr w:type="spellStart"/>
      <w:r w:rsidRPr="003813A8">
        <w:rPr>
          <w:rFonts w:asciiTheme="minorHAnsi" w:hAnsiTheme="minorHAnsi" w:cstheme="minorHAnsi"/>
          <w:sz w:val="24"/>
          <w:szCs w:val="24"/>
        </w:rPr>
        <w:t>B</w:t>
      </w:r>
      <w:r w:rsidRPr="003813A8">
        <w:rPr>
          <w:rFonts w:asciiTheme="minorHAnsi" w:hAnsiTheme="minorHAnsi" w:cstheme="minorHAnsi"/>
          <w:sz w:val="24"/>
          <w:szCs w:val="24"/>
        </w:rPr>
        <w:t>agdadli</w:t>
      </w:r>
      <w:proofErr w:type="spellEnd"/>
      <w:r w:rsidRPr="003813A8">
        <w:rPr>
          <w:rFonts w:asciiTheme="minorHAnsi" w:hAnsiTheme="minorHAnsi" w:cstheme="minorHAnsi"/>
          <w:sz w:val="24"/>
          <w:szCs w:val="24"/>
        </w:rPr>
        <w:t xml:space="preserve"> S and </w:t>
      </w:r>
      <w:proofErr w:type="spellStart"/>
      <w:r w:rsidRPr="003813A8">
        <w:rPr>
          <w:rFonts w:asciiTheme="minorHAnsi" w:hAnsiTheme="minorHAnsi" w:cstheme="minorHAnsi"/>
          <w:sz w:val="24"/>
          <w:szCs w:val="24"/>
        </w:rPr>
        <w:t>Camuffo</w:t>
      </w:r>
      <w:proofErr w:type="spellEnd"/>
      <w:r w:rsidRPr="003813A8">
        <w:rPr>
          <w:rFonts w:asciiTheme="minorHAnsi" w:hAnsiTheme="minorHAnsi" w:cstheme="minorHAnsi"/>
          <w:sz w:val="24"/>
          <w:szCs w:val="24"/>
        </w:rPr>
        <w:t xml:space="preserve"> A. (2018) The HR role in corporate social responsibility and sustainability: A boundary-shifting literature review. Human Resource Management 57: 549566.  </w:t>
      </w:r>
    </w:p>
    <w:p w14:paraId="60D61354"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Ford M. (2018) Employment Tribunal Fees and the Rule of Law: R (Unison) v Lord</w:t>
      </w:r>
      <w:r w:rsidRPr="003813A8">
        <w:rPr>
          <w:rFonts w:asciiTheme="minorHAnsi" w:hAnsiTheme="minorHAnsi" w:cstheme="minorHAnsi"/>
          <w:sz w:val="24"/>
          <w:szCs w:val="24"/>
        </w:rPr>
        <w:t xml:space="preserve"> Chancellor in the Supreme Court. Industrial Law Journal 47: 1-45.  </w:t>
      </w:r>
    </w:p>
    <w:p w14:paraId="0FB06B97" w14:textId="77777777" w:rsidR="00082723" w:rsidRPr="003813A8" w:rsidRDefault="003813A8">
      <w:pPr>
        <w:ind w:left="-5"/>
        <w:rPr>
          <w:rFonts w:asciiTheme="minorHAnsi" w:hAnsiTheme="minorHAnsi" w:cstheme="minorHAnsi"/>
          <w:sz w:val="24"/>
          <w:szCs w:val="24"/>
        </w:rPr>
      </w:pPr>
      <w:proofErr w:type="spellStart"/>
      <w:r w:rsidRPr="003813A8">
        <w:rPr>
          <w:rFonts w:asciiTheme="minorHAnsi" w:hAnsiTheme="minorHAnsi" w:cstheme="minorHAnsi"/>
          <w:sz w:val="24"/>
          <w:szCs w:val="24"/>
        </w:rPr>
        <w:t>Fredman</w:t>
      </w:r>
      <w:proofErr w:type="spellEnd"/>
      <w:r w:rsidRPr="003813A8">
        <w:rPr>
          <w:rFonts w:asciiTheme="minorHAnsi" w:hAnsiTheme="minorHAnsi" w:cstheme="minorHAnsi"/>
          <w:sz w:val="24"/>
          <w:szCs w:val="24"/>
        </w:rPr>
        <w:t xml:space="preserve"> S. (2012) Breaking the </w:t>
      </w:r>
      <w:proofErr w:type="spellStart"/>
      <w:r w:rsidRPr="003813A8">
        <w:rPr>
          <w:rFonts w:asciiTheme="minorHAnsi" w:hAnsiTheme="minorHAnsi" w:cstheme="minorHAnsi"/>
          <w:sz w:val="24"/>
          <w:szCs w:val="24"/>
        </w:rPr>
        <w:t>mold</w:t>
      </w:r>
      <w:proofErr w:type="spellEnd"/>
      <w:r w:rsidRPr="003813A8">
        <w:rPr>
          <w:rFonts w:asciiTheme="minorHAnsi" w:hAnsiTheme="minorHAnsi" w:cstheme="minorHAnsi"/>
          <w:sz w:val="24"/>
          <w:szCs w:val="24"/>
        </w:rPr>
        <w:t xml:space="preserve">: equality as a proactive duty. The American </w:t>
      </w:r>
      <w:proofErr w:type="spellStart"/>
      <w:r w:rsidRPr="003813A8">
        <w:rPr>
          <w:rFonts w:asciiTheme="minorHAnsi" w:hAnsiTheme="minorHAnsi" w:cstheme="minorHAnsi"/>
          <w:sz w:val="24"/>
          <w:szCs w:val="24"/>
        </w:rPr>
        <w:t>Jounral</w:t>
      </w:r>
      <w:proofErr w:type="spellEnd"/>
      <w:r w:rsidRPr="003813A8">
        <w:rPr>
          <w:rFonts w:asciiTheme="minorHAnsi" w:hAnsiTheme="minorHAnsi" w:cstheme="minorHAnsi"/>
          <w:sz w:val="24"/>
          <w:szCs w:val="24"/>
        </w:rPr>
        <w:t xml:space="preserve"> of Comparative Law 60: 265-288.  </w:t>
      </w:r>
    </w:p>
    <w:p w14:paraId="7E1C2CCF"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 xml:space="preserve">Harding C, </w:t>
      </w:r>
      <w:proofErr w:type="spellStart"/>
      <w:r w:rsidRPr="003813A8">
        <w:rPr>
          <w:rFonts w:asciiTheme="minorHAnsi" w:hAnsiTheme="minorHAnsi" w:cstheme="minorHAnsi"/>
          <w:sz w:val="24"/>
          <w:szCs w:val="24"/>
        </w:rPr>
        <w:t>Ghezelayagh</w:t>
      </w:r>
      <w:proofErr w:type="spellEnd"/>
      <w:r w:rsidRPr="003813A8">
        <w:rPr>
          <w:rFonts w:asciiTheme="minorHAnsi" w:hAnsiTheme="minorHAnsi" w:cstheme="minorHAnsi"/>
          <w:sz w:val="24"/>
          <w:szCs w:val="24"/>
        </w:rPr>
        <w:t xml:space="preserve"> S, Busby A, et al. (2014) Findings from th</w:t>
      </w:r>
      <w:r w:rsidRPr="003813A8">
        <w:rPr>
          <w:rFonts w:asciiTheme="minorHAnsi" w:hAnsiTheme="minorHAnsi" w:cstheme="minorHAnsi"/>
          <w:sz w:val="24"/>
          <w:szCs w:val="24"/>
        </w:rPr>
        <w:t xml:space="preserve">e Survey of Employment Tribunal Applications 2013. London: Business Innovation and Skills.  </w:t>
      </w:r>
    </w:p>
    <w:p w14:paraId="19F000CE" w14:textId="77777777" w:rsidR="00082723" w:rsidRPr="003813A8" w:rsidRDefault="003813A8">
      <w:pPr>
        <w:ind w:left="-5"/>
        <w:rPr>
          <w:rFonts w:asciiTheme="minorHAnsi" w:hAnsiTheme="minorHAnsi" w:cstheme="minorHAnsi"/>
          <w:sz w:val="24"/>
          <w:szCs w:val="24"/>
        </w:rPr>
      </w:pPr>
      <w:proofErr w:type="spellStart"/>
      <w:r w:rsidRPr="003813A8">
        <w:rPr>
          <w:rFonts w:asciiTheme="minorHAnsi" w:hAnsiTheme="minorHAnsi" w:cstheme="minorHAnsi"/>
          <w:sz w:val="24"/>
          <w:szCs w:val="24"/>
        </w:rPr>
        <w:t>Hepple</w:t>
      </w:r>
      <w:proofErr w:type="spellEnd"/>
      <w:r w:rsidRPr="003813A8">
        <w:rPr>
          <w:rFonts w:asciiTheme="minorHAnsi" w:hAnsiTheme="minorHAnsi" w:cstheme="minorHAnsi"/>
          <w:sz w:val="24"/>
          <w:szCs w:val="24"/>
        </w:rPr>
        <w:t xml:space="preserve"> B. (2011) Enforcing equality law: two steps forward and two steps backwards for reflexive regulation. Industrial Law Journal 40: 315-335.  </w:t>
      </w:r>
    </w:p>
    <w:p w14:paraId="275B9F34" w14:textId="77777777" w:rsidR="00082723" w:rsidRPr="003813A8" w:rsidRDefault="003813A8">
      <w:pPr>
        <w:ind w:left="-5"/>
        <w:rPr>
          <w:rFonts w:asciiTheme="minorHAnsi" w:hAnsiTheme="minorHAnsi" w:cstheme="minorHAnsi"/>
          <w:sz w:val="24"/>
          <w:szCs w:val="24"/>
        </w:rPr>
      </w:pPr>
      <w:r w:rsidRPr="003813A8">
        <w:rPr>
          <w:rFonts w:asciiTheme="minorHAnsi" w:hAnsiTheme="minorHAnsi" w:cstheme="minorHAnsi"/>
          <w:sz w:val="24"/>
          <w:szCs w:val="24"/>
        </w:rPr>
        <w:t xml:space="preserve">Van </w:t>
      </w:r>
      <w:proofErr w:type="spellStart"/>
      <w:r w:rsidRPr="003813A8">
        <w:rPr>
          <w:rFonts w:asciiTheme="minorHAnsi" w:hAnsiTheme="minorHAnsi" w:cstheme="minorHAnsi"/>
          <w:sz w:val="24"/>
          <w:szCs w:val="24"/>
        </w:rPr>
        <w:t>Wanrooy</w:t>
      </w:r>
      <w:proofErr w:type="spellEnd"/>
      <w:r w:rsidRPr="003813A8">
        <w:rPr>
          <w:rFonts w:asciiTheme="minorHAnsi" w:hAnsiTheme="minorHAnsi" w:cstheme="minorHAnsi"/>
          <w:sz w:val="24"/>
          <w:szCs w:val="24"/>
        </w:rPr>
        <w:t xml:space="preserve"> B, Bewley H, Bryson A, et al. (2013) The 2011 Workplace Employment Relations Study First Findings. Swindon: ESRC. </w:t>
      </w:r>
    </w:p>
    <w:sectPr w:rsidR="00082723" w:rsidRPr="003813A8">
      <w:pgSz w:w="11904" w:h="16838"/>
      <w:pgMar w:top="1452" w:right="1432" w:bottom="147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23"/>
    <w:rsid w:val="00082723"/>
    <w:rsid w:val="00381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5B0FC"/>
  <w15:docId w15:val="{486F56E2-8D26-4A19-B16F-006F5E99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1883</Words>
  <Characters>10734</Characters>
  <Application>Microsoft Office Word</Application>
  <DocSecurity>0</DocSecurity>
  <Lines>89</Lines>
  <Paragraphs>25</Paragraphs>
  <ScaleCrop>false</ScaleCrop>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Kenisha Linton</dc:creator>
  <cp:keywords/>
  <cp:lastModifiedBy>Stephanie Ormerod</cp:lastModifiedBy>
  <cp:revision>2</cp:revision>
  <dcterms:created xsi:type="dcterms:W3CDTF">2020-06-02T17:00:00Z</dcterms:created>
  <dcterms:modified xsi:type="dcterms:W3CDTF">2020-06-02T17:00:00Z</dcterms:modified>
</cp:coreProperties>
</file>