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69D" w:rsidRPr="00EE7ADB" w:rsidRDefault="00F43A1B" w:rsidP="008A7C39">
      <w:pPr>
        <w:spacing w:after="0" w:line="240" w:lineRule="auto"/>
        <w:rPr>
          <w:rFonts w:cs="Calibri"/>
          <w:sz w:val="20"/>
          <w:szCs w:val="20"/>
        </w:rPr>
      </w:pPr>
      <w:bookmarkStart w:id="0" w:name="_GoBack"/>
      <w:bookmarkEnd w:id="0"/>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New UoG Logo Jan 2010" style="position:absolute;margin-left:355.8pt;margin-top:-26.6pt;width:118.2pt;height:58.85pt;z-index:251658240;visibility:visible">
            <v:imagedata r:id="rId8" o:title=""/>
          </v:shape>
        </w:pict>
      </w:r>
      <w:r w:rsidR="004C169D" w:rsidRPr="00EE7ADB">
        <w:rPr>
          <w:rFonts w:cs="Calibri"/>
          <w:sz w:val="20"/>
          <w:szCs w:val="20"/>
        </w:rPr>
        <w:t xml:space="preserve">    </w:t>
      </w:r>
    </w:p>
    <w:p w:rsidR="004C169D" w:rsidRPr="00EE7ADB" w:rsidRDefault="004C169D" w:rsidP="008A7C39">
      <w:pPr>
        <w:spacing w:after="0" w:line="240" w:lineRule="auto"/>
        <w:rPr>
          <w:rFonts w:cs="Calibri"/>
          <w:sz w:val="20"/>
          <w:szCs w:val="20"/>
        </w:rPr>
      </w:pPr>
    </w:p>
    <w:p w:rsidR="004C169D" w:rsidRPr="00EE7ADB" w:rsidRDefault="004C169D" w:rsidP="008A7C39">
      <w:pPr>
        <w:spacing w:after="0" w:line="240" w:lineRule="auto"/>
        <w:jc w:val="center"/>
        <w:rPr>
          <w:rFonts w:cs="Calibri"/>
          <w:sz w:val="20"/>
          <w:szCs w:val="20"/>
        </w:rPr>
      </w:pPr>
      <w:r w:rsidRPr="00EE7ADB">
        <w:rPr>
          <w:rFonts w:cs="Calibri"/>
          <w:sz w:val="20"/>
          <w:szCs w:val="20"/>
        </w:rPr>
        <w:t>LEARNING AND QUALITY COMMITTEE</w:t>
      </w:r>
    </w:p>
    <w:p w:rsidR="004C169D" w:rsidRPr="00EE7ADB" w:rsidRDefault="004C169D" w:rsidP="008A7C39">
      <w:pPr>
        <w:tabs>
          <w:tab w:val="left" w:pos="0"/>
        </w:tabs>
        <w:spacing w:after="0" w:line="240" w:lineRule="auto"/>
        <w:jc w:val="center"/>
        <w:rPr>
          <w:rFonts w:cs="Calibri"/>
          <w:sz w:val="20"/>
          <w:szCs w:val="20"/>
        </w:rPr>
      </w:pPr>
      <w:r w:rsidRPr="00EE7ADB">
        <w:rPr>
          <w:rFonts w:cs="Calibri"/>
          <w:sz w:val="20"/>
          <w:szCs w:val="20"/>
        </w:rPr>
        <w:t>Minutes of the seventh meeting of the Learning and Quality Committee in the 2012-13 academic session, held on Wednesday 8</w:t>
      </w:r>
      <w:r w:rsidRPr="00EE7ADB">
        <w:rPr>
          <w:rFonts w:cs="Calibri"/>
          <w:sz w:val="20"/>
          <w:szCs w:val="20"/>
          <w:vertAlign w:val="superscript"/>
        </w:rPr>
        <w:t>th</w:t>
      </w:r>
      <w:r w:rsidRPr="00EE7ADB">
        <w:rPr>
          <w:rFonts w:cs="Calibri"/>
          <w:sz w:val="20"/>
          <w:szCs w:val="20"/>
        </w:rPr>
        <w:t xml:space="preserve"> May in Queen Anne 075, Greenwich Campus</w:t>
      </w:r>
    </w:p>
    <w:p w:rsidR="004C169D" w:rsidRPr="00EE7ADB" w:rsidRDefault="004C169D" w:rsidP="008A7C39">
      <w:pPr>
        <w:spacing w:after="0" w:line="240" w:lineRule="auto"/>
        <w:rPr>
          <w:rFonts w:cs="Calibri"/>
          <w:sz w:val="20"/>
          <w:szCs w:val="20"/>
        </w:rPr>
      </w:pPr>
    </w:p>
    <w:tbl>
      <w:tblPr>
        <w:tblW w:w="0" w:type="auto"/>
        <w:tblLayout w:type="fixed"/>
        <w:tblLook w:val="01E0" w:firstRow="1" w:lastRow="1" w:firstColumn="1" w:lastColumn="1" w:noHBand="0" w:noVBand="0"/>
      </w:tblPr>
      <w:tblGrid>
        <w:gridCol w:w="1538"/>
        <w:gridCol w:w="2200"/>
        <w:gridCol w:w="5868"/>
      </w:tblGrid>
      <w:tr w:rsidR="004C169D" w:rsidRPr="00EE7ADB" w:rsidTr="00F976BC">
        <w:trPr>
          <w:trHeight w:val="369"/>
        </w:trPr>
        <w:tc>
          <w:tcPr>
            <w:tcW w:w="1538" w:type="dxa"/>
            <w:vAlign w:val="center"/>
          </w:tcPr>
          <w:p w:rsidR="004C169D" w:rsidRPr="00EE7ADB" w:rsidRDefault="004C169D" w:rsidP="008A7C39">
            <w:pPr>
              <w:spacing w:after="0" w:line="240" w:lineRule="auto"/>
              <w:rPr>
                <w:rFonts w:cs="Calibri"/>
                <w:sz w:val="20"/>
                <w:szCs w:val="20"/>
              </w:rPr>
            </w:pPr>
            <w:r w:rsidRPr="00EE7ADB">
              <w:rPr>
                <w:rFonts w:cs="Calibri"/>
                <w:sz w:val="20"/>
                <w:szCs w:val="20"/>
              </w:rPr>
              <w:t>Present:</w:t>
            </w:r>
          </w:p>
        </w:tc>
        <w:tc>
          <w:tcPr>
            <w:tcW w:w="2200"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S. Jarvis (Chair)</w:t>
            </w:r>
          </w:p>
        </w:tc>
        <w:tc>
          <w:tcPr>
            <w:tcW w:w="5868"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Deputy Vice-Chancellor (Academic Development)</w:t>
            </w:r>
          </w:p>
        </w:tc>
      </w:tr>
      <w:tr w:rsidR="004C169D" w:rsidRPr="00EE7ADB" w:rsidTr="00F976BC">
        <w:trPr>
          <w:trHeight w:val="207"/>
        </w:trPr>
        <w:tc>
          <w:tcPr>
            <w:tcW w:w="1538" w:type="dxa"/>
            <w:vAlign w:val="center"/>
          </w:tcPr>
          <w:p w:rsidR="004C169D" w:rsidRPr="00EE7ADB" w:rsidRDefault="004C169D" w:rsidP="008A7C39">
            <w:pPr>
              <w:spacing w:after="0" w:line="240" w:lineRule="auto"/>
              <w:rPr>
                <w:rFonts w:cs="Calibri"/>
                <w:sz w:val="20"/>
                <w:szCs w:val="20"/>
              </w:rPr>
            </w:pPr>
          </w:p>
        </w:tc>
        <w:tc>
          <w:tcPr>
            <w:tcW w:w="2200"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S. Naylor (Officer)</w:t>
            </w:r>
          </w:p>
        </w:tc>
        <w:tc>
          <w:tcPr>
            <w:tcW w:w="5868"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QA Manager Learning and Quality Unit</w:t>
            </w:r>
          </w:p>
        </w:tc>
      </w:tr>
      <w:tr w:rsidR="004C169D" w:rsidRPr="00EE7ADB" w:rsidTr="00F976BC">
        <w:trPr>
          <w:trHeight w:val="95"/>
        </w:trPr>
        <w:tc>
          <w:tcPr>
            <w:tcW w:w="1538" w:type="dxa"/>
            <w:vAlign w:val="center"/>
          </w:tcPr>
          <w:p w:rsidR="004C169D" w:rsidRPr="00EE7ADB" w:rsidRDefault="004C169D" w:rsidP="008A7C39">
            <w:pPr>
              <w:spacing w:after="0" w:line="240" w:lineRule="auto"/>
              <w:rPr>
                <w:rFonts w:cs="Calibri"/>
                <w:sz w:val="20"/>
                <w:szCs w:val="20"/>
              </w:rPr>
            </w:pPr>
          </w:p>
        </w:tc>
        <w:tc>
          <w:tcPr>
            <w:tcW w:w="2200"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R. Blackburn</w:t>
            </w:r>
          </w:p>
        </w:tc>
        <w:tc>
          <w:tcPr>
            <w:tcW w:w="5868"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 xml:space="preserve">DLQ, </w:t>
            </w:r>
            <w:smartTag w:uri="urn:schemas-microsoft-com:office:smarttags" w:element="place">
              <w:smartTag w:uri="urn:schemas-microsoft-com:office:smarttags" w:element="PlaceType">
                <w:r w:rsidRPr="00EE7ADB">
                  <w:rPr>
                    <w:rFonts w:cs="Calibri"/>
                    <w:sz w:val="20"/>
                    <w:szCs w:val="20"/>
                  </w:rPr>
                  <w:t>School</w:t>
                </w:r>
              </w:smartTag>
              <w:r w:rsidRPr="00EE7ADB">
                <w:rPr>
                  <w:rFonts w:cs="Calibri"/>
                  <w:sz w:val="20"/>
                  <w:szCs w:val="20"/>
                </w:rPr>
                <w:t xml:space="preserve"> of </w:t>
              </w:r>
              <w:smartTag w:uri="urn:schemas-microsoft-com:office:smarttags" w:element="PlaceName">
                <w:r w:rsidRPr="00EE7ADB">
                  <w:rPr>
                    <w:rFonts w:cs="Calibri"/>
                    <w:sz w:val="20"/>
                    <w:szCs w:val="20"/>
                  </w:rPr>
                  <w:t>Science</w:t>
                </w:r>
              </w:smartTag>
            </w:smartTag>
          </w:p>
        </w:tc>
      </w:tr>
      <w:tr w:rsidR="004C169D" w:rsidRPr="00EE7ADB" w:rsidTr="00F976BC">
        <w:trPr>
          <w:trHeight w:val="95"/>
        </w:trPr>
        <w:tc>
          <w:tcPr>
            <w:tcW w:w="1538" w:type="dxa"/>
            <w:vAlign w:val="center"/>
          </w:tcPr>
          <w:p w:rsidR="004C169D" w:rsidRPr="00EE7ADB" w:rsidRDefault="004C169D" w:rsidP="008A7C39">
            <w:pPr>
              <w:spacing w:after="0" w:line="240" w:lineRule="auto"/>
              <w:rPr>
                <w:rFonts w:cs="Calibri"/>
                <w:sz w:val="20"/>
                <w:szCs w:val="20"/>
              </w:rPr>
            </w:pPr>
          </w:p>
        </w:tc>
        <w:tc>
          <w:tcPr>
            <w:tcW w:w="2200"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W. Cealey Harrison</w:t>
            </w:r>
          </w:p>
        </w:tc>
        <w:tc>
          <w:tcPr>
            <w:tcW w:w="5868"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Head of Learning and Quality Unit</w:t>
            </w:r>
          </w:p>
        </w:tc>
      </w:tr>
      <w:tr w:rsidR="004C169D" w:rsidRPr="00EE7ADB" w:rsidTr="00F976BC">
        <w:trPr>
          <w:trHeight w:val="113"/>
        </w:trPr>
        <w:tc>
          <w:tcPr>
            <w:tcW w:w="1538" w:type="dxa"/>
            <w:vAlign w:val="center"/>
          </w:tcPr>
          <w:p w:rsidR="004C169D" w:rsidRPr="00EE7ADB" w:rsidRDefault="004C169D" w:rsidP="008A7C39">
            <w:pPr>
              <w:spacing w:after="0" w:line="240" w:lineRule="auto"/>
              <w:rPr>
                <w:rFonts w:cs="Calibri"/>
                <w:sz w:val="20"/>
                <w:szCs w:val="20"/>
              </w:rPr>
            </w:pPr>
          </w:p>
        </w:tc>
        <w:tc>
          <w:tcPr>
            <w:tcW w:w="2200"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C. Delage</w:t>
            </w:r>
          </w:p>
        </w:tc>
        <w:tc>
          <w:tcPr>
            <w:tcW w:w="5868"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 xml:space="preserve">DLQ, </w:t>
            </w:r>
            <w:smartTag w:uri="urn:schemas-microsoft-com:office:smarttags" w:element="place">
              <w:smartTag w:uri="urn:schemas-microsoft-com:office:smarttags" w:element="PlaceType">
                <w:r w:rsidRPr="00EE7ADB">
                  <w:rPr>
                    <w:rFonts w:cs="Calibri"/>
                    <w:sz w:val="20"/>
                    <w:szCs w:val="20"/>
                  </w:rPr>
                  <w:t>School</w:t>
                </w:r>
              </w:smartTag>
              <w:r w:rsidRPr="00EE7ADB">
                <w:rPr>
                  <w:rFonts w:cs="Calibri"/>
                  <w:sz w:val="20"/>
                  <w:szCs w:val="20"/>
                </w:rPr>
                <w:t xml:space="preserve"> of </w:t>
              </w:r>
              <w:smartTag w:uri="urn:schemas-microsoft-com:office:smarttags" w:element="PlaceName">
                <w:r w:rsidRPr="00EE7ADB">
                  <w:rPr>
                    <w:rFonts w:cs="Calibri"/>
                    <w:sz w:val="20"/>
                    <w:szCs w:val="20"/>
                  </w:rPr>
                  <w:t>Architecture</w:t>
                </w:r>
              </w:smartTag>
            </w:smartTag>
            <w:r w:rsidRPr="00EE7ADB">
              <w:rPr>
                <w:rFonts w:cs="Calibri"/>
                <w:sz w:val="20"/>
                <w:szCs w:val="20"/>
              </w:rPr>
              <w:t>, Design and Construction</w:t>
            </w:r>
          </w:p>
        </w:tc>
      </w:tr>
      <w:tr w:rsidR="004C169D" w:rsidRPr="00EE7ADB" w:rsidTr="00F976BC">
        <w:trPr>
          <w:trHeight w:val="113"/>
        </w:trPr>
        <w:tc>
          <w:tcPr>
            <w:tcW w:w="1538" w:type="dxa"/>
            <w:vAlign w:val="center"/>
          </w:tcPr>
          <w:p w:rsidR="004C169D" w:rsidRPr="00EE7ADB" w:rsidRDefault="004C169D" w:rsidP="008A7C39">
            <w:pPr>
              <w:spacing w:after="0" w:line="240" w:lineRule="auto"/>
              <w:rPr>
                <w:rFonts w:cs="Calibri"/>
                <w:sz w:val="20"/>
                <w:szCs w:val="20"/>
              </w:rPr>
            </w:pPr>
          </w:p>
        </w:tc>
        <w:tc>
          <w:tcPr>
            <w:tcW w:w="2200"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J. Cullinane</w:t>
            </w:r>
          </w:p>
        </w:tc>
        <w:tc>
          <w:tcPr>
            <w:tcW w:w="5868"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 xml:space="preserve">DLQ, </w:t>
            </w:r>
            <w:smartTag w:uri="urn:schemas-microsoft-com:office:smarttags" w:element="place">
              <w:smartTag w:uri="urn:schemas-microsoft-com:office:smarttags" w:element="PlaceType">
                <w:r w:rsidRPr="00EE7ADB">
                  <w:rPr>
                    <w:rFonts w:cs="Calibri"/>
                    <w:sz w:val="20"/>
                    <w:szCs w:val="20"/>
                  </w:rPr>
                  <w:t>School</w:t>
                </w:r>
              </w:smartTag>
              <w:r w:rsidRPr="00EE7ADB">
                <w:rPr>
                  <w:rFonts w:cs="Calibri"/>
                  <w:sz w:val="20"/>
                  <w:szCs w:val="20"/>
                </w:rPr>
                <w:t xml:space="preserve"> of </w:t>
              </w:r>
              <w:smartTag w:uri="urn:schemas-microsoft-com:office:smarttags" w:element="PlaceName">
                <w:r w:rsidRPr="00EE7ADB">
                  <w:rPr>
                    <w:rFonts w:cs="Calibri"/>
                    <w:sz w:val="20"/>
                    <w:szCs w:val="20"/>
                  </w:rPr>
                  <w:t>Business</w:t>
                </w:r>
              </w:smartTag>
            </w:smartTag>
          </w:p>
        </w:tc>
      </w:tr>
      <w:tr w:rsidR="004C169D" w:rsidRPr="00EE7ADB" w:rsidTr="00F976BC">
        <w:trPr>
          <w:trHeight w:val="159"/>
        </w:trPr>
        <w:tc>
          <w:tcPr>
            <w:tcW w:w="1538" w:type="dxa"/>
            <w:vAlign w:val="center"/>
          </w:tcPr>
          <w:p w:rsidR="004C169D" w:rsidRPr="00EE7ADB" w:rsidRDefault="004C169D" w:rsidP="008A7C39">
            <w:pPr>
              <w:spacing w:after="0" w:line="240" w:lineRule="auto"/>
              <w:rPr>
                <w:rFonts w:cs="Calibri"/>
                <w:sz w:val="20"/>
                <w:szCs w:val="20"/>
              </w:rPr>
            </w:pPr>
          </w:p>
        </w:tc>
        <w:tc>
          <w:tcPr>
            <w:tcW w:w="2200"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A. Grant</w:t>
            </w:r>
          </w:p>
        </w:tc>
        <w:tc>
          <w:tcPr>
            <w:tcW w:w="5868"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 xml:space="preserve">DLQ, </w:t>
            </w:r>
            <w:smartTag w:uri="urn:schemas-microsoft-com:office:smarttags" w:element="place">
              <w:smartTag w:uri="urn:schemas-microsoft-com:office:smarttags" w:element="PlaceType">
                <w:r w:rsidRPr="00EE7ADB">
                  <w:rPr>
                    <w:rFonts w:cs="Calibri"/>
                    <w:sz w:val="20"/>
                    <w:szCs w:val="20"/>
                  </w:rPr>
                  <w:t>School</w:t>
                </w:r>
              </w:smartTag>
              <w:r w:rsidRPr="00EE7ADB">
                <w:rPr>
                  <w:rFonts w:cs="Calibri"/>
                  <w:sz w:val="20"/>
                  <w:szCs w:val="20"/>
                </w:rPr>
                <w:t xml:space="preserve"> of </w:t>
              </w:r>
              <w:smartTag w:uri="urn:schemas-microsoft-com:office:smarttags" w:element="PlaceName">
                <w:r w:rsidRPr="00EE7ADB">
                  <w:rPr>
                    <w:rFonts w:cs="Calibri"/>
                    <w:sz w:val="20"/>
                    <w:szCs w:val="20"/>
                  </w:rPr>
                  <w:t>Engineering</w:t>
                </w:r>
              </w:smartTag>
            </w:smartTag>
          </w:p>
        </w:tc>
      </w:tr>
      <w:tr w:rsidR="004C169D" w:rsidRPr="00EE7ADB" w:rsidTr="00F976BC">
        <w:trPr>
          <w:trHeight w:val="113"/>
        </w:trPr>
        <w:tc>
          <w:tcPr>
            <w:tcW w:w="1538" w:type="dxa"/>
            <w:vAlign w:val="center"/>
          </w:tcPr>
          <w:p w:rsidR="004C169D" w:rsidRPr="00EE7ADB" w:rsidRDefault="004C169D" w:rsidP="008A7C39">
            <w:pPr>
              <w:spacing w:after="0" w:line="240" w:lineRule="auto"/>
              <w:rPr>
                <w:rFonts w:cs="Calibri"/>
                <w:sz w:val="20"/>
                <w:szCs w:val="20"/>
              </w:rPr>
            </w:pPr>
          </w:p>
        </w:tc>
        <w:tc>
          <w:tcPr>
            <w:tcW w:w="2200"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V. Habgood</w:t>
            </w:r>
          </w:p>
        </w:tc>
        <w:tc>
          <w:tcPr>
            <w:tcW w:w="5868"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 xml:space="preserve">DLQ, </w:t>
            </w:r>
            <w:smartTag w:uri="urn:schemas-microsoft-com:office:smarttags" w:element="place">
              <w:smartTag w:uri="urn:schemas-microsoft-com:office:smarttags" w:element="PlaceType">
                <w:r w:rsidRPr="00EE7ADB">
                  <w:rPr>
                    <w:rFonts w:cs="Calibri"/>
                    <w:sz w:val="20"/>
                    <w:szCs w:val="20"/>
                  </w:rPr>
                  <w:t>School</w:t>
                </w:r>
              </w:smartTag>
              <w:r w:rsidRPr="00EE7ADB">
                <w:rPr>
                  <w:rFonts w:cs="Calibri"/>
                  <w:sz w:val="20"/>
                  <w:szCs w:val="20"/>
                </w:rPr>
                <w:t xml:space="preserve"> of </w:t>
              </w:r>
              <w:smartTag w:uri="urn:schemas-microsoft-com:office:smarttags" w:element="PlaceName">
                <w:r w:rsidRPr="00EE7ADB">
                  <w:rPr>
                    <w:rFonts w:cs="Calibri"/>
                    <w:sz w:val="20"/>
                    <w:szCs w:val="20"/>
                  </w:rPr>
                  <w:t>Health</w:t>
                </w:r>
              </w:smartTag>
            </w:smartTag>
            <w:r w:rsidRPr="00EE7ADB">
              <w:rPr>
                <w:rFonts w:cs="Calibri"/>
                <w:sz w:val="20"/>
                <w:szCs w:val="20"/>
              </w:rPr>
              <w:t xml:space="preserve"> &amp; Social Care</w:t>
            </w:r>
          </w:p>
        </w:tc>
      </w:tr>
      <w:tr w:rsidR="004C169D" w:rsidRPr="00EE7ADB" w:rsidTr="00F976BC">
        <w:trPr>
          <w:trHeight w:val="113"/>
        </w:trPr>
        <w:tc>
          <w:tcPr>
            <w:tcW w:w="1538" w:type="dxa"/>
            <w:vAlign w:val="center"/>
          </w:tcPr>
          <w:p w:rsidR="004C169D" w:rsidRPr="00EE7ADB" w:rsidRDefault="004C169D" w:rsidP="008A7C39">
            <w:pPr>
              <w:spacing w:after="0" w:line="240" w:lineRule="auto"/>
              <w:rPr>
                <w:rFonts w:cs="Calibri"/>
                <w:sz w:val="20"/>
                <w:szCs w:val="20"/>
              </w:rPr>
            </w:pPr>
          </w:p>
        </w:tc>
        <w:tc>
          <w:tcPr>
            <w:tcW w:w="2200"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D. Hayes</w:t>
            </w:r>
          </w:p>
        </w:tc>
        <w:tc>
          <w:tcPr>
            <w:tcW w:w="5868"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Head of the partnership Division</w:t>
            </w:r>
          </w:p>
        </w:tc>
      </w:tr>
      <w:tr w:rsidR="004C169D" w:rsidRPr="00EE7ADB" w:rsidTr="00F976BC">
        <w:trPr>
          <w:trHeight w:val="113"/>
        </w:trPr>
        <w:tc>
          <w:tcPr>
            <w:tcW w:w="1538" w:type="dxa"/>
            <w:vAlign w:val="center"/>
          </w:tcPr>
          <w:p w:rsidR="004C169D" w:rsidRPr="00EE7ADB" w:rsidRDefault="004C169D" w:rsidP="008A7C39">
            <w:pPr>
              <w:spacing w:after="0" w:line="240" w:lineRule="auto"/>
              <w:rPr>
                <w:rFonts w:cs="Calibri"/>
                <w:sz w:val="20"/>
                <w:szCs w:val="20"/>
              </w:rPr>
            </w:pPr>
          </w:p>
        </w:tc>
        <w:tc>
          <w:tcPr>
            <w:tcW w:w="2200"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C. Ierotheou</w:t>
            </w:r>
          </w:p>
        </w:tc>
        <w:tc>
          <w:tcPr>
            <w:tcW w:w="5868"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DLQ, School of Computing &amp; Mathematical Sciences</w:t>
            </w:r>
          </w:p>
        </w:tc>
      </w:tr>
      <w:tr w:rsidR="004C169D" w:rsidRPr="00EE7ADB" w:rsidTr="00F976BC">
        <w:trPr>
          <w:trHeight w:val="113"/>
        </w:trPr>
        <w:tc>
          <w:tcPr>
            <w:tcW w:w="1538" w:type="dxa"/>
            <w:vAlign w:val="center"/>
          </w:tcPr>
          <w:p w:rsidR="004C169D" w:rsidRPr="00EE7ADB" w:rsidRDefault="004C169D" w:rsidP="008A7C39">
            <w:pPr>
              <w:spacing w:after="0" w:line="240" w:lineRule="auto"/>
              <w:rPr>
                <w:rFonts w:cs="Calibri"/>
                <w:sz w:val="20"/>
                <w:szCs w:val="20"/>
              </w:rPr>
            </w:pPr>
          </w:p>
        </w:tc>
        <w:tc>
          <w:tcPr>
            <w:tcW w:w="2200"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E. Kehoe</w:t>
            </w:r>
          </w:p>
        </w:tc>
        <w:tc>
          <w:tcPr>
            <w:tcW w:w="5868"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Deputy Director of Office of Student Affairs</w:t>
            </w:r>
          </w:p>
        </w:tc>
      </w:tr>
      <w:tr w:rsidR="004C169D" w:rsidRPr="00EE7ADB" w:rsidTr="00F976BC">
        <w:trPr>
          <w:trHeight w:val="113"/>
        </w:trPr>
        <w:tc>
          <w:tcPr>
            <w:tcW w:w="1538" w:type="dxa"/>
            <w:vAlign w:val="center"/>
          </w:tcPr>
          <w:p w:rsidR="004C169D" w:rsidRPr="00EE7ADB" w:rsidRDefault="004C169D" w:rsidP="008A7C39">
            <w:pPr>
              <w:spacing w:after="0" w:line="240" w:lineRule="auto"/>
              <w:rPr>
                <w:rFonts w:cs="Calibri"/>
                <w:sz w:val="20"/>
                <w:szCs w:val="20"/>
              </w:rPr>
            </w:pPr>
          </w:p>
        </w:tc>
        <w:tc>
          <w:tcPr>
            <w:tcW w:w="2200"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S. Leggatt</w:t>
            </w:r>
          </w:p>
        </w:tc>
        <w:tc>
          <w:tcPr>
            <w:tcW w:w="5868"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 xml:space="preserve">DLQ, </w:t>
            </w:r>
            <w:smartTag w:uri="urn:schemas-microsoft-com:office:smarttags" w:element="place">
              <w:smartTag w:uri="urn:schemas-microsoft-com:office:smarttags" w:element="PlaceType">
                <w:r w:rsidRPr="00EE7ADB">
                  <w:rPr>
                    <w:rFonts w:cs="Calibri"/>
                    <w:sz w:val="20"/>
                    <w:szCs w:val="20"/>
                  </w:rPr>
                  <w:t>School</w:t>
                </w:r>
              </w:smartTag>
              <w:r w:rsidRPr="00EE7ADB">
                <w:rPr>
                  <w:rFonts w:cs="Calibri"/>
                  <w:sz w:val="20"/>
                  <w:szCs w:val="20"/>
                </w:rPr>
                <w:t xml:space="preserve"> of </w:t>
              </w:r>
              <w:smartTag w:uri="urn:schemas-microsoft-com:office:smarttags" w:element="PlaceName">
                <w:r w:rsidRPr="00EE7ADB">
                  <w:rPr>
                    <w:rFonts w:cs="Calibri"/>
                    <w:sz w:val="20"/>
                    <w:szCs w:val="20"/>
                  </w:rPr>
                  <w:t>Education</w:t>
                </w:r>
              </w:smartTag>
            </w:smartTag>
          </w:p>
        </w:tc>
      </w:tr>
      <w:tr w:rsidR="004C169D" w:rsidRPr="00EE7ADB" w:rsidTr="00F976BC">
        <w:trPr>
          <w:trHeight w:val="113"/>
        </w:trPr>
        <w:tc>
          <w:tcPr>
            <w:tcW w:w="1538" w:type="dxa"/>
            <w:vAlign w:val="center"/>
          </w:tcPr>
          <w:p w:rsidR="004C169D" w:rsidRPr="00EE7ADB" w:rsidRDefault="004C169D" w:rsidP="008A7C39">
            <w:pPr>
              <w:spacing w:after="0" w:line="240" w:lineRule="auto"/>
              <w:rPr>
                <w:rFonts w:cs="Calibri"/>
                <w:sz w:val="20"/>
                <w:szCs w:val="20"/>
              </w:rPr>
            </w:pPr>
          </w:p>
        </w:tc>
        <w:tc>
          <w:tcPr>
            <w:tcW w:w="2200"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A. Murphy</w:t>
            </w:r>
          </w:p>
        </w:tc>
        <w:tc>
          <w:tcPr>
            <w:tcW w:w="5868"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Head of Learning Services, ILS</w:t>
            </w:r>
          </w:p>
        </w:tc>
      </w:tr>
      <w:tr w:rsidR="004C169D" w:rsidRPr="00EE7ADB" w:rsidTr="00F976BC">
        <w:trPr>
          <w:trHeight w:val="113"/>
        </w:trPr>
        <w:tc>
          <w:tcPr>
            <w:tcW w:w="1538" w:type="dxa"/>
            <w:vAlign w:val="center"/>
          </w:tcPr>
          <w:p w:rsidR="004C169D" w:rsidRPr="00EE7ADB" w:rsidRDefault="004C169D" w:rsidP="008A7C39">
            <w:pPr>
              <w:spacing w:after="0" w:line="240" w:lineRule="auto"/>
              <w:rPr>
                <w:rFonts w:cs="Calibri"/>
                <w:sz w:val="20"/>
                <w:szCs w:val="20"/>
              </w:rPr>
            </w:pPr>
          </w:p>
        </w:tc>
        <w:tc>
          <w:tcPr>
            <w:tcW w:w="2200"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Z. Pettit</w:t>
            </w:r>
          </w:p>
        </w:tc>
        <w:tc>
          <w:tcPr>
            <w:tcW w:w="5868" w:type="dxa"/>
            <w:vAlign w:val="bottom"/>
          </w:tcPr>
          <w:p w:rsidR="004C169D" w:rsidRPr="00EE7ADB" w:rsidRDefault="004C169D" w:rsidP="002A667D">
            <w:pPr>
              <w:spacing w:after="0" w:line="240" w:lineRule="auto"/>
              <w:rPr>
                <w:rFonts w:cs="Calibri"/>
                <w:sz w:val="20"/>
                <w:szCs w:val="20"/>
              </w:rPr>
            </w:pPr>
            <w:r w:rsidRPr="00EE7ADB">
              <w:rPr>
                <w:rFonts w:cs="Calibri"/>
                <w:sz w:val="20"/>
                <w:szCs w:val="20"/>
              </w:rPr>
              <w:t>DLQ, School of Humanities &amp; Social Sciences</w:t>
            </w:r>
          </w:p>
        </w:tc>
      </w:tr>
      <w:tr w:rsidR="004C169D" w:rsidRPr="00EE7ADB" w:rsidTr="00F976BC">
        <w:trPr>
          <w:trHeight w:val="113"/>
        </w:trPr>
        <w:tc>
          <w:tcPr>
            <w:tcW w:w="1538" w:type="dxa"/>
            <w:vAlign w:val="center"/>
          </w:tcPr>
          <w:p w:rsidR="004C169D" w:rsidRPr="00EE7ADB" w:rsidRDefault="004C169D" w:rsidP="008A7C39">
            <w:pPr>
              <w:spacing w:after="0" w:line="240" w:lineRule="auto"/>
              <w:rPr>
                <w:rFonts w:cs="Calibri"/>
                <w:sz w:val="20"/>
                <w:szCs w:val="20"/>
              </w:rPr>
            </w:pPr>
          </w:p>
        </w:tc>
        <w:tc>
          <w:tcPr>
            <w:tcW w:w="2200" w:type="dxa"/>
            <w:vAlign w:val="bottom"/>
          </w:tcPr>
          <w:p w:rsidR="004C169D" w:rsidRPr="00EE7ADB" w:rsidRDefault="004C169D" w:rsidP="002A667D">
            <w:pPr>
              <w:spacing w:after="0" w:line="240" w:lineRule="auto"/>
              <w:rPr>
                <w:rFonts w:cs="Calibri"/>
                <w:sz w:val="20"/>
                <w:szCs w:val="20"/>
              </w:rPr>
            </w:pPr>
            <w:r w:rsidRPr="00EE7ADB">
              <w:rPr>
                <w:rFonts w:cs="Calibri"/>
                <w:sz w:val="20"/>
                <w:szCs w:val="20"/>
              </w:rPr>
              <w:t>D. Sheppard</w:t>
            </w:r>
          </w:p>
        </w:tc>
        <w:tc>
          <w:tcPr>
            <w:tcW w:w="5868" w:type="dxa"/>
            <w:vAlign w:val="bottom"/>
          </w:tcPr>
          <w:p w:rsidR="004C169D" w:rsidRPr="00EE7ADB" w:rsidRDefault="004C169D" w:rsidP="001E31E9">
            <w:pPr>
              <w:spacing w:after="0" w:line="240" w:lineRule="auto"/>
              <w:rPr>
                <w:rFonts w:cs="Calibri"/>
                <w:sz w:val="20"/>
                <w:szCs w:val="20"/>
              </w:rPr>
            </w:pPr>
            <w:r w:rsidRPr="00EE7ADB">
              <w:rPr>
                <w:rFonts w:cs="Calibri"/>
                <w:sz w:val="20"/>
                <w:szCs w:val="20"/>
              </w:rPr>
              <w:t xml:space="preserve">SQAO, </w:t>
            </w:r>
            <w:smartTag w:uri="urn:schemas-microsoft-com:office:smarttags" w:element="place">
              <w:smartTag w:uri="urn:schemas-microsoft-com:office:smarttags" w:element="PlaceType">
                <w:r w:rsidRPr="00EE7ADB">
                  <w:rPr>
                    <w:rFonts w:cs="Calibri"/>
                    <w:sz w:val="20"/>
                    <w:szCs w:val="20"/>
                  </w:rPr>
                  <w:t>School</w:t>
                </w:r>
              </w:smartTag>
              <w:r w:rsidRPr="00EE7ADB">
                <w:rPr>
                  <w:rFonts w:cs="Calibri"/>
                  <w:sz w:val="20"/>
                  <w:szCs w:val="20"/>
                </w:rPr>
                <w:t xml:space="preserve"> of </w:t>
              </w:r>
              <w:smartTag w:uri="urn:schemas-microsoft-com:office:smarttags" w:element="PlaceName">
                <w:r w:rsidRPr="00EE7ADB">
                  <w:rPr>
                    <w:rFonts w:cs="Calibri"/>
                    <w:sz w:val="20"/>
                    <w:szCs w:val="20"/>
                  </w:rPr>
                  <w:t>Business</w:t>
                </w:r>
              </w:smartTag>
            </w:smartTag>
          </w:p>
        </w:tc>
      </w:tr>
      <w:tr w:rsidR="004C169D" w:rsidRPr="00EE7ADB" w:rsidTr="00F976BC">
        <w:trPr>
          <w:trHeight w:val="113"/>
        </w:trPr>
        <w:tc>
          <w:tcPr>
            <w:tcW w:w="1538" w:type="dxa"/>
            <w:vAlign w:val="center"/>
          </w:tcPr>
          <w:p w:rsidR="004C169D" w:rsidRPr="00EE7ADB" w:rsidRDefault="004C169D" w:rsidP="008A7C39">
            <w:pPr>
              <w:spacing w:after="0" w:line="240" w:lineRule="auto"/>
              <w:rPr>
                <w:rFonts w:cs="Calibri"/>
                <w:sz w:val="20"/>
                <w:szCs w:val="20"/>
              </w:rPr>
            </w:pPr>
          </w:p>
        </w:tc>
        <w:tc>
          <w:tcPr>
            <w:tcW w:w="2200" w:type="dxa"/>
            <w:vAlign w:val="bottom"/>
          </w:tcPr>
          <w:p w:rsidR="004C169D" w:rsidRPr="00EE7ADB" w:rsidRDefault="004C169D" w:rsidP="002A667D">
            <w:pPr>
              <w:spacing w:after="0" w:line="240" w:lineRule="auto"/>
              <w:rPr>
                <w:rFonts w:cs="Calibri"/>
                <w:sz w:val="20"/>
                <w:szCs w:val="20"/>
              </w:rPr>
            </w:pPr>
            <w:smartTag w:uri="urn:schemas-microsoft-com:office:smarttags" w:element="place">
              <w:r w:rsidRPr="00EE7ADB">
                <w:rPr>
                  <w:rFonts w:cs="Calibri"/>
                  <w:sz w:val="20"/>
                  <w:szCs w:val="20"/>
                </w:rPr>
                <w:t>S. Walker</w:t>
              </w:r>
            </w:smartTag>
          </w:p>
        </w:tc>
        <w:tc>
          <w:tcPr>
            <w:tcW w:w="5868" w:type="dxa"/>
            <w:vAlign w:val="bottom"/>
          </w:tcPr>
          <w:p w:rsidR="004C169D" w:rsidRPr="00EE7ADB" w:rsidRDefault="004C169D" w:rsidP="001E31E9">
            <w:pPr>
              <w:spacing w:after="0" w:line="240" w:lineRule="auto"/>
              <w:rPr>
                <w:rFonts w:cs="Calibri"/>
                <w:sz w:val="20"/>
                <w:szCs w:val="20"/>
              </w:rPr>
            </w:pPr>
            <w:r w:rsidRPr="00EE7ADB">
              <w:rPr>
                <w:rFonts w:cs="Calibri"/>
                <w:sz w:val="20"/>
                <w:szCs w:val="20"/>
              </w:rPr>
              <w:t>Head of Educational Development Unit</w:t>
            </w:r>
          </w:p>
        </w:tc>
      </w:tr>
      <w:tr w:rsidR="004C169D" w:rsidRPr="00EE7ADB" w:rsidTr="00F976BC">
        <w:trPr>
          <w:trHeight w:val="212"/>
        </w:trPr>
        <w:tc>
          <w:tcPr>
            <w:tcW w:w="1538" w:type="dxa"/>
            <w:vAlign w:val="center"/>
          </w:tcPr>
          <w:p w:rsidR="004C169D" w:rsidRPr="00EE7ADB" w:rsidRDefault="004C169D" w:rsidP="002A667D">
            <w:pPr>
              <w:spacing w:after="0" w:line="240" w:lineRule="auto"/>
              <w:rPr>
                <w:rFonts w:cs="Calibri"/>
                <w:sz w:val="20"/>
                <w:szCs w:val="20"/>
              </w:rPr>
            </w:pPr>
            <w:r w:rsidRPr="00EE7ADB">
              <w:rPr>
                <w:rFonts w:cs="Calibri"/>
                <w:sz w:val="20"/>
                <w:szCs w:val="20"/>
              </w:rPr>
              <w:t xml:space="preserve">In attendance </w:t>
            </w:r>
          </w:p>
        </w:tc>
        <w:tc>
          <w:tcPr>
            <w:tcW w:w="2200"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M. Lane</w:t>
            </w:r>
          </w:p>
        </w:tc>
        <w:tc>
          <w:tcPr>
            <w:tcW w:w="5868" w:type="dxa"/>
            <w:vAlign w:val="bottom"/>
          </w:tcPr>
          <w:p w:rsidR="004C169D" w:rsidRPr="00EE7ADB" w:rsidRDefault="004C169D" w:rsidP="002A667D">
            <w:pPr>
              <w:spacing w:after="0" w:line="240" w:lineRule="auto"/>
              <w:rPr>
                <w:rFonts w:cs="Calibri"/>
                <w:sz w:val="20"/>
                <w:szCs w:val="20"/>
              </w:rPr>
            </w:pPr>
            <w:r w:rsidRPr="00EE7ADB">
              <w:rPr>
                <w:rFonts w:cs="Calibri"/>
                <w:sz w:val="20"/>
                <w:szCs w:val="20"/>
              </w:rPr>
              <w:t>School of Health &amp; Social Care</w:t>
            </w:r>
          </w:p>
        </w:tc>
      </w:tr>
      <w:tr w:rsidR="004C169D" w:rsidRPr="00EE7ADB" w:rsidTr="00F976BC">
        <w:tc>
          <w:tcPr>
            <w:tcW w:w="1538" w:type="dxa"/>
            <w:vAlign w:val="center"/>
          </w:tcPr>
          <w:p w:rsidR="004C169D" w:rsidRPr="00EE7ADB" w:rsidRDefault="004C169D" w:rsidP="008A7C39">
            <w:pPr>
              <w:spacing w:after="0" w:line="240" w:lineRule="auto"/>
              <w:rPr>
                <w:rFonts w:cs="Calibri"/>
                <w:sz w:val="20"/>
                <w:szCs w:val="20"/>
              </w:rPr>
            </w:pPr>
            <w:r w:rsidRPr="00EE7ADB">
              <w:rPr>
                <w:rFonts w:cs="Calibri"/>
                <w:sz w:val="20"/>
                <w:szCs w:val="20"/>
              </w:rPr>
              <w:t>Apologies</w:t>
            </w:r>
          </w:p>
        </w:tc>
        <w:tc>
          <w:tcPr>
            <w:tcW w:w="2200" w:type="dxa"/>
            <w:vAlign w:val="bottom"/>
          </w:tcPr>
          <w:p w:rsidR="004C169D" w:rsidRPr="00EE7ADB" w:rsidRDefault="004C169D" w:rsidP="008A7C39">
            <w:pPr>
              <w:spacing w:after="0" w:line="240" w:lineRule="auto"/>
              <w:rPr>
                <w:rFonts w:cs="Calibri"/>
                <w:sz w:val="20"/>
                <w:szCs w:val="20"/>
              </w:rPr>
            </w:pPr>
            <w:r w:rsidRPr="00EE7ADB">
              <w:rPr>
                <w:rFonts w:cs="Calibri"/>
                <w:sz w:val="20"/>
                <w:szCs w:val="20"/>
              </w:rPr>
              <w:t>None</w:t>
            </w:r>
          </w:p>
        </w:tc>
        <w:tc>
          <w:tcPr>
            <w:tcW w:w="5868" w:type="dxa"/>
            <w:vAlign w:val="bottom"/>
          </w:tcPr>
          <w:p w:rsidR="004C169D" w:rsidRPr="00EE7ADB" w:rsidRDefault="004C169D" w:rsidP="008A7C39">
            <w:pPr>
              <w:spacing w:after="0" w:line="240" w:lineRule="auto"/>
              <w:rPr>
                <w:rFonts w:cs="Calibri"/>
                <w:sz w:val="20"/>
                <w:szCs w:val="20"/>
              </w:rPr>
            </w:pPr>
          </w:p>
        </w:tc>
      </w:tr>
      <w:tr w:rsidR="004C169D" w:rsidRPr="00EE7ADB" w:rsidTr="00F976BC">
        <w:tc>
          <w:tcPr>
            <w:tcW w:w="1538" w:type="dxa"/>
            <w:vAlign w:val="center"/>
          </w:tcPr>
          <w:p w:rsidR="004C169D" w:rsidRPr="00EE7ADB" w:rsidRDefault="004C169D" w:rsidP="008A7C39">
            <w:pPr>
              <w:spacing w:after="0" w:line="240" w:lineRule="auto"/>
              <w:rPr>
                <w:rFonts w:cs="Calibri"/>
                <w:sz w:val="20"/>
                <w:szCs w:val="20"/>
              </w:rPr>
            </w:pPr>
          </w:p>
        </w:tc>
        <w:tc>
          <w:tcPr>
            <w:tcW w:w="2200" w:type="dxa"/>
            <w:vAlign w:val="bottom"/>
          </w:tcPr>
          <w:p w:rsidR="004C169D" w:rsidRPr="00EE7ADB" w:rsidRDefault="004C169D" w:rsidP="008A7C39">
            <w:pPr>
              <w:spacing w:after="0" w:line="240" w:lineRule="auto"/>
              <w:rPr>
                <w:rFonts w:cs="Calibri"/>
                <w:sz w:val="20"/>
                <w:szCs w:val="20"/>
              </w:rPr>
            </w:pPr>
          </w:p>
        </w:tc>
        <w:tc>
          <w:tcPr>
            <w:tcW w:w="5868" w:type="dxa"/>
            <w:vAlign w:val="bottom"/>
          </w:tcPr>
          <w:p w:rsidR="004C169D" w:rsidRPr="00EE7ADB" w:rsidRDefault="004C169D" w:rsidP="008A7C39">
            <w:pPr>
              <w:spacing w:after="0" w:line="240" w:lineRule="auto"/>
              <w:rPr>
                <w:rFonts w:cs="Calibri"/>
                <w:sz w:val="20"/>
                <w:szCs w:val="20"/>
              </w:rPr>
            </w:pPr>
          </w:p>
        </w:tc>
      </w:tr>
    </w:tbl>
    <w:p w:rsidR="004C169D" w:rsidRPr="00EE7ADB" w:rsidRDefault="004C169D" w:rsidP="008A7C39">
      <w:pPr>
        <w:spacing w:after="0" w:line="240" w:lineRule="auto"/>
        <w:rPr>
          <w:rFonts w:cs="Calibri"/>
          <w:sz w:val="20"/>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
        <w:gridCol w:w="7147"/>
        <w:gridCol w:w="1050"/>
      </w:tblGrid>
      <w:tr w:rsidR="004C169D" w:rsidRPr="00EE7ADB" w:rsidTr="00D90166">
        <w:tc>
          <w:tcPr>
            <w:tcW w:w="1541" w:type="dxa"/>
            <w:tcBorders>
              <w:top w:val="nil"/>
              <w:left w:val="nil"/>
              <w:bottom w:val="nil"/>
              <w:right w:val="nil"/>
            </w:tcBorders>
          </w:tcPr>
          <w:p w:rsidR="004C169D" w:rsidRPr="00EE7ADB" w:rsidRDefault="004C169D" w:rsidP="002A667D">
            <w:pPr>
              <w:spacing w:after="0" w:line="240" w:lineRule="auto"/>
              <w:jc w:val="both"/>
              <w:rPr>
                <w:rFonts w:cs="Calibri"/>
                <w:sz w:val="20"/>
                <w:szCs w:val="20"/>
              </w:rPr>
            </w:pPr>
            <w:r w:rsidRPr="00EE7ADB">
              <w:rPr>
                <w:rFonts w:cs="Calibri"/>
                <w:sz w:val="20"/>
                <w:szCs w:val="20"/>
              </w:rPr>
              <w:t>LQC/12/7.1</w:t>
            </w:r>
          </w:p>
        </w:tc>
        <w:tc>
          <w:tcPr>
            <w:tcW w:w="7147" w:type="dxa"/>
            <w:tcBorders>
              <w:top w:val="nil"/>
              <w:left w:val="nil"/>
              <w:bottom w:val="nil"/>
              <w:right w:val="nil"/>
            </w:tcBorders>
          </w:tcPr>
          <w:p w:rsidR="004C169D" w:rsidRPr="00EE7ADB" w:rsidRDefault="004C169D" w:rsidP="008A7C39">
            <w:pPr>
              <w:spacing w:after="0" w:line="240" w:lineRule="auto"/>
              <w:rPr>
                <w:rFonts w:cs="Calibri"/>
                <w:b/>
                <w:sz w:val="20"/>
                <w:szCs w:val="20"/>
              </w:rPr>
            </w:pPr>
            <w:r w:rsidRPr="00EE7ADB">
              <w:rPr>
                <w:rFonts w:cs="Calibri"/>
                <w:b/>
                <w:sz w:val="20"/>
                <w:szCs w:val="20"/>
              </w:rPr>
              <w:t>Items from Chair</w:t>
            </w:r>
          </w:p>
        </w:tc>
        <w:tc>
          <w:tcPr>
            <w:tcW w:w="1050" w:type="dxa"/>
            <w:tcBorders>
              <w:top w:val="nil"/>
              <w:left w:val="nil"/>
              <w:bottom w:val="nil"/>
              <w:right w:val="nil"/>
            </w:tcBorders>
          </w:tcPr>
          <w:p w:rsidR="004C169D" w:rsidRPr="00EE7ADB" w:rsidRDefault="004C169D" w:rsidP="008A7C39">
            <w:pPr>
              <w:spacing w:after="0" w:line="240" w:lineRule="auto"/>
              <w:rPr>
                <w:rFonts w:cs="Calibri"/>
                <w:sz w:val="20"/>
                <w:szCs w:val="20"/>
              </w:rPr>
            </w:pPr>
          </w:p>
        </w:tc>
      </w:tr>
      <w:tr w:rsidR="004C169D" w:rsidRPr="00EE7ADB" w:rsidTr="00D90166">
        <w:tc>
          <w:tcPr>
            <w:tcW w:w="1541" w:type="dxa"/>
            <w:tcBorders>
              <w:top w:val="nil"/>
              <w:left w:val="nil"/>
              <w:bottom w:val="nil"/>
              <w:right w:val="nil"/>
            </w:tcBorders>
          </w:tcPr>
          <w:p w:rsidR="004C169D" w:rsidRPr="00EE7ADB" w:rsidRDefault="004C169D" w:rsidP="008A7C39">
            <w:pPr>
              <w:spacing w:after="0" w:line="240" w:lineRule="auto"/>
              <w:jc w:val="right"/>
              <w:rPr>
                <w:rFonts w:cs="Calibri"/>
                <w:sz w:val="20"/>
                <w:szCs w:val="20"/>
              </w:rPr>
            </w:pPr>
          </w:p>
        </w:tc>
        <w:tc>
          <w:tcPr>
            <w:tcW w:w="7147" w:type="dxa"/>
            <w:tcBorders>
              <w:top w:val="nil"/>
              <w:left w:val="nil"/>
              <w:bottom w:val="nil"/>
              <w:right w:val="nil"/>
            </w:tcBorders>
          </w:tcPr>
          <w:p w:rsidR="004C169D" w:rsidRPr="00EE7ADB" w:rsidRDefault="004C169D" w:rsidP="002A667D">
            <w:pPr>
              <w:pStyle w:val="ListBullet"/>
              <w:numPr>
                <w:ilvl w:val="0"/>
                <w:numId w:val="0"/>
              </w:numPr>
              <w:spacing w:after="0" w:line="240" w:lineRule="auto"/>
              <w:rPr>
                <w:sz w:val="20"/>
                <w:szCs w:val="20"/>
              </w:rPr>
            </w:pPr>
            <w:r w:rsidRPr="00EE7ADB">
              <w:rPr>
                <w:sz w:val="20"/>
                <w:szCs w:val="20"/>
              </w:rPr>
              <w:t>The Chair expressed thanks to ILS member, Anne Murphy, for her contribution to the committee and LQC took the opportunity to wish her well in her retirement.</w:t>
            </w:r>
          </w:p>
          <w:p w:rsidR="004C169D" w:rsidRPr="00EE7ADB" w:rsidRDefault="004C169D" w:rsidP="002A667D">
            <w:pPr>
              <w:pStyle w:val="ListBullet"/>
              <w:numPr>
                <w:ilvl w:val="0"/>
                <w:numId w:val="0"/>
              </w:numPr>
              <w:spacing w:after="0" w:line="240" w:lineRule="auto"/>
              <w:rPr>
                <w:sz w:val="20"/>
                <w:szCs w:val="20"/>
              </w:rPr>
            </w:pPr>
          </w:p>
          <w:p w:rsidR="004C169D" w:rsidRPr="00EE7ADB" w:rsidRDefault="004C169D" w:rsidP="002A667D">
            <w:pPr>
              <w:pStyle w:val="ListBullet"/>
              <w:numPr>
                <w:ilvl w:val="0"/>
                <w:numId w:val="0"/>
              </w:numPr>
              <w:spacing w:after="0" w:line="240" w:lineRule="auto"/>
              <w:rPr>
                <w:sz w:val="20"/>
                <w:szCs w:val="20"/>
              </w:rPr>
            </w:pPr>
            <w:r w:rsidRPr="00EE7ADB">
              <w:rPr>
                <w:sz w:val="20"/>
                <w:szCs w:val="20"/>
              </w:rPr>
              <w:t>The Chair also thanked all members for their contributions since 1998, noting that this  would be the last LQC, the committee being merged with Academic Collaboration Committee in 2013 to form the Academic Quality and Standards Committee (AQS).  Revised membership of the new committee will be agreed through discussions with the  Faculty PVCs in due course.</w:t>
            </w:r>
          </w:p>
        </w:tc>
        <w:tc>
          <w:tcPr>
            <w:tcW w:w="1050" w:type="dxa"/>
            <w:tcBorders>
              <w:top w:val="nil"/>
              <w:left w:val="nil"/>
              <w:bottom w:val="nil"/>
              <w:right w:val="nil"/>
            </w:tcBorders>
          </w:tcPr>
          <w:p w:rsidR="004C169D" w:rsidRPr="00EE7ADB" w:rsidRDefault="004C169D" w:rsidP="008A7C39">
            <w:pPr>
              <w:spacing w:after="0" w:line="240" w:lineRule="auto"/>
              <w:rPr>
                <w:rFonts w:cs="Calibri"/>
                <w:sz w:val="16"/>
                <w:szCs w:val="16"/>
              </w:rPr>
            </w:pPr>
          </w:p>
        </w:tc>
      </w:tr>
      <w:tr w:rsidR="004C169D" w:rsidRPr="00EE7ADB" w:rsidTr="00D90166">
        <w:tc>
          <w:tcPr>
            <w:tcW w:w="1541" w:type="dxa"/>
            <w:tcBorders>
              <w:top w:val="nil"/>
              <w:left w:val="nil"/>
              <w:bottom w:val="nil"/>
              <w:right w:val="nil"/>
            </w:tcBorders>
          </w:tcPr>
          <w:p w:rsidR="004C169D" w:rsidRPr="00EE7ADB" w:rsidRDefault="004C169D" w:rsidP="008A7C39">
            <w:pPr>
              <w:spacing w:after="0" w:line="240" w:lineRule="auto"/>
              <w:jc w:val="right"/>
              <w:rPr>
                <w:rFonts w:cs="Calibri"/>
                <w:b/>
                <w:color w:val="FF0000"/>
                <w:sz w:val="20"/>
                <w:szCs w:val="20"/>
              </w:rPr>
            </w:pPr>
          </w:p>
        </w:tc>
        <w:tc>
          <w:tcPr>
            <w:tcW w:w="7147" w:type="dxa"/>
            <w:tcBorders>
              <w:top w:val="nil"/>
              <w:left w:val="nil"/>
              <w:bottom w:val="nil"/>
              <w:right w:val="nil"/>
            </w:tcBorders>
          </w:tcPr>
          <w:p w:rsidR="004C169D" w:rsidRPr="00EE7ADB" w:rsidRDefault="004C169D" w:rsidP="00C31822">
            <w:pPr>
              <w:pStyle w:val="ListBullet"/>
              <w:numPr>
                <w:ilvl w:val="0"/>
                <w:numId w:val="0"/>
              </w:numPr>
              <w:spacing w:after="0" w:line="240" w:lineRule="auto"/>
              <w:rPr>
                <w:b/>
                <w:color w:val="FF0000"/>
                <w:sz w:val="20"/>
                <w:szCs w:val="20"/>
              </w:rPr>
            </w:pPr>
          </w:p>
        </w:tc>
        <w:tc>
          <w:tcPr>
            <w:tcW w:w="1050" w:type="dxa"/>
            <w:tcBorders>
              <w:top w:val="nil"/>
              <w:left w:val="nil"/>
              <w:bottom w:val="nil"/>
              <w:right w:val="nil"/>
            </w:tcBorders>
          </w:tcPr>
          <w:p w:rsidR="004C169D" w:rsidRPr="00EE7ADB" w:rsidRDefault="004C169D" w:rsidP="00C31822">
            <w:pPr>
              <w:spacing w:after="0" w:line="240" w:lineRule="auto"/>
              <w:rPr>
                <w:rFonts w:cs="Calibri"/>
                <w:b/>
                <w:color w:val="FF0000"/>
                <w:sz w:val="16"/>
                <w:szCs w:val="16"/>
              </w:rPr>
            </w:pPr>
          </w:p>
        </w:tc>
      </w:tr>
      <w:tr w:rsidR="004C169D" w:rsidRPr="00EE7ADB" w:rsidTr="00EE7ADB">
        <w:tc>
          <w:tcPr>
            <w:tcW w:w="1541" w:type="dxa"/>
            <w:tcBorders>
              <w:top w:val="nil"/>
              <w:left w:val="nil"/>
              <w:bottom w:val="nil"/>
              <w:right w:val="nil"/>
            </w:tcBorders>
          </w:tcPr>
          <w:p w:rsidR="004C169D" w:rsidRPr="00EE7ADB" w:rsidRDefault="004C169D" w:rsidP="002A667D">
            <w:pPr>
              <w:spacing w:after="0" w:line="240" w:lineRule="auto"/>
              <w:rPr>
                <w:rFonts w:cs="Calibri"/>
                <w:sz w:val="20"/>
                <w:szCs w:val="20"/>
              </w:rPr>
            </w:pPr>
            <w:r w:rsidRPr="00EE7ADB">
              <w:rPr>
                <w:rFonts w:cs="Calibri"/>
                <w:sz w:val="20"/>
                <w:szCs w:val="20"/>
              </w:rPr>
              <w:t>LQC/12/7.2</w:t>
            </w:r>
          </w:p>
        </w:tc>
        <w:tc>
          <w:tcPr>
            <w:tcW w:w="7147" w:type="dxa"/>
            <w:tcBorders>
              <w:top w:val="nil"/>
              <w:left w:val="nil"/>
              <w:bottom w:val="nil"/>
              <w:right w:val="nil"/>
            </w:tcBorders>
          </w:tcPr>
          <w:p w:rsidR="004C169D" w:rsidRPr="00EE7ADB" w:rsidRDefault="004C169D" w:rsidP="008A7C39">
            <w:pPr>
              <w:spacing w:after="0" w:line="240" w:lineRule="auto"/>
              <w:rPr>
                <w:rFonts w:cs="Calibri"/>
                <w:b/>
                <w:sz w:val="20"/>
                <w:szCs w:val="20"/>
              </w:rPr>
            </w:pPr>
            <w:r w:rsidRPr="00EE7ADB">
              <w:rPr>
                <w:rFonts w:cs="Calibri"/>
                <w:b/>
                <w:sz w:val="20"/>
                <w:szCs w:val="20"/>
              </w:rPr>
              <w:t>Minutes of the Previous Meeting</w:t>
            </w:r>
          </w:p>
          <w:p w:rsidR="004C169D" w:rsidRPr="00EE7ADB" w:rsidRDefault="004C169D" w:rsidP="008A7C39">
            <w:pPr>
              <w:spacing w:after="0" w:line="240" w:lineRule="auto"/>
              <w:rPr>
                <w:rFonts w:cs="Calibri"/>
                <w:b/>
                <w:sz w:val="20"/>
                <w:szCs w:val="20"/>
              </w:rPr>
            </w:pPr>
          </w:p>
        </w:tc>
        <w:tc>
          <w:tcPr>
            <w:tcW w:w="1050" w:type="dxa"/>
            <w:tcBorders>
              <w:top w:val="nil"/>
              <w:left w:val="nil"/>
              <w:bottom w:val="nil"/>
              <w:right w:val="nil"/>
            </w:tcBorders>
          </w:tcPr>
          <w:p w:rsidR="004C169D" w:rsidRPr="00EE7ADB" w:rsidRDefault="004C169D" w:rsidP="008A7C39">
            <w:pPr>
              <w:spacing w:after="0" w:line="240" w:lineRule="auto"/>
              <w:rPr>
                <w:rFonts w:cs="Calibri"/>
                <w:sz w:val="16"/>
                <w:szCs w:val="16"/>
              </w:rPr>
            </w:pPr>
          </w:p>
        </w:tc>
      </w:tr>
      <w:tr w:rsidR="004C169D" w:rsidRPr="00EE7ADB" w:rsidTr="00EE7ADB">
        <w:tc>
          <w:tcPr>
            <w:tcW w:w="1541" w:type="dxa"/>
            <w:tcBorders>
              <w:top w:val="nil"/>
              <w:left w:val="nil"/>
              <w:bottom w:val="nil"/>
              <w:right w:val="nil"/>
            </w:tcBorders>
          </w:tcPr>
          <w:p w:rsidR="004C169D" w:rsidRPr="00EE7ADB" w:rsidRDefault="004C169D" w:rsidP="008A7C39">
            <w:pPr>
              <w:spacing w:after="0" w:line="240" w:lineRule="auto"/>
              <w:rPr>
                <w:rFonts w:cs="Calibri"/>
                <w:sz w:val="20"/>
                <w:szCs w:val="20"/>
              </w:rPr>
            </w:pPr>
          </w:p>
        </w:tc>
        <w:tc>
          <w:tcPr>
            <w:tcW w:w="7147" w:type="dxa"/>
            <w:tcBorders>
              <w:top w:val="nil"/>
              <w:left w:val="nil"/>
              <w:bottom w:val="nil"/>
              <w:right w:val="nil"/>
            </w:tcBorders>
          </w:tcPr>
          <w:p w:rsidR="004C169D" w:rsidRPr="00EE7ADB" w:rsidRDefault="004C169D" w:rsidP="002A667D">
            <w:pPr>
              <w:spacing w:after="0" w:line="240" w:lineRule="auto"/>
              <w:rPr>
                <w:rFonts w:cs="Calibri"/>
                <w:sz w:val="20"/>
                <w:szCs w:val="20"/>
              </w:rPr>
            </w:pPr>
            <w:r w:rsidRPr="00EE7ADB">
              <w:rPr>
                <w:rFonts w:cs="Calibri"/>
                <w:sz w:val="20"/>
                <w:szCs w:val="20"/>
              </w:rPr>
              <w:t>The minutes of the meeting of 20</w:t>
            </w:r>
            <w:r w:rsidRPr="00EE7ADB">
              <w:rPr>
                <w:rFonts w:cs="Calibri"/>
                <w:sz w:val="20"/>
                <w:szCs w:val="20"/>
                <w:vertAlign w:val="superscript"/>
              </w:rPr>
              <w:t>th</w:t>
            </w:r>
            <w:r w:rsidRPr="00EE7ADB">
              <w:rPr>
                <w:rFonts w:cs="Calibri"/>
                <w:sz w:val="20"/>
                <w:szCs w:val="20"/>
              </w:rPr>
              <w:t xml:space="preserve"> March were agreed subject to the Head of LQU submitting some minor amendments.</w:t>
            </w:r>
          </w:p>
          <w:p w:rsidR="004C169D" w:rsidRPr="00EE7ADB" w:rsidRDefault="004C169D" w:rsidP="002A667D">
            <w:pPr>
              <w:spacing w:after="0" w:line="240" w:lineRule="auto"/>
              <w:rPr>
                <w:rFonts w:cs="Calibri"/>
                <w:sz w:val="20"/>
                <w:szCs w:val="20"/>
              </w:rPr>
            </w:pPr>
          </w:p>
        </w:tc>
        <w:tc>
          <w:tcPr>
            <w:tcW w:w="1050" w:type="dxa"/>
            <w:tcBorders>
              <w:top w:val="nil"/>
              <w:left w:val="nil"/>
              <w:bottom w:val="nil"/>
              <w:right w:val="nil"/>
            </w:tcBorders>
          </w:tcPr>
          <w:p w:rsidR="004C169D" w:rsidRPr="00EE7ADB" w:rsidRDefault="004C169D" w:rsidP="008A7C39">
            <w:pPr>
              <w:spacing w:after="0" w:line="240" w:lineRule="auto"/>
              <w:rPr>
                <w:rFonts w:cs="Calibri"/>
                <w:sz w:val="16"/>
                <w:szCs w:val="16"/>
              </w:rPr>
            </w:pPr>
          </w:p>
        </w:tc>
      </w:tr>
      <w:tr w:rsidR="004C169D" w:rsidRPr="00EE7ADB" w:rsidTr="00EE7ADB">
        <w:trPr>
          <w:trHeight w:val="212"/>
        </w:trPr>
        <w:tc>
          <w:tcPr>
            <w:tcW w:w="1541" w:type="dxa"/>
            <w:tcBorders>
              <w:top w:val="nil"/>
              <w:left w:val="nil"/>
              <w:bottom w:val="nil"/>
              <w:right w:val="nil"/>
            </w:tcBorders>
          </w:tcPr>
          <w:p w:rsidR="004C169D" w:rsidRPr="00EE7ADB" w:rsidRDefault="004C169D" w:rsidP="002A667D">
            <w:pPr>
              <w:spacing w:after="0" w:line="240" w:lineRule="auto"/>
              <w:rPr>
                <w:rFonts w:cs="Calibri"/>
                <w:sz w:val="20"/>
                <w:szCs w:val="20"/>
              </w:rPr>
            </w:pPr>
            <w:r w:rsidRPr="00EE7ADB">
              <w:rPr>
                <w:rFonts w:cs="Calibri"/>
                <w:sz w:val="20"/>
                <w:szCs w:val="20"/>
              </w:rPr>
              <w:t>LQC/12/7.3</w:t>
            </w:r>
          </w:p>
        </w:tc>
        <w:tc>
          <w:tcPr>
            <w:tcW w:w="7147" w:type="dxa"/>
            <w:tcBorders>
              <w:top w:val="nil"/>
              <w:left w:val="nil"/>
              <w:bottom w:val="nil"/>
              <w:right w:val="nil"/>
            </w:tcBorders>
          </w:tcPr>
          <w:p w:rsidR="004C169D" w:rsidRPr="00EE7ADB" w:rsidRDefault="004C169D" w:rsidP="002A667D">
            <w:pPr>
              <w:spacing w:after="0" w:line="240" w:lineRule="auto"/>
              <w:rPr>
                <w:rFonts w:cs="Calibri"/>
                <w:b/>
                <w:sz w:val="20"/>
                <w:szCs w:val="20"/>
              </w:rPr>
            </w:pPr>
            <w:r w:rsidRPr="00EE7ADB">
              <w:rPr>
                <w:rFonts w:cs="Calibri"/>
                <w:b/>
                <w:sz w:val="20"/>
                <w:szCs w:val="20"/>
              </w:rPr>
              <w:t>Matters arising from the Minutes</w:t>
            </w:r>
          </w:p>
          <w:p w:rsidR="004C169D" w:rsidRPr="00EE7ADB" w:rsidRDefault="004C169D" w:rsidP="002A667D">
            <w:pPr>
              <w:spacing w:after="0" w:line="240" w:lineRule="auto"/>
              <w:rPr>
                <w:rFonts w:cs="Calibri"/>
                <w:b/>
                <w:sz w:val="20"/>
                <w:szCs w:val="20"/>
              </w:rPr>
            </w:pPr>
          </w:p>
        </w:tc>
        <w:tc>
          <w:tcPr>
            <w:tcW w:w="1050" w:type="dxa"/>
            <w:tcBorders>
              <w:top w:val="nil"/>
              <w:left w:val="nil"/>
              <w:bottom w:val="nil"/>
              <w:right w:val="nil"/>
            </w:tcBorders>
          </w:tcPr>
          <w:p w:rsidR="004C169D" w:rsidRPr="00EE7ADB" w:rsidRDefault="004C169D" w:rsidP="008A7C39">
            <w:pPr>
              <w:spacing w:after="0" w:line="240" w:lineRule="auto"/>
              <w:rPr>
                <w:rFonts w:cs="Calibri"/>
                <w:sz w:val="16"/>
                <w:szCs w:val="16"/>
              </w:rPr>
            </w:pPr>
          </w:p>
        </w:tc>
      </w:tr>
      <w:tr w:rsidR="004C169D" w:rsidRPr="00EE7ADB" w:rsidTr="00EE7ADB">
        <w:trPr>
          <w:trHeight w:val="212"/>
        </w:trPr>
        <w:tc>
          <w:tcPr>
            <w:tcW w:w="1541" w:type="dxa"/>
            <w:tcBorders>
              <w:top w:val="nil"/>
              <w:left w:val="nil"/>
              <w:bottom w:val="nil"/>
              <w:right w:val="nil"/>
            </w:tcBorders>
          </w:tcPr>
          <w:p w:rsidR="004C169D" w:rsidRPr="00EE7ADB" w:rsidRDefault="004C169D" w:rsidP="002A667D">
            <w:pPr>
              <w:spacing w:after="0" w:line="240" w:lineRule="auto"/>
              <w:rPr>
                <w:rFonts w:cs="Calibri"/>
                <w:sz w:val="20"/>
                <w:szCs w:val="20"/>
              </w:rPr>
            </w:pPr>
            <w:r w:rsidRPr="00EE7ADB">
              <w:rPr>
                <w:rFonts w:cs="Calibri"/>
                <w:sz w:val="20"/>
                <w:szCs w:val="20"/>
              </w:rPr>
              <w:t>12/6.1 Refers</w:t>
            </w:r>
          </w:p>
        </w:tc>
        <w:tc>
          <w:tcPr>
            <w:tcW w:w="7147" w:type="dxa"/>
            <w:tcBorders>
              <w:top w:val="nil"/>
              <w:left w:val="nil"/>
              <w:bottom w:val="nil"/>
              <w:right w:val="nil"/>
            </w:tcBorders>
          </w:tcPr>
          <w:p w:rsidR="004C169D" w:rsidRPr="00EE7ADB" w:rsidRDefault="004C169D" w:rsidP="002A667D">
            <w:pPr>
              <w:spacing w:after="0" w:line="240" w:lineRule="auto"/>
              <w:rPr>
                <w:rFonts w:cs="Calibri"/>
                <w:sz w:val="20"/>
                <w:szCs w:val="20"/>
              </w:rPr>
            </w:pPr>
            <w:r>
              <w:rPr>
                <w:rFonts w:cs="Calibri"/>
                <w:sz w:val="20"/>
                <w:szCs w:val="20"/>
              </w:rPr>
              <w:t xml:space="preserve">The </w:t>
            </w:r>
            <w:r w:rsidRPr="00EE7ADB">
              <w:rPr>
                <w:rFonts w:cs="Calibri"/>
                <w:sz w:val="20"/>
                <w:szCs w:val="20"/>
              </w:rPr>
              <w:t>Portal Teaching and Learning Strategy document</w:t>
            </w:r>
            <w:r>
              <w:rPr>
                <w:rFonts w:cs="Calibri"/>
                <w:sz w:val="20"/>
                <w:szCs w:val="20"/>
              </w:rPr>
              <w:t xml:space="preserve"> has been</w:t>
            </w:r>
            <w:r w:rsidRPr="00EE7ADB">
              <w:rPr>
                <w:rFonts w:cs="Calibri"/>
                <w:sz w:val="20"/>
                <w:szCs w:val="20"/>
              </w:rPr>
              <w:t xml:space="preserve"> updated with current version</w:t>
            </w:r>
          </w:p>
          <w:p w:rsidR="004C169D" w:rsidRPr="00EE7ADB" w:rsidRDefault="004C169D" w:rsidP="002A667D">
            <w:pPr>
              <w:spacing w:after="0" w:line="240" w:lineRule="auto"/>
              <w:rPr>
                <w:rFonts w:cs="Calibri"/>
                <w:sz w:val="20"/>
                <w:szCs w:val="20"/>
              </w:rPr>
            </w:pPr>
          </w:p>
        </w:tc>
        <w:tc>
          <w:tcPr>
            <w:tcW w:w="1050" w:type="dxa"/>
            <w:tcBorders>
              <w:top w:val="nil"/>
              <w:left w:val="nil"/>
              <w:bottom w:val="nil"/>
              <w:right w:val="nil"/>
            </w:tcBorders>
          </w:tcPr>
          <w:p w:rsidR="004C169D" w:rsidRPr="00EE7ADB" w:rsidRDefault="004C169D" w:rsidP="008A7C39">
            <w:pPr>
              <w:spacing w:after="0" w:line="240" w:lineRule="auto"/>
              <w:rPr>
                <w:rFonts w:cs="Calibri"/>
                <w:sz w:val="16"/>
                <w:szCs w:val="16"/>
              </w:rPr>
            </w:pPr>
          </w:p>
        </w:tc>
      </w:tr>
      <w:tr w:rsidR="004C169D" w:rsidRPr="00EE7ADB" w:rsidTr="00EE7ADB">
        <w:trPr>
          <w:trHeight w:val="212"/>
        </w:trPr>
        <w:tc>
          <w:tcPr>
            <w:tcW w:w="1541" w:type="dxa"/>
            <w:tcBorders>
              <w:top w:val="nil"/>
              <w:left w:val="nil"/>
              <w:bottom w:val="nil"/>
              <w:right w:val="nil"/>
            </w:tcBorders>
          </w:tcPr>
          <w:p w:rsidR="004C169D" w:rsidRPr="00EE7ADB" w:rsidRDefault="004C169D" w:rsidP="002A667D">
            <w:pPr>
              <w:spacing w:after="0" w:line="240" w:lineRule="auto"/>
              <w:rPr>
                <w:rFonts w:cs="Calibri"/>
                <w:sz w:val="20"/>
                <w:szCs w:val="20"/>
              </w:rPr>
            </w:pPr>
            <w:r w:rsidRPr="00EE7ADB">
              <w:rPr>
                <w:rFonts w:cs="Calibri"/>
                <w:sz w:val="20"/>
                <w:szCs w:val="20"/>
              </w:rPr>
              <w:t>12/5.4 refers</w:t>
            </w:r>
          </w:p>
        </w:tc>
        <w:tc>
          <w:tcPr>
            <w:tcW w:w="7147" w:type="dxa"/>
            <w:tcBorders>
              <w:top w:val="nil"/>
              <w:left w:val="nil"/>
              <w:bottom w:val="nil"/>
              <w:right w:val="nil"/>
            </w:tcBorders>
          </w:tcPr>
          <w:p w:rsidR="004C169D" w:rsidRPr="00EE7ADB" w:rsidRDefault="004C169D" w:rsidP="004953C1">
            <w:pPr>
              <w:spacing w:after="0" w:line="240" w:lineRule="auto"/>
              <w:rPr>
                <w:rFonts w:cs="Calibri"/>
                <w:sz w:val="20"/>
                <w:szCs w:val="20"/>
              </w:rPr>
            </w:pPr>
            <w:r w:rsidRPr="00EE7ADB">
              <w:rPr>
                <w:rFonts w:cs="Calibri"/>
                <w:sz w:val="20"/>
                <w:szCs w:val="20"/>
              </w:rPr>
              <w:t>LQU noted that the HEAR working Group is to reconvene</w:t>
            </w:r>
            <w:r>
              <w:rPr>
                <w:rFonts w:cs="Calibri"/>
                <w:sz w:val="20"/>
                <w:szCs w:val="20"/>
              </w:rPr>
              <w:t>.</w:t>
            </w:r>
            <w:r w:rsidRPr="00EE7ADB">
              <w:rPr>
                <w:rFonts w:cs="Calibri"/>
                <w:sz w:val="20"/>
                <w:szCs w:val="20"/>
              </w:rPr>
              <w:t xml:space="preserve">  </w:t>
            </w:r>
            <w:r>
              <w:rPr>
                <w:rFonts w:cs="Calibri"/>
                <w:sz w:val="20"/>
                <w:szCs w:val="20"/>
              </w:rPr>
              <w:t xml:space="preserve">The </w:t>
            </w:r>
            <w:r w:rsidRPr="00EE7ADB">
              <w:rPr>
                <w:rFonts w:cs="Calibri"/>
                <w:sz w:val="20"/>
                <w:szCs w:val="20"/>
              </w:rPr>
              <w:t>O</w:t>
            </w:r>
            <w:r>
              <w:rPr>
                <w:rFonts w:cs="Calibri"/>
                <w:sz w:val="20"/>
                <w:szCs w:val="20"/>
              </w:rPr>
              <w:t xml:space="preserve">ffice of </w:t>
            </w:r>
            <w:r w:rsidRPr="00EE7ADB">
              <w:rPr>
                <w:rFonts w:cs="Calibri"/>
                <w:sz w:val="20"/>
                <w:szCs w:val="20"/>
              </w:rPr>
              <w:t>S</w:t>
            </w:r>
            <w:r>
              <w:rPr>
                <w:rFonts w:cs="Calibri"/>
                <w:sz w:val="20"/>
                <w:szCs w:val="20"/>
              </w:rPr>
              <w:t xml:space="preserve">tudent </w:t>
            </w:r>
            <w:r w:rsidRPr="00EE7ADB">
              <w:rPr>
                <w:rFonts w:cs="Calibri"/>
                <w:sz w:val="20"/>
                <w:szCs w:val="20"/>
              </w:rPr>
              <w:t>A</w:t>
            </w:r>
            <w:r>
              <w:rPr>
                <w:rFonts w:cs="Calibri"/>
                <w:sz w:val="20"/>
                <w:szCs w:val="20"/>
              </w:rPr>
              <w:t>ffairs has</w:t>
            </w:r>
            <w:r w:rsidRPr="00EE7ADB">
              <w:rPr>
                <w:rFonts w:cs="Calibri"/>
                <w:sz w:val="20"/>
                <w:szCs w:val="20"/>
              </w:rPr>
              <w:t xml:space="preserve"> produced a clear definition and description of the University HEAR together with a c</w:t>
            </w:r>
            <w:r>
              <w:rPr>
                <w:rFonts w:cs="Calibri"/>
                <w:sz w:val="20"/>
                <w:szCs w:val="20"/>
              </w:rPr>
              <w:t xml:space="preserve">omplete </w:t>
            </w:r>
            <w:r w:rsidRPr="00EE7ADB">
              <w:rPr>
                <w:rFonts w:cs="Calibri"/>
                <w:sz w:val="20"/>
                <w:szCs w:val="20"/>
              </w:rPr>
              <w:t xml:space="preserve"> time scale for final implementation in November 2013.</w:t>
            </w:r>
          </w:p>
          <w:p w:rsidR="004C169D" w:rsidRPr="00EE7ADB" w:rsidRDefault="004C169D" w:rsidP="004953C1">
            <w:pPr>
              <w:spacing w:after="0" w:line="240" w:lineRule="auto"/>
              <w:rPr>
                <w:rFonts w:cs="Calibri"/>
                <w:sz w:val="20"/>
                <w:szCs w:val="20"/>
              </w:rPr>
            </w:pPr>
          </w:p>
        </w:tc>
        <w:tc>
          <w:tcPr>
            <w:tcW w:w="1050" w:type="dxa"/>
            <w:tcBorders>
              <w:top w:val="nil"/>
              <w:left w:val="nil"/>
              <w:bottom w:val="nil"/>
              <w:right w:val="nil"/>
            </w:tcBorders>
          </w:tcPr>
          <w:p w:rsidR="004C169D" w:rsidRPr="00EE7ADB" w:rsidRDefault="004C169D" w:rsidP="008A7C39">
            <w:pPr>
              <w:spacing w:after="0" w:line="240" w:lineRule="auto"/>
              <w:rPr>
                <w:rFonts w:cs="Calibri"/>
                <w:sz w:val="16"/>
                <w:szCs w:val="16"/>
              </w:rPr>
            </w:pPr>
          </w:p>
        </w:tc>
      </w:tr>
      <w:tr w:rsidR="004C169D" w:rsidRPr="00EE7ADB" w:rsidTr="00EE7ADB">
        <w:trPr>
          <w:trHeight w:val="212"/>
        </w:trPr>
        <w:tc>
          <w:tcPr>
            <w:tcW w:w="1541" w:type="dxa"/>
            <w:tcBorders>
              <w:top w:val="nil"/>
              <w:left w:val="nil"/>
              <w:bottom w:val="nil"/>
              <w:right w:val="nil"/>
            </w:tcBorders>
          </w:tcPr>
          <w:p w:rsidR="004C169D" w:rsidRPr="00EE7ADB" w:rsidRDefault="004C169D" w:rsidP="002A667D">
            <w:pPr>
              <w:spacing w:after="0" w:line="240" w:lineRule="auto"/>
              <w:rPr>
                <w:rFonts w:cs="Calibri"/>
                <w:sz w:val="20"/>
                <w:szCs w:val="20"/>
              </w:rPr>
            </w:pPr>
            <w:r w:rsidRPr="00EE7ADB">
              <w:rPr>
                <w:rFonts w:cs="Calibri"/>
                <w:sz w:val="20"/>
                <w:szCs w:val="20"/>
              </w:rPr>
              <w:t>12/6.4 refers</w:t>
            </w:r>
          </w:p>
        </w:tc>
        <w:tc>
          <w:tcPr>
            <w:tcW w:w="7147" w:type="dxa"/>
            <w:tcBorders>
              <w:top w:val="nil"/>
              <w:left w:val="nil"/>
              <w:bottom w:val="nil"/>
              <w:right w:val="nil"/>
            </w:tcBorders>
          </w:tcPr>
          <w:p w:rsidR="004C169D" w:rsidRPr="00EE7ADB" w:rsidRDefault="004C169D" w:rsidP="002A667D">
            <w:pPr>
              <w:spacing w:after="0" w:line="240" w:lineRule="auto"/>
              <w:rPr>
                <w:rFonts w:cs="Calibri"/>
                <w:sz w:val="20"/>
                <w:szCs w:val="20"/>
              </w:rPr>
            </w:pPr>
            <w:r w:rsidRPr="00EE7ADB">
              <w:rPr>
                <w:rFonts w:cs="Calibri"/>
                <w:sz w:val="20"/>
                <w:szCs w:val="20"/>
              </w:rPr>
              <w:t xml:space="preserve">The Schools of Humanities &amp; Social Sciences and Education took advantage of the </w:t>
            </w:r>
            <w:smartTag w:uri="urn:schemas-microsoft-com:office:smarttags" w:element="place">
              <w:smartTag w:uri="urn:schemas-microsoft-com:office:smarttags" w:element="PlaceName">
                <w:r w:rsidRPr="00EE7ADB">
                  <w:rPr>
                    <w:rFonts w:cs="Calibri"/>
                    <w:sz w:val="20"/>
                    <w:szCs w:val="20"/>
                  </w:rPr>
                  <w:t>Business</w:t>
                </w:r>
              </w:smartTag>
              <w:r w:rsidRPr="00EE7ADB">
                <w:rPr>
                  <w:rFonts w:cs="Calibri"/>
                  <w:sz w:val="20"/>
                  <w:szCs w:val="20"/>
                </w:rPr>
                <w:t xml:space="preserve"> </w:t>
              </w:r>
              <w:smartTag w:uri="urn:schemas-microsoft-com:office:smarttags" w:element="PlaceType">
                <w:r w:rsidRPr="00EE7ADB">
                  <w:rPr>
                    <w:rFonts w:cs="Calibri"/>
                    <w:sz w:val="20"/>
                    <w:szCs w:val="20"/>
                  </w:rPr>
                  <w:t>School</w:t>
                </w:r>
              </w:smartTag>
            </w:smartTag>
            <w:r w:rsidRPr="00EE7ADB">
              <w:rPr>
                <w:rFonts w:cs="Calibri"/>
                <w:sz w:val="20"/>
                <w:szCs w:val="20"/>
              </w:rPr>
              <w:t xml:space="preserve"> offer for further engagement with the latter’s Employability Passport.</w:t>
            </w:r>
          </w:p>
          <w:p w:rsidR="004C169D" w:rsidRPr="00EE7ADB" w:rsidRDefault="004C169D" w:rsidP="002A667D">
            <w:pPr>
              <w:spacing w:after="0" w:line="240" w:lineRule="auto"/>
              <w:rPr>
                <w:rFonts w:cs="Calibri"/>
                <w:sz w:val="20"/>
                <w:szCs w:val="20"/>
              </w:rPr>
            </w:pPr>
          </w:p>
        </w:tc>
        <w:tc>
          <w:tcPr>
            <w:tcW w:w="1050" w:type="dxa"/>
            <w:tcBorders>
              <w:top w:val="nil"/>
              <w:left w:val="nil"/>
              <w:bottom w:val="nil"/>
              <w:right w:val="nil"/>
            </w:tcBorders>
          </w:tcPr>
          <w:p w:rsidR="004C169D" w:rsidRPr="00EE7ADB" w:rsidRDefault="004C169D" w:rsidP="008A7C39">
            <w:pPr>
              <w:spacing w:after="0" w:line="240" w:lineRule="auto"/>
              <w:rPr>
                <w:rFonts w:cs="Calibri"/>
                <w:sz w:val="16"/>
                <w:szCs w:val="16"/>
              </w:rPr>
            </w:pPr>
          </w:p>
        </w:tc>
      </w:tr>
      <w:tr w:rsidR="004C169D" w:rsidRPr="00EE7ADB" w:rsidTr="00EE7ADB">
        <w:trPr>
          <w:trHeight w:val="212"/>
        </w:trPr>
        <w:tc>
          <w:tcPr>
            <w:tcW w:w="1541" w:type="dxa"/>
            <w:tcBorders>
              <w:top w:val="nil"/>
              <w:left w:val="nil"/>
              <w:bottom w:val="nil"/>
              <w:right w:val="nil"/>
            </w:tcBorders>
          </w:tcPr>
          <w:p w:rsidR="004C169D" w:rsidRPr="00EE7ADB" w:rsidRDefault="004C169D" w:rsidP="002A667D">
            <w:pPr>
              <w:spacing w:after="0" w:line="240" w:lineRule="auto"/>
              <w:rPr>
                <w:rFonts w:cs="Calibri"/>
                <w:sz w:val="20"/>
                <w:szCs w:val="20"/>
              </w:rPr>
            </w:pPr>
            <w:r w:rsidRPr="00EE7ADB">
              <w:rPr>
                <w:rFonts w:cs="Calibri"/>
                <w:sz w:val="20"/>
                <w:szCs w:val="20"/>
              </w:rPr>
              <w:t>12/6.5 refers</w:t>
            </w:r>
          </w:p>
        </w:tc>
        <w:tc>
          <w:tcPr>
            <w:tcW w:w="7147" w:type="dxa"/>
            <w:tcBorders>
              <w:top w:val="nil"/>
              <w:left w:val="nil"/>
              <w:bottom w:val="nil"/>
              <w:right w:val="nil"/>
            </w:tcBorders>
          </w:tcPr>
          <w:p w:rsidR="004C169D" w:rsidRPr="00EE7ADB" w:rsidRDefault="004C169D" w:rsidP="00E03F08">
            <w:pPr>
              <w:spacing w:after="0" w:line="240" w:lineRule="auto"/>
              <w:rPr>
                <w:rFonts w:cs="Calibri"/>
                <w:sz w:val="20"/>
                <w:szCs w:val="20"/>
              </w:rPr>
            </w:pPr>
            <w:r w:rsidRPr="00EE7ADB">
              <w:rPr>
                <w:rFonts w:cs="Calibri"/>
                <w:sz w:val="20"/>
                <w:szCs w:val="20"/>
              </w:rPr>
              <w:t xml:space="preserve">Final draft of Student Representation on Panels was presented to and accepted by </w:t>
            </w:r>
            <w:r w:rsidRPr="00EE7ADB">
              <w:rPr>
                <w:rFonts w:cs="Calibri"/>
                <w:sz w:val="20"/>
                <w:szCs w:val="20"/>
              </w:rPr>
              <w:lastRenderedPageBreak/>
              <w:t xml:space="preserve">academic council at its May meeting subject to adjustment to the timescale for the appointment of alumni.  The central Academic Quality Unit, once fully established, will, from 2013 operationalise the policy. </w:t>
            </w:r>
          </w:p>
          <w:p w:rsidR="004C169D" w:rsidRPr="00EE7ADB" w:rsidRDefault="004C169D" w:rsidP="00E03F08">
            <w:pPr>
              <w:spacing w:after="0" w:line="240" w:lineRule="auto"/>
              <w:rPr>
                <w:rFonts w:cs="Calibri"/>
                <w:sz w:val="20"/>
                <w:szCs w:val="20"/>
              </w:rPr>
            </w:pPr>
          </w:p>
        </w:tc>
        <w:tc>
          <w:tcPr>
            <w:tcW w:w="1050" w:type="dxa"/>
            <w:tcBorders>
              <w:top w:val="nil"/>
              <w:left w:val="nil"/>
              <w:bottom w:val="nil"/>
              <w:right w:val="nil"/>
            </w:tcBorders>
          </w:tcPr>
          <w:p w:rsidR="004C169D" w:rsidRPr="00EE7ADB" w:rsidRDefault="004C169D" w:rsidP="008A7C39">
            <w:pPr>
              <w:spacing w:after="0" w:line="240" w:lineRule="auto"/>
              <w:rPr>
                <w:rFonts w:cs="Calibri"/>
                <w:sz w:val="16"/>
                <w:szCs w:val="16"/>
              </w:rPr>
            </w:pPr>
          </w:p>
        </w:tc>
      </w:tr>
      <w:tr w:rsidR="004C169D" w:rsidRPr="00EE7ADB" w:rsidTr="00EE7ADB">
        <w:trPr>
          <w:trHeight w:val="212"/>
        </w:trPr>
        <w:tc>
          <w:tcPr>
            <w:tcW w:w="1541" w:type="dxa"/>
            <w:tcBorders>
              <w:top w:val="nil"/>
              <w:left w:val="nil"/>
              <w:bottom w:val="nil"/>
              <w:right w:val="nil"/>
            </w:tcBorders>
          </w:tcPr>
          <w:p w:rsidR="004C169D" w:rsidRPr="00EE7ADB" w:rsidRDefault="004C169D" w:rsidP="002A667D">
            <w:pPr>
              <w:spacing w:after="0" w:line="240" w:lineRule="auto"/>
              <w:rPr>
                <w:rFonts w:cs="Calibri"/>
                <w:sz w:val="20"/>
                <w:szCs w:val="20"/>
              </w:rPr>
            </w:pPr>
            <w:r w:rsidRPr="00EE7ADB">
              <w:rPr>
                <w:rFonts w:cs="Calibri"/>
                <w:sz w:val="20"/>
                <w:szCs w:val="20"/>
              </w:rPr>
              <w:lastRenderedPageBreak/>
              <w:t>12/6.6 refers</w:t>
            </w:r>
          </w:p>
        </w:tc>
        <w:tc>
          <w:tcPr>
            <w:tcW w:w="7147" w:type="dxa"/>
            <w:tcBorders>
              <w:top w:val="nil"/>
              <w:left w:val="nil"/>
              <w:bottom w:val="nil"/>
              <w:right w:val="nil"/>
            </w:tcBorders>
          </w:tcPr>
          <w:p w:rsidR="004C169D" w:rsidRPr="00EE7ADB" w:rsidRDefault="004C169D" w:rsidP="002A667D">
            <w:pPr>
              <w:spacing w:after="0" w:line="240" w:lineRule="auto"/>
              <w:rPr>
                <w:rFonts w:cs="Calibri"/>
                <w:sz w:val="20"/>
                <w:szCs w:val="20"/>
              </w:rPr>
            </w:pPr>
            <w:r w:rsidRPr="00EE7ADB">
              <w:rPr>
                <w:rFonts w:cs="Calibri"/>
                <w:sz w:val="20"/>
                <w:szCs w:val="20"/>
              </w:rPr>
              <w:t>The draft report to Edexcel was reviewed by the Deputy VC (Academic Development) and a final version submitted to Edexcel prior to the deadline.</w:t>
            </w:r>
          </w:p>
          <w:p w:rsidR="004C169D" w:rsidRPr="00EE7ADB" w:rsidRDefault="004C169D" w:rsidP="002A667D">
            <w:pPr>
              <w:spacing w:after="0" w:line="240" w:lineRule="auto"/>
              <w:rPr>
                <w:rFonts w:cs="Calibri"/>
                <w:sz w:val="20"/>
                <w:szCs w:val="20"/>
              </w:rPr>
            </w:pPr>
          </w:p>
        </w:tc>
        <w:tc>
          <w:tcPr>
            <w:tcW w:w="1050" w:type="dxa"/>
            <w:tcBorders>
              <w:top w:val="nil"/>
              <w:left w:val="nil"/>
              <w:bottom w:val="nil"/>
              <w:right w:val="nil"/>
            </w:tcBorders>
          </w:tcPr>
          <w:p w:rsidR="004C169D" w:rsidRPr="00EE7ADB" w:rsidRDefault="004C169D" w:rsidP="008A7C39">
            <w:pPr>
              <w:spacing w:after="0" w:line="240" w:lineRule="auto"/>
              <w:rPr>
                <w:rFonts w:cs="Calibri"/>
                <w:sz w:val="16"/>
                <w:szCs w:val="16"/>
              </w:rPr>
            </w:pPr>
          </w:p>
        </w:tc>
      </w:tr>
      <w:tr w:rsidR="004C169D" w:rsidRPr="00EE7ADB" w:rsidTr="00EE7ADB">
        <w:trPr>
          <w:trHeight w:val="212"/>
        </w:trPr>
        <w:tc>
          <w:tcPr>
            <w:tcW w:w="1541" w:type="dxa"/>
            <w:tcBorders>
              <w:top w:val="nil"/>
              <w:left w:val="nil"/>
              <w:bottom w:val="nil"/>
              <w:right w:val="nil"/>
            </w:tcBorders>
          </w:tcPr>
          <w:p w:rsidR="004C169D" w:rsidRPr="00EE7ADB" w:rsidRDefault="004C169D" w:rsidP="002A667D">
            <w:pPr>
              <w:spacing w:after="0" w:line="240" w:lineRule="auto"/>
              <w:rPr>
                <w:rFonts w:cs="Calibri"/>
                <w:sz w:val="20"/>
                <w:szCs w:val="20"/>
              </w:rPr>
            </w:pPr>
          </w:p>
        </w:tc>
        <w:tc>
          <w:tcPr>
            <w:tcW w:w="7147" w:type="dxa"/>
            <w:tcBorders>
              <w:top w:val="nil"/>
              <w:left w:val="nil"/>
              <w:bottom w:val="nil"/>
              <w:right w:val="nil"/>
            </w:tcBorders>
          </w:tcPr>
          <w:p w:rsidR="004C169D" w:rsidRDefault="004C169D" w:rsidP="002A667D">
            <w:pPr>
              <w:spacing w:after="0" w:line="240" w:lineRule="auto"/>
              <w:rPr>
                <w:rFonts w:cs="Calibri"/>
                <w:sz w:val="20"/>
                <w:szCs w:val="20"/>
              </w:rPr>
            </w:pPr>
            <w:r w:rsidRPr="00EE7ADB">
              <w:rPr>
                <w:rFonts w:cs="Calibri"/>
                <w:sz w:val="20"/>
                <w:szCs w:val="20"/>
              </w:rPr>
              <w:t>The Chair added one additional item relating the University Working Group on Extenuating Circumstances</w:t>
            </w:r>
            <w:r>
              <w:rPr>
                <w:rFonts w:cs="Calibri"/>
                <w:sz w:val="20"/>
                <w:szCs w:val="20"/>
              </w:rPr>
              <w:t xml:space="preserve"> Policy</w:t>
            </w:r>
            <w:r w:rsidRPr="00EE7ADB">
              <w:rPr>
                <w:rFonts w:cs="Calibri"/>
                <w:sz w:val="20"/>
                <w:szCs w:val="20"/>
              </w:rPr>
              <w:t>, a draft version of which has now been considered by Council.  Council requested disaggregation of policy from proces</w:t>
            </w:r>
            <w:r>
              <w:rPr>
                <w:rFonts w:cs="Calibri"/>
                <w:sz w:val="20"/>
                <w:szCs w:val="20"/>
              </w:rPr>
              <w:t xml:space="preserve">s  in the paper. </w:t>
            </w:r>
          </w:p>
          <w:p w:rsidR="004C169D" w:rsidRPr="00EE7ADB" w:rsidRDefault="004C169D" w:rsidP="002A667D">
            <w:pPr>
              <w:spacing w:after="0" w:line="240" w:lineRule="auto"/>
              <w:rPr>
                <w:rFonts w:cs="Calibri"/>
                <w:sz w:val="20"/>
                <w:szCs w:val="20"/>
              </w:rPr>
            </w:pPr>
          </w:p>
          <w:p w:rsidR="004C169D" w:rsidRPr="00EE7ADB" w:rsidRDefault="004C169D" w:rsidP="002A667D">
            <w:pPr>
              <w:spacing w:after="0" w:line="240" w:lineRule="auto"/>
              <w:rPr>
                <w:rFonts w:cs="Calibri"/>
                <w:sz w:val="20"/>
                <w:szCs w:val="20"/>
              </w:rPr>
            </w:pPr>
            <w:r w:rsidRPr="00EE7ADB">
              <w:rPr>
                <w:rFonts w:cs="Calibri"/>
                <w:sz w:val="20"/>
                <w:szCs w:val="20"/>
              </w:rPr>
              <w:t xml:space="preserve">LQC endorsed the strengthening of links between personal tutoring and the policy </w:t>
            </w:r>
            <w:r>
              <w:rPr>
                <w:rFonts w:cs="Calibri"/>
                <w:sz w:val="20"/>
                <w:szCs w:val="20"/>
              </w:rPr>
              <w:t>though</w:t>
            </w:r>
            <w:r w:rsidRPr="00EE7ADB">
              <w:rPr>
                <w:rFonts w:cs="Calibri"/>
                <w:sz w:val="20"/>
                <w:szCs w:val="20"/>
              </w:rPr>
              <w:t xml:space="preserve"> one School express</w:t>
            </w:r>
            <w:r>
              <w:rPr>
                <w:rFonts w:cs="Calibri"/>
                <w:sz w:val="20"/>
                <w:szCs w:val="20"/>
              </w:rPr>
              <w:t>ed</w:t>
            </w:r>
            <w:r w:rsidRPr="00EE7ADB">
              <w:rPr>
                <w:rFonts w:cs="Calibri"/>
                <w:sz w:val="20"/>
                <w:szCs w:val="20"/>
              </w:rPr>
              <w:t xml:space="preserve"> concern over the implementation of “interim resit”  as part of the policy.   In principle this aspect of the proposal was endorsed but the Committee advised it needs to be kept under review in the light of widening flexibility of the general policy.   School representatives also discussed </w:t>
            </w:r>
            <w:r>
              <w:rPr>
                <w:rFonts w:cs="Calibri"/>
                <w:sz w:val="20"/>
                <w:szCs w:val="20"/>
              </w:rPr>
              <w:t xml:space="preserve">the </w:t>
            </w:r>
            <w:r w:rsidRPr="00EE7ADB">
              <w:rPr>
                <w:rFonts w:cs="Calibri"/>
                <w:sz w:val="20"/>
                <w:szCs w:val="20"/>
              </w:rPr>
              <w:t xml:space="preserve">possible removal of mark capping in relation to submission deadlines due to the adverse affect this has on potential retention.  </w:t>
            </w:r>
          </w:p>
          <w:p w:rsidR="004C169D" w:rsidRDefault="004C169D" w:rsidP="002A667D">
            <w:pPr>
              <w:spacing w:after="0" w:line="240" w:lineRule="auto"/>
              <w:rPr>
                <w:rFonts w:cs="Calibri"/>
                <w:sz w:val="20"/>
                <w:szCs w:val="20"/>
              </w:rPr>
            </w:pPr>
          </w:p>
          <w:p w:rsidR="004C169D" w:rsidRPr="00EE7ADB" w:rsidRDefault="004C169D" w:rsidP="002A667D">
            <w:pPr>
              <w:spacing w:after="0" w:line="240" w:lineRule="auto"/>
              <w:rPr>
                <w:rFonts w:cs="Calibri"/>
                <w:sz w:val="20"/>
                <w:szCs w:val="20"/>
              </w:rPr>
            </w:pPr>
            <w:r>
              <w:rPr>
                <w:rFonts w:cs="Calibri"/>
                <w:sz w:val="20"/>
                <w:szCs w:val="20"/>
              </w:rPr>
              <w:t>T</w:t>
            </w:r>
            <w:r w:rsidRPr="00EE7ADB">
              <w:rPr>
                <w:rFonts w:cs="Calibri"/>
                <w:sz w:val="20"/>
                <w:szCs w:val="20"/>
              </w:rPr>
              <w:t>he Committee was supportive of increased flexibility that this policy proposes.</w:t>
            </w:r>
          </w:p>
          <w:p w:rsidR="004C169D" w:rsidRPr="00EE7ADB" w:rsidRDefault="004C169D" w:rsidP="002A667D">
            <w:pPr>
              <w:spacing w:after="0" w:line="240" w:lineRule="auto"/>
              <w:rPr>
                <w:rFonts w:cs="Calibri"/>
                <w:sz w:val="20"/>
                <w:szCs w:val="20"/>
              </w:rPr>
            </w:pPr>
          </w:p>
        </w:tc>
        <w:tc>
          <w:tcPr>
            <w:tcW w:w="1050" w:type="dxa"/>
            <w:tcBorders>
              <w:top w:val="nil"/>
              <w:left w:val="nil"/>
              <w:bottom w:val="nil"/>
              <w:right w:val="nil"/>
            </w:tcBorders>
          </w:tcPr>
          <w:p w:rsidR="004C169D" w:rsidRPr="00EE7ADB" w:rsidRDefault="004C169D" w:rsidP="008A7C39">
            <w:pPr>
              <w:spacing w:after="0" w:line="240" w:lineRule="auto"/>
              <w:rPr>
                <w:rFonts w:cs="Calibri"/>
                <w:sz w:val="16"/>
                <w:szCs w:val="16"/>
              </w:rPr>
            </w:pPr>
          </w:p>
        </w:tc>
      </w:tr>
      <w:tr w:rsidR="004C169D" w:rsidRPr="00EE7ADB" w:rsidTr="00EE7ADB">
        <w:trPr>
          <w:trHeight w:val="212"/>
        </w:trPr>
        <w:tc>
          <w:tcPr>
            <w:tcW w:w="1541" w:type="dxa"/>
            <w:tcBorders>
              <w:top w:val="nil"/>
              <w:left w:val="nil"/>
              <w:bottom w:val="nil"/>
              <w:right w:val="nil"/>
            </w:tcBorders>
          </w:tcPr>
          <w:p w:rsidR="004C169D" w:rsidRPr="00EE7ADB" w:rsidRDefault="004C169D" w:rsidP="002A667D">
            <w:pPr>
              <w:spacing w:after="0" w:line="240" w:lineRule="auto"/>
              <w:rPr>
                <w:rFonts w:cs="Calibri"/>
                <w:b/>
                <w:color w:val="FF0000"/>
                <w:sz w:val="18"/>
                <w:szCs w:val="18"/>
              </w:rPr>
            </w:pPr>
            <w:r w:rsidRPr="00EE7ADB">
              <w:rPr>
                <w:rFonts w:cs="Calibri"/>
                <w:b/>
                <w:color w:val="FF0000"/>
                <w:sz w:val="18"/>
                <w:szCs w:val="18"/>
              </w:rPr>
              <w:t>Action</w:t>
            </w:r>
          </w:p>
        </w:tc>
        <w:tc>
          <w:tcPr>
            <w:tcW w:w="7147" w:type="dxa"/>
            <w:tcBorders>
              <w:top w:val="nil"/>
              <w:left w:val="nil"/>
              <w:bottom w:val="nil"/>
              <w:right w:val="nil"/>
            </w:tcBorders>
          </w:tcPr>
          <w:p w:rsidR="004C169D" w:rsidRPr="00EE7ADB" w:rsidRDefault="004C169D" w:rsidP="002A667D">
            <w:pPr>
              <w:spacing w:after="0" w:line="240" w:lineRule="auto"/>
              <w:rPr>
                <w:rFonts w:cs="Calibri"/>
                <w:b/>
                <w:color w:val="FF0000"/>
                <w:sz w:val="18"/>
                <w:szCs w:val="18"/>
              </w:rPr>
            </w:pPr>
            <w:r w:rsidRPr="00EE7ADB">
              <w:rPr>
                <w:rFonts w:cs="Calibri"/>
                <w:b/>
                <w:color w:val="FF0000"/>
                <w:sz w:val="18"/>
                <w:szCs w:val="18"/>
              </w:rPr>
              <w:t>Extenuating Circumstances final draft paper to take into account the points raised prior to resubmission to Academic Council in June 2013.</w:t>
            </w:r>
          </w:p>
          <w:p w:rsidR="004C169D" w:rsidRPr="00EE7ADB" w:rsidRDefault="004C169D" w:rsidP="002A667D">
            <w:pPr>
              <w:spacing w:after="0" w:line="240" w:lineRule="auto"/>
              <w:rPr>
                <w:rFonts w:cs="Calibri"/>
                <w:b/>
                <w:color w:val="FF0000"/>
                <w:sz w:val="18"/>
                <w:szCs w:val="18"/>
              </w:rPr>
            </w:pPr>
          </w:p>
        </w:tc>
        <w:tc>
          <w:tcPr>
            <w:tcW w:w="1050" w:type="dxa"/>
            <w:tcBorders>
              <w:top w:val="nil"/>
              <w:left w:val="nil"/>
              <w:bottom w:val="nil"/>
              <w:right w:val="nil"/>
            </w:tcBorders>
          </w:tcPr>
          <w:p w:rsidR="004C169D" w:rsidRPr="00EE7ADB" w:rsidRDefault="004C169D" w:rsidP="008A7C39">
            <w:pPr>
              <w:spacing w:after="0" w:line="240" w:lineRule="auto"/>
              <w:rPr>
                <w:rFonts w:cs="Calibri"/>
                <w:b/>
                <w:color w:val="FF0000"/>
                <w:sz w:val="18"/>
                <w:szCs w:val="18"/>
              </w:rPr>
            </w:pPr>
          </w:p>
        </w:tc>
      </w:tr>
      <w:tr w:rsidR="004C169D" w:rsidRPr="00EE7ADB" w:rsidTr="00EE7ADB">
        <w:tc>
          <w:tcPr>
            <w:tcW w:w="1541" w:type="dxa"/>
            <w:tcBorders>
              <w:top w:val="nil"/>
              <w:left w:val="nil"/>
              <w:bottom w:val="nil"/>
              <w:right w:val="nil"/>
            </w:tcBorders>
          </w:tcPr>
          <w:p w:rsidR="004C169D" w:rsidRPr="00EE7ADB" w:rsidRDefault="004C169D" w:rsidP="002A667D">
            <w:pPr>
              <w:spacing w:after="0" w:line="240" w:lineRule="auto"/>
              <w:rPr>
                <w:rFonts w:cs="Calibri"/>
                <w:sz w:val="20"/>
                <w:szCs w:val="20"/>
              </w:rPr>
            </w:pPr>
            <w:r w:rsidRPr="00EE7ADB">
              <w:rPr>
                <w:rFonts w:cs="Calibri"/>
                <w:sz w:val="20"/>
                <w:szCs w:val="20"/>
              </w:rPr>
              <w:t>LQC/12/7.4</w:t>
            </w:r>
          </w:p>
        </w:tc>
        <w:tc>
          <w:tcPr>
            <w:tcW w:w="7147" w:type="dxa"/>
            <w:tcBorders>
              <w:top w:val="nil"/>
              <w:left w:val="nil"/>
              <w:bottom w:val="nil"/>
              <w:right w:val="nil"/>
            </w:tcBorders>
          </w:tcPr>
          <w:p w:rsidR="004C169D" w:rsidRPr="00EE7ADB" w:rsidRDefault="004C169D" w:rsidP="00803E73">
            <w:pPr>
              <w:rPr>
                <w:rFonts w:cs="Arial"/>
                <w:sz w:val="20"/>
                <w:szCs w:val="20"/>
              </w:rPr>
            </w:pPr>
            <w:r w:rsidRPr="00EE7ADB">
              <w:rPr>
                <w:rFonts w:cs="Arial"/>
                <w:b/>
                <w:sz w:val="20"/>
                <w:szCs w:val="20"/>
              </w:rPr>
              <w:t xml:space="preserve">QAA:  </w:t>
            </w:r>
            <w:smartTag w:uri="urn:schemas-microsoft-com:office:smarttags" w:element="place">
              <w:smartTag w:uri="urn:schemas-microsoft-com:office:smarttags" w:element="country-region">
                <w:r w:rsidRPr="00EE7ADB">
                  <w:rPr>
                    <w:rFonts w:cs="Arial"/>
                    <w:b/>
                    <w:sz w:val="20"/>
                    <w:szCs w:val="20"/>
                  </w:rPr>
                  <w:t>UK</w:t>
                </w:r>
              </w:smartTag>
            </w:smartTag>
            <w:r w:rsidRPr="00EE7ADB">
              <w:rPr>
                <w:rFonts w:cs="Arial"/>
                <w:b/>
                <w:sz w:val="20"/>
                <w:szCs w:val="20"/>
              </w:rPr>
              <w:t xml:space="preserve"> Quality Code</w:t>
            </w:r>
            <w:r w:rsidRPr="00EE7ADB">
              <w:rPr>
                <w:rFonts w:cs="Arial"/>
                <w:sz w:val="20"/>
                <w:szCs w:val="20"/>
              </w:rPr>
              <w:t xml:space="preserve"> </w:t>
            </w:r>
          </w:p>
          <w:p w:rsidR="004C169D" w:rsidRPr="00EE7ADB" w:rsidRDefault="004C169D" w:rsidP="0079192C">
            <w:pPr>
              <w:spacing w:after="0" w:line="240" w:lineRule="auto"/>
              <w:rPr>
                <w:rFonts w:cs="Arial"/>
                <w:sz w:val="20"/>
                <w:szCs w:val="20"/>
              </w:rPr>
            </w:pPr>
            <w:r w:rsidRPr="00EE7ADB">
              <w:rPr>
                <w:rFonts w:cs="Arial"/>
                <w:sz w:val="20"/>
                <w:szCs w:val="20"/>
              </w:rPr>
              <w:t>Section B4:</w:t>
            </w:r>
            <w:r w:rsidRPr="00EE7ADB">
              <w:rPr>
                <w:rFonts w:cs="Arial"/>
                <w:color w:val="000000"/>
                <w:sz w:val="20"/>
                <w:szCs w:val="20"/>
                <w:lang w:eastAsia="en-GB"/>
              </w:rPr>
              <w:t xml:space="preserve"> </w:t>
            </w:r>
            <w:r w:rsidRPr="00EE7ADB">
              <w:rPr>
                <w:rFonts w:cs="Arial"/>
                <w:bCs/>
                <w:iCs/>
                <w:color w:val="000000"/>
                <w:sz w:val="20"/>
                <w:szCs w:val="20"/>
                <w:lang w:eastAsia="en-GB"/>
              </w:rPr>
              <w:t>Enabling student development and achievement</w:t>
            </w:r>
            <w:r w:rsidRPr="00EE7ADB">
              <w:rPr>
                <w:rFonts w:cs="Arial"/>
                <w:sz w:val="20"/>
                <w:szCs w:val="20"/>
              </w:rPr>
              <w:t xml:space="preserve"> </w:t>
            </w:r>
          </w:p>
          <w:p w:rsidR="004C169D" w:rsidRPr="00EE7ADB" w:rsidRDefault="004C169D" w:rsidP="0079192C">
            <w:pPr>
              <w:spacing w:after="0" w:line="240" w:lineRule="auto"/>
              <w:rPr>
                <w:rFonts w:cs="Arial"/>
                <w:b/>
                <w:sz w:val="20"/>
                <w:szCs w:val="20"/>
              </w:rPr>
            </w:pPr>
            <w:r w:rsidRPr="00EE7ADB">
              <w:rPr>
                <w:rFonts w:cs="Arial"/>
                <w:sz w:val="20"/>
                <w:szCs w:val="20"/>
              </w:rPr>
              <w:t>Section B9:  Student Appeals and Complaints</w:t>
            </w:r>
          </w:p>
          <w:p w:rsidR="004C169D" w:rsidRPr="00EE7ADB" w:rsidRDefault="004C169D" w:rsidP="002A667D">
            <w:pPr>
              <w:spacing w:after="0" w:line="240" w:lineRule="auto"/>
              <w:rPr>
                <w:rFonts w:cs="Calibri"/>
                <w:b/>
                <w:sz w:val="20"/>
                <w:szCs w:val="20"/>
              </w:rPr>
            </w:pPr>
          </w:p>
          <w:p w:rsidR="004C169D" w:rsidRPr="00EE7ADB" w:rsidRDefault="004C169D" w:rsidP="002A667D">
            <w:pPr>
              <w:spacing w:after="0" w:line="240" w:lineRule="auto"/>
              <w:rPr>
                <w:rFonts w:cs="Calibri"/>
                <w:sz w:val="20"/>
                <w:szCs w:val="20"/>
              </w:rPr>
            </w:pPr>
            <w:r w:rsidRPr="00EE7ADB">
              <w:rPr>
                <w:rFonts w:cs="Calibri"/>
                <w:sz w:val="20"/>
                <w:szCs w:val="20"/>
              </w:rPr>
              <w:t>LQC received and noted two sections of the UK Quality Code.  The committee was in general agreement that the University met the indicators contained within both sections.  In respect of B4 it was agreed that evaluating effectiveness remained key to the success of implementing the code.  LQC requested monitor ring the effectiveness this be placed on AQS agendas for 2013-14 as it will provide a useful review of how much the University has done over the past few sessions to meet this Sections of the code:  including \Personal tutoring policies, development of Greenwich Graduate Attributes, University Transition Policy, Personal Development Planning, the Employability Passport and the Diploma Supplement.</w:t>
            </w:r>
          </w:p>
          <w:p w:rsidR="004C169D" w:rsidRPr="00EE7ADB" w:rsidRDefault="004C169D" w:rsidP="002A667D">
            <w:pPr>
              <w:spacing w:after="0" w:line="240" w:lineRule="auto"/>
              <w:rPr>
                <w:rFonts w:cs="Calibri"/>
                <w:sz w:val="20"/>
                <w:szCs w:val="20"/>
              </w:rPr>
            </w:pPr>
          </w:p>
          <w:p w:rsidR="004C169D" w:rsidRPr="00EE7ADB" w:rsidRDefault="004C169D" w:rsidP="002A667D">
            <w:pPr>
              <w:spacing w:after="0" w:line="240" w:lineRule="auto"/>
              <w:rPr>
                <w:rFonts w:cs="Calibri"/>
                <w:sz w:val="20"/>
                <w:szCs w:val="20"/>
              </w:rPr>
            </w:pPr>
            <w:r w:rsidRPr="00EE7ADB">
              <w:rPr>
                <w:rFonts w:cs="Calibri"/>
                <w:sz w:val="20"/>
                <w:szCs w:val="20"/>
              </w:rPr>
              <w:t>In respect of B9 LQC recommended that the Office of Student Affairs annual review of the appeals process  be presented to AQS prior to final submission to Council, and that this paper should provide greater focus on evaluation of process and outcomes leading to policy development and enhancement.</w:t>
            </w:r>
          </w:p>
          <w:p w:rsidR="004C169D" w:rsidRPr="00EE7ADB" w:rsidRDefault="004C169D" w:rsidP="002A667D">
            <w:pPr>
              <w:spacing w:after="0" w:line="240" w:lineRule="auto"/>
              <w:rPr>
                <w:rFonts w:cs="Calibri"/>
                <w:sz w:val="20"/>
                <w:szCs w:val="20"/>
              </w:rPr>
            </w:pPr>
          </w:p>
        </w:tc>
        <w:tc>
          <w:tcPr>
            <w:tcW w:w="1050" w:type="dxa"/>
            <w:tcBorders>
              <w:top w:val="nil"/>
              <w:left w:val="nil"/>
              <w:bottom w:val="nil"/>
              <w:right w:val="nil"/>
            </w:tcBorders>
          </w:tcPr>
          <w:p w:rsidR="004C169D" w:rsidRPr="00EE7ADB" w:rsidRDefault="004C169D" w:rsidP="008A7C39">
            <w:pPr>
              <w:spacing w:after="0" w:line="240" w:lineRule="auto"/>
              <w:rPr>
                <w:rFonts w:cs="Calibri"/>
                <w:sz w:val="20"/>
                <w:szCs w:val="20"/>
              </w:rPr>
            </w:pPr>
          </w:p>
        </w:tc>
      </w:tr>
      <w:tr w:rsidR="004C169D" w:rsidRPr="00EE7ADB" w:rsidTr="00EE7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rsidR="004C169D" w:rsidRPr="00EE7ADB" w:rsidRDefault="004C169D" w:rsidP="002A667D">
            <w:pPr>
              <w:spacing w:after="0" w:line="240" w:lineRule="auto"/>
              <w:rPr>
                <w:rFonts w:cs="Calibri"/>
                <w:sz w:val="20"/>
                <w:szCs w:val="20"/>
              </w:rPr>
            </w:pPr>
            <w:r w:rsidRPr="00EE7ADB">
              <w:rPr>
                <w:rFonts w:cs="Calibri"/>
                <w:sz w:val="20"/>
                <w:szCs w:val="20"/>
              </w:rPr>
              <w:t>LQC/12/7.5</w:t>
            </w:r>
          </w:p>
        </w:tc>
        <w:tc>
          <w:tcPr>
            <w:tcW w:w="7147" w:type="dxa"/>
          </w:tcPr>
          <w:p w:rsidR="004C169D" w:rsidRPr="00EE7ADB" w:rsidRDefault="004C169D" w:rsidP="00803E73">
            <w:pPr>
              <w:rPr>
                <w:rFonts w:cs="Arial"/>
                <w:b/>
                <w:sz w:val="20"/>
                <w:szCs w:val="20"/>
              </w:rPr>
            </w:pPr>
            <w:r w:rsidRPr="00EE7ADB">
              <w:rPr>
                <w:rFonts w:cs="Arial"/>
                <w:b/>
                <w:sz w:val="20"/>
                <w:szCs w:val="20"/>
              </w:rPr>
              <w:t>Approval and Review</w:t>
            </w:r>
          </w:p>
          <w:p w:rsidR="004C169D" w:rsidRPr="00EE7ADB" w:rsidRDefault="004C169D" w:rsidP="00803E73">
            <w:pPr>
              <w:spacing w:after="0" w:line="240" w:lineRule="auto"/>
              <w:rPr>
                <w:rFonts w:cs="Arial"/>
                <w:sz w:val="20"/>
                <w:szCs w:val="20"/>
              </w:rPr>
            </w:pPr>
            <w:r w:rsidRPr="00EE7ADB">
              <w:rPr>
                <w:rFonts w:cs="Arial"/>
                <w:sz w:val="20"/>
                <w:szCs w:val="20"/>
              </w:rPr>
              <w:t>Statistical datasets for inclusion into QAH and PAS work flow</w:t>
            </w:r>
          </w:p>
          <w:p w:rsidR="004C169D" w:rsidRPr="00EE7ADB" w:rsidRDefault="004C169D" w:rsidP="00803E73">
            <w:pPr>
              <w:spacing w:after="0" w:line="240" w:lineRule="auto"/>
              <w:rPr>
                <w:rFonts w:cs="Calibri"/>
                <w:b/>
                <w:sz w:val="20"/>
                <w:szCs w:val="20"/>
              </w:rPr>
            </w:pPr>
          </w:p>
        </w:tc>
        <w:tc>
          <w:tcPr>
            <w:tcW w:w="1050" w:type="dxa"/>
            <w:tcBorders>
              <w:left w:val="nil"/>
            </w:tcBorders>
          </w:tcPr>
          <w:p w:rsidR="004C169D" w:rsidRPr="00EE7ADB" w:rsidRDefault="004C169D" w:rsidP="008A7C39">
            <w:pPr>
              <w:spacing w:after="0" w:line="240" w:lineRule="auto"/>
              <w:rPr>
                <w:rFonts w:cs="Calibri"/>
                <w:sz w:val="16"/>
                <w:szCs w:val="16"/>
              </w:rPr>
            </w:pPr>
          </w:p>
        </w:tc>
      </w:tr>
      <w:tr w:rsidR="004C169D" w:rsidRPr="00EE7ADB" w:rsidTr="00EE7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rsidR="004C169D" w:rsidRPr="00EE7ADB" w:rsidRDefault="004C169D" w:rsidP="002A667D">
            <w:pPr>
              <w:spacing w:after="0" w:line="240" w:lineRule="auto"/>
              <w:rPr>
                <w:rFonts w:cs="Calibri"/>
                <w:sz w:val="20"/>
                <w:szCs w:val="20"/>
              </w:rPr>
            </w:pPr>
          </w:p>
        </w:tc>
        <w:tc>
          <w:tcPr>
            <w:tcW w:w="7147" w:type="dxa"/>
          </w:tcPr>
          <w:p w:rsidR="004C169D" w:rsidRPr="00EE7ADB" w:rsidRDefault="004C169D" w:rsidP="002B7609">
            <w:pPr>
              <w:spacing w:after="0" w:line="240" w:lineRule="auto"/>
              <w:rPr>
                <w:rFonts w:cs="Calibri"/>
                <w:sz w:val="20"/>
                <w:szCs w:val="20"/>
              </w:rPr>
            </w:pPr>
            <w:r w:rsidRPr="00EE7ADB">
              <w:rPr>
                <w:rFonts w:cs="Calibri"/>
                <w:sz w:val="20"/>
                <w:szCs w:val="20"/>
              </w:rPr>
              <w:t xml:space="preserve">LQC acknowledged that work on datasets for Approval and review activities remains ongoing .  A wealth of data exists through Business Objects and LQC noted that, rather than regurgitate this verbatim in review documentation, the QAH will be redesigned to provide clearer guidance on HOW to best use statistical data available as a means of discussion of the programmes success and enhancement.  LQC noted that the University will aim to include KIS comparative data in future reviews and will begin to investigate use of DHLE data. </w:t>
            </w:r>
          </w:p>
          <w:p w:rsidR="004C169D" w:rsidRPr="00EE7ADB" w:rsidRDefault="004C169D" w:rsidP="00803E73">
            <w:pPr>
              <w:rPr>
                <w:rFonts w:cs="Arial"/>
                <w:b/>
                <w:sz w:val="20"/>
                <w:szCs w:val="20"/>
              </w:rPr>
            </w:pPr>
          </w:p>
        </w:tc>
        <w:tc>
          <w:tcPr>
            <w:tcW w:w="1050" w:type="dxa"/>
            <w:tcBorders>
              <w:left w:val="nil"/>
            </w:tcBorders>
          </w:tcPr>
          <w:p w:rsidR="004C169D" w:rsidRPr="00EE7ADB" w:rsidRDefault="004C169D" w:rsidP="008A7C39">
            <w:pPr>
              <w:spacing w:after="0" w:line="240" w:lineRule="auto"/>
              <w:rPr>
                <w:rFonts w:cs="Calibri"/>
                <w:sz w:val="16"/>
                <w:szCs w:val="16"/>
              </w:rPr>
            </w:pPr>
          </w:p>
        </w:tc>
      </w:tr>
      <w:tr w:rsidR="004C169D" w:rsidRPr="00EE7ADB" w:rsidTr="00EE7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rsidR="004C169D" w:rsidRPr="00EE7ADB" w:rsidRDefault="004C169D" w:rsidP="002A667D">
            <w:pPr>
              <w:spacing w:after="0" w:line="240" w:lineRule="auto"/>
              <w:rPr>
                <w:rFonts w:cs="Calibri"/>
                <w:sz w:val="20"/>
                <w:szCs w:val="20"/>
              </w:rPr>
            </w:pPr>
            <w:r w:rsidRPr="00EE7ADB">
              <w:rPr>
                <w:rFonts w:cs="Calibri"/>
                <w:sz w:val="20"/>
                <w:szCs w:val="20"/>
              </w:rPr>
              <w:lastRenderedPageBreak/>
              <w:br w:type="page"/>
              <w:t>LQC/12/7.6</w:t>
            </w:r>
          </w:p>
        </w:tc>
        <w:tc>
          <w:tcPr>
            <w:tcW w:w="7147" w:type="dxa"/>
          </w:tcPr>
          <w:p w:rsidR="004C169D" w:rsidRPr="00EE7ADB" w:rsidRDefault="004C169D" w:rsidP="008C6927">
            <w:pPr>
              <w:rPr>
                <w:rFonts w:cs="Arial"/>
                <w:b/>
                <w:sz w:val="20"/>
                <w:szCs w:val="20"/>
              </w:rPr>
            </w:pPr>
            <w:r w:rsidRPr="00EE7ADB">
              <w:rPr>
                <w:rFonts w:cs="Arial"/>
                <w:b/>
                <w:sz w:val="20"/>
                <w:szCs w:val="20"/>
              </w:rPr>
              <w:t>Professional, Statutory and Regulatory Bodies</w:t>
            </w:r>
          </w:p>
          <w:p w:rsidR="004C169D" w:rsidRPr="00EE7ADB" w:rsidRDefault="004C169D" w:rsidP="00803E73">
            <w:pPr>
              <w:numPr>
                <w:ilvl w:val="0"/>
                <w:numId w:val="34"/>
              </w:numPr>
              <w:rPr>
                <w:rFonts w:cs="Arial"/>
                <w:sz w:val="20"/>
                <w:szCs w:val="20"/>
              </w:rPr>
            </w:pPr>
            <w:r w:rsidRPr="00EE7ADB">
              <w:rPr>
                <w:rFonts w:cs="Arial"/>
                <w:sz w:val="20"/>
                <w:szCs w:val="20"/>
              </w:rPr>
              <w:t>CIPD Quality Assurance Panel Visit Report for MA Personnel and Development (Business)</w:t>
            </w:r>
          </w:p>
          <w:p w:rsidR="004C169D" w:rsidRPr="00EE7ADB" w:rsidRDefault="004C169D" w:rsidP="00FB38E9">
            <w:pPr>
              <w:rPr>
                <w:rFonts w:cs="Arial"/>
                <w:sz w:val="20"/>
                <w:szCs w:val="20"/>
              </w:rPr>
            </w:pPr>
            <w:r w:rsidRPr="00EE7ADB">
              <w:rPr>
                <w:rFonts w:cs="Arial"/>
                <w:sz w:val="20"/>
                <w:szCs w:val="20"/>
              </w:rPr>
              <w:t xml:space="preserve">The </w:t>
            </w:r>
            <w:smartTag w:uri="urn:schemas-microsoft-com:office:smarttags" w:element="place">
              <w:smartTag w:uri="urn:schemas-microsoft-com:office:smarttags" w:element="PlaceName">
                <w:r w:rsidRPr="00EE7ADB">
                  <w:rPr>
                    <w:rFonts w:cs="Arial"/>
                    <w:sz w:val="20"/>
                    <w:szCs w:val="20"/>
                  </w:rPr>
                  <w:t>Business</w:t>
                </w:r>
              </w:smartTag>
              <w:r w:rsidRPr="00EE7ADB">
                <w:rPr>
                  <w:rFonts w:cs="Arial"/>
                  <w:sz w:val="20"/>
                  <w:szCs w:val="20"/>
                </w:rPr>
                <w:t xml:space="preserve"> </w:t>
              </w:r>
              <w:smartTag w:uri="urn:schemas-microsoft-com:office:smarttags" w:element="PlaceType">
                <w:r w:rsidRPr="00EE7ADB">
                  <w:rPr>
                    <w:rFonts w:cs="Arial"/>
                    <w:sz w:val="20"/>
                    <w:szCs w:val="20"/>
                  </w:rPr>
                  <w:t>School</w:t>
                </w:r>
              </w:smartTag>
            </w:smartTag>
            <w:r w:rsidRPr="00EE7ADB">
              <w:rPr>
                <w:rFonts w:cs="Arial"/>
                <w:sz w:val="20"/>
                <w:szCs w:val="20"/>
              </w:rPr>
              <w:t xml:space="preserve"> reported that this panel meeting had gone well with some minor actions requested, to which  the programme leader has responded.  The School noted that regulatory exemption from compensation at course level could not be implemented.  However, as other institutions are permitted to apply internal compensation, the School will be pursuing this with the CIPD and aiming to change CIPD policy in relation to the University’s Masters award.</w:t>
            </w:r>
          </w:p>
          <w:p w:rsidR="004C169D" w:rsidRPr="00EE7ADB" w:rsidRDefault="004C169D" w:rsidP="00803E73">
            <w:pPr>
              <w:numPr>
                <w:ilvl w:val="0"/>
                <w:numId w:val="34"/>
              </w:numPr>
              <w:rPr>
                <w:rFonts w:cs="Arial"/>
                <w:sz w:val="20"/>
                <w:szCs w:val="20"/>
              </w:rPr>
            </w:pPr>
            <w:r w:rsidRPr="00EE7ADB">
              <w:rPr>
                <w:rFonts w:cs="Arial"/>
                <w:sz w:val="20"/>
                <w:szCs w:val="20"/>
              </w:rPr>
              <w:t>Architects Registration Board  renewal of prescription for BA Architecture and related programmes (Architecture, Design and Construction)</w:t>
            </w:r>
          </w:p>
          <w:p w:rsidR="004C169D" w:rsidRPr="00EE7ADB" w:rsidRDefault="004C169D" w:rsidP="004449C5">
            <w:pPr>
              <w:pStyle w:val="Default"/>
              <w:rPr>
                <w:rFonts w:cs="Times New Roman"/>
                <w:color w:val="auto"/>
                <w:sz w:val="20"/>
                <w:szCs w:val="20"/>
              </w:rPr>
            </w:pPr>
            <w:r w:rsidRPr="00EE7ADB">
              <w:rPr>
                <w:sz w:val="20"/>
                <w:szCs w:val="20"/>
              </w:rPr>
              <w:t>LQC noted and congratulated the School that the</w:t>
            </w:r>
            <w:r w:rsidRPr="00EE7ADB">
              <w:rPr>
                <w:rFonts w:cs="Times New Roman"/>
                <w:color w:val="auto"/>
                <w:sz w:val="20"/>
                <w:szCs w:val="20"/>
              </w:rPr>
              <w:t xml:space="preserve"> above qualifications should continue to be prescribed until 30 September 2017</w:t>
            </w:r>
            <w:r w:rsidRPr="00EE7ADB">
              <w:rPr>
                <w:sz w:val="20"/>
                <w:szCs w:val="20"/>
              </w:rPr>
              <w:t>.   The ARB letter noted that t</w:t>
            </w:r>
            <w:r w:rsidRPr="00EE7ADB">
              <w:rPr>
                <w:rFonts w:cs="Times New Roman"/>
                <w:color w:val="auto"/>
                <w:sz w:val="20"/>
                <w:szCs w:val="20"/>
              </w:rPr>
              <w:t xml:space="preserve">he Board considered there was sufficient evidence in the material submitted in support of the application, […] to enable it to be confident that all students s who had been awarded the qualifications since the prescription of the qualifications was last renewed had met all the Criteria; that the University has adequate systems in place to ensure that students awarded the qualifications met all the Criteria; and  that the University is in a position to maintain its ability to ensure that all students awarded the qualifications meet all the Criteria </w:t>
            </w:r>
          </w:p>
          <w:p w:rsidR="004C169D" w:rsidRPr="00EE7ADB" w:rsidRDefault="004C169D" w:rsidP="004449C5">
            <w:pPr>
              <w:spacing w:after="0" w:line="240" w:lineRule="auto"/>
              <w:rPr>
                <w:rFonts w:cs="Calibri"/>
                <w:b/>
                <w:sz w:val="20"/>
                <w:szCs w:val="20"/>
              </w:rPr>
            </w:pPr>
          </w:p>
        </w:tc>
        <w:tc>
          <w:tcPr>
            <w:tcW w:w="1050" w:type="dxa"/>
            <w:tcBorders>
              <w:left w:val="nil"/>
            </w:tcBorders>
          </w:tcPr>
          <w:p w:rsidR="004C169D" w:rsidRPr="00EE7ADB" w:rsidRDefault="004C169D" w:rsidP="008A7C39">
            <w:pPr>
              <w:spacing w:after="0" w:line="240" w:lineRule="auto"/>
              <w:rPr>
                <w:rFonts w:cs="Calibri"/>
                <w:sz w:val="16"/>
                <w:szCs w:val="16"/>
              </w:rPr>
            </w:pPr>
          </w:p>
        </w:tc>
      </w:tr>
      <w:tr w:rsidR="004C169D" w:rsidRPr="00EE7ADB" w:rsidTr="00EE7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rsidR="004C169D" w:rsidRPr="00EE7ADB" w:rsidRDefault="004C169D" w:rsidP="002A667D">
            <w:pPr>
              <w:spacing w:after="0" w:line="240" w:lineRule="auto"/>
              <w:rPr>
                <w:rFonts w:cs="Calibri"/>
                <w:sz w:val="20"/>
                <w:szCs w:val="20"/>
              </w:rPr>
            </w:pPr>
            <w:r w:rsidRPr="00EE7ADB">
              <w:rPr>
                <w:rFonts w:cs="Calibri"/>
                <w:sz w:val="20"/>
                <w:szCs w:val="20"/>
              </w:rPr>
              <w:t>LQC/12/7.7</w:t>
            </w:r>
          </w:p>
        </w:tc>
        <w:tc>
          <w:tcPr>
            <w:tcW w:w="7147" w:type="dxa"/>
          </w:tcPr>
          <w:p w:rsidR="004C169D" w:rsidRPr="00EE7ADB" w:rsidRDefault="004C169D" w:rsidP="008C6927">
            <w:pPr>
              <w:rPr>
                <w:rFonts w:cs="Arial"/>
                <w:b/>
                <w:sz w:val="20"/>
                <w:szCs w:val="20"/>
              </w:rPr>
            </w:pPr>
            <w:r w:rsidRPr="00EE7ADB">
              <w:rPr>
                <w:rFonts w:cs="Arial"/>
                <w:b/>
                <w:sz w:val="20"/>
                <w:szCs w:val="20"/>
              </w:rPr>
              <w:t>Items from the DLQ Group</w:t>
            </w:r>
          </w:p>
          <w:p w:rsidR="004C169D" w:rsidRPr="00EE7ADB" w:rsidRDefault="004C169D" w:rsidP="008A7C39">
            <w:pPr>
              <w:spacing w:after="0" w:line="240" w:lineRule="auto"/>
              <w:rPr>
                <w:rFonts w:cs="Arial"/>
                <w:sz w:val="20"/>
                <w:szCs w:val="20"/>
              </w:rPr>
            </w:pPr>
            <w:r w:rsidRPr="00EE7ADB">
              <w:rPr>
                <w:rFonts w:cs="Arial"/>
                <w:sz w:val="20"/>
                <w:szCs w:val="20"/>
              </w:rPr>
              <w:t xml:space="preserve">Feedback on Annual Course Monitoring (CAMR) meeting </w:t>
            </w:r>
          </w:p>
          <w:p w:rsidR="004C169D" w:rsidRPr="00EE7ADB" w:rsidRDefault="004C169D" w:rsidP="008A7C39">
            <w:pPr>
              <w:spacing w:after="0" w:line="240" w:lineRule="auto"/>
              <w:rPr>
                <w:rFonts w:cs="Arial"/>
                <w:sz w:val="20"/>
                <w:szCs w:val="20"/>
              </w:rPr>
            </w:pPr>
          </w:p>
          <w:p w:rsidR="004C169D" w:rsidRPr="00EE7ADB" w:rsidRDefault="004C169D" w:rsidP="008A7C39">
            <w:pPr>
              <w:spacing w:after="0" w:line="240" w:lineRule="auto"/>
              <w:rPr>
                <w:rFonts w:cs="Arial"/>
                <w:sz w:val="20"/>
                <w:szCs w:val="20"/>
              </w:rPr>
            </w:pPr>
            <w:r w:rsidRPr="00EE7ADB">
              <w:rPr>
                <w:rFonts w:cs="Arial"/>
                <w:sz w:val="20"/>
                <w:szCs w:val="20"/>
              </w:rPr>
              <w:t xml:space="preserve">The DLQ group had met and had agreed to try and broaden usage of  the system developed by the </w:t>
            </w:r>
            <w:smartTag w:uri="urn:schemas-microsoft-com:office:smarttags" w:element="PlaceName">
              <w:smartTag w:uri="urn:schemas-microsoft-com:office:smarttags" w:element="PlaceName">
                <w:r w:rsidRPr="00EE7ADB">
                  <w:rPr>
                    <w:rFonts w:cs="Arial"/>
                    <w:sz w:val="20"/>
                    <w:szCs w:val="20"/>
                  </w:rPr>
                  <w:t>School</w:t>
                </w:r>
              </w:smartTag>
              <w:r w:rsidRPr="00EE7ADB">
                <w:rPr>
                  <w:rFonts w:cs="Arial"/>
                  <w:sz w:val="20"/>
                  <w:szCs w:val="20"/>
                </w:rPr>
                <w:t xml:space="preserve"> of </w:t>
              </w:r>
              <w:smartTag w:uri="urn:schemas-microsoft-com:office:smarttags" w:element="PlaceName">
                <w:r w:rsidRPr="00EE7ADB">
                  <w:rPr>
                    <w:rFonts w:cs="Arial"/>
                    <w:sz w:val="20"/>
                    <w:szCs w:val="20"/>
                  </w:rPr>
                  <w:t>Engineering</w:t>
                </w:r>
              </w:smartTag>
            </w:smartTag>
            <w:r w:rsidRPr="00EE7ADB">
              <w:rPr>
                <w:rFonts w:cs="Arial"/>
                <w:sz w:val="20"/>
                <w:szCs w:val="20"/>
              </w:rPr>
              <w:t xml:space="preserve"> for annual course monitoring through discussion with Information and Library Services.  ILS have supported the idea but require a formal proposal.  The group noted that any systems development needs to take into account the following key points:</w:t>
            </w:r>
          </w:p>
          <w:p w:rsidR="004C169D" w:rsidRPr="00EE7ADB" w:rsidRDefault="004C169D" w:rsidP="008A7C39">
            <w:pPr>
              <w:spacing w:after="0" w:line="240" w:lineRule="auto"/>
              <w:rPr>
                <w:rFonts w:cs="Arial"/>
                <w:sz w:val="20"/>
                <w:szCs w:val="20"/>
              </w:rPr>
            </w:pPr>
          </w:p>
          <w:p w:rsidR="004C169D" w:rsidRPr="00EE7ADB" w:rsidRDefault="004C169D" w:rsidP="00F7540D">
            <w:pPr>
              <w:numPr>
                <w:ilvl w:val="0"/>
                <w:numId w:val="35"/>
              </w:numPr>
              <w:spacing w:after="0" w:line="240" w:lineRule="auto"/>
              <w:rPr>
                <w:rFonts w:cs="Arial"/>
                <w:sz w:val="20"/>
                <w:szCs w:val="20"/>
              </w:rPr>
            </w:pPr>
            <w:r w:rsidRPr="00EE7ADB">
              <w:rPr>
                <w:rFonts w:cs="Arial"/>
                <w:sz w:val="20"/>
                <w:szCs w:val="20"/>
              </w:rPr>
              <w:t>The need to feed appropriate data direct into a monitoring template</w:t>
            </w:r>
          </w:p>
          <w:p w:rsidR="004C169D" w:rsidRPr="00EE7ADB" w:rsidRDefault="004C169D" w:rsidP="00F7540D">
            <w:pPr>
              <w:numPr>
                <w:ilvl w:val="0"/>
                <w:numId w:val="35"/>
              </w:numPr>
              <w:spacing w:after="0" w:line="240" w:lineRule="auto"/>
              <w:rPr>
                <w:rFonts w:cs="Arial"/>
                <w:sz w:val="20"/>
                <w:szCs w:val="20"/>
              </w:rPr>
            </w:pPr>
            <w:r w:rsidRPr="00EE7ADB">
              <w:rPr>
                <w:rFonts w:cs="Arial"/>
                <w:sz w:val="20"/>
                <w:szCs w:val="20"/>
              </w:rPr>
              <w:t>Ensuring availability of reports for external examiners when they visit the University at the end of session</w:t>
            </w:r>
          </w:p>
          <w:p w:rsidR="004C169D" w:rsidRPr="00EE7ADB" w:rsidRDefault="004C169D" w:rsidP="00F7540D">
            <w:pPr>
              <w:numPr>
                <w:ilvl w:val="0"/>
                <w:numId w:val="35"/>
              </w:numPr>
              <w:spacing w:after="0" w:line="240" w:lineRule="auto"/>
              <w:rPr>
                <w:rFonts w:cs="Arial"/>
                <w:sz w:val="20"/>
                <w:szCs w:val="20"/>
              </w:rPr>
            </w:pPr>
            <w:r w:rsidRPr="00EE7ADB">
              <w:rPr>
                <w:rFonts w:cs="Arial"/>
                <w:sz w:val="20"/>
                <w:szCs w:val="20"/>
              </w:rPr>
              <w:t>The role of course monitoring in relationship to the Subject Assessment Panel deliberations</w:t>
            </w:r>
          </w:p>
          <w:p w:rsidR="004C169D" w:rsidRPr="00EE7ADB" w:rsidRDefault="004C169D" w:rsidP="00F7540D">
            <w:pPr>
              <w:numPr>
                <w:ilvl w:val="0"/>
                <w:numId w:val="35"/>
              </w:numPr>
              <w:spacing w:after="0" w:line="240" w:lineRule="auto"/>
              <w:rPr>
                <w:rFonts w:cs="Arial"/>
                <w:sz w:val="20"/>
                <w:szCs w:val="20"/>
              </w:rPr>
            </w:pPr>
            <w:r w:rsidRPr="00EE7ADB">
              <w:rPr>
                <w:rFonts w:cs="Arial"/>
                <w:sz w:val="20"/>
                <w:szCs w:val="20"/>
              </w:rPr>
              <w:t>Incorporation of student feedback into the monitoring process and production of the CAMR (in particular linkage to Moodle where this is being used for feedback purposes)</w:t>
            </w:r>
          </w:p>
          <w:p w:rsidR="004C169D" w:rsidRPr="00EE7ADB" w:rsidRDefault="004C169D" w:rsidP="00F7540D">
            <w:pPr>
              <w:numPr>
                <w:ilvl w:val="0"/>
                <w:numId w:val="35"/>
              </w:numPr>
              <w:spacing w:after="0" w:line="240" w:lineRule="auto"/>
              <w:rPr>
                <w:rFonts w:cs="Arial"/>
                <w:sz w:val="20"/>
                <w:szCs w:val="20"/>
              </w:rPr>
            </w:pPr>
            <w:r w:rsidRPr="00EE7ADB">
              <w:rPr>
                <w:rFonts w:cs="Arial"/>
                <w:sz w:val="20"/>
                <w:szCs w:val="20"/>
              </w:rPr>
              <w:t>Monitoring scheduling: - all courses annually or selected?</w:t>
            </w:r>
          </w:p>
          <w:p w:rsidR="004C169D" w:rsidRPr="00EE7ADB" w:rsidRDefault="004C169D" w:rsidP="008A7C39">
            <w:pPr>
              <w:spacing w:after="0" w:line="240" w:lineRule="auto"/>
              <w:rPr>
                <w:rFonts w:cs="Calibri"/>
                <w:sz w:val="20"/>
                <w:szCs w:val="20"/>
              </w:rPr>
            </w:pPr>
          </w:p>
        </w:tc>
        <w:tc>
          <w:tcPr>
            <w:tcW w:w="1050" w:type="dxa"/>
            <w:tcBorders>
              <w:left w:val="nil"/>
            </w:tcBorders>
          </w:tcPr>
          <w:p w:rsidR="004C169D" w:rsidRPr="00EE7ADB" w:rsidRDefault="004C169D" w:rsidP="008A7C39">
            <w:pPr>
              <w:spacing w:after="0" w:line="240" w:lineRule="auto"/>
              <w:rPr>
                <w:rFonts w:cs="Calibri"/>
                <w:sz w:val="16"/>
                <w:szCs w:val="16"/>
              </w:rPr>
            </w:pPr>
          </w:p>
        </w:tc>
      </w:tr>
      <w:tr w:rsidR="004C169D" w:rsidRPr="00EE7ADB" w:rsidTr="00EE7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rsidR="004C169D" w:rsidRPr="00EE7ADB" w:rsidRDefault="004C169D" w:rsidP="002A667D">
            <w:pPr>
              <w:spacing w:after="0" w:line="240" w:lineRule="auto"/>
              <w:rPr>
                <w:rFonts w:cs="Calibri"/>
                <w:sz w:val="20"/>
                <w:szCs w:val="20"/>
              </w:rPr>
            </w:pPr>
            <w:r w:rsidRPr="00EE7ADB">
              <w:rPr>
                <w:rFonts w:cs="Calibri"/>
                <w:sz w:val="20"/>
                <w:szCs w:val="20"/>
              </w:rPr>
              <w:t>LQC/12/7.8</w:t>
            </w:r>
          </w:p>
        </w:tc>
        <w:tc>
          <w:tcPr>
            <w:tcW w:w="7147" w:type="dxa"/>
          </w:tcPr>
          <w:p w:rsidR="004C169D" w:rsidRPr="00EE7ADB" w:rsidRDefault="004C169D" w:rsidP="00803E73">
            <w:pPr>
              <w:spacing w:after="0" w:line="240" w:lineRule="auto"/>
              <w:rPr>
                <w:rFonts w:cs="Calibri"/>
                <w:b/>
                <w:sz w:val="20"/>
                <w:szCs w:val="20"/>
              </w:rPr>
            </w:pPr>
            <w:r w:rsidRPr="00EE7ADB">
              <w:rPr>
                <w:rFonts w:cs="Calibri"/>
                <w:b/>
                <w:sz w:val="20"/>
                <w:szCs w:val="20"/>
              </w:rPr>
              <w:t>Items for Information</w:t>
            </w:r>
          </w:p>
          <w:p w:rsidR="004C169D" w:rsidRPr="00EE7ADB" w:rsidRDefault="004C169D" w:rsidP="00803E73">
            <w:pPr>
              <w:spacing w:after="0" w:line="240" w:lineRule="auto"/>
              <w:rPr>
                <w:rFonts w:cs="Calibri"/>
                <w:b/>
                <w:sz w:val="20"/>
                <w:szCs w:val="20"/>
              </w:rPr>
            </w:pPr>
          </w:p>
        </w:tc>
        <w:tc>
          <w:tcPr>
            <w:tcW w:w="1050" w:type="dxa"/>
            <w:tcBorders>
              <w:left w:val="nil"/>
            </w:tcBorders>
          </w:tcPr>
          <w:p w:rsidR="004C169D" w:rsidRPr="00EE7ADB" w:rsidRDefault="004C169D" w:rsidP="008A7C39">
            <w:pPr>
              <w:spacing w:after="0" w:line="240" w:lineRule="auto"/>
              <w:rPr>
                <w:rFonts w:cs="Calibri"/>
                <w:sz w:val="20"/>
                <w:szCs w:val="20"/>
              </w:rPr>
            </w:pPr>
          </w:p>
        </w:tc>
      </w:tr>
      <w:tr w:rsidR="004C169D" w:rsidRPr="00EE7ADB" w:rsidTr="00EE7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rsidR="004C169D" w:rsidRPr="00EE7ADB" w:rsidRDefault="004C169D" w:rsidP="002A667D">
            <w:pPr>
              <w:spacing w:after="0" w:line="240" w:lineRule="auto"/>
              <w:rPr>
                <w:rFonts w:cs="Calibri"/>
                <w:sz w:val="20"/>
                <w:szCs w:val="20"/>
              </w:rPr>
            </w:pPr>
          </w:p>
        </w:tc>
        <w:tc>
          <w:tcPr>
            <w:tcW w:w="7147" w:type="dxa"/>
          </w:tcPr>
          <w:p w:rsidR="004C169D" w:rsidRPr="00EE7ADB" w:rsidRDefault="004C169D" w:rsidP="00803E73">
            <w:pPr>
              <w:spacing w:after="0" w:line="240" w:lineRule="auto"/>
              <w:rPr>
                <w:rFonts w:cs="Calibri"/>
                <w:sz w:val="20"/>
                <w:szCs w:val="20"/>
              </w:rPr>
            </w:pPr>
            <w:r w:rsidRPr="00EE7ADB">
              <w:rPr>
                <w:rFonts w:cs="Calibri"/>
                <w:sz w:val="20"/>
                <w:szCs w:val="20"/>
              </w:rPr>
              <w:t>No further items were presented</w:t>
            </w:r>
          </w:p>
          <w:p w:rsidR="004C169D" w:rsidRPr="00EE7ADB" w:rsidRDefault="004C169D" w:rsidP="00803E73">
            <w:pPr>
              <w:spacing w:after="0" w:line="240" w:lineRule="auto"/>
              <w:rPr>
                <w:rFonts w:cs="Calibri"/>
                <w:b/>
                <w:sz w:val="20"/>
                <w:szCs w:val="20"/>
              </w:rPr>
            </w:pPr>
          </w:p>
        </w:tc>
        <w:tc>
          <w:tcPr>
            <w:tcW w:w="1050" w:type="dxa"/>
            <w:tcBorders>
              <w:left w:val="nil"/>
            </w:tcBorders>
          </w:tcPr>
          <w:p w:rsidR="004C169D" w:rsidRPr="00EE7ADB" w:rsidRDefault="004C169D" w:rsidP="008A7C39">
            <w:pPr>
              <w:spacing w:after="0" w:line="240" w:lineRule="auto"/>
              <w:rPr>
                <w:rFonts w:cs="Calibri"/>
                <w:sz w:val="20"/>
                <w:szCs w:val="20"/>
              </w:rPr>
            </w:pPr>
          </w:p>
        </w:tc>
      </w:tr>
      <w:tr w:rsidR="004C169D" w:rsidRPr="00EE7ADB" w:rsidTr="00EE7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rsidR="004C169D" w:rsidRPr="00EE7ADB" w:rsidRDefault="004C169D" w:rsidP="008A7C39">
            <w:pPr>
              <w:spacing w:after="0" w:line="240" w:lineRule="auto"/>
              <w:rPr>
                <w:rFonts w:cs="Calibri"/>
                <w:sz w:val="20"/>
                <w:szCs w:val="20"/>
              </w:rPr>
            </w:pPr>
            <w:r w:rsidRPr="00EE7ADB">
              <w:rPr>
                <w:rFonts w:cs="Calibri"/>
                <w:sz w:val="20"/>
                <w:szCs w:val="20"/>
              </w:rPr>
              <w:t>AOB</w:t>
            </w:r>
          </w:p>
        </w:tc>
        <w:tc>
          <w:tcPr>
            <w:tcW w:w="7147" w:type="dxa"/>
          </w:tcPr>
          <w:p w:rsidR="004C169D" w:rsidRPr="00EE7ADB" w:rsidRDefault="004C169D" w:rsidP="008A7C39">
            <w:pPr>
              <w:spacing w:after="0" w:line="240" w:lineRule="auto"/>
              <w:rPr>
                <w:rFonts w:cs="Calibri"/>
                <w:sz w:val="20"/>
                <w:szCs w:val="20"/>
              </w:rPr>
            </w:pPr>
            <w:r w:rsidRPr="00EE7ADB">
              <w:rPr>
                <w:rFonts w:cs="Calibri"/>
                <w:sz w:val="20"/>
                <w:szCs w:val="20"/>
              </w:rPr>
              <w:t>The Chair noted that , in respect of the Personal Tutoring Policy a small working group will be meeting to consider the Balanced Academic Workload and points available for personal tutoring.   The group will look at tariffs, with particular reference to research and scholarly activity differentials across the University.</w:t>
            </w:r>
          </w:p>
        </w:tc>
        <w:tc>
          <w:tcPr>
            <w:tcW w:w="1050" w:type="dxa"/>
            <w:tcBorders>
              <w:left w:val="nil"/>
            </w:tcBorders>
          </w:tcPr>
          <w:p w:rsidR="004C169D" w:rsidRPr="00EE7ADB" w:rsidRDefault="004C169D" w:rsidP="008A7C39">
            <w:pPr>
              <w:spacing w:after="0" w:line="240" w:lineRule="auto"/>
              <w:rPr>
                <w:rFonts w:cs="Calibri"/>
                <w:sz w:val="20"/>
                <w:szCs w:val="20"/>
              </w:rPr>
            </w:pPr>
          </w:p>
        </w:tc>
      </w:tr>
    </w:tbl>
    <w:p w:rsidR="004C169D" w:rsidRPr="00EE7ADB" w:rsidRDefault="004C169D" w:rsidP="008A7C39">
      <w:pPr>
        <w:spacing w:after="0" w:line="240" w:lineRule="auto"/>
        <w:rPr>
          <w:sz w:val="20"/>
          <w:szCs w:val="20"/>
        </w:rPr>
      </w:pPr>
    </w:p>
    <w:p w:rsidR="004C169D" w:rsidRPr="00EE7ADB" w:rsidRDefault="004C169D" w:rsidP="008A7C39">
      <w:pPr>
        <w:spacing w:after="0" w:line="240" w:lineRule="auto"/>
        <w:ind w:left="180"/>
        <w:rPr>
          <w:rFonts w:cs="Calibri"/>
          <w:sz w:val="20"/>
          <w:szCs w:val="20"/>
        </w:rPr>
      </w:pPr>
    </w:p>
    <w:p w:rsidR="004C169D" w:rsidRPr="00EE7ADB" w:rsidRDefault="004C169D" w:rsidP="008A7C39">
      <w:pPr>
        <w:spacing w:after="0" w:line="240" w:lineRule="auto"/>
        <w:rPr>
          <w:rFonts w:cs="Calibri"/>
          <w:i/>
          <w:sz w:val="20"/>
          <w:szCs w:val="20"/>
        </w:rPr>
      </w:pPr>
    </w:p>
    <w:p w:rsidR="004C169D" w:rsidRPr="00EE7ADB" w:rsidRDefault="004C169D" w:rsidP="008A7C39">
      <w:pPr>
        <w:spacing w:after="0" w:line="240" w:lineRule="auto"/>
        <w:rPr>
          <w:sz w:val="20"/>
          <w:szCs w:val="20"/>
        </w:rPr>
      </w:pPr>
      <w:r w:rsidRPr="00EE7ADB">
        <w:rPr>
          <w:rFonts w:cs="Calibri"/>
          <w:i/>
          <w:sz w:val="20"/>
          <w:szCs w:val="20"/>
        </w:rPr>
        <w:t>Officer:  Stephen Naylor</w:t>
      </w:r>
      <w:r w:rsidRPr="00EE7ADB">
        <w:rPr>
          <w:rFonts w:cs="Calibri"/>
          <w:i/>
          <w:sz w:val="20"/>
          <w:szCs w:val="20"/>
        </w:rPr>
        <w:tab/>
      </w:r>
      <w:r w:rsidRPr="00EE7ADB">
        <w:rPr>
          <w:rFonts w:cs="Calibri"/>
          <w:i/>
          <w:sz w:val="20"/>
          <w:szCs w:val="20"/>
        </w:rPr>
        <w:br/>
        <w:t xml:space="preserve">Tel: </w:t>
      </w:r>
      <w:r w:rsidRPr="00EE7ADB">
        <w:rPr>
          <w:rFonts w:cs="Calibri"/>
          <w:i/>
          <w:sz w:val="20"/>
          <w:szCs w:val="20"/>
        </w:rPr>
        <w:tab/>
        <w:t>8159</w:t>
      </w:r>
      <w:r w:rsidRPr="00EE7ADB">
        <w:rPr>
          <w:rFonts w:cs="Calibri"/>
          <w:i/>
          <w:sz w:val="20"/>
          <w:szCs w:val="20"/>
        </w:rPr>
        <w:br/>
        <w:t xml:space="preserve">Email: </w:t>
      </w:r>
      <w:hyperlink r:id="rId9" w:history="1">
        <w:r w:rsidRPr="00EE7ADB">
          <w:rPr>
            <w:rStyle w:val="Hyperlink"/>
            <w:rFonts w:cs="Calibri"/>
            <w:i/>
            <w:color w:val="auto"/>
            <w:sz w:val="20"/>
            <w:szCs w:val="20"/>
          </w:rPr>
          <w:t>ns01@gre.ac.uk</w:t>
        </w:r>
      </w:hyperlink>
      <w:r w:rsidRPr="00EE7ADB">
        <w:rPr>
          <w:sz w:val="20"/>
          <w:szCs w:val="20"/>
        </w:rPr>
        <w:t xml:space="preserve"> </w:t>
      </w:r>
    </w:p>
    <w:sectPr w:rsidR="004C169D" w:rsidRPr="00EE7ADB" w:rsidSect="001957F0">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69D" w:rsidRDefault="004C169D" w:rsidP="00540A44">
      <w:pPr>
        <w:spacing w:after="0" w:line="240" w:lineRule="auto"/>
      </w:pPr>
      <w:r>
        <w:separator/>
      </w:r>
    </w:p>
  </w:endnote>
  <w:endnote w:type="continuationSeparator" w:id="0">
    <w:p w:rsidR="004C169D" w:rsidRDefault="004C169D" w:rsidP="0054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9D" w:rsidRDefault="004C16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9D" w:rsidRPr="00994B7E" w:rsidRDefault="004C169D" w:rsidP="00994B7E">
    <w:pPr>
      <w:pStyle w:val="Footer"/>
      <w:pBdr>
        <w:top w:val="thinThickSmallGap" w:sz="24" w:space="1" w:color="622423"/>
      </w:pBdr>
      <w:tabs>
        <w:tab w:val="clear" w:pos="4513"/>
        <w:tab w:val="clear" w:pos="9026"/>
        <w:tab w:val="right" w:pos="9638"/>
      </w:tabs>
      <w:rPr>
        <w:rFonts w:ascii="Cambria" w:hAnsi="Cambria"/>
      </w:rPr>
    </w:pPr>
    <w:r>
      <w:rPr>
        <w:rFonts w:ascii="Cambria" w:hAnsi="Cambria"/>
      </w:rPr>
      <w:t>Learning and Quality Committee 12-M7 May 2013</w:t>
    </w:r>
    <w:r w:rsidRPr="00994B7E">
      <w:rPr>
        <w:rFonts w:ascii="Cambria" w:hAnsi="Cambria"/>
      </w:rPr>
      <w:tab/>
      <w:t xml:space="preserve">Page </w:t>
    </w:r>
    <w:r w:rsidR="00F43A1B">
      <w:fldChar w:fldCharType="begin"/>
    </w:r>
    <w:r w:rsidR="00F43A1B">
      <w:instrText xml:space="preserve"> PAGE   \* MERGEFORMAT </w:instrText>
    </w:r>
    <w:r w:rsidR="00F43A1B">
      <w:fldChar w:fldCharType="separate"/>
    </w:r>
    <w:r w:rsidR="00F43A1B" w:rsidRPr="00F43A1B">
      <w:rPr>
        <w:rFonts w:ascii="Cambria" w:hAnsi="Cambria"/>
        <w:noProof/>
      </w:rPr>
      <w:t>1</w:t>
    </w:r>
    <w:r w:rsidR="00F43A1B">
      <w:rPr>
        <w:rFonts w:ascii="Cambria" w:hAnsi="Cambria"/>
        <w:noProof/>
      </w:rPr>
      <w:fldChar w:fldCharType="end"/>
    </w:r>
  </w:p>
  <w:p w:rsidR="004C169D" w:rsidRDefault="004C16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9D" w:rsidRDefault="004C1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69D" w:rsidRDefault="004C169D" w:rsidP="00540A44">
      <w:pPr>
        <w:spacing w:after="0" w:line="240" w:lineRule="auto"/>
      </w:pPr>
      <w:r>
        <w:separator/>
      </w:r>
    </w:p>
  </w:footnote>
  <w:footnote w:type="continuationSeparator" w:id="0">
    <w:p w:rsidR="004C169D" w:rsidRDefault="004C169D" w:rsidP="00540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9D" w:rsidRDefault="004C16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9D" w:rsidRDefault="00F43A1B">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68830" o:spid="_x0000_s2049" type="#_x0000_t136" style="position:absolute;margin-left:0;margin-top:0;width:543.5pt;height:135.85pt;rotation:315;z-index:-251658752;mso-position-horizontal:center;mso-position-horizontal-relative:margin;mso-position-vertical:center;mso-position-vertical-relative:margin" o:allowincell="f" fillcolor="silver" stroked="f">
          <v:fill opacity=".5"/>
          <v:textpath style="font-family:&quot;Calibri&quot;;font-size:1pt" string="Officer's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69D" w:rsidRDefault="004C1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20F45C"/>
    <w:lvl w:ilvl="0">
      <w:start w:val="1"/>
      <w:numFmt w:val="bullet"/>
      <w:lvlText w:val=""/>
      <w:lvlJc w:val="left"/>
      <w:pPr>
        <w:tabs>
          <w:tab w:val="num" w:pos="360"/>
        </w:tabs>
        <w:ind w:left="360" w:hanging="360"/>
      </w:pPr>
      <w:rPr>
        <w:rFonts w:ascii="Symbol" w:hAnsi="Symbol" w:hint="default"/>
      </w:rPr>
    </w:lvl>
  </w:abstractNum>
  <w:abstractNum w:abstractNumId="1">
    <w:nsid w:val="03FE5C43"/>
    <w:multiLevelType w:val="hybridMultilevel"/>
    <w:tmpl w:val="813C67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3F3864"/>
    <w:multiLevelType w:val="hybridMultilevel"/>
    <w:tmpl w:val="4072CDFA"/>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0B637A8C"/>
    <w:multiLevelType w:val="hybridMultilevel"/>
    <w:tmpl w:val="D22218EA"/>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2B84A86"/>
    <w:multiLevelType w:val="hybridMultilevel"/>
    <w:tmpl w:val="6AF25A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26B1935"/>
    <w:multiLevelType w:val="hybridMultilevel"/>
    <w:tmpl w:val="959E537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31263A9D"/>
    <w:multiLevelType w:val="hybridMultilevel"/>
    <w:tmpl w:val="A574CF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7E2251F"/>
    <w:multiLevelType w:val="multilevel"/>
    <w:tmpl w:val="45E4CC58"/>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8FB238E"/>
    <w:multiLevelType w:val="hybridMultilevel"/>
    <w:tmpl w:val="52D4F574"/>
    <w:lvl w:ilvl="0" w:tplc="13D4F4C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B62627A"/>
    <w:multiLevelType w:val="multilevel"/>
    <w:tmpl w:val="E660AF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DCB48FB"/>
    <w:multiLevelType w:val="hybridMultilevel"/>
    <w:tmpl w:val="FC72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0C7C3C"/>
    <w:multiLevelType w:val="hybridMultilevel"/>
    <w:tmpl w:val="D43A3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238315B"/>
    <w:multiLevelType w:val="multilevel"/>
    <w:tmpl w:val="A17EE87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45F3851"/>
    <w:multiLevelType w:val="hybridMultilevel"/>
    <w:tmpl w:val="76B69EA8"/>
    <w:lvl w:ilvl="0" w:tplc="042ECD60">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4AF732BE"/>
    <w:multiLevelType w:val="hybridMultilevel"/>
    <w:tmpl w:val="A994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CB60E9"/>
    <w:multiLevelType w:val="hybridMultilevel"/>
    <w:tmpl w:val="4600D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D236AC"/>
    <w:multiLevelType w:val="hybridMultilevel"/>
    <w:tmpl w:val="79CAA18A"/>
    <w:lvl w:ilvl="0" w:tplc="08090019">
      <w:start w:val="1"/>
      <w:numFmt w:val="lowerLetter"/>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B9952A8"/>
    <w:multiLevelType w:val="hybridMultilevel"/>
    <w:tmpl w:val="A14C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9869DC"/>
    <w:multiLevelType w:val="hybridMultilevel"/>
    <w:tmpl w:val="A17EE870"/>
    <w:lvl w:ilvl="0" w:tplc="FEFC9F44">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60B24654"/>
    <w:multiLevelType w:val="hybridMultilevel"/>
    <w:tmpl w:val="8BE683C6"/>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63AE55E3"/>
    <w:multiLevelType w:val="hybridMultilevel"/>
    <w:tmpl w:val="6434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C246FD"/>
    <w:multiLevelType w:val="hybridMultilevel"/>
    <w:tmpl w:val="5630DDAA"/>
    <w:lvl w:ilvl="0" w:tplc="08090019">
      <w:start w:val="1"/>
      <w:numFmt w:val="lowerLetter"/>
      <w:pStyle w:val="ListBullet"/>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6671496F"/>
    <w:multiLevelType w:val="hybridMultilevel"/>
    <w:tmpl w:val="BAC0CB76"/>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6D133EB0"/>
    <w:multiLevelType w:val="hybridMultilevel"/>
    <w:tmpl w:val="72E8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7F564D"/>
    <w:multiLevelType w:val="hybridMultilevel"/>
    <w:tmpl w:val="3072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47E6214"/>
    <w:multiLevelType w:val="hybridMultilevel"/>
    <w:tmpl w:val="500414AE"/>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7E596BD6"/>
    <w:multiLevelType w:val="hybridMultilevel"/>
    <w:tmpl w:val="6908F6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6"/>
  </w:num>
  <w:num w:numId="10">
    <w:abstractNumId w:val="26"/>
  </w:num>
  <w:num w:numId="11">
    <w:abstractNumId w:val="4"/>
  </w:num>
  <w:num w:numId="12">
    <w:abstractNumId w:val="16"/>
  </w:num>
  <w:num w:numId="13">
    <w:abstractNumId w:val="7"/>
  </w:num>
  <w:num w:numId="14">
    <w:abstractNumId w:val="13"/>
  </w:num>
  <w:num w:numId="15">
    <w:abstractNumId w:val="24"/>
  </w:num>
  <w:num w:numId="16">
    <w:abstractNumId w:val="10"/>
  </w:num>
  <w:num w:numId="17">
    <w:abstractNumId w:val="15"/>
  </w:num>
  <w:num w:numId="18">
    <w:abstractNumId w:val="20"/>
  </w:num>
  <w:num w:numId="19">
    <w:abstractNumId w:val="17"/>
  </w:num>
  <w:num w:numId="20">
    <w:abstractNumId w:val="3"/>
  </w:num>
  <w:num w:numId="21">
    <w:abstractNumId w:val="8"/>
  </w:num>
  <w:num w:numId="22">
    <w:abstractNumId w:val="22"/>
  </w:num>
  <w:num w:numId="23">
    <w:abstractNumId w:val="18"/>
  </w:num>
  <w:num w:numId="24">
    <w:abstractNumId w:val="12"/>
  </w:num>
  <w:num w:numId="25">
    <w:abstractNumId w:val="25"/>
  </w:num>
  <w:num w:numId="26">
    <w:abstractNumId w:val="9"/>
  </w:num>
  <w:num w:numId="27">
    <w:abstractNumId w:val="19"/>
  </w:num>
  <w:num w:numId="28">
    <w:abstractNumId w:val="21"/>
  </w:num>
  <w:num w:numId="29">
    <w:abstractNumId w:val="0"/>
  </w:num>
  <w:num w:numId="30">
    <w:abstractNumId w:val="23"/>
  </w:num>
  <w:num w:numId="31">
    <w:abstractNumId w:val="1"/>
  </w:num>
  <w:num w:numId="32">
    <w:abstractNumId w:val="5"/>
  </w:num>
  <w:num w:numId="33">
    <w:abstractNumId w:val="14"/>
  </w:num>
  <w:num w:numId="34">
    <w:abstractNumId w:val="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6CA58CBF-D4C4-4833-A822-76F44B98001F}"/>
    <w:docVar w:name="dgnword-eventsink" w:val="71084928"/>
  </w:docVars>
  <w:rsids>
    <w:rsidRoot w:val="0081051E"/>
    <w:rsid w:val="00004160"/>
    <w:rsid w:val="00004524"/>
    <w:rsid w:val="00006E11"/>
    <w:rsid w:val="00010BA2"/>
    <w:rsid w:val="00013D77"/>
    <w:rsid w:val="0001414D"/>
    <w:rsid w:val="00021F23"/>
    <w:rsid w:val="00023B6B"/>
    <w:rsid w:val="000318E5"/>
    <w:rsid w:val="0003337C"/>
    <w:rsid w:val="0003785C"/>
    <w:rsid w:val="000442AA"/>
    <w:rsid w:val="00046186"/>
    <w:rsid w:val="00056E44"/>
    <w:rsid w:val="00061F6B"/>
    <w:rsid w:val="00062568"/>
    <w:rsid w:val="000676AC"/>
    <w:rsid w:val="000744E8"/>
    <w:rsid w:val="000A12DE"/>
    <w:rsid w:val="000A7C22"/>
    <w:rsid w:val="000B4563"/>
    <w:rsid w:val="000B5FC6"/>
    <w:rsid w:val="000C3AD6"/>
    <w:rsid w:val="000C596B"/>
    <w:rsid w:val="000C5D27"/>
    <w:rsid w:val="000E031C"/>
    <w:rsid w:val="000E1917"/>
    <w:rsid w:val="000E2630"/>
    <w:rsid w:val="000F002F"/>
    <w:rsid w:val="000F0D68"/>
    <w:rsid w:val="000F44A6"/>
    <w:rsid w:val="00101322"/>
    <w:rsid w:val="0010227D"/>
    <w:rsid w:val="001022EC"/>
    <w:rsid w:val="001078EA"/>
    <w:rsid w:val="00110C4C"/>
    <w:rsid w:val="00121533"/>
    <w:rsid w:val="001239F9"/>
    <w:rsid w:val="00131617"/>
    <w:rsid w:val="00156078"/>
    <w:rsid w:val="00161A1D"/>
    <w:rsid w:val="00162FF2"/>
    <w:rsid w:val="00173EC5"/>
    <w:rsid w:val="001772AD"/>
    <w:rsid w:val="001837F8"/>
    <w:rsid w:val="001949E2"/>
    <w:rsid w:val="001957F0"/>
    <w:rsid w:val="001A2DAF"/>
    <w:rsid w:val="001A4779"/>
    <w:rsid w:val="001A640E"/>
    <w:rsid w:val="001A649F"/>
    <w:rsid w:val="001B0155"/>
    <w:rsid w:val="001B0AA5"/>
    <w:rsid w:val="001C60C2"/>
    <w:rsid w:val="001D5EA5"/>
    <w:rsid w:val="001E31E9"/>
    <w:rsid w:val="001F2340"/>
    <w:rsid w:val="002005D5"/>
    <w:rsid w:val="0020483F"/>
    <w:rsid w:val="0021244B"/>
    <w:rsid w:val="0021513C"/>
    <w:rsid w:val="00215303"/>
    <w:rsid w:val="00223A23"/>
    <w:rsid w:val="00224D1E"/>
    <w:rsid w:val="00234DCF"/>
    <w:rsid w:val="002369A4"/>
    <w:rsid w:val="00236ECC"/>
    <w:rsid w:val="00241917"/>
    <w:rsid w:val="0024192E"/>
    <w:rsid w:val="002458CA"/>
    <w:rsid w:val="00252771"/>
    <w:rsid w:val="002539AD"/>
    <w:rsid w:val="002616E2"/>
    <w:rsid w:val="00275E86"/>
    <w:rsid w:val="00277E32"/>
    <w:rsid w:val="002813C7"/>
    <w:rsid w:val="002936E0"/>
    <w:rsid w:val="002A15F0"/>
    <w:rsid w:val="002A1F55"/>
    <w:rsid w:val="002A22EA"/>
    <w:rsid w:val="002A667D"/>
    <w:rsid w:val="002B3C80"/>
    <w:rsid w:val="002B4351"/>
    <w:rsid w:val="002B7609"/>
    <w:rsid w:val="002C1B37"/>
    <w:rsid w:val="002C1DA2"/>
    <w:rsid w:val="002C720F"/>
    <w:rsid w:val="002D1A61"/>
    <w:rsid w:val="002D2EEC"/>
    <w:rsid w:val="002D31F8"/>
    <w:rsid w:val="002D4BC8"/>
    <w:rsid w:val="002F32BE"/>
    <w:rsid w:val="002F398B"/>
    <w:rsid w:val="002F4E40"/>
    <w:rsid w:val="002F5257"/>
    <w:rsid w:val="002F57EE"/>
    <w:rsid w:val="003005CD"/>
    <w:rsid w:val="003039DD"/>
    <w:rsid w:val="00315AA9"/>
    <w:rsid w:val="00316A92"/>
    <w:rsid w:val="00317245"/>
    <w:rsid w:val="003201F5"/>
    <w:rsid w:val="0032340E"/>
    <w:rsid w:val="003248BD"/>
    <w:rsid w:val="00327F42"/>
    <w:rsid w:val="00332579"/>
    <w:rsid w:val="0033391E"/>
    <w:rsid w:val="00354872"/>
    <w:rsid w:val="003565B2"/>
    <w:rsid w:val="00360960"/>
    <w:rsid w:val="00373A15"/>
    <w:rsid w:val="0037615B"/>
    <w:rsid w:val="00376399"/>
    <w:rsid w:val="00385E81"/>
    <w:rsid w:val="00394121"/>
    <w:rsid w:val="00394BCE"/>
    <w:rsid w:val="003A56B9"/>
    <w:rsid w:val="003B2EA4"/>
    <w:rsid w:val="003B5BBD"/>
    <w:rsid w:val="003C637C"/>
    <w:rsid w:val="003D47C3"/>
    <w:rsid w:val="003D5841"/>
    <w:rsid w:val="003D738F"/>
    <w:rsid w:val="00410DB5"/>
    <w:rsid w:val="00424A89"/>
    <w:rsid w:val="00430B4F"/>
    <w:rsid w:val="00437FEF"/>
    <w:rsid w:val="00440859"/>
    <w:rsid w:val="00441349"/>
    <w:rsid w:val="004449C5"/>
    <w:rsid w:val="0044568B"/>
    <w:rsid w:val="00446D78"/>
    <w:rsid w:val="00450A49"/>
    <w:rsid w:val="00454D5E"/>
    <w:rsid w:val="00461DFF"/>
    <w:rsid w:val="004704BE"/>
    <w:rsid w:val="00470FC1"/>
    <w:rsid w:val="00473191"/>
    <w:rsid w:val="00483488"/>
    <w:rsid w:val="004953C1"/>
    <w:rsid w:val="004A5E98"/>
    <w:rsid w:val="004B2BC3"/>
    <w:rsid w:val="004B4E82"/>
    <w:rsid w:val="004C0421"/>
    <w:rsid w:val="004C169D"/>
    <w:rsid w:val="004C1CA5"/>
    <w:rsid w:val="004C529C"/>
    <w:rsid w:val="004C7F0B"/>
    <w:rsid w:val="004E2C45"/>
    <w:rsid w:val="004E5F80"/>
    <w:rsid w:val="004F2CA3"/>
    <w:rsid w:val="00503D4F"/>
    <w:rsid w:val="00506E5B"/>
    <w:rsid w:val="00510DBC"/>
    <w:rsid w:val="005116F9"/>
    <w:rsid w:val="00522B4B"/>
    <w:rsid w:val="005237FD"/>
    <w:rsid w:val="00540A44"/>
    <w:rsid w:val="00543100"/>
    <w:rsid w:val="00544BC9"/>
    <w:rsid w:val="00562631"/>
    <w:rsid w:val="00571666"/>
    <w:rsid w:val="005728CF"/>
    <w:rsid w:val="005804A7"/>
    <w:rsid w:val="00582485"/>
    <w:rsid w:val="0058501B"/>
    <w:rsid w:val="00585310"/>
    <w:rsid w:val="00586A11"/>
    <w:rsid w:val="00586CA2"/>
    <w:rsid w:val="00596C75"/>
    <w:rsid w:val="005A5D83"/>
    <w:rsid w:val="005B2025"/>
    <w:rsid w:val="005B5BDB"/>
    <w:rsid w:val="005C2100"/>
    <w:rsid w:val="005C3F33"/>
    <w:rsid w:val="005C5BDB"/>
    <w:rsid w:val="005D59F0"/>
    <w:rsid w:val="005D7D1C"/>
    <w:rsid w:val="005E15C1"/>
    <w:rsid w:val="005E4F47"/>
    <w:rsid w:val="005E7C07"/>
    <w:rsid w:val="005F21F4"/>
    <w:rsid w:val="005F3FB4"/>
    <w:rsid w:val="00606EB1"/>
    <w:rsid w:val="0061053F"/>
    <w:rsid w:val="006108C7"/>
    <w:rsid w:val="0061224D"/>
    <w:rsid w:val="00616A54"/>
    <w:rsid w:val="0063132B"/>
    <w:rsid w:val="0063156A"/>
    <w:rsid w:val="00632996"/>
    <w:rsid w:val="0064670D"/>
    <w:rsid w:val="0065590C"/>
    <w:rsid w:val="00656EA5"/>
    <w:rsid w:val="00663FD3"/>
    <w:rsid w:val="00673537"/>
    <w:rsid w:val="0067480C"/>
    <w:rsid w:val="00684277"/>
    <w:rsid w:val="00690C71"/>
    <w:rsid w:val="006979DD"/>
    <w:rsid w:val="006B0AA4"/>
    <w:rsid w:val="006B1027"/>
    <w:rsid w:val="006B43DA"/>
    <w:rsid w:val="006C045B"/>
    <w:rsid w:val="006C5263"/>
    <w:rsid w:val="006C7B0D"/>
    <w:rsid w:val="006D176A"/>
    <w:rsid w:val="006E05CF"/>
    <w:rsid w:val="006E785F"/>
    <w:rsid w:val="006F4BC5"/>
    <w:rsid w:val="006F4EF0"/>
    <w:rsid w:val="007110C2"/>
    <w:rsid w:val="0072682D"/>
    <w:rsid w:val="00733AB9"/>
    <w:rsid w:val="00735AE3"/>
    <w:rsid w:val="00744082"/>
    <w:rsid w:val="007464D0"/>
    <w:rsid w:val="007516C5"/>
    <w:rsid w:val="007529E8"/>
    <w:rsid w:val="007554FC"/>
    <w:rsid w:val="007567C9"/>
    <w:rsid w:val="00772D24"/>
    <w:rsid w:val="007829C9"/>
    <w:rsid w:val="007860EF"/>
    <w:rsid w:val="0079192C"/>
    <w:rsid w:val="007A3FFE"/>
    <w:rsid w:val="007A4F46"/>
    <w:rsid w:val="007B5687"/>
    <w:rsid w:val="007B7BB5"/>
    <w:rsid w:val="007C1DC5"/>
    <w:rsid w:val="007D7760"/>
    <w:rsid w:val="007E2521"/>
    <w:rsid w:val="007E7BC5"/>
    <w:rsid w:val="007F6850"/>
    <w:rsid w:val="00803E73"/>
    <w:rsid w:val="0081051E"/>
    <w:rsid w:val="008108AD"/>
    <w:rsid w:val="00825391"/>
    <w:rsid w:val="00826C40"/>
    <w:rsid w:val="0083005E"/>
    <w:rsid w:val="008321C6"/>
    <w:rsid w:val="008334A4"/>
    <w:rsid w:val="0084397A"/>
    <w:rsid w:val="008469B8"/>
    <w:rsid w:val="00851242"/>
    <w:rsid w:val="00853D42"/>
    <w:rsid w:val="00855BC6"/>
    <w:rsid w:val="00856859"/>
    <w:rsid w:val="008616A0"/>
    <w:rsid w:val="00870514"/>
    <w:rsid w:val="008729D5"/>
    <w:rsid w:val="0087597C"/>
    <w:rsid w:val="0088554D"/>
    <w:rsid w:val="00885648"/>
    <w:rsid w:val="0088707D"/>
    <w:rsid w:val="008919CF"/>
    <w:rsid w:val="008929C8"/>
    <w:rsid w:val="0089447B"/>
    <w:rsid w:val="00897530"/>
    <w:rsid w:val="00897544"/>
    <w:rsid w:val="008A55CD"/>
    <w:rsid w:val="008A7C39"/>
    <w:rsid w:val="008C6927"/>
    <w:rsid w:val="008C72DC"/>
    <w:rsid w:val="008D3905"/>
    <w:rsid w:val="008D5322"/>
    <w:rsid w:val="008D68EB"/>
    <w:rsid w:val="008E5841"/>
    <w:rsid w:val="008F6BE1"/>
    <w:rsid w:val="008F702D"/>
    <w:rsid w:val="0093093D"/>
    <w:rsid w:val="00940628"/>
    <w:rsid w:val="0094233C"/>
    <w:rsid w:val="0094295F"/>
    <w:rsid w:val="009830B1"/>
    <w:rsid w:val="00984CED"/>
    <w:rsid w:val="00985E94"/>
    <w:rsid w:val="00994B7E"/>
    <w:rsid w:val="009A3568"/>
    <w:rsid w:val="009D1948"/>
    <w:rsid w:val="009E0DC6"/>
    <w:rsid w:val="009E33CA"/>
    <w:rsid w:val="009E466A"/>
    <w:rsid w:val="009E7699"/>
    <w:rsid w:val="009F207F"/>
    <w:rsid w:val="009F26FB"/>
    <w:rsid w:val="00A1330D"/>
    <w:rsid w:val="00A154BE"/>
    <w:rsid w:val="00A21A11"/>
    <w:rsid w:val="00A26584"/>
    <w:rsid w:val="00A31D49"/>
    <w:rsid w:val="00A33F94"/>
    <w:rsid w:val="00A45D15"/>
    <w:rsid w:val="00A46CF4"/>
    <w:rsid w:val="00A52A75"/>
    <w:rsid w:val="00A53464"/>
    <w:rsid w:val="00A557E9"/>
    <w:rsid w:val="00A55BCA"/>
    <w:rsid w:val="00A60DD9"/>
    <w:rsid w:val="00A6112D"/>
    <w:rsid w:val="00A637C7"/>
    <w:rsid w:val="00A747B8"/>
    <w:rsid w:val="00A813AD"/>
    <w:rsid w:val="00A85B5E"/>
    <w:rsid w:val="00A96F09"/>
    <w:rsid w:val="00AA13CE"/>
    <w:rsid w:val="00AB0CD7"/>
    <w:rsid w:val="00AB3E37"/>
    <w:rsid w:val="00AC31FA"/>
    <w:rsid w:val="00AD4654"/>
    <w:rsid w:val="00AF277E"/>
    <w:rsid w:val="00AF48FF"/>
    <w:rsid w:val="00B0044C"/>
    <w:rsid w:val="00B020A2"/>
    <w:rsid w:val="00B227AC"/>
    <w:rsid w:val="00B33390"/>
    <w:rsid w:val="00B336A5"/>
    <w:rsid w:val="00B5476E"/>
    <w:rsid w:val="00B61AF9"/>
    <w:rsid w:val="00B621FE"/>
    <w:rsid w:val="00B71293"/>
    <w:rsid w:val="00B8020B"/>
    <w:rsid w:val="00B821E3"/>
    <w:rsid w:val="00B82A1A"/>
    <w:rsid w:val="00B83566"/>
    <w:rsid w:val="00B84C9B"/>
    <w:rsid w:val="00B852DE"/>
    <w:rsid w:val="00B855A1"/>
    <w:rsid w:val="00B96D52"/>
    <w:rsid w:val="00BA3D21"/>
    <w:rsid w:val="00BB32E6"/>
    <w:rsid w:val="00BB712C"/>
    <w:rsid w:val="00BD1FDA"/>
    <w:rsid w:val="00BE5821"/>
    <w:rsid w:val="00BF1793"/>
    <w:rsid w:val="00C03781"/>
    <w:rsid w:val="00C13265"/>
    <w:rsid w:val="00C15ABD"/>
    <w:rsid w:val="00C16DF1"/>
    <w:rsid w:val="00C23DCE"/>
    <w:rsid w:val="00C26DF4"/>
    <w:rsid w:val="00C31822"/>
    <w:rsid w:val="00C32B4A"/>
    <w:rsid w:val="00C379A2"/>
    <w:rsid w:val="00C462B2"/>
    <w:rsid w:val="00C47589"/>
    <w:rsid w:val="00C47A4C"/>
    <w:rsid w:val="00C5074E"/>
    <w:rsid w:val="00C50901"/>
    <w:rsid w:val="00C60505"/>
    <w:rsid w:val="00C61771"/>
    <w:rsid w:val="00C65E43"/>
    <w:rsid w:val="00C670E6"/>
    <w:rsid w:val="00C6785C"/>
    <w:rsid w:val="00C751F5"/>
    <w:rsid w:val="00C902A2"/>
    <w:rsid w:val="00C907D8"/>
    <w:rsid w:val="00C9376E"/>
    <w:rsid w:val="00C97BD2"/>
    <w:rsid w:val="00CA155E"/>
    <w:rsid w:val="00CA3106"/>
    <w:rsid w:val="00CA3402"/>
    <w:rsid w:val="00CA7635"/>
    <w:rsid w:val="00CB570D"/>
    <w:rsid w:val="00CC0923"/>
    <w:rsid w:val="00CC29AB"/>
    <w:rsid w:val="00CC740E"/>
    <w:rsid w:val="00CD3013"/>
    <w:rsid w:val="00CE16A3"/>
    <w:rsid w:val="00CF0ECD"/>
    <w:rsid w:val="00CF380E"/>
    <w:rsid w:val="00D074D2"/>
    <w:rsid w:val="00D101BD"/>
    <w:rsid w:val="00D14886"/>
    <w:rsid w:val="00D158A8"/>
    <w:rsid w:val="00D1618A"/>
    <w:rsid w:val="00D17A1B"/>
    <w:rsid w:val="00D2314B"/>
    <w:rsid w:val="00D27B7F"/>
    <w:rsid w:val="00D55623"/>
    <w:rsid w:val="00D66F89"/>
    <w:rsid w:val="00D701DC"/>
    <w:rsid w:val="00D90166"/>
    <w:rsid w:val="00D912B6"/>
    <w:rsid w:val="00DA13ED"/>
    <w:rsid w:val="00DA2B7F"/>
    <w:rsid w:val="00DB335E"/>
    <w:rsid w:val="00DD1934"/>
    <w:rsid w:val="00DE06BF"/>
    <w:rsid w:val="00DE2E96"/>
    <w:rsid w:val="00DE5E93"/>
    <w:rsid w:val="00E03EED"/>
    <w:rsid w:val="00E03F08"/>
    <w:rsid w:val="00E069CF"/>
    <w:rsid w:val="00E1526B"/>
    <w:rsid w:val="00E23F71"/>
    <w:rsid w:val="00E3542C"/>
    <w:rsid w:val="00E41553"/>
    <w:rsid w:val="00E41FAA"/>
    <w:rsid w:val="00E42EC3"/>
    <w:rsid w:val="00E47E82"/>
    <w:rsid w:val="00E67AF8"/>
    <w:rsid w:val="00E725AE"/>
    <w:rsid w:val="00E72FBF"/>
    <w:rsid w:val="00E823AD"/>
    <w:rsid w:val="00E85998"/>
    <w:rsid w:val="00E90171"/>
    <w:rsid w:val="00E94CF7"/>
    <w:rsid w:val="00E94E13"/>
    <w:rsid w:val="00EC7291"/>
    <w:rsid w:val="00EE464D"/>
    <w:rsid w:val="00EE7ADB"/>
    <w:rsid w:val="00EF2C89"/>
    <w:rsid w:val="00EF3E8F"/>
    <w:rsid w:val="00EF796B"/>
    <w:rsid w:val="00F0648A"/>
    <w:rsid w:val="00F06521"/>
    <w:rsid w:val="00F06BF5"/>
    <w:rsid w:val="00F26608"/>
    <w:rsid w:val="00F26735"/>
    <w:rsid w:val="00F300E3"/>
    <w:rsid w:val="00F40577"/>
    <w:rsid w:val="00F423C6"/>
    <w:rsid w:val="00F43A1B"/>
    <w:rsid w:val="00F51B32"/>
    <w:rsid w:val="00F64BBD"/>
    <w:rsid w:val="00F64FBE"/>
    <w:rsid w:val="00F7540D"/>
    <w:rsid w:val="00F81421"/>
    <w:rsid w:val="00F81F6B"/>
    <w:rsid w:val="00F83F78"/>
    <w:rsid w:val="00F869F0"/>
    <w:rsid w:val="00F90D7D"/>
    <w:rsid w:val="00F93AFA"/>
    <w:rsid w:val="00F976BC"/>
    <w:rsid w:val="00FB3322"/>
    <w:rsid w:val="00FB38E9"/>
    <w:rsid w:val="00FB5061"/>
    <w:rsid w:val="00FB5110"/>
    <w:rsid w:val="00FB7D12"/>
    <w:rsid w:val="00FC393B"/>
    <w:rsid w:val="00FC4188"/>
    <w:rsid w:val="00FC4CBE"/>
    <w:rsid w:val="00FC6D96"/>
    <w:rsid w:val="00FE4914"/>
    <w:rsid w:val="00FE765B"/>
    <w:rsid w:val="00FF6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1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36A5"/>
    <w:pPr>
      <w:ind w:left="720"/>
      <w:contextualSpacing/>
    </w:pPr>
  </w:style>
  <w:style w:type="paragraph" w:styleId="NoSpacing">
    <w:name w:val="No Spacing"/>
    <w:uiPriority w:val="99"/>
    <w:qFormat/>
    <w:rsid w:val="00B336A5"/>
    <w:rPr>
      <w:lang w:eastAsia="en-US"/>
    </w:rPr>
  </w:style>
  <w:style w:type="paragraph" w:styleId="Header">
    <w:name w:val="header"/>
    <w:basedOn w:val="Normal"/>
    <w:link w:val="HeaderChar"/>
    <w:uiPriority w:val="99"/>
    <w:rsid w:val="00540A44"/>
    <w:pPr>
      <w:tabs>
        <w:tab w:val="center" w:pos="4513"/>
        <w:tab w:val="right" w:pos="9026"/>
      </w:tabs>
    </w:pPr>
  </w:style>
  <w:style w:type="character" w:customStyle="1" w:styleId="HeaderChar">
    <w:name w:val="Header Char"/>
    <w:basedOn w:val="DefaultParagraphFont"/>
    <w:link w:val="Header"/>
    <w:uiPriority w:val="99"/>
    <w:locked/>
    <w:rsid w:val="00540A44"/>
    <w:rPr>
      <w:rFonts w:cs="Times New Roman"/>
      <w:sz w:val="22"/>
      <w:lang w:eastAsia="en-US"/>
    </w:rPr>
  </w:style>
  <w:style w:type="paragraph" w:styleId="Footer">
    <w:name w:val="footer"/>
    <w:basedOn w:val="Normal"/>
    <w:link w:val="FooterChar"/>
    <w:uiPriority w:val="99"/>
    <w:rsid w:val="00540A44"/>
    <w:pPr>
      <w:tabs>
        <w:tab w:val="center" w:pos="4513"/>
        <w:tab w:val="right" w:pos="9026"/>
      </w:tabs>
    </w:pPr>
  </w:style>
  <w:style w:type="character" w:customStyle="1" w:styleId="FooterChar">
    <w:name w:val="Footer Char"/>
    <w:basedOn w:val="DefaultParagraphFont"/>
    <w:link w:val="Footer"/>
    <w:uiPriority w:val="99"/>
    <w:locked/>
    <w:rsid w:val="00540A44"/>
    <w:rPr>
      <w:rFonts w:cs="Times New Roman"/>
      <w:sz w:val="22"/>
      <w:lang w:eastAsia="en-US"/>
    </w:rPr>
  </w:style>
  <w:style w:type="table" w:styleId="TableGrid">
    <w:name w:val="Table Grid"/>
    <w:basedOn w:val="TableNormal"/>
    <w:uiPriority w:val="99"/>
    <w:locked/>
    <w:rsid w:val="00571666"/>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94E13"/>
    <w:rPr>
      <w:sz w:val="20"/>
      <w:szCs w:val="20"/>
    </w:rPr>
  </w:style>
  <w:style w:type="character" w:customStyle="1" w:styleId="FootnoteTextChar">
    <w:name w:val="Footnote Text Char"/>
    <w:basedOn w:val="DefaultParagraphFont"/>
    <w:link w:val="FootnoteText"/>
    <w:uiPriority w:val="99"/>
    <w:semiHidden/>
    <w:locked/>
    <w:rsid w:val="00C15ABD"/>
    <w:rPr>
      <w:rFonts w:cs="Times New Roman"/>
      <w:sz w:val="20"/>
      <w:lang w:eastAsia="en-US"/>
    </w:rPr>
  </w:style>
  <w:style w:type="character" w:styleId="FootnoteReference">
    <w:name w:val="footnote reference"/>
    <w:basedOn w:val="DefaultParagraphFont"/>
    <w:uiPriority w:val="99"/>
    <w:semiHidden/>
    <w:rsid w:val="00E94E13"/>
    <w:rPr>
      <w:rFonts w:cs="Times New Roman"/>
      <w:vertAlign w:val="superscript"/>
    </w:rPr>
  </w:style>
  <w:style w:type="paragraph" w:styleId="BalloonText">
    <w:name w:val="Balloon Text"/>
    <w:basedOn w:val="Normal"/>
    <w:link w:val="BalloonTextChar"/>
    <w:uiPriority w:val="99"/>
    <w:semiHidden/>
    <w:rsid w:val="00994B7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994B7E"/>
    <w:rPr>
      <w:rFonts w:ascii="Tahoma" w:hAnsi="Tahoma" w:cs="Times New Roman"/>
      <w:sz w:val="16"/>
      <w:lang w:eastAsia="en-US"/>
    </w:rPr>
  </w:style>
  <w:style w:type="character" w:styleId="CommentReference">
    <w:name w:val="annotation reference"/>
    <w:basedOn w:val="DefaultParagraphFont"/>
    <w:uiPriority w:val="99"/>
    <w:semiHidden/>
    <w:rsid w:val="00156078"/>
    <w:rPr>
      <w:rFonts w:cs="Times New Roman"/>
      <w:sz w:val="16"/>
      <w:szCs w:val="16"/>
    </w:rPr>
  </w:style>
  <w:style w:type="paragraph" w:styleId="CommentText">
    <w:name w:val="annotation text"/>
    <w:basedOn w:val="Normal"/>
    <w:link w:val="CommentTextChar"/>
    <w:uiPriority w:val="99"/>
    <w:semiHidden/>
    <w:rsid w:val="00156078"/>
    <w:rPr>
      <w:sz w:val="20"/>
      <w:szCs w:val="20"/>
    </w:rPr>
  </w:style>
  <w:style w:type="character" w:customStyle="1" w:styleId="CommentTextChar">
    <w:name w:val="Comment Text Char"/>
    <w:basedOn w:val="DefaultParagraphFont"/>
    <w:link w:val="CommentText"/>
    <w:uiPriority w:val="99"/>
    <w:semiHidden/>
    <w:locked/>
    <w:rsid w:val="00470FC1"/>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156078"/>
    <w:rPr>
      <w:b/>
      <w:bCs/>
    </w:rPr>
  </w:style>
  <w:style w:type="character" w:customStyle="1" w:styleId="CommentSubjectChar">
    <w:name w:val="Comment Subject Char"/>
    <w:basedOn w:val="CommentTextChar"/>
    <w:link w:val="CommentSubject"/>
    <w:uiPriority w:val="99"/>
    <w:semiHidden/>
    <w:locked/>
    <w:rsid w:val="00470FC1"/>
    <w:rPr>
      <w:rFonts w:cs="Times New Roman"/>
      <w:b/>
      <w:bCs/>
      <w:sz w:val="20"/>
      <w:szCs w:val="20"/>
      <w:lang w:eastAsia="en-US"/>
    </w:rPr>
  </w:style>
  <w:style w:type="character" w:styleId="Hyperlink">
    <w:name w:val="Hyperlink"/>
    <w:basedOn w:val="DefaultParagraphFont"/>
    <w:uiPriority w:val="99"/>
    <w:rsid w:val="002D1A61"/>
    <w:rPr>
      <w:rFonts w:cs="Times New Roman"/>
      <w:color w:val="0000FF"/>
      <w:u w:val="single"/>
    </w:rPr>
  </w:style>
  <w:style w:type="paragraph" w:styleId="Revision">
    <w:name w:val="Revision"/>
    <w:hidden/>
    <w:uiPriority w:val="99"/>
    <w:semiHidden/>
    <w:rsid w:val="00E069CF"/>
    <w:rPr>
      <w:lang w:eastAsia="en-US"/>
    </w:rPr>
  </w:style>
  <w:style w:type="paragraph" w:styleId="ListBullet">
    <w:name w:val="List Bullet"/>
    <w:basedOn w:val="Normal"/>
    <w:uiPriority w:val="99"/>
    <w:rsid w:val="00CC740E"/>
    <w:pPr>
      <w:numPr>
        <w:numId w:val="28"/>
      </w:numPr>
      <w:tabs>
        <w:tab w:val="clear" w:pos="720"/>
        <w:tab w:val="num" w:pos="360"/>
      </w:tabs>
      <w:ind w:left="360"/>
      <w:contextualSpacing/>
    </w:pPr>
  </w:style>
  <w:style w:type="character" w:styleId="PageNumber">
    <w:name w:val="page number"/>
    <w:basedOn w:val="DefaultParagraphFont"/>
    <w:uiPriority w:val="99"/>
    <w:rsid w:val="00236ECC"/>
    <w:rPr>
      <w:rFonts w:cs="Times New Roman"/>
    </w:rPr>
  </w:style>
  <w:style w:type="paragraph" w:customStyle="1" w:styleId="Default">
    <w:name w:val="Default"/>
    <w:uiPriority w:val="99"/>
    <w:rsid w:val="004449C5"/>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95000">
      <w:marLeft w:val="0"/>
      <w:marRight w:val="0"/>
      <w:marTop w:val="0"/>
      <w:marBottom w:val="0"/>
      <w:divBdr>
        <w:top w:val="none" w:sz="0" w:space="0" w:color="auto"/>
        <w:left w:val="none" w:sz="0" w:space="0" w:color="auto"/>
        <w:bottom w:val="none" w:sz="0" w:space="0" w:color="auto"/>
        <w:right w:val="none" w:sz="0" w:space="0" w:color="auto"/>
      </w:divBdr>
    </w:div>
    <w:div w:id="345595001">
      <w:marLeft w:val="0"/>
      <w:marRight w:val="0"/>
      <w:marTop w:val="0"/>
      <w:marBottom w:val="0"/>
      <w:divBdr>
        <w:top w:val="none" w:sz="0" w:space="0" w:color="auto"/>
        <w:left w:val="none" w:sz="0" w:space="0" w:color="auto"/>
        <w:bottom w:val="none" w:sz="0" w:space="0" w:color="auto"/>
        <w:right w:val="none" w:sz="0" w:space="0" w:color="auto"/>
      </w:divBdr>
    </w:div>
    <w:div w:id="345595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s01@gre.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1279</Words>
  <Characters>7292</Characters>
  <Application>Microsoft Office Word</Application>
  <DocSecurity>4</DocSecurity>
  <Lines>60</Lines>
  <Paragraphs>17</Paragraphs>
  <ScaleCrop>false</ScaleCrop>
  <Company>the University of Greenwich</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pj27</dc:creator>
  <cp:lastModifiedBy>Pat Rosser Davies</cp:lastModifiedBy>
  <cp:revision>2</cp:revision>
  <cp:lastPrinted>2012-11-02T15:25:00Z</cp:lastPrinted>
  <dcterms:created xsi:type="dcterms:W3CDTF">2013-08-06T09:17:00Z</dcterms:created>
  <dcterms:modified xsi:type="dcterms:W3CDTF">2013-08-06T09:17:00Z</dcterms:modified>
</cp:coreProperties>
</file>