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562A" w:rsidRDefault="009B562A" w:rsidP="009B562A">
      <w:pPr>
        <w:pStyle w:val="Subtitle"/>
      </w:pPr>
      <w:bookmarkStart w:id="0" w:name="_GoBack"/>
      <w:bookmarkEnd w:id="0"/>
      <w:r w:rsidRPr="009B562A">
        <w:t>Services of general interest under regimes of fiscal austerity</w:t>
      </w:r>
    </w:p>
    <w:p w:rsidR="0039476B" w:rsidRDefault="0039476B" w:rsidP="00A87FCA">
      <w:pPr>
        <w:jc w:val="center"/>
      </w:pPr>
      <w:r>
        <w:t>b</w:t>
      </w:r>
      <w:r w:rsidR="00A87FCA">
        <w:t>y</w:t>
      </w:r>
    </w:p>
    <w:p w:rsidR="0039476B" w:rsidRDefault="00A87FCA" w:rsidP="00A87FCA">
      <w:pPr>
        <w:jc w:val="center"/>
      </w:pPr>
      <w:r>
        <w:t xml:space="preserve"> </w:t>
      </w:r>
    </w:p>
    <w:p w:rsidR="0039476B" w:rsidRDefault="00A87FCA" w:rsidP="00A87FCA">
      <w:pPr>
        <w:jc w:val="center"/>
      </w:pPr>
      <w:r>
        <w:t xml:space="preserve">David Hall PSIRU    </w:t>
      </w:r>
    </w:p>
    <w:p w:rsidR="00A87FCA" w:rsidRDefault="00A87FCA" w:rsidP="00A87FCA">
      <w:pPr>
        <w:jc w:val="center"/>
        <w:rPr>
          <w:rStyle w:val="Hyperlink"/>
        </w:rPr>
      </w:pPr>
      <w:r>
        <w:t xml:space="preserve"> </w:t>
      </w:r>
      <w:hyperlink r:id="rId8" w:history="1">
        <w:r w:rsidRPr="00204631">
          <w:rPr>
            <w:rStyle w:val="Hyperlink"/>
          </w:rPr>
          <w:t>d.j.hall@gre.ac.uk</w:t>
        </w:r>
      </w:hyperlink>
    </w:p>
    <w:p w:rsidR="0039476B" w:rsidRDefault="0051627C" w:rsidP="0051627C">
      <w:pPr>
        <w:jc w:val="center"/>
      </w:pPr>
      <w:r>
        <w:t>April 2014</w:t>
      </w:r>
    </w:p>
    <w:p w:rsidR="00E718FF" w:rsidRDefault="00E718FF" w:rsidP="0051627C">
      <w:pPr>
        <w:jc w:val="center"/>
      </w:pPr>
    </w:p>
    <w:p w:rsidR="0096325B" w:rsidRDefault="00E718FF" w:rsidP="0096325B">
      <w:pPr>
        <w:pBdr>
          <w:top w:val="single" w:sz="4" w:space="1" w:color="auto"/>
          <w:left w:val="single" w:sz="4" w:space="4" w:color="auto"/>
          <w:bottom w:val="single" w:sz="4" w:space="1" w:color="auto"/>
          <w:right w:val="single" w:sz="4" w:space="4" w:color="auto"/>
        </w:pBdr>
        <w:jc w:val="center"/>
      </w:pPr>
      <w:r>
        <w:t>Presented at Conference “Beyond the Single Market - External and international dimensions of services of general interest in EU law”, Erlangen 18</w:t>
      </w:r>
      <w:r w:rsidR="0096325B">
        <w:t>-</w:t>
      </w:r>
      <w:r>
        <w:t xml:space="preserve">19 September 2013. Published as Chapter 7 of </w:t>
      </w:r>
      <w:r w:rsidR="0096325B">
        <w:t xml:space="preserve">the </w:t>
      </w:r>
      <w:r w:rsidR="0096325B" w:rsidRPr="0096325B">
        <w:rPr>
          <w:lang w:val="en-US"/>
        </w:rPr>
        <w:t>book “Services of General Interest Beyond the Single Market:</w:t>
      </w:r>
      <w:r>
        <w:t xml:space="preserve"> </w:t>
      </w:r>
      <w:r w:rsidR="0096325B">
        <w:t xml:space="preserve">External and International Law Dimensions” ed. </w:t>
      </w:r>
      <w:r w:rsidR="0096325B">
        <w:rPr>
          <w:rStyle w:val="Strong"/>
        </w:rPr>
        <w:t>Krajewski</w:t>
      </w:r>
      <w:r w:rsidR="0096325B">
        <w:t>, M. Asser Press 2015</w:t>
      </w:r>
      <w:r w:rsidR="00BB4B3F">
        <w:t>.</w:t>
      </w:r>
      <w:r w:rsidR="0096325B">
        <w:t xml:space="preserve"> ISBN 978-94-6265-063-3 </w:t>
      </w:r>
      <w:hyperlink r:id="rId9" w:history="1">
        <w:r w:rsidR="0096325B" w:rsidRPr="003201EE">
          <w:rPr>
            <w:rStyle w:val="Hyperlink"/>
          </w:rPr>
          <w:t>http://www.springer.com/us/book/9789462650626</w:t>
        </w:r>
      </w:hyperlink>
    </w:p>
    <w:p w:rsidR="0096325B" w:rsidRDefault="00A87FCA">
      <w:pPr>
        <w:pStyle w:val="TOC1"/>
        <w:tabs>
          <w:tab w:val="left" w:pos="440"/>
          <w:tab w:val="right" w:leader="dot" w:pos="9628"/>
        </w:tabs>
        <w:rPr>
          <w:rFonts w:eastAsiaTheme="minorEastAsia" w:cstheme="minorBidi"/>
          <w:b w:val="0"/>
          <w:bCs w:val="0"/>
          <w:caps w:val="0"/>
          <w:noProof/>
          <w:sz w:val="22"/>
          <w:szCs w:val="22"/>
        </w:rPr>
      </w:pPr>
      <w:r>
        <w:fldChar w:fldCharType="begin"/>
      </w:r>
      <w:r>
        <w:instrText xml:space="preserve"> TOC \o "3-4" \h \z \t "Heading 1,1,Heading 2,2,Heading 5,4,Heading 6,4,Heading 7,4,Heading 8,4,Heading 9,4" </w:instrText>
      </w:r>
      <w:r>
        <w:fldChar w:fldCharType="separate"/>
      </w:r>
      <w:hyperlink w:anchor="_Toc425285664" w:history="1">
        <w:r w:rsidR="0096325B" w:rsidRPr="00F11B20">
          <w:rPr>
            <w:rStyle w:val="Hyperlink"/>
            <w:noProof/>
          </w:rPr>
          <w:t>1.</w:t>
        </w:r>
        <w:r w:rsidR="0096325B">
          <w:rPr>
            <w:rFonts w:eastAsiaTheme="minorEastAsia" w:cstheme="minorBidi"/>
            <w:b w:val="0"/>
            <w:bCs w:val="0"/>
            <w:caps w:val="0"/>
            <w:noProof/>
            <w:sz w:val="22"/>
            <w:szCs w:val="22"/>
          </w:rPr>
          <w:tab/>
        </w:r>
        <w:r w:rsidR="0096325B" w:rsidRPr="00F11B20">
          <w:rPr>
            <w:rStyle w:val="Hyperlink"/>
            <w:noProof/>
          </w:rPr>
          <w:t>Introduction</w:t>
        </w:r>
        <w:r w:rsidR="0096325B">
          <w:rPr>
            <w:noProof/>
            <w:webHidden/>
          </w:rPr>
          <w:tab/>
        </w:r>
        <w:r w:rsidR="0096325B">
          <w:rPr>
            <w:noProof/>
            <w:webHidden/>
          </w:rPr>
          <w:fldChar w:fldCharType="begin"/>
        </w:r>
        <w:r w:rsidR="0096325B">
          <w:rPr>
            <w:noProof/>
            <w:webHidden/>
          </w:rPr>
          <w:instrText xml:space="preserve"> PAGEREF _Toc425285664 \h </w:instrText>
        </w:r>
        <w:r w:rsidR="0096325B">
          <w:rPr>
            <w:noProof/>
            <w:webHidden/>
          </w:rPr>
        </w:r>
        <w:r w:rsidR="0096325B">
          <w:rPr>
            <w:noProof/>
            <w:webHidden/>
          </w:rPr>
          <w:fldChar w:fldCharType="separate"/>
        </w:r>
        <w:r w:rsidR="0096325B">
          <w:rPr>
            <w:noProof/>
            <w:webHidden/>
          </w:rPr>
          <w:t>2</w:t>
        </w:r>
        <w:r w:rsidR="0096325B">
          <w:rPr>
            <w:noProof/>
            <w:webHidden/>
          </w:rPr>
          <w:fldChar w:fldCharType="end"/>
        </w:r>
      </w:hyperlink>
    </w:p>
    <w:p w:rsidR="0096325B" w:rsidRDefault="005F6928">
      <w:pPr>
        <w:pStyle w:val="TOC1"/>
        <w:tabs>
          <w:tab w:val="left" w:pos="440"/>
          <w:tab w:val="right" w:leader="dot" w:pos="9628"/>
        </w:tabs>
        <w:rPr>
          <w:rFonts w:eastAsiaTheme="minorEastAsia" w:cstheme="minorBidi"/>
          <w:b w:val="0"/>
          <w:bCs w:val="0"/>
          <w:caps w:val="0"/>
          <w:noProof/>
          <w:sz w:val="22"/>
          <w:szCs w:val="22"/>
        </w:rPr>
      </w:pPr>
      <w:hyperlink w:anchor="_Toc425285665" w:history="1">
        <w:r w:rsidR="0096325B" w:rsidRPr="00F11B20">
          <w:rPr>
            <w:rStyle w:val="Hyperlink"/>
            <w:noProof/>
          </w:rPr>
          <w:t>2.</w:t>
        </w:r>
        <w:r w:rsidR="0096325B">
          <w:rPr>
            <w:rFonts w:eastAsiaTheme="minorEastAsia" w:cstheme="minorBidi"/>
            <w:b w:val="0"/>
            <w:bCs w:val="0"/>
            <w:caps w:val="0"/>
            <w:noProof/>
            <w:sz w:val="22"/>
            <w:szCs w:val="22"/>
          </w:rPr>
          <w:tab/>
        </w:r>
        <w:r w:rsidR="0096325B" w:rsidRPr="00F11B20">
          <w:rPr>
            <w:rStyle w:val="Hyperlink"/>
            <w:noProof/>
          </w:rPr>
          <w:t>Austerity: origins and impact</w:t>
        </w:r>
        <w:r w:rsidR="0096325B">
          <w:rPr>
            <w:noProof/>
            <w:webHidden/>
          </w:rPr>
          <w:tab/>
        </w:r>
        <w:r w:rsidR="0096325B">
          <w:rPr>
            <w:noProof/>
            <w:webHidden/>
          </w:rPr>
          <w:fldChar w:fldCharType="begin"/>
        </w:r>
        <w:r w:rsidR="0096325B">
          <w:rPr>
            <w:noProof/>
            <w:webHidden/>
          </w:rPr>
          <w:instrText xml:space="preserve"> PAGEREF _Toc425285665 \h </w:instrText>
        </w:r>
        <w:r w:rsidR="0096325B">
          <w:rPr>
            <w:noProof/>
            <w:webHidden/>
          </w:rPr>
        </w:r>
        <w:r w:rsidR="0096325B">
          <w:rPr>
            <w:noProof/>
            <w:webHidden/>
          </w:rPr>
          <w:fldChar w:fldCharType="separate"/>
        </w:r>
        <w:r w:rsidR="0096325B">
          <w:rPr>
            <w:noProof/>
            <w:webHidden/>
          </w:rPr>
          <w:t>2</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66" w:history="1">
        <w:r w:rsidR="0096325B" w:rsidRPr="00F11B20">
          <w:rPr>
            <w:rStyle w:val="Hyperlink"/>
            <w:noProof/>
          </w:rPr>
          <w:t>2.1.</w:t>
        </w:r>
        <w:r w:rsidR="0096325B">
          <w:rPr>
            <w:rFonts w:eastAsiaTheme="minorEastAsia" w:cstheme="minorBidi"/>
            <w:smallCaps w:val="0"/>
            <w:noProof/>
            <w:sz w:val="22"/>
            <w:szCs w:val="22"/>
          </w:rPr>
          <w:tab/>
        </w:r>
        <w:r w:rsidR="0096325B" w:rsidRPr="00F11B20">
          <w:rPr>
            <w:rStyle w:val="Hyperlink"/>
            <w:noProof/>
          </w:rPr>
          <w:t>Crisis and deficits</w:t>
        </w:r>
        <w:r w:rsidR="0096325B">
          <w:rPr>
            <w:noProof/>
            <w:webHidden/>
          </w:rPr>
          <w:tab/>
        </w:r>
        <w:r w:rsidR="0096325B">
          <w:rPr>
            <w:noProof/>
            <w:webHidden/>
          </w:rPr>
          <w:fldChar w:fldCharType="begin"/>
        </w:r>
        <w:r w:rsidR="0096325B">
          <w:rPr>
            <w:noProof/>
            <w:webHidden/>
          </w:rPr>
          <w:instrText xml:space="preserve"> PAGEREF _Toc425285666 \h </w:instrText>
        </w:r>
        <w:r w:rsidR="0096325B">
          <w:rPr>
            <w:noProof/>
            <w:webHidden/>
          </w:rPr>
        </w:r>
        <w:r w:rsidR="0096325B">
          <w:rPr>
            <w:noProof/>
            <w:webHidden/>
          </w:rPr>
          <w:fldChar w:fldCharType="separate"/>
        </w:r>
        <w:r w:rsidR="0096325B">
          <w:rPr>
            <w:noProof/>
            <w:webHidden/>
          </w:rPr>
          <w:t>2</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67" w:history="1">
        <w:r w:rsidR="0096325B" w:rsidRPr="00F11B20">
          <w:rPr>
            <w:rStyle w:val="Hyperlink"/>
            <w:noProof/>
          </w:rPr>
          <w:t>2.2.</w:t>
        </w:r>
        <w:r w:rsidR="0096325B">
          <w:rPr>
            <w:rFonts w:eastAsiaTheme="minorEastAsia" w:cstheme="minorBidi"/>
            <w:smallCaps w:val="0"/>
            <w:noProof/>
            <w:sz w:val="22"/>
            <w:szCs w:val="22"/>
          </w:rPr>
          <w:tab/>
        </w:r>
        <w:r w:rsidR="0096325B" w:rsidRPr="00F11B20">
          <w:rPr>
            <w:rStyle w:val="Hyperlink"/>
            <w:noProof/>
          </w:rPr>
          <w:t>Varieties of austerity</w:t>
        </w:r>
        <w:r w:rsidR="0096325B">
          <w:rPr>
            <w:noProof/>
            <w:webHidden/>
          </w:rPr>
          <w:tab/>
        </w:r>
        <w:r w:rsidR="0096325B">
          <w:rPr>
            <w:noProof/>
            <w:webHidden/>
          </w:rPr>
          <w:fldChar w:fldCharType="begin"/>
        </w:r>
        <w:r w:rsidR="0096325B">
          <w:rPr>
            <w:noProof/>
            <w:webHidden/>
          </w:rPr>
          <w:instrText xml:space="preserve"> PAGEREF _Toc425285667 \h </w:instrText>
        </w:r>
        <w:r w:rsidR="0096325B">
          <w:rPr>
            <w:noProof/>
            <w:webHidden/>
          </w:rPr>
        </w:r>
        <w:r w:rsidR="0096325B">
          <w:rPr>
            <w:noProof/>
            <w:webHidden/>
          </w:rPr>
          <w:fldChar w:fldCharType="separate"/>
        </w:r>
        <w:r w:rsidR="0096325B">
          <w:rPr>
            <w:noProof/>
            <w:webHidden/>
          </w:rPr>
          <w:t>2</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68" w:history="1">
        <w:r w:rsidR="0096325B" w:rsidRPr="00F11B20">
          <w:rPr>
            <w:rStyle w:val="Hyperlink"/>
            <w:noProof/>
          </w:rPr>
          <w:t>2.3.</w:t>
        </w:r>
        <w:r w:rsidR="0096325B">
          <w:rPr>
            <w:rFonts w:eastAsiaTheme="minorEastAsia" w:cstheme="minorBidi"/>
            <w:smallCaps w:val="0"/>
            <w:noProof/>
            <w:sz w:val="22"/>
            <w:szCs w:val="22"/>
          </w:rPr>
          <w:tab/>
        </w:r>
        <w:r w:rsidR="0096325B" w:rsidRPr="00F11B20">
          <w:rPr>
            <w:rStyle w:val="Hyperlink"/>
            <w:noProof/>
          </w:rPr>
          <w:t>Unequal austerity</w:t>
        </w:r>
        <w:r w:rsidR="0096325B">
          <w:rPr>
            <w:noProof/>
            <w:webHidden/>
          </w:rPr>
          <w:tab/>
        </w:r>
        <w:r w:rsidR="0096325B">
          <w:rPr>
            <w:noProof/>
            <w:webHidden/>
          </w:rPr>
          <w:fldChar w:fldCharType="begin"/>
        </w:r>
        <w:r w:rsidR="0096325B">
          <w:rPr>
            <w:noProof/>
            <w:webHidden/>
          </w:rPr>
          <w:instrText xml:space="preserve"> PAGEREF _Toc425285668 \h </w:instrText>
        </w:r>
        <w:r w:rsidR="0096325B">
          <w:rPr>
            <w:noProof/>
            <w:webHidden/>
          </w:rPr>
        </w:r>
        <w:r w:rsidR="0096325B">
          <w:rPr>
            <w:noProof/>
            <w:webHidden/>
          </w:rPr>
          <w:fldChar w:fldCharType="separate"/>
        </w:r>
        <w:r w:rsidR="0096325B">
          <w:rPr>
            <w:noProof/>
            <w:webHidden/>
          </w:rPr>
          <w:t>3</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69" w:history="1">
        <w:r w:rsidR="0096325B" w:rsidRPr="00F11B20">
          <w:rPr>
            <w:rStyle w:val="Hyperlink"/>
            <w:noProof/>
          </w:rPr>
          <w:t>Chart A.</w:t>
        </w:r>
        <w:r w:rsidR="0096325B">
          <w:rPr>
            <w:rFonts w:eastAsiaTheme="minorEastAsia" w:cstheme="minorBidi"/>
            <w:noProof/>
            <w:sz w:val="22"/>
            <w:szCs w:val="22"/>
          </w:rPr>
          <w:tab/>
        </w:r>
        <w:r w:rsidR="0096325B" w:rsidRPr="00F11B20">
          <w:rPr>
            <w:rStyle w:val="Hyperlink"/>
            <w:noProof/>
          </w:rPr>
          <w:t>Value of public services relative to disposable income, 27 OECD countries</w:t>
        </w:r>
        <w:r w:rsidR="0096325B">
          <w:rPr>
            <w:noProof/>
            <w:webHidden/>
          </w:rPr>
          <w:tab/>
        </w:r>
        <w:r w:rsidR="0096325B">
          <w:rPr>
            <w:noProof/>
            <w:webHidden/>
          </w:rPr>
          <w:fldChar w:fldCharType="begin"/>
        </w:r>
        <w:r w:rsidR="0096325B">
          <w:rPr>
            <w:noProof/>
            <w:webHidden/>
          </w:rPr>
          <w:instrText xml:space="preserve"> PAGEREF _Toc425285669 \h </w:instrText>
        </w:r>
        <w:r w:rsidR="0096325B">
          <w:rPr>
            <w:noProof/>
            <w:webHidden/>
          </w:rPr>
        </w:r>
        <w:r w:rsidR="0096325B">
          <w:rPr>
            <w:noProof/>
            <w:webHidden/>
          </w:rPr>
          <w:fldChar w:fldCharType="separate"/>
        </w:r>
        <w:r w:rsidR="0096325B">
          <w:rPr>
            <w:noProof/>
            <w:webHidden/>
          </w:rPr>
          <w:t>3</w:t>
        </w:r>
        <w:r w:rsidR="0096325B">
          <w:rPr>
            <w:noProof/>
            <w:webHidden/>
          </w:rPr>
          <w:fldChar w:fldCharType="end"/>
        </w:r>
      </w:hyperlink>
    </w:p>
    <w:p w:rsidR="0096325B" w:rsidRDefault="005F6928">
      <w:pPr>
        <w:pStyle w:val="TOC1"/>
        <w:tabs>
          <w:tab w:val="left" w:pos="440"/>
          <w:tab w:val="right" w:leader="dot" w:pos="9628"/>
        </w:tabs>
        <w:rPr>
          <w:rFonts w:eastAsiaTheme="minorEastAsia" w:cstheme="minorBidi"/>
          <w:b w:val="0"/>
          <w:bCs w:val="0"/>
          <w:caps w:val="0"/>
          <w:noProof/>
          <w:sz w:val="22"/>
          <w:szCs w:val="22"/>
        </w:rPr>
      </w:pPr>
      <w:hyperlink w:anchor="_Toc425285670" w:history="1">
        <w:r w:rsidR="0096325B" w:rsidRPr="00F11B20">
          <w:rPr>
            <w:rStyle w:val="Hyperlink"/>
            <w:noProof/>
          </w:rPr>
          <w:t>3.</w:t>
        </w:r>
        <w:r w:rsidR="0096325B">
          <w:rPr>
            <w:rFonts w:eastAsiaTheme="minorEastAsia" w:cstheme="minorBidi"/>
            <w:b w:val="0"/>
            <w:bCs w:val="0"/>
            <w:caps w:val="0"/>
            <w:noProof/>
            <w:sz w:val="22"/>
            <w:szCs w:val="22"/>
          </w:rPr>
          <w:tab/>
        </w:r>
        <w:r w:rsidR="0096325B" w:rsidRPr="00F11B20">
          <w:rPr>
            <w:rStyle w:val="Hyperlink"/>
            <w:noProof/>
          </w:rPr>
          <w:t>Austerity without growth</w:t>
        </w:r>
        <w:r w:rsidR="0096325B">
          <w:rPr>
            <w:noProof/>
            <w:webHidden/>
          </w:rPr>
          <w:tab/>
        </w:r>
        <w:r w:rsidR="0096325B">
          <w:rPr>
            <w:noProof/>
            <w:webHidden/>
          </w:rPr>
          <w:fldChar w:fldCharType="begin"/>
        </w:r>
        <w:r w:rsidR="0096325B">
          <w:rPr>
            <w:noProof/>
            <w:webHidden/>
          </w:rPr>
          <w:instrText xml:space="preserve"> PAGEREF _Toc425285670 \h </w:instrText>
        </w:r>
        <w:r w:rsidR="0096325B">
          <w:rPr>
            <w:noProof/>
            <w:webHidden/>
          </w:rPr>
        </w:r>
        <w:r w:rsidR="0096325B">
          <w:rPr>
            <w:noProof/>
            <w:webHidden/>
          </w:rPr>
          <w:fldChar w:fldCharType="separate"/>
        </w:r>
        <w:r w:rsidR="0096325B">
          <w:rPr>
            <w:noProof/>
            <w:webHidden/>
          </w:rPr>
          <w:t>3</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71" w:history="1">
        <w:r w:rsidR="0096325B" w:rsidRPr="00F11B20">
          <w:rPr>
            <w:rStyle w:val="Hyperlink"/>
            <w:noProof/>
          </w:rPr>
          <w:t>3.1.</w:t>
        </w:r>
        <w:r w:rsidR="0096325B">
          <w:rPr>
            <w:rFonts w:eastAsiaTheme="minorEastAsia" w:cstheme="minorBidi"/>
            <w:smallCaps w:val="0"/>
            <w:noProof/>
            <w:sz w:val="22"/>
            <w:szCs w:val="22"/>
          </w:rPr>
          <w:tab/>
        </w:r>
        <w:r w:rsidR="0096325B" w:rsidRPr="00F11B20">
          <w:rPr>
            <w:rStyle w:val="Hyperlink"/>
            <w:noProof/>
          </w:rPr>
          <w:t>Actual experience: austerity is linked to fall in GDP</w:t>
        </w:r>
        <w:r w:rsidR="0096325B">
          <w:rPr>
            <w:noProof/>
            <w:webHidden/>
          </w:rPr>
          <w:tab/>
        </w:r>
        <w:r w:rsidR="0096325B">
          <w:rPr>
            <w:noProof/>
            <w:webHidden/>
          </w:rPr>
          <w:fldChar w:fldCharType="begin"/>
        </w:r>
        <w:r w:rsidR="0096325B">
          <w:rPr>
            <w:noProof/>
            <w:webHidden/>
          </w:rPr>
          <w:instrText xml:space="preserve"> PAGEREF _Toc425285671 \h </w:instrText>
        </w:r>
        <w:r w:rsidR="0096325B">
          <w:rPr>
            <w:noProof/>
            <w:webHidden/>
          </w:rPr>
        </w:r>
        <w:r w:rsidR="0096325B">
          <w:rPr>
            <w:noProof/>
            <w:webHidden/>
          </w:rPr>
          <w:fldChar w:fldCharType="separate"/>
        </w:r>
        <w:r w:rsidR="0096325B">
          <w:rPr>
            <w:noProof/>
            <w:webHidden/>
          </w:rPr>
          <w:t>3</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72" w:history="1">
        <w:r w:rsidR="0096325B" w:rsidRPr="00F11B20">
          <w:rPr>
            <w:rStyle w:val="Hyperlink"/>
            <w:noProof/>
          </w:rPr>
          <w:t>Chart B.</w:t>
        </w:r>
        <w:r w:rsidR="0096325B">
          <w:rPr>
            <w:rFonts w:eastAsiaTheme="minorEastAsia" w:cstheme="minorBidi"/>
            <w:noProof/>
            <w:sz w:val="22"/>
            <w:szCs w:val="22"/>
          </w:rPr>
          <w:tab/>
        </w:r>
        <w:r w:rsidR="0096325B" w:rsidRPr="00F11B20">
          <w:rPr>
            <w:rStyle w:val="Hyperlink"/>
            <w:noProof/>
          </w:rPr>
          <w:t>Austerity and growth 2009-2011 (Krugman)</w:t>
        </w:r>
        <w:r w:rsidR="0096325B">
          <w:rPr>
            <w:noProof/>
            <w:webHidden/>
          </w:rPr>
          <w:tab/>
        </w:r>
        <w:r w:rsidR="0096325B">
          <w:rPr>
            <w:noProof/>
            <w:webHidden/>
          </w:rPr>
          <w:fldChar w:fldCharType="begin"/>
        </w:r>
        <w:r w:rsidR="0096325B">
          <w:rPr>
            <w:noProof/>
            <w:webHidden/>
          </w:rPr>
          <w:instrText xml:space="preserve"> PAGEREF _Toc425285672 \h </w:instrText>
        </w:r>
        <w:r w:rsidR="0096325B">
          <w:rPr>
            <w:noProof/>
            <w:webHidden/>
          </w:rPr>
        </w:r>
        <w:r w:rsidR="0096325B">
          <w:rPr>
            <w:noProof/>
            <w:webHidden/>
          </w:rPr>
          <w:fldChar w:fldCharType="separate"/>
        </w:r>
        <w:r w:rsidR="0096325B">
          <w:rPr>
            <w:noProof/>
            <w:webHidden/>
          </w:rPr>
          <w:t>4</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73" w:history="1">
        <w:r w:rsidR="0096325B" w:rsidRPr="00F11B20">
          <w:rPr>
            <w:rStyle w:val="Hyperlink"/>
            <w:noProof/>
          </w:rPr>
          <w:t>3.2.</w:t>
        </w:r>
        <w:r w:rsidR="0096325B">
          <w:rPr>
            <w:rFonts w:eastAsiaTheme="minorEastAsia" w:cstheme="minorBidi"/>
            <w:smallCaps w:val="0"/>
            <w:noProof/>
            <w:sz w:val="22"/>
            <w:szCs w:val="22"/>
          </w:rPr>
          <w:tab/>
        </w:r>
        <w:r w:rsidR="0096325B" w:rsidRPr="00F11B20">
          <w:rPr>
            <w:rStyle w:val="Hyperlink"/>
            <w:noProof/>
          </w:rPr>
          <w:t>Previous evidence on austerity and growth</w:t>
        </w:r>
        <w:r w:rsidR="0096325B">
          <w:rPr>
            <w:noProof/>
            <w:webHidden/>
          </w:rPr>
          <w:tab/>
        </w:r>
        <w:r w:rsidR="0096325B">
          <w:rPr>
            <w:noProof/>
            <w:webHidden/>
          </w:rPr>
          <w:fldChar w:fldCharType="begin"/>
        </w:r>
        <w:r w:rsidR="0096325B">
          <w:rPr>
            <w:noProof/>
            <w:webHidden/>
          </w:rPr>
          <w:instrText xml:space="preserve"> PAGEREF _Toc425285673 \h </w:instrText>
        </w:r>
        <w:r w:rsidR="0096325B">
          <w:rPr>
            <w:noProof/>
            <w:webHidden/>
          </w:rPr>
        </w:r>
        <w:r w:rsidR="0096325B">
          <w:rPr>
            <w:noProof/>
            <w:webHidden/>
          </w:rPr>
          <w:fldChar w:fldCharType="separate"/>
        </w:r>
        <w:r w:rsidR="0096325B">
          <w:rPr>
            <w:noProof/>
            <w:webHidden/>
          </w:rPr>
          <w:t>4</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74" w:history="1">
        <w:r w:rsidR="0096325B" w:rsidRPr="00F11B20">
          <w:rPr>
            <w:rStyle w:val="Hyperlink"/>
            <w:noProof/>
          </w:rPr>
          <w:t>3.3.</w:t>
        </w:r>
        <w:r w:rsidR="0096325B">
          <w:rPr>
            <w:rFonts w:eastAsiaTheme="minorEastAsia" w:cstheme="minorBidi"/>
            <w:smallCaps w:val="0"/>
            <w:noProof/>
            <w:sz w:val="22"/>
            <w:szCs w:val="22"/>
          </w:rPr>
          <w:tab/>
        </w:r>
        <w:r w:rsidR="0096325B" w:rsidRPr="00F11B20">
          <w:rPr>
            <w:rStyle w:val="Hyperlink"/>
            <w:noProof/>
          </w:rPr>
          <w:t>The negative effects of ‘good’ governance</w:t>
        </w:r>
        <w:r w:rsidR="0096325B">
          <w:rPr>
            <w:noProof/>
            <w:webHidden/>
          </w:rPr>
          <w:tab/>
        </w:r>
        <w:r w:rsidR="0096325B">
          <w:rPr>
            <w:noProof/>
            <w:webHidden/>
          </w:rPr>
          <w:fldChar w:fldCharType="begin"/>
        </w:r>
        <w:r w:rsidR="0096325B">
          <w:rPr>
            <w:noProof/>
            <w:webHidden/>
          </w:rPr>
          <w:instrText xml:space="preserve"> PAGEREF _Toc425285674 \h </w:instrText>
        </w:r>
        <w:r w:rsidR="0096325B">
          <w:rPr>
            <w:noProof/>
            <w:webHidden/>
          </w:rPr>
        </w:r>
        <w:r w:rsidR="0096325B">
          <w:rPr>
            <w:noProof/>
            <w:webHidden/>
          </w:rPr>
          <w:fldChar w:fldCharType="separate"/>
        </w:r>
        <w:r w:rsidR="0096325B">
          <w:rPr>
            <w:noProof/>
            <w:webHidden/>
          </w:rPr>
          <w:t>5</w:t>
        </w:r>
        <w:r w:rsidR="0096325B">
          <w:rPr>
            <w:noProof/>
            <w:webHidden/>
          </w:rPr>
          <w:fldChar w:fldCharType="end"/>
        </w:r>
      </w:hyperlink>
    </w:p>
    <w:p w:rsidR="0096325B" w:rsidRDefault="005F6928">
      <w:pPr>
        <w:pStyle w:val="TOC1"/>
        <w:tabs>
          <w:tab w:val="left" w:pos="440"/>
          <w:tab w:val="right" w:leader="dot" w:pos="9628"/>
        </w:tabs>
        <w:rPr>
          <w:rFonts w:eastAsiaTheme="minorEastAsia" w:cstheme="minorBidi"/>
          <w:b w:val="0"/>
          <w:bCs w:val="0"/>
          <w:caps w:val="0"/>
          <w:noProof/>
          <w:sz w:val="22"/>
          <w:szCs w:val="22"/>
        </w:rPr>
      </w:pPr>
      <w:hyperlink w:anchor="_Toc425285675" w:history="1">
        <w:r w:rsidR="0096325B" w:rsidRPr="00F11B20">
          <w:rPr>
            <w:rStyle w:val="Hyperlink"/>
            <w:noProof/>
          </w:rPr>
          <w:t>4.</w:t>
        </w:r>
        <w:r w:rsidR="0096325B">
          <w:rPr>
            <w:rFonts w:eastAsiaTheme="minorEastAsia" w:cstheme="minorBidi"/>
            <w:b w:val="0"/>
            <w:bCs w:val="0"/>
            <w:caps w:val="0"/>
            <w:noProof/>
            <w:sz w:val="22"/>
            <w:szCs w:val="22"/>
          </w:rPr>
          <w:tab/>
        </w:r>
        <w:r w:rsidR="0096325B" w:rsidRPr="00F11B20">
          <w:rPr>
            <w:rStyle w:val="Hyperlink"/>
            <w:noProof/>
          </w:rPr>
          <w:t>Explaining austerity: bond markets and public spending</w:t>
        </w:r>
        <w:r w:rsidR="0096325B">
          <w:rPr>
            <w:noProof/>
            <w:webHidden/>
          </w:rPr>
          <w:tab/>
        </w:r>
        <w:r w:rsidR="0096325B">
          <w:rPr>
            <w:noProof/>
            <w:webHidden/>
          </w:rPr>
          <w:fldChar w:fldCharType="begin"/>
        </w:r>
        <w:r w:rsidR="0096325B">
          <w:rPr>
            <w:noProof/>
            <w:webHidden/>
          </w:rPr>
          <w:instrText xml:space="preserve"> PAGEREF _Toc425285675 \h </w:instrText>
        </w:r>
        <w:r w:rsidR="0096325B">
          <w:rPr>
            <w:noProof/>
            <w:webHidden/>
          </w:rPr>
        </w:r>
        <w:r w:rsidR="0096325B">
          <w:rPr>
            <w:noProof/>
            <w:webHidden/>
          </w:rPr>
          <w:fldChar w:fldCharType="separate"/>
        </w:r>
        <w:r w:rsidR="0096325B">
          <w:rPr>
            <w:noProof/>
            <w:webHidden/>
          </w:rPr>
          <w:t>6</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76" w:history="1">
        <w:r w:rsidR="0096325B" w:rsidRPr="00F11B20">
          <w:rPr>
            <w:rStyle w:val="Hyperlink"/>
            <w:noProof/>
          </w:rPr>
          <w:t>4.1.</w:t>
        </w:r>
        <w:r w:rsidR="0096325B">
          <w:rPr>
            <w:rFonts w:eastAsiaTheme="minorEastAsia" w:cstheme="minorBidi"/>
            <w:smallCaps w:val="0"/>
            <w:noProof/>
            <w:sz w:val="22"/>
            <w:szCs w:val="22"/>
          </w:rPr>
          <w:tab/>
        </w:r>
        <w:r w:rsidR="0096325B" w:rsidRPr="00F11B20">
          <w:rPr>
            <w:rStyle w:val="Hyperlink"/>
            <w:noProof/>
          </w:rPr>
          <w:t>Bond markets and austerity</w:t>
        </w:r>
        <w:r w:rsidR="0096325B">
          <w:rPr>
            <w:noProof/>
            <w:webHidden/>
          </w:rPr>
          <w:tab/>
        </w:r>
        <w:r w:rsidR="0096325B">
          <w:rPr>
            <w:noProof/>
            <w:webHidden/>
          </w:rPr>
          <w:fldChar w:fldCharType="begin"/>
        </w:r>
        <w:r w:rsidR="0096325B">
          <w:rPr>
            <w:noProof/>
            <w:webHidden/>
          </w:rPr>
          <w:instrText xml:space="preserve"> PAGEREF _Toc425285676 \h </w:instrText>
        </w:r>
        <w:r w:rsidR="0096325B">
          <w:rPr>
            <w:noProof/>
            <w:webHidden/>
          </w:rPr>
        </w:r>
        <w:r w:rsidR="0096325B">
          <w:rPr>
            <w:noProof/>
            <w:webHidden/>
          </w:rPr>
          <w:fldChar w:fldCharType="separate"/>
        </w:r>
        <w:r w:rsidR="0096325B">
          <w:rPr>
            <w:noProof/>
            <w:webHidden/>
          </w:rPr>
          <w:t>6</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77" w:history="1">
        <w:r w:rsidR="0096325B" w:rsidRPr="00F11B20">
          <w:rPr>
            <w:rStyle w:val="Hyperlink"/>
            <w:noProof/>
            <w:lang w:val="en"/>
          </w:rPr>
          <w:t>Chart C.</w:t>
        </w:r>
        <w:r w:rsidR="0096325B">
          <w:rPr>
            <w:rFonts w:eastAsiaTheme="minorEastAsia" w:cstheme="minorBidi"/>
            <w:noProof/>
            <w:sz w:val="22"/>
            <w:szCs w:val="22"/>
          </w:rPr>
          <w:tab/>
        </w:r>
        <w:r w:rsidR="0096325B" w:rsidRPr="00F11B20">
          <w:rPr>
            <w:rStyle w:val="Hyperlink"/>
            <w:noProof/>
            <w:lang w:val="en"/>
          </w:rPr>
          <w:t>Austerity measures and financial market borrowing ‘spreads’ in 2011</w:t>
        </w:r>
        <w:r w:rsidR="0096325B">
          <w:rPr>
            <w:noProof/>
            <w:webHidden/>
          </w:rPr>
          <w:tab/>
        </w:r>
        <w:r w:rsidR="0096325B">
          <w:rPr>
            <w:noProof/>
            <w:webHidden/>
          </w:rPr>
          <w:fldChar w:fldCharType="begin"/>
        </w:r>
        <w:r w:rsidR="0096325B">
          <w:rPr>
            <w:noProof/>
            <w:webHidden/>
          </w:rPr>
          <w:instrText xml:space="preserve"> PAGEREF _Toc425285677 \h </w:instrText>
        </w:r>
        <w:r w:rsidR="0096325B">
          <w:rPr>
            <w:noProof/>
            <w:webHidden/>
          </w:rPr>
        </w:r>
        <w:r w:rsidR="0096325B">
          <w:rPr>
            <w:noProof/>
            <w:webHidden/>
          </w:rPr>
          <w:fldChar w:fldCharType="separate"/>
        </w:r>
        <w:r w:rsidR="0096325B">
          <w:rPr>
            <w:noProof/>
            <w:webHidden/>
          </w:rPr>
          <w:t>6</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78" w:history="1">
        <w:r w:rsidR="0096325B" w:rsidRPr="00F11B20">
          <w:rPr>
            <w:rStyle w:val="Hyperlink"/>
            <w:noProof/>
            <w:lang w:val="en"/>
          </w:rPr>
          <w:t>4.2.</w:t>
        </w:r>
        <w:r w:rsidR="0096325B">
          <w:rPr>
            <w:rFonts w:eastAsiaTheme="minorEastAsia" w:cstheme="minorBidi"/>
            <w:smallCaps w:val="0"/>
            <w:noProof/>
            <w:sz w:val="22"/>
            <w:szCs w:val="22"/>
          </w:rPr>
          <w:tab/>
        </w:r>
        <w:r w:rsidR="0096325B" w:rsidRPr="00F11B20">
          <w:rPr>
            <w:rStyle w:val="Hyperlink"/>
            <w:noProof/>
            <w:lang w:val="en"/>
          </w:rPr>
          <w:t>The problem of public spending</w:t>
        </w:r>
        <w:r w:rsidR="0096325B">
          <w:rPr>
            <w:noProof/>
            <w:webHidden/>
          </w:rPr>
          <w:tab/>
        </w:r>
        <w:r w:rsidR="0096325B">
          <w:rPr>
            <w:noProof/>
            <w:webHidden/>
          </w:rPr>
          <w:fldChar w:fldCharType="begin"/>
        </w:r>
        <w:r w:rsidR="0096325B">
          <w:rPr>
            <w:noProof/>
            <w:webHidden/>
          </w:rPr>
          <w:instrText xml:space="preserve"> PAGEREF _Toc425285678 \h </w:instrText>
        </w:r>
        <w:r w:rsidR="0096325B">
          <w:rPr>
            <w:noProof/>
            <w:webHidden/>
          </w:rPr>
        </w:r>
        <w:r w:rsidR="0096325B">
          <w:rPr>
            <w:noProof/>
            <w:webHidden/>
          </w:rPr>
          <w:fldChar w:fldCharType="separate"/>
        </w:r>
        <w:r w:rsidR="0096325B">
          <w:rPr>
            <w:noProof/>
            <w:webHidden/>
          </w:rPr>
          <w:t>7</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79" w:history="1">
        <w:r w:rsidR="0096325B" w:rsidRPr="00F11B20">
          <w:rPr>
            <w:rStyle w:val="Hyperlink"/>
            <w:noProof/>
            <w:lang w:val="en"/>
          </w:rPr>
          <w:t>Chart D.</w:t>
        </w:r>
        <w:r w:rsidR="0096325B">
          <w:rPr>
            <w:rFonts w:eastAsiaTheme="minorEastAsia" w:cstheme="minorBidi"/>
            <w:noProof/>
            <w:sz w:val="22"/>
            <w:szCs w:val="22"/>
          </w:rPr>
          <w:tab/>
        </w:r>
        <w:r w:rsidR="0096325B" w:rsidRPr="00F11B20">
          <w:rPr>
            <w:rStyle w:val="Hyperlink"/>
            <w:noProof/>
            <w:lang w:val="en"/>
          </w:rPr>
          <w:t>Government spending as % of GDP, EU-27, 1995-2012</w:t>
        </w:r>
        <w:r w:rsidR="0096325B">
          <w:rPr>
            <w:noProof/>
            <w:webHidden/>
          </w:rPr>
          <w:tab/>
        </w:r>
        <w:r w:rsidR="0096325B">
          <w:rPr>
            <w:noProof/>
            <w:webHidden/>
          </w:rPr>
          <w:fldChar w:fldCharType="begin"/>
        </w:r>
        <w:r w:rsidR="0096325B">
          <w:rPr>
            <w:noProof/>
            <w:webHidden/>
          </w:rPr>
          <w:instrText xml:space="preserve"> PAGEREF _Toc425285679 \h </w:instrText>
        </w:r>
        <w:r w:rsidR="0096325B">
          <w:rPr>
            <w:noProof/>
            <w:webHidden/>
          </w:rPr>
        </w:r>
        <w:r w:rsidR="0096325B">
          <w:rPr>
            <w:noProof/>
            <w:webHidden/>
          </w:rPr>
          <w:fldChar w:fldCharType="separate"/>
        </w:r>
        <w:r w:rsidR="0096325B">
          <w:rPr>
            <w:noProof/>
            <w:webHidden/>
          </w:rPr>
          <w:t>7</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80" w:history="1">
        <w:r w:rsidR="0096325B" w:rsidRPr="00F11B20">
          <w:rPr>
            <w:rStyle w:val="Hyperlink"/>
            <w:noProof/>
            <w:lang w:val="en"/>
          </w:rPr>
          <w:t>Chart E.</w:t>
        </w:r>
        <w:r w:rsidR="0096325B">
          <w:rPr>
            <w:rFonts w:eastAsiaTheme="minorEastAsia" w:cstheme="minorBidi"/>
            <w:noProof/>
            <w:sz w:val="22"/>
            <w:szCs w:val="22"/>
          </w:rPr>
          <w:tab/>
        </w:r>
        <w:r w:rsidR="0096325B" w:rsidRPr="00F11B20">
          <w:rPr>
            <w:rStyle w:val="Hyperlink"/>
            <w:noProof/>
            <w:lang w:val="en"/>
          </w:rPr>
          <w:t>IMF and the fear of future public spending</w:t>
        </w:r>
        <w:r w:rsidR="0096325B">
          <w:rPr>
            <w:noProof/>
            <w:webHidden/>
          </w:rPr>
          <w:tab/>
        </w:r>
        <w:r w:rsidR="0096325B">
          <w:rPr>
            <w:noProof/>
            <w:webHidden/>
          </w:rPr>
          <w:fldChar w:fldCharType="begin"/>
        </w:r>
        <w:r w:rsidR="0096325B">
          <w:rPr>
            <w:noProof/>
            <w:webHidden/>
          </w:rPr>
          <w:instrText xml:space="preserve"> PAGEREF _Toc425285680 \h </w:instrText>
        </w:r>
        <w:r w:rsidR="0096325B">
          <w:rPr>
            <w:noProof/>
            <w:webHidden/>
          </w:rPr>
        </w:r>
        <w:r w:rsidR="0096325B">
          <w:rPr>
            <w:noProof/>
            <w:webHidden/>
          </w:rPr>
          <w:fldChar w:fldCharType="separate"/>
        </w:r>
        <w:r w:rsidR="0096325B">
          <w:rPr>
            <w:noProof/>
            <w:webHidden/>
          </w:rPr>
          <w:t>7</w:t>
        </w:r>
        <w:r w:rsidR="0096325B">
          <w:rPr>
            <w:noProof/>
            <w:webHidden/>
          </w:rPr>
          <w:fldChar w:fldCharType="end"/>
        </w:r>
      </w:hyperlink>
    </w:p>
    <w:p w:rsidR="0096325B" w:rsidRDefault="005F6928">
      <w:pPr>
        <w:pStyle w:val="TOC1"/>
        <w:tabs>
          <w:tab w:val="left" w:pos="440"/>
          <w:tab w:val="right" w:leader="dot" w:pos="9628"/>
        </w:tabs>
        <w:rPr>
          <w:rFonts w:eastAsiaTheme="minorEastAsia" w:cstheme="minorBidi"/>
          <w:b w:val="0"/>
          <w:bCs w:val="0"/>
          <w:caps w:val="0"/>
          <w:noProof/>
          <w:sz w:val="22"/>
          <w:szCs w:val="22"/>
        </w:rPr>
      </w:pPr>
      <w:hyperlink w:anchor="_Toc425285681" w:history="1">
        <w:r w:rsidR="0096325B" w:rsidRPr="00F11B20">
          <w:rPr>
            <w:rStyle w:val="Hyperlink"/>
            <w:noProof/>
          </w:rPr>
          <w:t>5.</w:t>
        </w:r>
        <w:r w:rsidR="0096325B">
          <w:rPr>
            <w:rFonts w:eastAsiaTheme="minorEastAsia" w:cstheme="minorBidi"/>
            <w:b w:val="0"/>
            <w:bCs w:val="0"/>
            <w:caps w:val="0"/>
            <w:noProof/>
            <w:sz w:val="22"/>
            <w:szCs w:val="22"/>
          </w:rPr>
          <w:tab/>
        </w:r>
        <w:r w:rsidR="0096325B" w:rsidRPr="00F11B20">
          <w:rPr>
            <w:rStyle w:val="Hyperlink"/>
            <w:noProof/>
          </w:rPr>
          <w:t>IMF</w:t>
        </w:r>
        <w:r w:rsidR="0096325B">
          <w:rPr>
            <w:noProof/>
            <w:webHidden/>
          </w:rPr>
          <w:tab/>
        </w:r>
        <w:r w:rsidR="0096325B">
          <w:rPr>
            <w:noProof/>
            <w:webHidden/>
          </w:rPr>
          <w:fldChar w:fldCharType="begin"/>
        </w:r>
        <w:r w:rsidR="0096325B">
          <w:rPr>
            <w:noProof/>
            <w:webHidden/>
          </w:rPr>
          <w:instrText xml:space="preserve"> PAGEREF _Toc425285681 \h </w:instrText>
        </w:r>
        <w:r w:rsidR="0096325B">
          <w:rPr>
            <w:noProof/>
            <w:webHidden/>
          </w:rPr>
        </w:r>
        <w:r w:rsidR="0096325B">
          <w:rPr>
            <w:noProof/>
            <w:webHidden/>
          </w:rPr>
          <w:fldChar w:fldCharType="separate"/>
        </w:r>
        <w:r w:rsidR="0096325B">
          <w:rPr>
            <w:noProof/>
            <w:webHidden/>
          </w:rPr>
          <w:t>8</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82" w:history="1">
        <w:r w:rsidR="0096325B" w:rsidRPr="00F11B20">
          <w:rPr>
            <w:rStyle w:val="Hyperlink"/>
            <w:noProof/>
          </w:rPr>
          <w:t>5.1.</w:t>
        </w:r>
        <w:r w:rsidR="0096325B">
          <w:rPr>
            <w:rFonts w:eastAsiaTheme="minorEastAsia" w:cstheme="minorBidi"/>
            <w:smallCaps w:val="0"/>
            <w:noProof/>
            <w:sz w:val="22"/>
            <w:szCs w:val="22"/>
          </w:rPr>
          <w:tab/>
        </w:r>
        <w:r w:rsidR="0096325B" w:rsidRPr="00F11B20">
          <w:rPr>
            <w:rStyle w:val="Hyperlink"/>
            <w:noProof/>
          </w:rPr>
          <w:t>Informal power and conflicts of interest</w:t>
        </w:r>
        <w:r w:rsidR="0096325B">
          <w:rPr>
            <w:noProof/>
            <w:webHidden/>
          </w:rPr>
          <w:tab/>
        </w:r>
        <w:r w:rsidR="0096325B">
          <w:rPr>
            <w:noProof/>
            <w:webHidden/>
          </w:rPr>
          <w:fldChar w:fldCharType="begin"/>
        </w:r>
        <w:r w:rsidR="0096325B">
          <w:rPr>
            <w:noProof/>
            <w:webHidden/>
          </w:rPr>
          <w:instrText xml:space="preserve"> PAGEREF _Toc425285682 \h </w:instrText>
        </w:r>
        <w:r w:rsidR="0096325B">
          <w:rPr>
            <w:noProof/>
            <w:webHidden/>
          </w:rPr>
        </w:r>
        <w:r w:rsidR="0096325B">
          <w:rPr>
            <w:noProof/>
            <w:webHidden/>
          </w:rPr>
          <w:fldChar w:fldCharType="separate"/>
        </w:r>
        <w:r w:rsidR="0096325B">
          <w:rPr>
            <w:noProof/>
            <w:webHidden/>
          </w:rPr>
          <w:t>8</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83" w:history="1">
        <w:r w:rsidR="0096325B" w:rsidRPr="00F11B20">
          <w:rPr>
            <w:rStyle w:val="Hyperlink"/>
            <w:noProof/>
          </w:rPr>
          <w:t>5.2.</w:t>
        </w:r>
        <w:r w:rsidR="0096325B">
          <w:rPr>
            <w:rFonts w:eastAsiaTheme="minorEastAsia" w:cstheme="minorBidi"/>
            <w:smallCaps w:val="0"/>
            <w:noProof/>
            <w:sz w:val="22"/>
            <w:szCs w:val="22"/>
          </w:rPr>
          <w:tab/>
        </w:r>
        <w:r w:rsidR="0096325B" w:rsidRPr="00F11B20">
          <w:rPr>
            <w:rStyle w:val="Hyperlink"/>
            <w:noProof/>
          </w:rPr>
          <w:t>IMF and national  constitutions</w:t>
        </w:r>
        <w:r w:rsidR="0096325B">
          <w:rPr>
            <w:noProof/>
            <w:webHidden/>
          </w:rPr>
          <w:tab/>
        </w:r>
        <w:r w:rsidR="0096325B">
          <w:rPr>
            <w:noProof/>
            <w:webHidden/>
          </w:rPr>
          <w:fldChar w:fldCharType="begin"/>
        </w:r>
        <w:r w:rsidR="0096325B">
          <w:rPr>
            <w:noProof/>
            <w:webHidden/>
          </w:rPr>
          <w:instrText xml:space="preserve"> PAGEREF _Toc425285683 \h </w:instrText>
        </w:r>
        <w:r w:rsidR="0096325B">
          <w:rPr>
            <w:noProof/>
            <w:webHidden/>
          </w:rPr>
        </w:r>
        <w:r w:rsidR="0096325B">
          <w:rPr>
            <w:noProof/>
            <w:webHidden/>
          </w:rPr>
          <w:fldChar w:fldCharType="separate"/>
        </w:r>
        <w:r w:rsidR="0096325B">
          <w:rPr>
            <w:noProof/>
            <w:webHidden/>
          </w:rPr>
          <w:t>10</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84" w:history="1">
        <w:r w:rsidR="0096325B" w:rsidRPr="00F11B20">
          <w:rPr>
            <w:rStyle w:val="Hyperlink"/>
            <w:noProof/>
          </w:rPr>
          <w:t>Table 1.</w:t>
        </w:r>
        <w:r w:rsidR="0096325B">
          <w:rPr>
            <w:rFonts w:eastAsiaTheme="minorEastAsia" w:cstheme="minorBidi"/>
            <w:noProof/>
            <w:sz w:val="22"/>
            <w:szCs w:val="22"/>
          </w:rPr>
          <w:tab/>
        </w:r>
        <w:r w:rsidR="0096325B" w:rsidRPr="00F11B20">
          <w:rPr>
            <w:rStyle w:val="Hyperlink"/>
            <w:noProof/>
          </w:rPr>
          <w:t>National constitutional court decisions against IMF/Troika austerity</w:t>
        </w:r>
        <w:r w:rsidR="0096325B">
          <w:rPr>
            <w:noProof/>
            <w:webHidden/>
          </w:rPr>
          <w:tab/>
        </w:r>
        <w:r w:rsidR="0096325B">
          <w:rPr>
            <w:noProof/>
            <w:webHidden/>
          </w:rPr>
          <w:fldChar w:fldCharType="begin"/>
        </w:r>
        <w:r w:rsidR="0096325B">
          <w:rPr>
            <w:noProof/>
            <w:webHidden/>
          </w:rPr>
          <w:instrText xml:space="preserve"> PAGEREF _Toc425285684 \h </w:instrText>
        </w:r>
        <w:r w:rsidR="0096325B">
          <w:rPr>
            <w:noProof/>
            <w:webHidden/>
          </w:rPr>
        </w:r>
        <w:r w:rsidR="0096325B">
          <w:rPr>
            <w:noProof/>
            <w:webHidden/>
          </w:rPr>
          <w:fldChar w:fldCharType="separate"/>
        </w:r>
        <w:r w:rsidR="0096325B">
          <w:rPr>
            <w:noProof/>
            <w:webHidden/>
          </w:rPr>
          <w:t>10</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85" w:history="1">
        <w:r w:rsidR="0096325B" w:rsidRPr="00F11B20">
          <w:rPr>
            <w:rStyle w:val="Hyperlink"/>
            <w:noProof/>
          </w:rPr>
          <w:t>5.3.</w:t>
        </w:r>
        <w:r w:rsidR="0096325B">
          <w:rPr>
            <w:rFonts w:eastAsiaTheme="minorEastAsia" w:cstheme="minorBidi"/>
            <w:smallCaps w:val="0"/>
            <w:noProof/>
            <w:sz w:val="22"/>
            <w:szCs w:val="22"/>
          </w:rPr>
          <w:tab/>
        </w:r>
        <w:r w:rsidR="0096325B" w:rsidRPr="00F11B20">
          <w:rPr>
            <w:rStyle w:val="Hyperlink"/>
            <w:noProof/>
          </w:rPr>
          <w:t>Geopolitics and the pattern of loans</w:t>
        </w:r>
        <w:r w:rsidR="0096325B">
          <w:rPr>
            <w:noProof/>
            <w:webHidden/>
          </w:rPr>
          <w:tab/>
        </w:r>
        <w:r w:rsidR="0096325B">
          <w:rPr>
            <w:noProof/>
            <w:webHidden/>
          </w:rPr>
          <w:fldChar w:fldCharType="begin"/>
        </w:r>
        <w:r w:rsidR="0096325B">
          <w:rPr>
            <w:noProof/>
            <w:webHidden/>
          </w:rPr>
          <w:instrText xml:space="preserve"> PAGEREF _Toc425285685 \h </w:instrText>
        </w:r>
        <w:r w:rsidR="0096325B">
          <w:rPr>
            <w:noProof/>
            <w:webHidden/>
          </w:rPr>
        </w:r>
        <w:r w:rsidR="0096325B">
          <w:rPr>
            <w:noProof/>
            <w:webHidden/>
          </w:rPr>
          <w:fldChar w:fldCharType="separate"/>
        </w:r>
        <w:r w:rsidR="0096325B">
          <w:rPr>
            <w:noProof/>
            <w:webHidden/>
          </w:rPr>
          <w:t>11</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86" w:history="1">
        <w:r w:rsidR="0096325B" w:rsidRPr="00F11B20">
          <w:rPr>
            <w:rStyle w:val="Hyperlink"/>
            <w:noProof/>
          </w:rPr>
          <w:t>Table 2.</w:t>
        </w:r>
        <w:r w:rsidR="0096325B">
          <w:rPr>
            <w:rFonts w:eastAsiaTheme="minorEastAsia" w:cstheme="minorBidi"/>
            <w:noProof/>
            <w:sz w:val="22"/>
            <w:szCs w:val="22"/>
          </w:rPr>
          <w:tab/>
        </w:r>
        <w:r w:rsidR="0096325B" w:rsidRPr="00F11B20">
          <w:rPr>
            <w:rStyle w:val="Hyperlink"/>
            <w:noProof/>
          </w:rPr>
          <w:t>Countries which accelerated final repayment of IMF loans</w:t>
        </w:r>
        <w:r w:rsidR="0096325B">
          <w:rPr>
            <w:noProof/>
            <w:webHidden/>
          </w:rPr>
          <w:tab/>
        </w:r>
        <w:r w:rsidR="0096325B">
          <w:rPr>
            <w:noProof/>
            <w:webHidden/>
          </w:rPr>
          <w:fldChar w:fldCharType="begin"/>
        </w:r>
        <w:r w:rsidR="0096325B">
          <w:rPr>
            <w:noProof/>
            <w:webHidden/>
          </w:rPr>
          <w:instrText xml:space="preserve"> PAGEREF _Toc425285686 \h </w:instrText>
        </w:r>
        <w:r w:rsidR="0096325B">
          <w:rPr>
            <w:noProof/>
            <w:webHidden/>
          </w:rPr>
        </w:r>
        <w:r w:rsidR="0096325B">
          <w:rPr>
            <w:noProof/>
            <w:webHidden/>
          </w:rPr>
          <w:fldChar w:fldCharType="separate"/>
        </w:r>
        <w:r w:rsidR="0096325B">
          <w:rPr>
            <w:noProof/>
            <w:webHidden/>
          </w:rPr>
          <w:t>11</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87" w:history="1">
        <w:r w:rsidR="0096325B" w:rsidRPr="00F11B20">
          <w:rPr>
            <w:rStyle w:val="Hyperlink"/>
            <w:noProof/>
          </w:rPr>
          <w:t>Chart F.</w:t>
        </w:r>
        <w:r w:rsidR="0096325B">
          <w:rPr>
            <w:rFonts w:eastAsiaTheme="minorEastAsia" w:cstheme="minorBidi"/>
            <w:noProof/>
            <w:sz w:val="22"/>
            <w:szCs w:val="22"/>
          </w:rPr>
          <w:tab/>
        </w:r>
        <w:r w:rsidR="0096325B" w:rsidRPr="00F11B20">
          <w:rPr>
            <w:rStyle w:val="Hyperlink"/>
            <w:noProof/>
          </w:rPr>
          <w:t>IMF Lending at a Glance (March 2014)</w:t>
        </w:r>
        <w:r w:rsidR="0096325B">
          <w:rPr>
            <w:noProof/>
            <w:webHidden/>
          </w:rPr>
          <w:tab/>
        </w:r>
        <w:r w:rsidR="0096325B">
          <w:rPr>
            <w:noProof/>
            <w:webHidden/>
          </w:rPr>
          <w:fldChar w:fldCharType="begin"/>
        </w:r>
        <w:r w:rsidR="0096325B">
          <w:rPr>
            <w:noProof/>
            <w:webHidden/>
          </w:rPr>
          <w:instrText xml:space="preserve"> PAGEREF _Toc425285687 \h </w:instrText>
        </w:r>
        <w:r w:rsidR="0096325B">
          <w:rPr>
            <w:noProof/>
            <w:webHidden/>
          </w:rPr>
        </w:r>
        <w:r w:rsidR="0096325B">
          <w:rPr>
            <w:noProof/>
            <w:webHidden/>
          </w:rPr>
          <w:fldChar w:fldCharType="separate"/>
        </w:r>
        <w:r w:rsidR="0096325B">
          <w:rPr>
            <w:noProof/>
            <w:webHidden/>
          </w:rPr>
          <w:t>12</w:t>
        </w:r>
        <w:r w:rsidR="0096325B">
          <w:rPr>
            <w:noProof/>
            <w:webHidden/>
          </w:rPr>
          <w:fldChar w:fldCharType="end"/>
        </w:r>
      </w:hyperlink>
    </w:p>
    <w:p w:rsidR="0096325B" w:rsidRDefault="005F6928">
      <w:pPr>
        <w:pStyle w:val="TOC1"/>
        <w:tabs>
          <w:tab w:val="left" w:pos="440"/>
          <w:tab w:val="right" w:leader="dot" w:pos="9628"/>
        </w:tabs>
        <w:rPr>
          <w:rFonts w:eastAsiaTheme="minorEastAsia" w:cstheme="minorBidi"/>
          <w:b w:val="0"/>
          <w:bCs w:val="0"/>
          <w:caps w:val="0"/>
          <w:noProof/>
          <w:sz w:val="22"/>
          <w:szCs w:val="22"/>
        </w:rPr>
      </w:pPr>
      <w:hyperlink w:anchor="_Toc425285688" w:history="1">
        <w:r w:rsidR="0096325B" w:rsidRPr="00F11B20">
          <w:rPr>
            <w:rStyle w:val="Hyperlink"/>
            <w:noProof/>
          </w:rPr>
          <w:t>6.</w:t>
        </w:r>
        <w:r w:rsidR="0096325B">
          <w:rPr>
            <w:rFonts w:eastAsiaTheme="minorEastAsia" w:cstheme="minorBidi"/>
            <w:b w:val="0"/>
            <w:bCs w:val="0"/>
            <w:caps w:val="0"/>
            <w:noProof/>
            <w:sz w:val="22"/>
            <w:szCs w:val="22"/>
          </w:rPr>
          <w:tab/>
        </w:r>
        <w:r w:rsidR="0096325B" w:rsidRPr="00F11B20">
          <w:rPr>
            <w:rStyle w:val="Hyperlink"/>
            <w:noProof/>
          </w:rPr>
          <w:t>EU</w:t>
        </w:r>
        <w:r w:rsidR="0096325B">
          <w:rPr>
            <w:noProof/>
            <w:webHidden/>
          </w:rPr>
          <w:tab/>
        </w:r>
        <w:r w:rsidR="0096325B">
          <w:rPr>
            <w:noProof/>
            <w:webHidden/>
          </w:rPr>
          <w:fldChar w:fldCharType="begin"/>
        </w:r>
        <w:r w:rsidR="0096325B">
          <w:rPr>
            <w:noProof/>
            <w:webHidden/>
          </w:rPr>
          <w:instrText xml:space="preserve"> PAGEREF _Toc425285688 \h </w:instrText>
        </w:r>
        <w:r w:rsidR="0096325B">
          <w:rPr>
            <w:noProof/>
            <w:webHidden/>
          </w:rPr>
        </w:r>
        <w:r w:rsidR="0096325B">
          <w:rPr>
            <w:noProof/>
            <w:webHidden/>
          </w:rPr>
          <w:fldChar w:fldCharType="separate"/>
        </w:r>
        <w:r w:rsidR="0096325B">
          <w:rPr>
            <w:noProof/>
            <w:webHidden/>
          </w:rPr>
          <w:t>12</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89" w:history="1">
        <w:r w:rsidR="0096325B" w:rsidRPr="00F11B20">
          <w:rPr>
            <w:rStyle w:val="Hyperlink"/>
            <w:noProof/>
          </w:rPr>
          <w:t>6.1.</w:t>
        </w:r>
        <w:r w:rsidR="0096325B">
          <w:rPr>
            <w:rFonts w:eastAsiaTheme="minorEastAsia" w:cstheme="minorBidi"/>
            <w:smallCaps w:val="0"/>
            <w:noProof/>
            <w:sz w:val="22"/>
            <w:szCs w:val="22"/>
          </w:rPr>
          <w:tab/>
        </w:r>
        <w:r w:rsidR="0096325B" w:rsidRPr="00F11B20">
          <w:rPr>
            <w:rStyle w:val="Hyperlink"/>
            <w:noProof/>
          </w:rPr>
          <w:t>Public services and trade: liberalisation and privatisation</w:t>
        </w:r>
        <w:r w:rsidR="0096325B">
          <w:rPr>
            <w:noProof/>
            <w:webHidden/>
          </w:rPr>
          <w:tab/>
        </w:r>
        <w:r w:rsidR="0096325B">
          <w:rPr>
            <w:noProof/>
            <w:webHidden/>
          </w:rPr>
          <w:fldChar w:fldCharType="begin"/>
        </w:r>
        <w:r w:rsidR="0096325B">
          <w:rPr>
            <w:noProof/>
            <w:webHidden/>
          </w:rPr>
          <w:instrText xml:space="preserve"> PAGEREF _Toc425285689 \h </w:instrText>
        </w:r>
        <w:r w:rsidR="0096325B">
          <w:rPr>
            <w:noProof/>
            <w:webHidden/>
          </w:rPr>
        </w:r>
        <w:r w:rsidR="0096325B">
          <w:rPr>
            <w:noProof/>
            <w:webHidden/>
          </w:rPr>
          <w:fldChar w:fldCharType="separate"/>
        </w:r>
        <w:r w:rsidR="0096325B">
          <w:rPr>
            <w:noProof/>
            <w:webHidden/>
          </w:rPr>
          <w:t>13</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90" w:history="1">
        <w:r w:rsidR="0096325B" w:rsidRPr="00F11B20">
          <w:rPr>
            <w:rStyle w:val="Hyperlink"/>
            <w:noProof/>
          </w:rPr>
          <w:t>6.2.</w:t>
        </w:r>
        <w:r w:rsidR="0096325B">
          <w:rPr>
            <w:rFonts w:eastAsiaTheme="minorEastAsia" w:cstheme="minorBidi"/>
            <w:smallCaps w:val="0"/>
            <w:noProof/>
            <w:sz w:val="22"/>
            <w:szCs w:val="22"/>
          </w:rPr>
          <w:tab/>
        </w:r>
        <w:r w:rsidR="0096325B" w:rsidRPr="00F11B20">
          <w:rPr>
            <w:rStyle w:val="Hyperlink"/>
            <w:noProof/>
          </w:rPr>
          <w:t>Maastricht rules on debt and deficit</w:t>
        </w:r>
        <w:r w:rsidR="0096325B">
          <w:rPr>
            <w:noProof/>
            <w:webHidden/>
          </w:rPr>
          <w:tab/>
        </w:r>
        <w:r w:rsidR="0096325B">
          <w:rPr>
            <w:noProof/>
            <w:webHidden/>
          </w:rPr>
          <w:fldChar w:fldCharType="begin"/>
        </w:r>
        <w:r w:rsidR="0096325B">
          <w:rPr>
            <w:noProof/>
            <w:webHidden/>
          </w:rPr>
          <w:instrText xml:space="preserve"> PAGEREF _Toc425285690 \h </w:instrText>
        </w:r>
        <w:r w:rsidR="0096325B">
          <w:rPr>
            <w:noProof/>
            <w:webHidden/>
          </w:rPr>
        </w:r>
        <w:r w:rsidR="0096325B">
          <w:rPr>
            <w:noProof/>
            <w:webHidden/>
          </w:rPr>
          <w:fldChar w:fldCharType="separate"/>
        </w:r>
        <w:r w:rsidR="0096325B">
          <w:rPr>
            <w:noProof/>
            <w:webHidden/>
          </w:rPr>
          <w:t>13</w:t>
        </w:r>
        <w:r w:rsidR="0096325B">
          <w:rPr>
            <w:noProof/>
            <w:webHidden/>
          </w:rPr>
          <w:fldChar w:fldCharType="end"/>
        </w:r>
      </w:hyperlink>
    </w:p>
    <w:p w:rsidR="0096325B" w:rsidRDefault="005F6928">
      <w:pPr>
        <w:pStyle w:val="TOC2"/>
        <w:tabs>
          <w:tab w:val="left" w:pos="880"/>
          <w:tab w:val="right" w:leader="dot" w:pos="9628"/>
        </w:tabs>
        <w:rPr>
          <w:rFonts w:eastAsiaTheme="minorEastAsia" w:cstheme="minorBidi"/>
          <w:smallCaps w:val="0"/>
          <w:noProof/>
          <w:sz w:val="22"/>
          <w:szCs w:val="22"/>
        </w:rPr>
      </w:pPr>
      <w:hyperlink w:anchor="_Toc425285691" w:history="1">
        <w:r w:rsidR="0096325B" w:rsidRPr="00F11B20">
          <w:rPr>
            <w:rStyle w:val="Hyperlink"/>
            <w:noProof/>
          </w:rPr>
          <w:t>6.3.</w:t>
        </w:r>
        <w:r w:rsidR="0096325B">
          <w:rPr>
            <w:rFonts w:eastAsiaTheme="minorEastAsia" w:cstheme="minorBidi"/>
            <w:smallCaps w:val="0"/>
            <w:noProof/>
            <w:sz w:val="22"/>
            <w:szCs w:val="22"/>
          </w:rPr>
          <w:tab/>
        </w:r>
        <w:r w:rsidR="0096325B" w:rsidRPr="00F11B20">
          <w:rPr>
            <w:rStyle w:val="Hyperlink"/>
            <w:noProof/>
          </w:rPr>
          <w:t>The crisis and new powers for the EU</w:t>
        </w:r>
        <w:r w:rsidR="0096325B">
          <w:rPr>
            <w:noProof/>
            <w:webHidden/>
          </w:rPr>
          <w:tab/>
        </w:r>
        <w:r w:rsidR="0096325B">
          <w:rPr>
            <w:noProof/>
            <w:webHidden/>
          </w:rPr>
          <w:fldChar w:fldCharType="begin"/>
        </w:r>
        <w:r w:rsidR="0096325B">
          <w:rPr>
            <w:noProof/>
            <w:webHidden/>
          </w:rPr>
          <w:instrText xml:space="preserve"> PAGEREF _Toc425285691 \h </w:instrText>
        </w:r>
        <w:r w:rsidR="0096325B">
          <w:rPr>
            <w:noProof/>
            <w:webHidden/>
          </w:rPr>
        </w:r>
        <w:r w:rsidR="0096325B">
          <w:rPr>
            <w:noProof/>
            <w:webHidden/>
          </w:rPr>
          <w:fldChar w:fldCharType="separate"/>
        </w:r>
        <w:r w:rsidR="0096325B">
          <w:rPr>
            <w:noProof/>
            <w:webHidden/>
          </w:rPr>
          <w:t>14</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92" w:history="1">
        <w:r w:rsidR="0096325B" w:rsidRPr="00F11B20">
          <w:rPr>
            <w:rStyle w:val="Hyperlink"/>
            <w:noProof/>
          </w:rPr>
          <w:t>Table 3.</w:t>
        </w:r>
        <w:r w:rsidR="0096325B">
          <w:rPr>
            <w:rFonts w:eastAsiaTheme="minorEastAsia" w:cstheme="minorBidi"/>
            <w:noProof/>
            <w:sz w:val="22"/>
            <w:szCs w:val="22"/>
          </w:rPr>
          <w:tab/>
        </w:r>
        <w:r w:rsidR="0096325B" w:rsidRPr="00F11B20">
          <w:rPr>
            <w:rStyle w:val="Hyperlink"/>
            <w:noProof/>
          </w:rPr>
          <w:t>EU surveillance and correction of macroeconomic and fiscal imbalances (March 2014)</w:t>
        </w:r>
        <w:r w:rsidR="0096325B">
          <w:rPr>
            <w:noProof/>
            <w:webHidden/>
          </w:rPr>
          <w:tab/>
        </w:r>
        <w:r w:rsidR="0096325B">
          <w:rPr>
            <w:noProof/>
            <w:webHidden/>
          </w:rPr>
          <w:fldChar w:fldCharType="begin"/>
        </w:r>
        <w:r w:rsidR="0096325B">
          <w:rPr>
            <w:noProof/>
            <w:webHidden/>
          </w:rPr>
          <w:instrText xml:space="preserve"> PAGEREF _Toc425285692 \h </w:instrText>
        </w:r>
        <w:r w:rsidR="0096325B">
          <w:rPr>
            <w:noProof/>
            <w:webHidden/>
          </w:rPr>
        </w:r>
        <w:r w:rsidR="0096325B">
          <w:rPr>
            <w:noProof/>
            <w:webHidden/>
          </w:rPr>
          <w:fldChar w:fldCharType="separate"/>
        </w:r>
        <w:r w:rsidR="0096325B">
          <w:rPr>
            <w:noProof/>
            <w:webHidden/>
          </w:rPr>
          <w:t>15</w:t>
        </w:r>
        <w:r w:rsidR="0096325B">
          <w:rPr>
            <w:noProof/>
            <w:webHidden/>
          </w:rPr>
          <w:fldChar w:fldCharType="end"/>
        </w:r>
      </w:hyperlink>
    </w:p>
    <w:p w:rsidR="0096325B" w:rsidRDefault="005F6928">
      <w:pPr>
        <w:pStyle w:val="TOC1"/>
        <w:tabs>
          <w:tab w:val="left" w:pos="440"/>
          <w:tab w:val="right" w:leader="dot" w:pos="9628"/>
        </w:tabs>
        <w:rPr>
          <w:rFonts w:eastAsiaTheme="minorEastAsia" w:cstheme="minorBidi"/>
          <w:b w:val="0"/>
          <w:bCs w:val="0"/>
          <w:caps w:val="0"/>
          <w:noProof/>
          <w:sz w:val="22"/>
          <w:szCs w:val="22"/>
        </w:rPr>
      </w:pPr>
      <w:hyperlink w:anchor="_Toc425285693" w:history="1">
        <w:r w:rsidR="0096325B" w:rsidRPr="00F11B20">
          <w:rPr>
            <w:rStyle w:val="Hyperlink"/>
            <w:noProof/>
          </w:rPr>
          <w:t>7.</w:t>
        </w:r>
        <w:r w:rsidR="0096325B">
          <w:rPr>
            <w:rFonts w:eastAsiaTheme="minorEastAsia" w:cstheme="minorBidi"/>
            <w:b w:val="0"/>
            <w:bCs w:val="0"/>
            <w:caps w:val="0"/>
            <w:noProof/>
            <w:sz w:val="22"/>
            <w:szCs w:val="22"/>
          </w:rPr>
          <w:tab/>
        </w:r>
        <w:r w:rsidR="0096325B" w:rsidRPr="00F11B20">
          <w:rPr>
            <w:rStyle w:val="Hyperlink"/>
            <w:noProof/>
          </w:rPr>
          <w:t>Conclusion</w:t>
        </w:r>
        <w:r w:rsidR="0096325B">
          <w:rPr>
            <w:noProof/>
            <w:webHidden/>
          </w:rPr>
          <w:tab/>
        </w:r>
        <w:r w:rsidR="0096325B">
          <w:rPr>
            <w:noProof/>
            <w:webHidden/>
          </w:rPr>
          <w:fldChar w:fldCharType="begin"/>
        </w:r>
        <w:r w:rsidR="0096325B">
          <w:rPr>
            <w:noProof/>
            <w:webHidden/>
          </w:rPr>
          <w:instrText xml:space="preserve"> PAGEREF _Toc425285693 \h </w:instrText>
        </w:r>
        <w:r w:rsidR="0096325B">
          <w:rPr>
            <w:noProof/>
            <w:webHidden/>
          </w:rPr>
        </w:r>
        <w:r w:rsidR="0096325B">
          <w:rPr>
            <w:noProof/>
            <w:webHidden/>
          </w:rPr>
          <w:fldChar w:fldCharType="separate"/>
        </w:r>
        <w:r w:rsidR="0096325B">
          <w:rPr>
            <w:noProof/>
            <w:webHidden/>
          </w:rPr>
          <w:t>17</w:t>
        </w:r>
        <w:r w:rsidR="0096325B">
          <w:rPr>
            <w:noProof/>
            <w:webHidden/>
          </w:rPr>
          <w:fldChar w:fldCharType="end"/>
        </w:r>
      </w:hyperlink>
    </w:p>
    <w:p w:rsidR="0096325B" w:rsidRDefault="005F6928">
      <w:pPr>
        <w:pStyle w:val="TOC1"/>
        <w:tabs>
          <w:tab w:val="right" w:leader="dot" w:pos="9628"/>
        </w:tabs>
        <w:rPr>
          <w:rFonts w:eastAsiaTheme="minorEastAsia" w:cstheme="minorBidi"/>
          <w:b w:val="0"/>
          <w:bCs w:val="0"/>
          <w:caps w:val="0"/>
          <w:noProof/>
          <w:sz w:val="22"/>
          <w:szCs w:val="22"/>
        </w:rPr>
      </w:pPr>
      <w:hyperlink w:anchor="_Toc425285694" w:history="1">
        <w:r w:rsidR="0096325B" w:rsidRPr="00F11B20">
          <w:rPr>
            <w:rStyle w:val="Hyperlink"/>
            <w:noProof/>
          </w:rPr>
          <w:t>Annexe: the EU Semester</w:t>
        </w:r>
        <w:r w:rsidR="0096325B">
          <w:rPr>
            <w:noProof/>
            <w:webHidden/>
          </w:rPr>
          <w:tab/>
        </w:r>
        <w:r w:rsidR="0096325B">
          <w:rPr>
            <w:noProof/>
            <w:webHidden/>
          </w:rPr>
          <w:fldChar w:fldCharType="begin"/>
        </w:r>
        <w:r w:rsidR="0096325B">
          <w:rPr>
            <w:noProof/>
            <w:webHidden/>
          </w:rPr>
          <w:instrText xml:space="preserve"> PAGEREF _Toc425285694 \h </w:instrText>
        </w:r>
        <w:r w:rsidR="0096325B">
          <w:rPr>
            <w:noProof/>
            <w:webHidden/>
          </w:rPr>
        </w:r>
        <w:r w:rsidR="0096325B">
          <w:rPr>
            <w:noProof/>
            <w:webHidden/>
          </w:rPr>
          <w:fldChar w:fldCharType="separate"/>
        </w:r>
        <w:r w:rsidR="0096325B">
          <w:rPr>
            <w:noProof/>
            <w:webHidden/>
          </w:rPr>
          <w:t>18</w:t>
        </w:r>
        <w:r w:rsidR="0096325B">
          <w:rPr>
            <w:noProof/>
            <w:webHidden/>
          </w:rPr>
          <w:fldChar w:fldCharType="end"/>
        </w:r>
      </w:hyperlink>
    </w:p>
    <w:p w:rsidR="0096325B" w:rsidRDefault="005F6928">
      <w:pPr>
        <w:pStyle w:val="TOC4"/>
        <w:tabs>
          <w:tab w:val="left" w:pos="1540"/>
          <w:tab w:val="right" w:leader="dot" w:pos="9628"/>
        </w:tabs>
        <w:rPr>
          <w:rFonts w:eastAsiaTheme="minorEastAsia" w:cstheme="minorBidi"/>
          <w:noProof/>
          <w:sz w:val="22"/>
          <w:szCs w:val="22"/>
        </w:rPr>
      </w:pPr>
      <w:hyperlink w:anchor="_Toc425285695" w:history="1">
        <w:r w:rsidR="0096325B" w:rsidRPr="00F11B20">
          <w:rPr>
            <w:rStyle w:val="Hyperlink"/>
            <w:noProof/>
          </w:rPr>
          <w:t>Chart G.</w:t>
        </w:r>
        <w:r w:rsidR="0096325B">
          <w:rPr>
            <w:rFonts w:eastAsiaTheme="minorEastAsia" w:cstheme="minorBidi"/>
            <w:noProof/>
            <w:sz w:val="22"/>
            <w:szCs w:val="22"/>
          </w:rPr>
          <w:tab/>
        </w:r>
        <w:r w:rsidR="0096325B" w:rsidRPr="00F11B20">
          <w:rPr>
            <w:rStyle w:val="Hyperlink"/>
            <w:noProof/>
          </w:rPr>
          <w:t>THE EUROPEAN SEMESTER - COORDINATION THROUGHOUT THE YEAR</w:t>
        </w:r>
        <w:r w:rsidR="0096325B">
          <w:rPr>
            <w:noProof/>
            <w:webHidden/>
          </w:rPr>
          <w:tab/>
        </w:r>
        <w:r w:rsidR="0096325B">
          <w:rPr>
            <w:noProof/>
            <w:webHidden/>
          </w:rPr>
          <w:fldChar w:fldCharType="begin"/>
        </w:r>
        <w:r w:rsidR="0096325B">
          <w:rPr>
            <w:noProof/>
            <w:webHidden/>
          </w:rPr>
          <w:instrText xml:space="preserve"> PAGEREF _Toc425285695 \h </w:instrText>
        </w:r>
        <w:r w:rsidR="0096325B">
          <w:rPr>
            <w:noProof/>
            <w:webHidden/>
          </w:rPr>
        </w:r>
        <w:r w:rsidR="0096325B">
          <w:rPr>
            <w:noProof/>
            <w:webHidden/>
          </w:rPr>
          <w:fldChar w:fldCharType="separate"/>
        </w:r>
        <w:r w:rsidR="0096325B">
          <w:rPr>
            <w:noProof/>
            <w:webHidden/>
          </w:rPr>
          <w:t>18</w:t>
        </w:r>
        <w:r w:rsidR="0096325B">
          <w:rPr>
            <w:noProof/>
            <w:webHidden/>
          </w:rPr>
          <w:fldChar w:fldCharType="end"/>
        </w:r>
      </w:hyperlink>
    </w:p>
    <w:p w:rsidR="0096325B" w:rsidRDefault="005F6928">
      <w:pPr>
        <w:pStyle w:val="TOC1"/>
        <w:tabs>
          <w:tab w:val="right" w:leader="dot" w:pos="9628"/>
        </w:tabs>
        <w:rPr>
          <w:rFonts w:eastAsiaTheme="minorEastAsia" w:cstheme="minorBidi"/>
          <w:b w:val="0"/>
          <w:bCs w:val="0"/>
          <w:caps w:val="0"/>
          <w:noProof/>
          <w:sz w:val="22"/>
          <w:szCs w:val="22"/>
        </w:rPr>
      </w:pPr>
      <w:hyperlink w:anchor="_Toc425285696" w:history="1">
        <w:r w:rsidR="0096325B" w:rsidRPr="00F11B20">
          <w:rPr>
            <w:rStyle w:val="Hyperlink"/>
            <w:noProof/>
          </w:rPr>
          <w:t>Bibliography</w:t>
        </w:r>
        <w:r w:rsidR="0096325B">
          <w:rPr>
            <w:noProof/>
            <w:webHidden/>
          </w:rPr>
          <w:tab/>
        </w:r>
        <w:r w:rsidR="0096325B">
          <w:rPr>
            <w:noProof/>
            <w:webHidden/>
          </w:rPr>
          <w:fldChar w:fldCharType="begin"/>
        </w:r>
        <w:r w:rsidR="0096325B">
          <w:rPr>
            <w:noProof/>
            <w:webHidden/>
          </w:rPr>
          <w:instrText xml:space="preserve"> PAGEREF _Toc425285696 \h </w:instrText>
        </w:r>
        <w:r w:rsidR="0096325B">
          <w:rPr>
            <w:noProof/>
            <w:webHidden/>
          </w:rPr>
        </w:r>
        <w:r w:rsidR="0096325B">
          <w:rPr>
            <w:noProof/>
            <w:webHidden/>
          </w:rPr>
          <w:fldChar w:fldCharType="separate"/>
        </w:r>
        <w:r w:rsidR="0096325B">
          <w:rPr>
            <w:noProof/>
            <w:webHidden/>
          </w:rPr>
          <w:t>19</w:t>
        </w:r>
        <w:r w:rsidR="0096325B">
          <w:rPr>
            <w:noProof/>
            <w:webHidden/>
          </w:rPr>
          <w:fldChar w:fldCharType="end"/>
        </w:r>
      </w:hyperlink>
    </w:p>
    <w:p w:rsidR="0096325B" w:rsidRDefault="005F6928">
      <w:pPr>
        <w:pStyle w:val="TOC1"/>
        <w:tabs>
          <w:tab w:val="right" w:leader="dot" w:pos="9628"/>
        </w:tabs>
        <w:rPr>
          <w:rFonts w:eastAsiaTheme="minorEastAsia" w:cstheme="minorBidi"/>
          <w:b w:val="0"/>
          <w:bCs w:val="0"/>
          <w:caps w:val="0"/>
          <w:noProof/>
          <w:sz w:val="22"/>
          <w:szCs w:val="22"/>
        </w:rPr>
      </w:pPr>
      <w:hyperlink w:anchor="_Toc425285697" w:history="1">
        <w:r w:rsidR="0096325B" w:rsidRPr="00F11B20">
          <w:rPr>
            <w:rStyle w:val="Hyperlink"/>
            <w:noProof/>
          </w:rPr>
          <w:t>Notes</w:t>
        </w:r>
        <w:r w:rsidR="0096325B">
          <w:rPr>
            <w:noProof/>
            <w:webHidden/>
          </w:rPr>
          <w:tab/>
        </w:r>
        <w:r w:rsidR="0096325B">
          <w:rPr>
            <w:noProof/>
            <w:webHidden/>
          </w:rPr>
          <w:fldChar w:fldCharType="begin"/>
        </w:r>
        <w:r w:rsidR="0096325B">
          <w:rPr>
            <w:noProof/>
            <w:webHidden/>
          </w:rPr>
          <w:instrText xml:space="preserve"> PAGEREF _Toc425285697 \h </w:instrText>
        </w:r>
        <w:r w:rsidR="0096325B">
          <w:rPr>
            <w:noProof/>
            <w:webHidden/>
          </w:rPr>
        </w:r>
        <w:r w:rsidR="0096325B">
          <w:rPr>
            <w:noProof/>
            <w:webHidden/>
          </w:rPr>
          <w:fldChar w:fldCharType="separate"/>
        </w:r>
        <w:r w:rsidR="0096325B">
          <w:rPr>
            <w:noProof/>
            <w:webHidden/>
          </w:rPr>
          <w:t>22</w:t>
        </w:r>
        <w:r w:rsidR="0096325B">
          <w:rPr>
            <w:noProof/>
            <w:webHidden/>
          </w:rPr>
          <w:fldChar w:fldCharType="end"/>
        </w:r>
      </w:hyperlink>
    </w:p>
    <w:p w:rsidR="009B562A" w:rsidRDefault="00A87FCA" w:rsidP="009B562A">
      <w:r>
        <w:lastRenderedPageBreak/>
        <w:fldChar w:fldCharType="end"/>
      </w:r>
    </w:p>
    <w:p w:rsidR="009B562A" w:rsidRDefault="00425E0C" w:rsidP="00725BBC">
      <w:pPr>
        <w:pStyle w:val="Heading1"/>
      </w:pPr>
      <w:bookmarkStart w:id="1" w:name="_Toc425285664"/>
      <w:r>
        <w:t>Introduction</w:t>
      </w:r>
      <w:bookmarkEnd w:id="1"/>
    </w:p>
    <w:p w:rsidR="00486DA3" w:rsidRDefault="00486DA3" w:rsidP="00D516C7">
      <w:pPr>
        <w:rPr>
          <w:lang w:eastAsia="en-US"/>
        </w:rPr>
      </w:pPr>
      <w:r>
        <w:rPr>
          <w:lang w:eastAsia="en-US"/>
        </w:rPr>
        <w:t>This paper attempts to shed some light on the political economy of the austerity programmes</w:t>
      </w:r>
      <w:r w:rsidR="00D516C7">
        <w:rPr>
          <w:lang w:eastAsia="en-US"/>
        </w:rPr>
        <w:t xml:space="preserve"> currently being applied throughout Europe and in many other countries worldwide.  Firstly, it examines the </w:t>
      </w:r>
      <w:r w:rsidR="004C4047">
        <w:rPr>
          <w:lang w:eastAsia="en-US"/>
        </w:rPr>
        <w:t xml:space="preserve">economic context of austerity, including  its relations to the global financial crisis of 2008 and support for banks,  its impact on </w:t>
      </w:r>
      <w:r w:rsidR="00165547">
        <w:rPr>
          <w:lang w:eastAsia="en-US"/>
        </w:rPr>
        <w:t xml:space="preserve">economic </w:t>
      </w:r>
      <w:r w:rsidR="004C4047">
        <w:rPr>
          <w:lang w:eastAsia="en-US"/>
        </w:rPr>
        <w:t xml:space="preserve">growth, and links to long-term concerns of the IMF and the EU over public spending. </w:t>
      </w:r>
      <w:r w:rsidR="00D516C7">
        <w:rPr>
          <w:lang w:eastAsia="en-US"/>
        </w:rPr>
        <w:t>Secondly, it looks at the roles of the IMF and EU, including the legal and economic bases of their interventions, the policy objectives being pursued</w:t>
      </w:r>
      <w:r w:rsidR="004C4047">
        <w:rPr>
          <w:lang w:eastAsia="en-US"/>
        </w:rPr>
        <w:t>, and the relationship between both bodies and national laws and political processes. It concludes that tensions between these institutional mechanisms and democratic processes are likely to continue</w:t>
      </w:r>
      <w:r w:rsidR="00165547">
        <w:rPr>
          <w:lang w:eastAsia="en-US"/>
        </w:rPr>
        <w:t xml:space="preserve"> and grow</w:t>
      </w:r>
      <w:r w:rsidR="004C4047">
        <w:rPr>
          <w:lang w:eastAsia="en-US"/>
        </w:rPr>
        <w:t>, in the absence of significant economic growth</w:t>
      </w:r>
      <w:r w:rsidR="00165547">
        <w:rPr>
          <w:lang w:eastAsia="en-US"/>
        </w:rPr>
        <w:t>.</w:t>
      </w:r>
      <w:r w:rsidR="004C4047">
        <w:rPr>
          <w:lang w:eastAsia="en-US"/>
        </w:rPr>
        <w:t xml:space="preserve"> </w:t>
      </w:r>
    </w:p>
    <w:p w:rsidR="00D516C7" w:rsidRDefault="00D516C7" w:rsidP="00D516C7">
      <w:pPr>
        <w:rPr>
          <w:lang w:eastAsia="en-US"/>
        </w:rPr>
      </w:pPr>
    </w:p>
    <w:p w:rsidR="004C4047" w:rsidRDefault="004C4047" w:rsidP="004C4047">
      <w:pPr>
        <w:pStyle w:val="Heading1"/>
      </w:pPr>
      <w:bookmarkStart w:id="2" w:name="_Toc425285665"/>
      <w:r>
        <w:t>Austerity: origins and impact</w:t>
      </w:r>
      <w:bookmarkEnd w:id="2"/>
    </w:p>
    <w:p w:rsidR="00425E0C" w:rsidRDefault="00662554" w:rsidP="00662554">
      <w:pPr>
        <w:pStyle w:val="Heading2"/>
      </w:pPr>
      <w:bookmarkStart w:id="3" w:name="_Toc425285666"/>
      <w:bookmarkStart w:id="4" w:name="_Toc350704169"/>
      <w:r>
        <w:t>Crisis</w:t>
      </w:r>
      <w:r w:rsidR="004C4047">
        <w:t xml:space="preserve"> and deficits</w:t>
      </w:r>
      <w:bookmarkEnd w:id="3"/>
    </w:p>
    <w:p w:rsidR="009C63C4" w:rsidRDefault="00486DA3" w:rsidP="00161C82">
      <w:pPr>
        <w:rPr>
          <w:lang w:eastAsia="en-US"/>
        </w:rPr>
      </w:pPr>
      <w:r>
        <w:rPr>
          <w:lang w:eastAsia="en-US"/>
        </w:rPr>
        <w:t xml:space="preserve">The austerity policies are not simple economic consequences of the recession. </w:t>
      </w:r>
      <w:r w:rsidR="00161C82">
        <w:rPr>
          <w:lang w:eastAsia="en-US"/>
        </w:rPr>
        <w:t>And the crisis which led to the recession</w:t>
      </w:r>
      <w:r w:rsidR="0071442C">
        <w:rPr>
          <w:lang w:eastAsia="en-US"/>
        </w:rPr>
        <w:t xml:space="preserve"> was not, in any sense at all, created by government spending policies.</w:t>
      </w:r>
      <w:r w:rsidR="00614184">
        <w:rPr>
          <w:lang w:eastAsia="en-US"/>
        </w:rPr>
        <w:t xml:space="preserve"> </w:t>
      </w:r>
      <w:r w:rsidR="00161C82">
        <w:rPr>
          <w:lang w:eastAsia="en-US"/>
        </w:rPr>
        <w:t>The world recession rather stemmed from the financial bubbles generated through a crisis of private finance, most notoriously the ‘sub-prime’ mortgages of the USA, and various forms of securitisation: a crisis of private, not public,</w:t>
      </w:r>
      <w:r w:rsidR="00161C82" w:rsidRPr="0071442C">
        <w:rPr>
          <w:lang w:eastAsia="en-US"/>
        </w:rPr>
        <w:t xml:space="preserve"> </w:t>
      </w:r>
      <w:r w:rsidR="00161C82">
        <w:rPr>
          <w:lang w:eastAsia="en-US"/>
        </w:rPr>
        <w:t xml:space="preserve">finance.  </w:t>
      </w:r>
    </w:p>
    <w:p w:rsidR="008E3E21" w:rsidRDefault="008E3E21" w:rsidP="00AF1484">
      <w:pPr>
        <w:rPr>
          <w:lang w:eastAsia="en-US"/>
        </w:rPr>
      </w:pPr>
    </w:p>
    <w:p w:rsidR="00614184" w:rsidRDefault="00161C82" w:rsidP="00AF1484">
      <w:pPr>
        <w:rPr>
          <w:lang w:eastAsia="en-US"/>
        </w:rPr>
      </w:pPr>
      <w:r>
        <w:rPr>
          <w:lang w:eastAsia="en-US"/>
        </w:rPr>
        <w:t>It was rather the recession which led to government deficits rising</w:t>
      </w:r>
      <w:r w:rsidR="00496A2F">
        <w:rPr>
          <w:lang w:eastAsia="en-US"/>
        </w:rPr>
        <w:t xml:space="preserve"> everywhere in 2009, partly as an entirely healthy operation of the ‘automatic stabilisers’ whereby governments soak up part of the impact of recessions through a fall in taxes and a rise in spending on benefits, partly as a result of a globally coordinated deliberate expansion of public borrowing in most countries in 2009, which successfully</w:t>
      </w:r>
      <w:r w:rsidR="00496A2F" w:rsidRPr="00496A2F">
        <w:rPr>
          <w:lang w:eastAsia="en-US"/>
        </w:rPr>
        <w:t xml:space="preserve"> </w:t>
      </w:r>
      <w:r w:rsidR="00496A2F">
        <w:rPr>
          <w:lang w:eastAsia="en-US"/>
        </w:rPr>
        <w:t xml:space="preserve">injected a significant boost to the world economy, and partly through the massive debts adopted by various governments to rescue banks which would otherwise have collapsed. </w:t>
      </w:r>
      <w:r w:rsidR="00D66853">
        <w:rPr>
          <w:lang w:eastAsia="en-US"/>
        </w:rPr>
        <w:t>Economic recession was contained, through a sharp rise in public deficits and public spending</w:t>
      </w:r>
      <w:r w:rsidR="00614184">
        <w:rPr>
          <w:lang w:eastAsia="en-US"/>
        </w:rPr>
        <w:t xml:space="preserve">. Public spending as a % of GDP rose significantly everywhere, restoring its long-term upward trend, reaching over 50% of GDP across Europe as a whole.   </w:t>
      </w:r>
    </w:p>
    <w:p w:rsidR="009C63C4" w:rsidRPr="00486DA3" w:rsidRDefault="009C63C4" w:rsidP="009C63C4">
      <w:pPr>
        <w:pStyle w:val="Heading2"/>
      </w:pPr>
      <w:bookmarkStart w:id="5" w:name="_Toc425285667"/>
      <w:bookmarkStart w:id="6" w:name="_Toc351656231"/>
      <w:r w:rsidRPr="00486DA3">
        <w:t>Varieties of austerity</w:t>
      </w:r>
      <w:bookmarkEnd w:id="5"/>
    </w:p>
    <w:p w:rsidR="009C63C4" w:rsidRDefault="009C63C4" w:rsidP="009C63C4">
      <w:pPr>
        <w:rPr>
          <w:lang w:eastAsia="en-US"/>
        </w:rPr>
      </w:pPr>
      <w:r>
        <w:rPr>
          <w:lang w:eastAsia="en-US"/>
        </w:rPr>
        <w:t xml:space="preserve">The concept of austerity implies a collective sacrifice of current consumption for some public or common good, in the context of limited economic resources which require planned prioritisation. In post-war Europe, it was applied to programmes where household consumption and income was restricted, often with some form of rationing to equalise the impact, to enable  national economic reconstruction to take place, including the establishment of full employment. Public spending, public ownership  and employment, by contrast, grew substantially,  including public healthcare and pensions, </w:t>
      </w:r>
      <w:r w:rsidR="003412A6">
        <w:rPr>
          <w:lang w:eastAsia="en-US"/>
        </w:rPr>
        <w:t xml:space="preserve">which </w:t>
      </w:r>
      <w:r>
        <w:rPr>
          <w:lang w:eastAsia="en-US"/>
        </w:rPr>
        <w:t xml:space="preserve">were expanded as </w:t>
      </w:r>
      <w:r w:rsidR="009C7DC8">
        <w:rPr>
          <w:lang w:eastAsia="en-US"/>
        </w:rPr>
        <w:t>key elements of national reconstruction and building a better world.</w:t>
      </w:r>
      <w:r>
        <w:rPr>
          <w:lang w:eastAsia="en-US"/>
        </w:rPr>
        <w:t xml:space="preserve"> The impact was cushioned by the availability of Marshall aid from the USA</w:t>
      </w:r>
      <w:r w:rsidR="009C7DC8">
        <w:rPr>
          <w:lang w:eastAsia="en-US"/>
        </w:rPr>
        <w:t>, without conditionalities</w:t>
      </w:r>
      <w:r>
        <w:rPr>
          <w:lang w:eastAsia="en-US"/>
        </w:rPr>
        <w:t xml:space="preserve"> (Eichengreen 2007).</w:t>
      </w:r>
      <w:r w:rsidR="00C715D3">
        <w:rPr>
          <w:lang w:eastAsia="en-US"/>
        </w:rPr>
        <w:t xml:space="preserve">  </w:t>
      </w:r>
      <w:r>
        <w:rPr>
          <w:lang w:eastAsia="en-US"/>
        </w:rPr>
        <w:t xml:space="preserve">Large amounts of public debt were written off, thus freeing resources for other priorities. This included the cancellation of nearly all of the huge public debt of Germany, which had reached 675% of GDP (Kuttner 2013).  </w:t>
      </w:r>
    </w:p>
    <w:p w:rsidR="009C63C4" w:rsidRDefault="009C63C4" w:rsidP="009C63C4">
      <w:pPr>
        <w:rPr>
          <w:lang w:eastAsia="en-US"/>
        </w:rPr>
      </w:pPr>
    </w:p>
    <w:p w:rsidR="002710B2" w:rsidRPr="00E074ED" w:rsidRDefault="009C63C4" w:rsidP="009C63C4">
      <w:pPr>
        <w:rPr>
          <w:lang w:eastAsia="en-US"/>
        </w:rPr>
      </w:pPr>
      <w:r>
        <w:rPr>
          <w:lang w:eastAsia="en-US"/>
        </w:rPr>
        <w:t>In the European austerity policies of the 21</w:t>
      </w:r>
      <w:r w:rsidRPr="00C62EDB">
        <w:rPr>
          <w:vertAlign w:val="superscript"/>
          <w:lang w:eastAsia="en-US"/>
        </w:rPr>
        <w:t>st</w:t>
      </w:r>
      <w:r>
        <w:rPr>
          <w:lang w:eastAsia="en-US"/>
        </w:rPr>
        <w:t xml:space="preserve"> century, there are at least </w:t>
      </w:r>
      <w:r w:rsidR="00CF4C66">
        <w:rPr>
          <w:lang w:eastAsia="en-US"/>
        </w:rPr>
        <w:t>two</w:t>
      </w:r>
      <w:r>
        <w:rPr>
          <w:lang w:eastAsia="en-US"/>
        </w:rPr>
        <w:t xml:space="preserve"> great differences. Firstly, the public objective is very different, and less clear. It is not the reconstruction</w:t>
      </w:r>
      <w:r w:rsidRPr="002E5180">
        <w:rPr>
          <w:lang w:eastAsia="en-US"/>
        </w:rPr>
        <w:t xml:space="preserve"> </w:t>
      </w:r>
      <w:r>
        <w:rPr>
          <w:lang w:eastAsia="en-US"/>
        </w:rPr>
        <w:t xml:space="preserve">of  productive capacity , full employment, or the development of the shared benefit of the welfare state, but rather the goal of fiscal soundness, formalised  in targets for government debt and deficit, and the ability to borrow, and repay, in international financial markets.  While it is asserted that these goals will lead to better economic growth and employment levels, these are not the key indicators of success – </w:t>
      </w:r>
      <w:r w:rsidR="003412A6">
        <w:rPr>
          <w:lang w:eastAsia="en-US"/>
        </w:rPr>
        <w:t xml:space="preserve">they are treated </w:t>
      </w:r>
      <w:r>
        <w:rPr>
          <w:lang w:eastAsia="en-US"/>
        </w:rPr>
        <w:t>rather as externalities. Secondly, the austerity is focussed primarily on public spending, rather than consumer spending (reinforced by the objective focussing on the management of public, rather than private, debt</w:t>
      </w:r>
      <w:r w:rsidR="003412A6">
        <w:rPr>
          <w:lang w:eastAsia="en-US"/>
        </w:rPr>
        <w:t>)</w:t>
      </w:r>
      <w:r>
        <w:rPr>
          <w:lang w:eastAsia="en-US"/>
        </w:rPr>
        <w:t xml:space="preserve">. </w:t>
      </w:r>
    </w:p>
    <w:p w:rsidR="00425E0C" w:rsidRDefault="00C715D3" w:rsidP="0053417A">
      <w:pPr>
        <w:pStyle w:val="Heading2"/>
      </w:pPr>
      <w:bookmarkStart w:id="7" w:name="_Toc425285668"/>
      <w:bookmarkEnd w:id="6"/>
      <w:r>
        <w:lastRenderedPageBreak/>
        <w:t>Unequal a</w:t>
      </w:r>
      <w:r w:rsidR="00425E0C">
        <w:t>usterity</w:t>
      </w:r>
      <w:bookmarkEnd w:id="7"/>
      <w:r w:rsidR="00425E0C">
        <w:t xml:space="preserve"> </w:t>
      </w:r>
    </w:p>
    <w:p w:rsidR="002710B2" w:rsidRDefault="000F0594" w:rsidP="006200D3">
      <w:pPr>
        <w:rPr>
          <w:lang w:eastAsia="en-US"/>
        </w:rPr>
      </w:pPr>
      <w:r>
        <w:rPr>
          <w:lang w:eastAsia="en-US"/>
        </w:rPr>
        <w:t xml:space="preserve">Most of the reduction in budget deficits has been made by cuts in spending rather than increases in taxes – in the UK for example the ratio has been about 85:15. </w:t>
      </w:r>
      <w:r w:rsidR="001C2623">
        <w:rPr>
          <w:lang w:eastAsia="en-US"/>
        </w:rPr>
        <w:t xml:space="preserve">The measures have included cuts in subsidies, cuts in pay and pensions of public employees, reduced eligibility for benefits and pensions, and cuts in healthcare expenditure (Ortiz and Cummins 2013), </w:t>
      </w:r>
      <w:r w:rsidR="003412A6">
        <w:rPr>
          <w:lang w:eastAsia="en-US"/>
        </w:rPr>
        <w:t xml:space="preserve"> and t</w:t>
      </w:r>
      <w:r w:rsidR="00CF4C66">
        <w:rPr>
          <w:lang w:eastAsia="en-US"/>
        </w:rPr>
        <w:t xml:space="preserve">he effects </w:t>
      </w:r>
      <w:r>
        <w:rPr>
          <w:lang w:eastAsia="en-US"/>
        </w:rPr>
        <w:t>have been felt</w:t>
      </w:r>
      <w:r w:rsidR="00CF4C66">
        <w:rPr>
          <w:lang w:eastAsia="en-US"/>
        </w:rPr>
        <w:t xml:space="preserve"> in terms of loss of income, loss of employment, insecurity, morbidity and mortality</w:t>
      </w:r>
      <w:r w:rsidR="002710B2">
        <w:rPr>
          <w:lang w:eastAsia="en-US"/>
        </w:rPr>
        <w:t>: “austerity is not only self-defeating but fatal” (Stuckler and Basu 2013).</w:t>
      </w:r>
      <w:r w:rsidR="00CF4C66">
        <w:rPr>
          <w:lang w:eastAsia="en-US"/>
        </w:rPr>
        <w:t xml:space="preserve"> </w:t>
      </w:r>
      <w:r w:rsidR="002710B2">
        <w:rPr>
          <w:lang w:eastAsia="en-US"/>
        </w:rPr>
        <w:t>While the programmes have been welcomed by banks and financial institutions, small businesses have been less enthusiastic, and they have been met with a wave of general strikes on an unprecedented scale, and by social movements of unemployed youth.</w:t>
      </w:r>
      <w:r>
        <w:rPr>
          <w:lang w:eastAsia="en-US"/>
        </w:rPr>
        <w:t xml:space="preserve"> (</w:t>
      </w:r>
      <w:r w:rsidR="009926BC">
        <w:rPr>
          <w:lang w:eastAsia="en-US"/>
        </w:rPr>
        <w:t>Cavero and Poinasamy 2013</w:t>
      </w:r>
      <w:r>
        <w:rPr>
          <w:lang w:eastAsia="en-US"/>
        </w:rPr>
        <w:t>)</w:t>
      </w:r>
    </w:p>
    <w:p w:rsidR="002710B2" w:rsidRDefault="002710B2" w:rsidP="006200D3">
      <w:pPr>
        <w:rPr>
          <w:lang w:eastAsia="en-US"/>
        </w:rPr>
      </w:pPr>
    </w:p>
    <w:p w:rsidR="00CF4C66" w:rsidRPr="000F67FE" w:rsidRDefault="001C2623" w:rsidP="006200D3">
      <w:r>
        <w:t xml:space="preserve">Under austerity programmes, the poor </w:t>
      </w:r>
      <w:r w:rsidR="00BB2A2F">
        <w:t xml:space="preserve">are harder hit by cuts in public services as well as by cuts in benefits or subsidies. </w:t>
      </w:r>
      <w:r w:rsidR="0060416A">
        <w:rPr>
          <w:lang w:eastAsia="en-US"/>
        </w:rPr>
        <w:t>Th</w:t>
      </w:r>
      <w:r>
        <w:rPr>
          <w:lang w:eastAsia="en-US"/>
        </w:rPr>
        <w:t>is</w:t>
      </w:r>
      <w:r w:rsidR="0060416A">
        <w:rPr>
          <w:lang w:eastAsia="en-US"/>
        </w:rPr>
        <w:t xml:space="preserve"> is </w:t>
      </w:r>
      <w:r>
        <w:rPr>
          <w:lang w:eastAsia="en-US"/>
        </w:rPr>
        <w:t xml:space="preserve">because </w:t>
      </w:r>
      <w:bookmarkEnd w:id="4"/>
      <w:r w:rsidR="001E7F0C" w:rsidRPr="000F67FE">
        <w:t xml:space="preserve">the benefits of public services are very evenly distributed between </w:t>
      </w:r>
      <w:r w:rsidR="001E7F0C">
        <w:t xml:space="preserve">households divided into five </w:t>
      </w:r>
      <w:r w:rsidR="001E7F0C" w:rsidRPr="000F67FE">
        <w:t>income bands</w:t>
      </w:r>
      <w:r w:rsidR="001E7F0C">
        <w:t>, or quintiles</w:t>
      </w:r>
      <w:r>
        <w:t xml:space="preserve">, so </w:t>
      </w:r>
      <w:r w:rsidR="001E7F0C" w:rsidRPr="000F67FE">
        <w:t xml:space="preserve">each quintile receives roughly </w:t>
      </w:r>
      <w:r w:rsidR="002E2F98">
        <w:t xml:space="preserve">equal benefit from the services, in </w:t>
      </w:r>
      <w:r w:rsidR="002E2F98" w:rsidRPr="000F67FE">
        <w:t>absolute terms</w:t>
      </w:r>
      <w:r w:rsidR="002E2F98">
        <w:t>.</w:t>
      </w:r>
      <w:r w:rsidR="00BB2A2F">
        <w:t xml:space="preserve"> In relative terms, it means that the poor lose a greater proportion of their combined welfare from money income and public services from cuts in public services.</w:t>
      </w:r>
      <w:r w:rsidR="006200D3" w:rsidRPr="000F67FE">
        <w:t xml:space="preserve">  </w:t>
      </w:r>
      <w:r w:rsidR="002E2F98">
        <w:t>(V</w:t>
      </w:r>
      <w:r w:rsidR="002E2F98" w:rsidRPr="000F67FE">
        <w:t>erbist et al 2012).</w:t>
      </w:r>
      <w:r w:rsidR="00CF4C66">
        <w:t xml:space="preserve"> </w:t>
      </w:r>
    </w:p>
    <w:p w:rsidR="006200D3" w:rsidRPr="00686B1F" w:rsidRDefault="006200D3" w:rsidP="00686B1F">
      <w:pPr>
        <w:pStyle w:val="Heading8"/>
      </w:pPr>
      <w:bookmarkStart w:id="8" w:name="_Toc350704180"/>
      <w:bookmarkStart w:id="9" w:name="_Toc425285669"/>
      <w:r w:rsidRPr="00686B1F">
        <w:t xml:space="preserve">Value of public services relative to </w:t>
      </w:r>
      <w:r w:rsidR="002E2F98">
        <w:t xml:space="preserve">disposable </w:t>
      </w:r>
      <w:r w:rsidRPr="00686B1F">
        <w:t>income, 27 OECD countries</w:t>
      </w:r>
      <w:bookmarkEnd w:id="8"/>
      <w:bookmarkEnd w:id="9"/>
    </w:p>
    <w:p w:rsidR="006200D3" w:rsidRPr="006200D3" w:rsidRDefault="006200D3" w:rsidP="006200D3">
      <w:pPr>
        <w:rPr>
          <w:i/>
        </w:rPr>
      </w:pPr>
      <w:r w:rsidRPr="008347FF">
        <w:rPr>
          <w:i/>
          <w:noProof/>
          <w:sz w:val="20"/>
          <w:szCs w:val="20"/>
        </w:rPr>
        <w:drawing>
          <wp:inline distT="0" distB="0" distL="0" distR="0" wp14:anchorId="59963950" wp14:editId="73219544">
            <wp:extent cx="5876365" cy="3859305"/>
            <wp:effectExtent l="0" t="0" r="10160" b="2730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6200D3" w:rsidRPr="00327AD1" w:rsidRDefault="006200D3" w:rsidP="006200D3">
      <w:pPr>
        <w:rPr>
          <w:u w:val="single"/>
        </w:rPr>
      </w:pPr>
      <w:r w:rsidRPr="00686B1F">
        <w:t xml:space="preserve">Source: </w:t>
      </w:r>
      <w:r w:rsidR="00327AD1">
        <w:t>calculated</w:t>
      </w:r>
      <w:r w:rsidRPr="00686B1F">
        <w:t xml:space="preserve"> from </w:t>
      </w:r>
      <w:r w:rsidRPr="00327AD1">
        <w:t xml:space="preserve">Verbist et al p.35  </w:t>
      </w:r>
      <w:hyperlink r:id="rId11" w:history="1">
        <w:r w:rsidRPr="00327AD1">
          <w:rPr>
            <w:rStyle w:val="Hyperlink"/>
          </w:rPr>
          <w:t>http://dx.doi.org/10.1787/5k9h363c5szq-en</w:t>
        </w:r>
      </w:hyperlink>
    </w:p>
    <w:p w:rsidR="002E23B8" w:rsidRDefault="002E23B8" w:rsidP="0053417A"/>
    <w:p w:rsidR="006C6EC9" w:rsidRDefault="006C6EC9" w:rsidP="006C6EC9">
      <w:pPr>
        <w:pStyle w:val="Heading1"/>
      </w:pPr>
      <w:bookmarkStart w:id="10" w:name="_Toc425285670"/>
      <w:bookmarkStart w:id="11" w:name="_Toc297975215"/>
      <w:bookmarkStart w:id="12" w:name="_Toc351656225"/>
      <w:r>
        <w:t>Austerity without growth</w:t>
      </w:r>
      <w:bookmarkEnd w:id="10"/>
    </w:p>
    <w:p w:rsidR="00D516C7" w:rsidRDefault="00D516C7" w:rsidP="00D516C7">
      <w:pPr>
        <w:pStyle w:val="Heading2"/>
      </w:pPr>
      <w:bookmarkStart w:id="13" w:name="_Toc425285671"/>
      <w:r>
        <w:t>Actual experience: austerity is linked to fall in GDP</w:t>
      </w:r>
      <w:bookmarkEnd w:id="13"/>
    </w:p>
    <w:p w:rsidR="006C6EC9" w:rsidRDefault="006C6EC9" w:rsidP="006C6EC9">
      <w:r>
        <w:t>The supporters of austerity argue that it will restore confidence of markets and investors, and so result in stronger growth in the economy as a whole, as a result of which all groups will be better off.  The sacrifices are thus worthwhile for everybody in the end.   If this was true, then the case for austerity would be stronger, as there would be some benefits available to all groups, to compensate for the losses suffered as a result of the austerity measures themselves. But the empirical evidence, both from the current policies, and from previous experience, is that this is not happening. Moreover, there  is much evidence dating from before the European crisis that austerity policies do not lead to growth.</w:t>
      </w:r>
    </w:p>
    <w:p w:rsidR="006C6EC9" w:rsidRDefault="006C6EC9" w:rsidP="006C6EC9">
      <w:r>
        <w:lastRenderedPageBreak/>
        <w:t>As far as current policies are concerned, the simple evidence in the charts below - from a Nobel prize-winning economist - show the opposite: the greater the austerity, measured in terms of reducing government deficit, the greater the fall in GDP. There is a strong correlation, but the reverse of what is promised. In addition to imposing austerity, the policies also impose lower growth.</w:t>
      </w:r>
    </w:p>
    <w:p w:rsidR="006C6EC9" w:rsidRDefault="006C6EC9" w:rsidP="006C6EC9"/>
    <w:p w:rsidR="006C6EC9" w:rsidRDefault="006C6EC9" w:rsidP="006C6EC9">
      <w:pPr>
        <w:pStyle w:val="Heading8"/>
      </w:pPr>
      <w:bookmarkStart w:id="14" w:name="_Toc351656228"/>
      <w:bookmarkStart w:id="15" w:name="_Toc425285672"/>
      <w:r>
        <w:t>Austerity and growth 2009-2011 (Krugman)</w:t>
      </w:r>
      <w:bookmarkEnd w:id="14"/>
      <w:bookmarkEnd w:id="15"/>
    </w:p>
    <w:p w:rsidR="006C6EC9" w:rsidRPr="001839AD" w:rsidRDefault="006C6EC9" w:rsidP="006C6EC9">
      <w:r>
        <w:rPr>
          <w:noProof/>
        </w:rPr>
        <w:drawing>
          <wp:inline distT="0" distB="0" distL="0" distR="0" wp14:anchorId="0419FB2B" wp14:editId="73C54F86">
            <wp:extent cx="5216409" cy="3155324"/>
            <wp:effectExtent l="0" t="0" r="3810" b="6985"/>
            <wp:docPr id="17" name="100000001506157" descr="http://graphics8.nytimes.com/images/2012/04/23/opinion/042312krugman1/042312krugman1-blog4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000001506157" descr="http://graphics8.nytimes.com/images/2012/04/23/opinion/042312krugman1/042312krugman1-blog48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17128" cy="3155759"/>
                    </a:xfrm>
                    <a:prstGeom prst="rect">
                      <a:avLst/>
                    </a:prstGeom>
                    <a:noFill/>
                    <a:ln>
                      <a:noFill/>
                    </a:ln>
                  </pic:spPr>
                </pic:pic>
              </a:graphicData>
            </a:graphic>
          </wp:inline>
        </w:drawing>
      </w:r>
    </w:p>
    <w:p w:rsidR="006C6EC9" w:rsidRPr="00321BD6" w:rsidRDefault="006C6EC9" w:rsidP="006C6EC9">
      <w:pPr>
        <w:rPr>
          <w:lang w:val="fr-FR"/>
        </w:rPr>
      </w:pPr>
      <w:r w:rsidRPr="00EA130F">
        <w:rPr>
          <w:lang w:val="fr-FR"/>
        </w:rPr>
        <w:t xml:space="preserve">Source: </w:t>
      </w:r>
      <w:hyperlink r:id="rId13" w:history="1">
        <w:r w:rsidRPr="00321BD6">
          <w:rPr>
            <w:rStyle w:val="Hyperlink"/>
            <w:lang w:val="fr-FR"/>
          </w:rPr>
          <w:t>http://krugman.blogs.nytimes.com/2012/04/24/austerity-and-growth-again-wonkish/</w:t>
        </w:r>
      </w:hyperlink>
      <w:r w:rsidRPr="00321BD6">
        <w:rPr>
          <w:lang w:val="fr-FR"/>
        </w:rPr>
        <w:t xml:space="preserve"> </w:t>
      </w:r>
    </w:p>
    <w:p w:rsidR="006C6EC9" w:rsidRPr="00321BD6" w:rsidRDefault="006C6EC9" w:rsidP="006C6EC9">
      <w:pPr>
        <w:rPr>
          <w:lang w:val="fr-FR"/>
        </w:rPr>
      </w:pPr>
    </w:p>
    <w:p w:rsidR="006C6EC9" w:rsidRPr="00EB20A5" w:rsidRDefault="006C6EC9" w:rsidP="006C6EC9">
      <w:pPr>
        <w:pStyle w:val="Heading2"/>
      </w:pPr>
      <w:bookmarkStart w:id="16" w:name="_Toc425285673"/>
      <w:r>
        <w:t>Previous evidence on austerity and growth</w:t>
      </w:r>
      <w:bookmarkEnd w:id="16"/>
    </w:p>
    <w:p w:rsidR="006C6EC9" w:rsidRDefault="006C6EC9" w:rsidP="006C6EC9">
      <w:r>
        <w:t xml:space="preserve">Moreover, this is not surprising, least of all for the IMF, which has published some of the strongest evidence that policies of austerity and liberalisation do not lead to growth in GDP. Three reports are especially relevant.  </w:t>
      </w:r>
      <w:bookmarkStart w:id="17" w:name="_Toc351656232"/>
    </w:p>
    <w:p w:rsidR="006C6EC9" w:rsidRDefault="006C6EC9" w:rsidP="006C6EC9"/>
    <w:bookmarkEnd w:id="17"/>
    <w:p w:rsidR="006C6EC9" w:rsidRPr="00361850" w:rsidRDefault="006C6EC9" w:rsidP="006C6EC9">
      <w:r>
        <w:t xml:space="preserve">The first is a </w:t>
      </w:r>
      <w:r w:rsidRPr="00361850">
        <w:t>research paper</w:t>
      </w:r>
      <w:r>
        <w:t xml:space="preserve"> published</w:t>
      </w:r>
      <w:r w:rsidRPr="00361850">
        <w:t xml:space="preserve"> in August </w:t>
      </w:r>
      <w:r>
        <w:t xml:space="preserve">2012, with </w:t>
      </w:r>
      <w:r w:rsidRPr="00361850">
        <w:t>the extremely misleading title of “Successful Austerity in the United States, Europe and Japan”</w:t>
      </w:r>
      <w:r>
        <w:t>.   (IMF 2012a) Its</w:t>
      </w:r>
      <w:r w:rsidRPr="00361850">
        <w:t xml:space="preserve"> main </w:t>
      </w:r>
      <w:r>
        <w:t xml:space="preserve">results, however, </w:t>
      </w:r>
      <w:r w:rsidRPr="00361850">
        <w:t>did not identify any succe</w:t>
      </w:r>
      <w:r>
        <w:t xml:space="preserve">sses, but rather confirmed that, on the basis of past evidence, fiscal consolidation – that is, reducing government deficits -  </w:t>
      </w:r>
      <w:r w:rsidRPr="00361850">
        <w:t>is extremely likely</w:t>
      </w:r>
      <w:r w:rsidRPr="0027037F">
        <w:t xml:space="preserve"> </w:t>
      </w:r>
      <w:r>
        <w:t xml:space="preserve">to </w:t>
      </w:r>
      <w:r w:rsidRPr="00361850">
        <w:t>damage growth, especially in recession</w:t>
      </w:r>
      <w:r>
        <w:t>.  It concluded that:</w:t>
      </w:r>
      <w:r w:rsidRPr="00361850">
        <w:t>“withdrawing fiscal stimuli too quickly in economies where output is already contracting can prolong their recessions without generating the expected fiscal saving. This is particularly true if the consolidation is centred around cuts to public expenditure…and if the size of the consolidation is large.”</w:t>
      </w:r>
      <w:r>
        <w:t xml:space="preserve"> It also found that any</w:t>
      </w:r>
      <w:r w:rsidRPr="00361850">
        <w:t xml:space="preserve"> ‘confidence effects’ “do not seem to have ever been strong enough to make the consolidations expansionary”, so the supposed trade-off of restoring market confidence never compensates for the damage</w:t>
      </w:r>
      <w:r>
        <w:t xml:space="preserve">. </w:t>
      </w:r>
      <w:r w:rsidRPr="00361850">
        <w:t>As an analysis by Ronald Janssen concluded, this paper: “is simply devastating for traditional and mainstream recommendations on fiscal policy and austerity.”</w:t>
      </w:r>
      <w:r>
        <w:t xml:space="preserve"> </w:t>
      </w:r>
      <w:r>
        <w:rPr>
          <w:rStyle w:val="EndnoteReference"/>
        </w:rPr>
        <w:endnoteReference w:id="1"/>
      </w:r>
    </w:p>
    <w:p w:rsidR="006C6EC9" w:rsidRDefault="006C6EC9" w:rsidP="006C6EC9"/>
    <w:p w:rsidR="006C6EC9" w:rsidRDefault="006C6EC9" w:rsidP="006C6EC9">
      <w:r>
        <w:t xml:space="preserve">The second  report concerned the forecasts attached to austerity measures, which systematically claim that after the initial impact, there will be a positive effect on growth. In the October 2012 World Economic Outlook, the IMF  reported that all such </w:t>
      </w:r>
      <w:r w:rsidRPr="00D43FBF">
        <w:t>forecast</w:t>
      </w:r>
      <w:r>
        <w:t xml:space="preserve">s of economic growth following austerity </w:t>
      </w:r>
      <w:r w:rsidRPr="00D43FBF">
        <w:t>have been systematically overstated by a large margin</w:t>
      </w:r>
      <w:r>
        <w:t xml:space="preserve"> (IMF 2012b). This finding applied to the forecasts of all the international institutions - the IMF, European Commission, and OECD – and one leading private forecaster, the Economist Intelligence Unit.  It also confirms that the overstatements are not explicable by exceptional cases of high debt levels, or trade imbalances, or even the activities of financial markets. The </w:t>
      </w:r>
      <w:r w:rsidRPr="00D43FBF">
        <w:t>WEO says</w:t>
      </w:r>
      <w:r>
        <w:t xml:space="preserve"> bluntly that</w:t>
      </w:r>
      <w:r w:rsidRPr="00D43FBF">
        <w:t xml:space="preserve"> the relationship between forecasts </w:t>
      </w:r>
      <w:r>
        <w:t xml:space="preserve">and </w:t>
      </w:r>
      <w:r w:rsidRPr="00D43FBF">
        <w:t>actual outcomes is “large, negative, and significant”.</w:t>
      </w:r>
      <w:r>
        <w:t xml:space="preserve">  </w:t>
      </w:r>
      <w:r w:rsidRPr="000C0CA5">
        <w:lastRenderedPageBreak/>
        <w:t>The</w:t>
      </w:r>
      <w:r>
        <w:t xml:space="preserve"> WEO attributes this to over-optimistic multipliers, that is, the ratio between austerity measures and subsequent change in GDP.  </w:t>
      </w:r>
    </w:p>
    <w:p w:rsidR="006C6EC9" w:rsidRDefault="006C6EC9" w:rsidP="006C6EC9"/>
    <w:p w:rsidR="006C6EC9" w:rsidRDefault="006C6EC9" w:rsidP="006C6EC9">
      <w:r>
        <w:t xml:space="preserve">Moreover, the IMF had already known, for some years, that its growth forecasts for austerity packages were systematically over-optimistic. A </w:t>
      </w:r>
      <w:r w:rsidRPr="00EB30EC">
        <w:t xml:space="preserve">detailed examination of fiscal adjustment in 133 IMF-supported programmes in 70 countries carried out by the IMF’s own Independent Evaluation Office (IEO) </w:t>
      </w:r>
      <w:r>
        <w:t xml:space="preserve">in 2003 </w:t>
      </w:r>
      <w:r w:rsidRPr="00EB30EC">
        <w:t>noted</w:t>
      </w:r>
      <w:r>
        <w:t>:</w:t>
      </w:r>
    </w:p>
    <w:p w:rsidR="006C6EC9" w:rsidRDefault="006C6EC9" w:rsidP="006C6EC9">
      <w:pPr>
        <w:ind w:left="720"/>
        <w:rPr>
          <w:iCs/>
        </w:rPr>
      </w:pPr>
      <w:r w:rsidRPr="009741CD">
        <w:t>“</w:t>
      </w:r>
      <w:r w:rsidRPr="009741CD">
        <w:rPr>
          <w:color w:val="292526"/>
        </w:rPr>
        <w:t>There is a tendency to adopt fiscal targets based on overoptimistic assumptions about the pace of economic recovery leading inevitably to fiscal underperformance and frequent revisions of targets. The optimism about growth recovery in the short term is itself often the consequence of overoptimistic assumptions about the pace of revival of private investment when a more realistic assessment in certain circumstances could have justified the adoption of a more relaxed fiscal stance on contra</w:t>
      </w:r>
      <w:r>
        <w:rPr>
          <w:color w:val="292526"/>
        </w:rPr>
        <w:t>-</w:t>
      </w:r>
      <w:r w:rsidRPr="009741CD">
        <w:rPr>
          <w:color w:val="292526"/>
        </w:rPr>
        <w:t>cyclical grounds.</w:t>
      </w:r>
      <w:r w:rsidRPr="009741CD">
        <w:t>” (</w:t>
      </w:r>
      <w:r>
        <w:t>IMF 2003</w:t>
      </w:r>
      <w:r w:rsidRPr="009741CD">
        <w:rPr>
          <w:iCs/>
        </w:rPr>
        <w:t>)</w:t>
      </w:r>
    </w:p>
    <w:p w:rsidR="006C6EC9" w:rsidRDefault="006C6EC9" w:rsidP="006C6EC9">
      <w:pPr>
        <w:ind w:left="720"/>
        <w:rPr>
          <w:iCs/>
        </w:rPr>
      </w:pPr>
    </w:p>
    <w:p w:rsidR="006C6EC9" w:rsidRDefault="006C6EC9" w:rsidP="006C6EC9">
      <w:pPr>
        <w:rPr>
          <w:szCs w:val="22"/>
        </w:rPr>
      </w:pPr>
      <w:r>
        <w:rPr>
          <w:iCs/>
        </w:rPr>
        <w:t>They were reminded of these results in a more recent analysis</w:t>
      </w:r>
      <w:r>
        <w:t xml:space="preserve"> by UNCTAD of the failure of growth to materialise as promised after earlier  IMF programmes in developing and transition economies. </w:t>
      </w:r>
      <w:r w:rsidRPr="001526E4">
        <w:t>It found that in nearly all cases, the outturns in terms of GDP growth were worse than the IMF forecasts</w:t>
      </w:r>
      <w:r>
        <w:t xml:space="preserve">, and points up a more fundamental weakness underlying these forecasting failure – that the IMF is working on a set of  false assumptions about how economies work: </w:t>
      </w:r>
      <w:r w:rsidRPr="00FB5863">
        <w:rPr>
          <w:szCs w:val="22"/>
        </w:rPr>
        <w:t xml:space="preserve">“Misjudging the effects of fiscal tightening seems to be the rule rather than the exception in IMF-backed programmes…. In country after country where fiscal tightening was expected to both reduce the budget deficit and boost investment and economic growth, the opposite happened. </w:t>
      </w:r>
      <w:r>
        <w:rPr>
          <w:szCs w:val="22"/>
        </w:rPr>
        <w:t>…</w:t>
      </w:r>
      <w:r w:rsidRPr="00FB5863">
        <w:rPr>
          <w:szCs w:val="22"/>
        </w:rPr>
        <w:t xml:space="preserve"> This record of failed IMF-sponsored adjustment programmes suggests that they are based on a fundamental macroeconomic misconception.” (</w:t>
      </w:r>
      <w:r>
        <w:rPr>
          <w:szCs w:val="22"/>
        </w:rPr>
        <w:t xml:space="preserve">UNCTAD 2011 </w:t>
      </w:r>
      <w:r w:rsidRPr="00FB5863">
        <w:rPr>
          <w:szCs w:val="22"/>
        </w:rPr>
        <w:t>p.65)</w:t>
      </w:r>
    </w:p>
    <w:p w:rsidR="006C6EC9" w:rsidRPr="00FB5863" w:rsidRDefault="006C6EC9" w:rsidP="006C6EC9">
      <w:pPr>
        <w:autoSpaceDE w:val="0"/>
        <w:autoSpaceDN w:val="0"/>
        <w:adjustRightInd w:val="0"/>
        <w:ind w:left="720"/>
        <w:rPr>
          <w:szCs w:val="22"/>
        </w:rPr>
      </w:pPr>
    </w:p>
    <w:p w:rsidR="006C6EC9" w:rsidRDefault="006C6EC9" w:rsidP="006C6EC9">
      <w:bookmarkStart w:id="18" w:name="_Toc351656236"/>
      <w:r>
        <w:t xml:space="preserve">Although the IMF have effectively admitted that their forecasts were flawed, the reaction of the European Commission in 2012 was to </w:t>
      </w:r>
      <w:r w:rsidRPr="00994BDB">
        <w:t xml:space="preserve">attempt a tortuous </w:t>
      </w:r>
      <w:r>
        <w:t xml:space="preserve">theoretical </w:t>
      </w:r>
      <w:r w:rsidRPr="00994BDB">
        <w:t>defence of the possibility of austerity policies being compatible with growth in GDP</w:t>
      </w:r>
      <w:r>
        <w:t xml:space="preserve">, in its annual report on public finances.  (European Commission 2012) The report does not address the empirical evidence, but  instead dismisses the idea that austerity does not generate economic growth as “counter-intuitive”. </w:t>
      </w:r>
      <w:r>
        <w:rPr>
          <w:rFonts w:eastAsiaTheme="minorEastAsia"/>
        </w:rPr>
        <w:t>(EC 2012 p.160)</w:t>
      </w:r>
    </w:p>
    <w:p w:rsidR="006C6EC9" w:rsidRDefault="006C6EC9" w:rsidP="006C6EC9"/>
    <w:p w:rsidR="006C6EC9" w:rsidRDefault="006C6EC9" w:rsidP="006C6EC9">
      <w:pPr>
        <w:pStyle w:val="Heading2"/>
      </w:pPr>
      <w:bookmarkStart w:id="19" w:name="_Toc351656235"/>
      <w:bookmarkStart w:id="20" w:name="_Toc425285674"/>
      <w:r>
        <w:t>The negative effects of ‘good’ governance</w:t>
      </w:r>
      <w:bookmarkEnd w:id="19"/>
      <w:bookmarkEnd w:id="20"/>
    </w:p>
    <w:p w:rsidR="006C6EC9" w:rsidRDefault="006C6EC9" w:rsidP="006C6EC9">
      <w:pPr>
        <w:rPr>
          <w:szCs w:val="22"/>
        </w:rPr>
      </w:pPr>
      <w:r w:rsidRPr="00DB15B2">
        <w:rPr>
          <w:szCs w:val="22"/>
        </w:rPr>
        <w:t>Apart from the cuts in government deficits, the IMF programmes, and the EU economic policies, also require  changes in economic governance and regulation, so that business is less constrained by regulation of all kinds, including labour conditions and regulation of the financial sector.  The World Bank publishes indices of good economic governance, based on business opinions</w:t>
      </w:r>
      <w:r>
        <w:rPr>
          <w:szCs w:val="22"/>
        </w:rPr>
        <w:t>.</w:t>
      </w:r>
    </w:p>
    <w:p w:rsidR="006C6EC9" w:rsidRDefault="006C6EC9" w:rsidP="006C6EC9">
      <w:pPr>
        <w:rPr>
          <w:szCs w:val="22"/>
        </w:rPr>
      </w:pPr>
    </w:p>
    <w:p w:rsidR="006C6EC9" w:rsidRPr="00DB15B2" w:rsidRDefault="006C6EC9" w:rsidP="006C6EC9">
      <w:pPr>
        <w:rPr>
          <w:szCs w:val="22"/>
        </w:rPr>
      </w:pPr>
      <w:r>
        <w:rPr>
          <w:szCs w:val="22"/>
        </w:rPr>
        <w:t xml:space="preserve">The </w:t>
      </w:r>
      <w:r w:rsidRPr="00DB15B2">
        <w:rPr>
          <w:szCs w:val="22"/>
        </w:rPr>
        <w:t>third of the relevant IMF papers, published in 2011,  studied whether countries which scored  better on ‘good governance’, as defined by the World Bank indicators of economic governance ,  had weathered the global economic crisis better. (IMF 2011)</w:t>
      </w:r>
    </w:p>
    <w:p w:rsidR="006C6EC9" w:rsidRPr="00DB15B2" w:rsidRDefault="006C6EC9" w:rsidP="006C6EC9">
      <w:pPr>
        <w:rPr>
          <w:szCs w:val="22"/>
        </w:rPr>
      </w:pPr>
    </w:p>
    <w:p w:rsidR="006C6EC9" w:rsidRPr="00DB15B2" w:rsidRDefault="006C6EC9" w:rsidP="006C6EC9">
      <w:pPr>
        <w:rPr>
          <w:szCs w:val="22"/>
        </w:rPr>
      </w:pPr>
      <w:r w:rsidRPr="00DB15B2">
        <w:rPr>
          <w:szCs w:val="22"/>
        </w:rPr>
        <w:t xml:space="preserve">The results, however, show that the favoured policies are not just useless, but positively damaging: </w:t>
      </w:r>
    </w:p>
    <w:p w:rsidR="006C6EC9" w:rsidRPr="00DB15B2" w:rsidRDefault="006C6EC9" w:rsidP="006C6EC9">
      <w:pPr>
        <w:rPr>
          <w:szCs w:val="22"/>
        </w:rPr>
      </w:pPr>
      <w:r w:rsidRPr="00DB15B2">
        <w:rPr>
          <w:szCs w:val="22"/>
        </w:rPr>
        <w:t xml:space="preserve">“….This variable is </w:t>
      </w:r>
      <w:r>
        <w:rPr>
          <w:szCs w:val="22"/>
        </w:rPr>
        <w:t>negative and highly significant …</w:t>
      </w:r>
      <w:r w:rsidRPr="00DB15B2">
        <w:rPr>
          <w:szCs w:val="22"/>
        </w:rPr>
        <w:t>the countries with the best ratings in terms of public sector regulatory framework, as well as those countries with the most far reaching financial deregulation, were hit the hardest economically”</w:t>
      </w:r>
    </w:p>
    <w:p w:rsidR="006C6EC9" w:rsidRPr="00DB15B2" w:rsidRDefault="006C6EC9" w:rsidP="006C6EC9">
      <w:pPr>
        <w:rPr>
          <w:szCs w:val="22"/>
        </w:rPr>
      </w:pPr>
    </w:p>
    <w:p w:rsidR="006C6EC9" w:rsidRDefault="006C6EC9" w:rsidP="006C6EC9">
      <w:pPr>
        <w:rPr>
          <w:szCs w:val="22"/>
        </w:rPr>
      </w:pPr>
      <w:r w:rsidRPr="00DB15B2">
        <w:rPr>
          <w:szCs w:val="22"/>
        </w:rPr>
        <w:t>Nor is the IMF alone in reaching these results. An earlier paper, published by the OECD and co-authored by an ECB economist, also found that: “the indicators of the quality of public sector regulations—which proxy the “market friendliness” of the economy—are negatively correlated with economic growth” (I</w:t>
      </w:r>
      <w:r>
        <w:rPr>
          <w:szCs w:val="22"/>
        </w:rPr>
        <w:t>MF 2011, Giannone et al 2010).</w:t>
      </w:r>
    </w:p>
    <w:p w:rsidR="006C6EC9" w:rsidRDefault="006C6EC9" w:rsidP="006C6EC9">
      <w:pPr>
        <w:rPr>
          <w:szCs w:val="22"/>
        </w:rPr>
      </w:pPr>
    </w:p>
    <w:p w:rsidR="006C6EC9" w:rsidRDefault="006C6EC9" w:rsidP="006C6EC9">
      <w:pPr>
        <w:rPr>
          <w:szCs w:val="22"/>
        </w:rPr>
      </w:pPr>
    </w:p>
    <w:p w:rsidR="00F279AA" w:rsidRDefault="00F279AA" w:rsidP="00F279AA">
      <w:pPr>
        <w:pStyle w:val="Heading1"/>
      </w:pPr>
      <w:bookmarkStart w:id="21" w:name="_Toc425285675"/>
      <w:bookmarkEnd w:id="18"/>
      <w:r>
        <w:lastRenderedPageBreak/>
        <w:t>Explaining austerity: bond markets and public spending</w:t>
      </w:r>
      <w:bookmarkEnd w:id="21"/>
    </w:p>
    <w:p w:rsidR="006C6EC9" w:rsidRPr="006C6EC9" w:rsidRDefault="006C6EC9" w:rsidP="006C6EC9">
      <w:pPr>
        <w:rPr>
          <w:lang w:eastAsia="en-US"/>
        </w:rPr>
      </w:pPr>
      <w:r>
        <w:rPr>
          <w:lang w:eastAsia="en-US"/>
        </w:rPr>
        <w:t>If austerity policies cannot be expected to restore growth, it is necessary to look for other factors to explain why it has taken place</w:t>
      </w:r>
      <w:r w:rsidR="004D1B2C">
        <w:rPr>
          <w:lang w:eastAsia="en-US"/>
        </w:rPr>
        <w:t>, and why it has led to changes in EU law to enshrine the observation of austerity rules in future. Two key factors can be identified: the role of financial money markets, and the long-established concern of the IMF and the European Commission to limit the growth in public spending.</w:t>
      </w:r>
    </w:p>
    <w:p w:rsidR="00C715D3" w:rsidRDefault="00C715D3" w:rsidP="00C715D3">
      <w:pPr>
        <w:pStyle w:val="Heading2"/>
      </w:pPr>
      <w:bookmarkStart w:id="22" w:name="_Toc425285676"/>
      <w:r>
        <w:t>Bond markets</w:t>
      </w:r>
      <w:r w:rsidR="006C6EC9">
        <w:t xml:space="preserve"> and austerity</w:t>
      </w:r>
      <w:bookmarkEnd w:id="22"/>
    </w:p>
    <w:p w:rsidR="00C715D3" w:rsidRDefault="00C715D3" w:rsidP="00C715D3">
      <w:pPr>
        <w:rPr>
          <w:lang w:eastAsia="en-US"/>
        </w:rPr>
      </w:pPr>
      <w:r>
        <w:rPr>
          <w:lang w:eastAsia="en-US"/>
        </w:rPr>
        <w:t>In Eurozone countries, the austerity programmes were driven by financial markets speculation</w:t>
      </w:r>
      <w:r w:rsidR="006C6EC9">
        <w:rPr>
          <w:lang w:eastAsia="en-US"/>
        </w:rPr>
        <w:t xml:space="preserve"> against those countries perceived to be potential risks for creditors</w:t>
      </w:r>
      <w:r>
        <w:rPr>
          <w:lang w:eastAsia="en-US"/>
        </w:rPr>
        <w:t xml:space="preserve">. The close links between the financial markets and austerity programmes can be seen in the chart, which support the </w:t>
      </w:r>
      <w:r w:rsidRPr="00CA6B21">
        <w:rPr>
          <w:lang w:eastAsia="en-US"/>
        </w:rPr>
        <w:t>“</w:t>
      </w:r>
      <w:r w:rsidRPr="00CA6B21">
        <w:rPr>
          <w:lang w:val="en" w:eastAsia="en-US"/>
        </w:rPr>
        <w:t>strong perception that countries that introduced austerity programs in the Eurozone were somehow forced to do so by the financial markets”. There is an almost perfect correlation between the interest demanded by the markets for debt of different countries, and the degree of austerity they adopted</w:t>
      </w:r>
      <w:r>
        <w:rPr>
          <w:lang w:val="en" w:eastAsia="en-US"/>
        </w:rPr>
        <w:t>.</w:t>
      </w:r>
      <w:r w:rsidRPr="00161C82">
        <w:rPr>
          <w:lang w:eastAsia="en-US"/>
        </w:rPr>
        <w:t xml:space="preserve"> </w:t>
      </w:r>
      <w:r>
        <w:rPr>
          <w:lang w:eastAsia="en-US"/>
        </w:rPr>
        <w:t>(de Grauwe and Ji 2013)</w:t>
      </w:r>
    </w:p>
    <w:p w:rsidR="00C715D3" w:rsidRDefault="00C715D3" w:rsidP="00C715D3">
      <w:pPr>
        <w:rPr>
          <w:lang w:eastAsia="en-US"/>
        </w:rPr>
      </w:pPr>
    </w:p>
    <w:p w:rsidR="00C715D3" w:rsidRPr="00D52E47" w:rsidRDefault="00C715D3" w:rsidP="00C715D3">
      <w:r>
        <w:rPr>
          <w:lang w:eastAsia="en-US"/>
        </w:rPr>
        <w:t xml:space="preserve">These market pressures </w:t>
      </w:r>
      <w:r w:rsidR="006C6EC9">
        <w:rPr>
          <w:lang w:eastAsia="en-US"/>
        </w:rPr>
        <w:t>emerged</w:t>
      </w:r>
      <w:r>
        <w:rPr>
          <w:lang w:eastAsia="en-US"/>
        </w:rPr>
        <w:t xml:space="preserve"> because, from 2008, other Eurozone countries</w:t>
      </w:r>
      <w:r w:rsidRPr="008E3E21">
        <w:rPr>
          <w:lang w:eastAsia="en-US"/>
        </w:rPr>
        <w:t xml:space="preserve"> </w:t>
      </w:r>
      <w:r>
        <w:rPr>
          <w:lang w:eastAsia="en-US"/>
        </w:rPr>
        <w:t>refused to confirm a continuation of the implied solidarity, which had previously resulted in more or less identical interest rates (spreads) on government bonds throughout the Eurozone. The consequent rescue packages</w:t>
      </w:r>
      <w:r w:rsidR="006C6EC9">
        <w:rPr>
          <w:lang w:eastAsia="en-US"/>
        </w:rPr>
        <w:t xml:space="preserve"> by the Troika </w:t>
      </w:r>
      <w:r>
        <w:rPr>
          <w:lang w:eastAsia="en-US"/>
        </w:rPr>
        <w:t xml:space="preserve"> were then the vehicle for the application of austerity policies, </w:t>
      </w:r>
      <w:r w:rsidR="00766B48">
        <w:rPr>
          <w:lang w:eastAsia="en-US"/>
        </w:rPr>
        <w:t>followed by</w:t>
      </w:r>
      <w:r w:rsidR="004D1B2C">
        <w:rPr>
          <w:lang w:eastAsia="en-US"/>
        </w:rPr>
        <w:t xml:space="preserve"> the restoration of </w:t>
      </w:r>
      <w:r>
        <w:rPr>
          <w:lang w:eastAsia="en-US"/>
        </w:rPr>
        <w:t xml:space="preserve"> Eurozone solidarity in 2012</w:t>
      </w:r>
      <w:r w:rsidR="004D1B2C">
        <w:rPr>
          <w:lang w:val="en"/>
        </w:rPr>
        <w:t xml:space="preserve">, when the ECB </w:t>
      </w:r>
      <w:r w:rsidR="004D1B2C" w:rsidRPr="00D52E47">
        <w:t>commit</w:t>
      </w:r>
      <w:r w:rsidR="004D1B2C">
        <w:t xml:space="preserve">ted </w:t>
      </w:r>
      <w:r w:rsidR="004D1B2C" w:rsidRPr="00D52E47">
        <w:t>itself to unlimited support of the government bond markets</w:t>
      </w:r>
      <w:r>
        <w:rPr>
          <w:lang w:eastAsia="en-US"/>
        </w:rPr>
        <w:t>.</w:t>
      </w:r>
      <w:r w:rsidRPr="0010473A">
        <w:rPr>
          <w:lang w:val="en"/>
        </w:rPr>
        <w:t xml:space="preserve"> </w:t>
      </w:r>
      <w:r>
        <w:rPr>
          <w:lang w:val="en"/>
        </w:rPr>
        <w:t xml:space="preserve"> The spreads </w:t>
      </w:r>
      <w:r w:rsidR="004D1B2C">
        <w:rPr>
          <w:lang w:val="en"/>
        </w:rPr>
        <w:t xml:space="preserve">then </w:t>
      </w:r>
      <w:r>
        <w:rPr>
          <w:lang w:val="en"/>
        </w:rPr>
        <w:t>dropped dramatically, despite a rise in the ratio of government debt to GDP in all countries</w:t>
      </w:r>
      <w:r w:rsidR="004D1B2C">
        <w:rPr>
          <w:lang w:val="en"/>
        </w:rPr>
        <w:t>.</w:t>
      </w:r>
      <w:r w:rsidR="006C6EC9" w:rsidRPr="006C6EC9">
        <w:rPr>
          <w:lang w:val="fr-FR" w:eastAsia="en-US"/>
        </w:rPr>
        <w:t xml:space="preserve"> </w:t>
      </w:r>
      <w:r w:rsidR="006C6EC9">
        <w:rPr>
          <w:lang w:val="fr-FR" w:eastAsia="en-US"/>
        </w:rPr>
        <w:t>(</w:t>
      </w:r>
      <w:r w:rsidR="006C6EC9" w:rsidRPr="00637A8F">
        <w:rPr>
          <w:lang w:val="fr-FR" w:eastAsia="en-US"/>
        </w:rPr>
        <w:t>de Grauwe and Ji 2013</w:t>
      </w:r>
      <w:r w:rsidR="006C6EC9">
        <w:rPr>
          <w:lang w:val="fr-FR" w:eastAsia="en-US"/>
        </w:rPr>
        <w:t>)</w:t>
      </w:r>
    </w:p>
    <w:p w:rsidR="00C715D3" w:rsidRDefault="00C715D3" w:rsidP="00C715D3">
      <w:pPr>
        <w:rPr>
          <w:lang w:eastAsia="en-US"/>
        </w:rPr>
      </w:pPr>
    </w:p>
    <w:p w:rsidR="00C715D3" w:rsidRPr="00CA6B21" w:rsidRDefault="00C715D3" w:rsidP="00C715D3">
      <w:pPr>
        <w:pStyle w:val="Heading8"/>
        <w:rPr>
          <w:lang w:val="en"/>
        </w:rPr>
      </w:pPr>
      <w:bookmarkStart w:id="23" w:name="_Toc425285677"/>
      <w:r w:rsidRPr="00CA6B21">
        <w:rPr>
          <w:lang w:val="en"/>
        </w:rPr>
        <w:t>Austerity measures and financial market borrowing ‘spreads’ in 2011</w:t>
      </w:r>
      <w:bookmarkEnd w:id="23"/>
    </w:p>
    <w:p w:rsidR="00C715D3" w:rsidRPr="00CA6B21" w:rsidRDefault="00C715D3" w:rsidP="00C715D3">
      <w:pPr>
        <w:rPr>
          <w:lang w:val="en" w:eastAsia="en-US"/>
        </w:rPr>
      </w:pPr>
      <w:r w:rsidRPr="00CA6B21">
        <w:rPr>
          <w:noProof/>
        </w:rPr>
        <w:drawing>
          <wp:inline distT="0" distB="0" distL="0" distR="0" wp14:anchorId="7388BCA4" wp14:editId="5FB9CE3F">
            <wp:extent cx="3381455" cy="2536372"/>
            <wp:effectExtent l="0" t="0" r="0" b="0"/>
            <wp:docPr id="14" name="Picture 14" descr="http://www.voxeu.org/sites/default/files/image/FromApr2012/degrauwe_fi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voxeu.org/sites/default/files/image/FromApr2012/degrauwe_fig1.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06524" cy="2555176"/>
                    </a:xfrm>
                    <a:prstGeom prst="rect">
                      <a:avLst/>
                    </a:prstGeom>
                    <a:noFill/>
                    <a:ln>
                      <a:noFill/>
                    </a:ln>
                  </pic:spPr>
                </pic:pic>
              </a:graphicData>
            </a:graphic>
          </wp:inline>
        </w:drawing>
      </w:r>
    </w:p>
    <w:p w:rsidR="00C715D3" w:rsidRPr="00637A8F" w:rsidRDefault="00C715D3" w:rsidP="00C715D3">
      <w:pPr>
        <w:rPr>
          <w:lang w:val="fr-FR" w:eastAsia="en-US"/>
        </w:rPr>
      </w:pPr>
      <w:r w:rsidRPr="00637A8F">
        <w:rPr>
          <w:bCs/>
          <w:lang w:val="fr-FR" w:eastAsia="en-US"/>
        </w:rPr>
        <w:t xml:space="preserve">Source: </w:t>
      </w:r>
      <w:r w:rsidRPr="00637A8F">
        <w:rPr>
          <w:lang w:val="fr-FR" w:eastAsia="en-US"/>
        </w:rPr>
        <w:t>de Grauwe and Ji 2013</w:t>
      </w:r>
    </w:p>
    <w:p w:rsidR="00C715D3" w:rsidRDefault="00C715D3" w:rsidP="00C715D3">
      <w:pPr>
        <w:rPr>
          <w:lang w:val="fr-FR" w:eastAsia="en-US"/>
        </w:rPr>
      </w:pPr>
    </w:p>
    <w:p w:rsidR="00FB3BD6" w:rsidRDefault="00FB3BD6" w:rsidP="00C715D3">
      <w:pPr>
        <w:rPr>
          <w:lang w:val="fr-FR" w:eastAsia="en-US"/>
        </w:rPr>
      </w:pPr>
    </w:p>
    <w:p w:rsidR="00FB3BD6" w:rsidRDefault="00FB3BD6" w:rsidP="00FB3BD6">
      <w:r>
        <w:t>The prioritisation of bond-holders has long historical antecedents in Southern Europe and Mediterranean countries. Between the 1870s and 1920s, the governments of Britain, France and Germany installed committees to take over the management of public revenues in a number of countries (including Greece, Portugal, the Ottoman empire,</w:t>
      </w:r>
      <w:r w:rsidRPr="00637A8F">
        <w:t xml:space="preserve"> </w:t>
      </w:r>
      <w:r>
        <w:t xml:space="preserve">Egypt and Morocco). These committees ensured that the first priority was given to paying interest to the banks of the northern countries who had invested in bonds of the southern governments.  The Troika packages are the modern equivalent. </w:t>
      </w:r>
    </w:p>
    <w:p w:rsidR="00FB3BD6" w:rsidRPr="00637A8F" w:rsidRDefault="00FB3BD6" w:rsidP="00C715D3">
      <w:pPr>
        <w:rPr>
          <w:lang w:val="fr-FR" w:eastAsia="en-US"/>
        </w:rPr>
      </w:pPr>
    </w:p>
    <w:p w:rsidR="00C715D3" w:rsidRPr="00195BFD" w:rsidRDefault="00C715D3" w:rsidP="00C715D3">
      <w:pPr>
        <w:rPr>
          <w:lang w:val="fr-FR" w:eastAsia="en-US"/>
        </w:rPr>
      </w:pPr>
    </w:p>
    <w:p w:rsidR="00C715D3" w:rsidRDefault="00C715D3" w:rsidP="00C715D3">
      <w:pPr>
        <w:pStyle w:val="Heading2"/>
        <w:rPr>
          <w:lang w:val="en"/>
        </w:rPr>
      </w:pPr>
      <w:bookmarkStart w:id="24" w:name="_Toc425285678"/>
      <w:r>
        <w:rPr>
          <w:lang w:val="en"/>
        </w:rPr>
        <w:t>The problem of public spending</w:t>
      </w:r>
      <w:bookmarkEnd w:id="24"/>
    </w:p>
    <w:p w:rsidR="00C715D3" w:rsidRDefault="00C715D3" w:rsidP="00C715D3">
      <w:pPr>
        <w:rPr>
          <w:lang w:val="en" w:eastAsia="en-US"/>
        </w:rPr>
      </w:pPr>
      <w:r>
        <w:rPr>
          <w:lang w:val="en" w:eastAsia="en-US"/>
        </w:rPr>
        <w:t>One core element of neoliberalism has been a commitment to reducing the role of the state, and the level of public spending has been a central aspect of this. In OECD countries as a whole, it had risen from around 13% of GDP in the early 20</w:t>
      </w:r>
      <w:r w:rsidRPr="00637A8F">
        <w:rPr>
          <w:vertAlign w:val="superscript"/>
          <w:lang w:val="en" w:eastAsia="en-US"/>
        </w:rPr>
        <w:t>th</w:t>
      </w:r>
      <w:r>
        <w:rPr>
          <w:lang w:val="en" w:eastAsia="en-US"/>
        </w:rPr>
        <w:t xml:space="preserve"> century to about 45% by the mid-1990s, while in Europe it had risen to over 50%.  National governments had mostly succeeded in slowing or reversing this growth, but the crisis and the reflationary policies of 2009 saw the levels leap up again, to over 50%. If the expansionary policies had continued, the level of public spending would have also continued growing.</w:t>
      </w:r>
    </w:p>
    <w:p w:rsidR="00C715D3" w:rsidRDefault="00C715D3" w:rsidP="00C715D3">
      <w:pPr>
        <w:pStyle w:val="Heading8"/>
        <w:rPr>
          <w:lang w:val="en"/>
        </w:rPr>
      </w:pPr>
      <w:bookmarkStart w:id="25" w:name="_Toc425285679"/>
      <w:r>
        <w:rPr>
          <w:lang w:val="en"/>
        </w:rPr>
        <w:t>Government spending as % of GDP, EU-27, 1995-2012</w:t>
      </w:r>
      <w:bookmarkEnd w:id="25"/>
    </w:p>
    <w:p w:rsidR="00C715D3" w:rsidRDefault="00C715D3" w:rsidP="00C715D3">
      <w:pPr>
        <w:rPr>
          <w:lang w:val="en" w:eastAsia="en-US"/>
        </w:rPr>
      </w:pPr>
      <w:r>
        <w:rPr>
          <w:noProof/>
        </w:rPr>
        <w:drawing>
          <wp:inline distT="0" distB="0" distL="0" distR="0" wp14:anchorId="762A2BAA" wp14:editId="4AD9FE5C">
            <wp:extent cx="5357813" cy="3495675"/>
            <wp:effectExtent l="0" t="0" r="14605" b="9525"/>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C715D3" w:rsidRPr="004F20E4" w:rsidRDefault="00C715D3" w:rsidP="00C715D3">
      <w:pPr>
        <w:rPr>
          <w:rFonts w:cs="Arial"/>
          <w:color w:val="0000FF"/>
          <w:sz w:val="20"/>
          <w:szCs w:val="20"/>
          <w:u w:val="single"/>
        </w:rPr>
      </w:pPr>
      <w:r w:rsidRPr="004F20E4">
        <w:rPr>
          <w:sz w:val="20"/>
          <w:szCs w:val="20"/>
          <w:lang w:val="en" w:eastAsia="en-US"/>
        </w:rPr>
        <w:t xml:space="preserve">Source: Eurostat </w:t>
      </w:r>
      <w:r w:rsidRPr="004F20E4">
        <w:rPr>
          <w:rFonts w:cs="Arial"/>
          <w:sz w:val="20"/>
          <w:szCs w:val="20"/>
        </w:rPr>
        <w:t xml:space="preserve">Government revenue, expenditure and main aggregates [gov_a_main] </w:t>
      </w:r>
      <w:hyperlink r:id="rId16" w:history="1">
        <w:r w:rsidRPr="004F20E4">
          <w:rPr>
            <w:rFonts w:cs="Arial"/>
            <w:color w:val="0000FF"/>
            <w:sz w:val="20"/>
            <w:szCs w:val="20"/>
            <w:u w:val="single"/>
          </w:rPr>
          <w:t>http://epp.eurostat.ec.europa.eu/portal/page/portal/government_finance_statistics/data/main_tables</w:t>
        </w:r>
      </w:hyperlink>
    </w:p>
    <w:p w:rsidR="00C715D3" w:rsidRPr="004F20E4" w:rsidRDefault="00C715D3" w:rsidP="00C715D3">
      <w:pPr>
        <w:rPr>
          <w:rFonts w:ascii="Calibri" w:hAnsi="Calibri" w:cs="Arial"/>
          <w:sz w:val="16"/>
          <w:szCs w:val="16"/>
        </w:rPr>
      </w:pPr>
    </w:p>
    <w:p w:rsidR="00C715D3" w:rsidRDefault="00C715D3" w:rsidP="00C715D3">
      <w:pPr>
        <w:rPr>
          <w:lang w:eastAsia="en-US"/>
        </w:rPr>
      </w:pPr>
    </w:p>
    <w:p w:rsidR="00C715D3" w:rsidRDefault="00C715D3" w:rsidP="00C715D3">
      <w:pPr>
        <w:rPr>
          <w:lang w:eastAsia="en-US"/>
        </w:rPr>
      </w:pPr>
      <w:r>
        <w:rPr>
          <w:lang w:eastAsia="en-US"/>
        </w:rPr>
        <w:t>But well</w:t>
      </w:r>
      <w:r>
        <w:rPr>
          <w:lang w:val="en" w:eastAsia="en-US"/>
        </w:rPr>
        <w:t xml:space="preserve"> before the crisis, since the 1990s, the IMF, OECD, EU and national governments had been arguing that major cuts in public spending were needed, because of the ‘demographic time-bomb’ of ageing populations, requiring higher spending on healthcare and pensions.  </w:t>
      </w:r>
      <w:r>
        <w:rPr>
          <w:lang w:eastAsia="en-US"/>
        </w:rPr>
        <w:t>The European Commission’s first report on the subject, in 1999, identified the problem simply as: “</w:t>
      </w:r>
      <w:r w:rsidRPr="00CB1593">
        <w:rPr>
          <w:lang w:eastAsia="en-US"/>
        </w:rPr>
        <w:t>Ageing is consequently expected to result in substantial increases in age-related</w:t>
      </w:r>
      <w:r>
        <w:rPr>
          <w:lang w:eastAsia="en-US"/>
        </w:rPr>
        <w:t xml:space="preserve"> </w:t>
      </w:r>
      <w:r w:rsidRPr="00CB1593">
        <w:rPr>
          <w:lang w:eastAsia="en-US"/>
        </w:rPr>
        <w:t>public expenditures</w:t>
      </w:r>
      <w:r>
        <w:rPr>
          <w:lang w:eastAsia="en-US"/>
        </w:rPr>
        <w:t>”,  and also  identified these services as ‘culprits’ in the post-war growth in public spending: “</w:t>
      </w:r>
      <w:r w:rsidRPr="005E1B53">
        <w:rPr>
          <w:lang w:eastAsia="en-US"/>
        </w:rPr>
        <w:t>over the last 35 years, increases in these</w:t>
      </w:r>
      <w:r>
        <w:rPr>
          <w:lang w:eastAsia="en-US"/>
        </w:rPr>
        <w:t xml:space="preserve"> </w:t>
      </w:r>
      <w:r w:rsidRPr="005E1B53">
        <w:rPr>
          <w:lang w:eastAsia="en-US"/>
        </w:rPr>
        <w:t>expenditures have been the main culprits in explaining the inexorable rise in the share</w:t>
      </w:r>
      <w:r>
        <w:rPr>
          <w:lang w:eastAsia="en-US"/>
        </w:rPr>
        <w:t xml:space="preserve"> </w:t>
      </w:r>
      <w:r w:rsidRPr="005E1B53">
        <w:rPr>
          <w:lang w:eastAsia="en-US"/>
        </w:rPr>
        <w:t>of government expenditure in GDP</w:t>
      </w:r>
      <w:r>
        <w:rPr>
          <w:lang w:eastAsia="en-US"/>
        </w:rPr>
        <w:t>”. It then emphasised the large reversal needed, and its lack of confidence in elected governments to deliver it: “</w:t>
      </w:r>
      <w:r w:rsidRPr="00DA6D09">
        <w:rPr>
          <w:lang w:eastAsia="en-US"/>
        </w:rPr>
        <w:t>It is important to stress the scale of</w:t>
      </w:r>
      <w:r>
        <w:rPr>
          <w:lang w:eastAsia="en-US"/>
        </w:rPr>
        <w:t xml:space="preserve"> </w:t>
      </w:r>
      <w:r w:rsidRPr="00DA6D09">
        <w:rPr>
          <w:lang w:eastAsia="en-US"/>
        </w:rPr>
        <w:t>the task facing governments in relation to controlling health and pension expenditure</w:t>
      </w:r>
      <w:r>
        <w:rPr>
          <w:lang w:eastAsia="en-US"/>
        </w:rPr>
        <w:t xml:space="preserve"> </w:t>
      </w:r>
      <w:r w:rsidRPr="00DA6D09">
        <w:rPr>
          <w:lang w:eastAsia="en-US"/>
        </w:rPr>
        <w:t>over the next 50 years</w:t>
      </w:r>
      <w:r>
        <w:rPr>
          <w:lang w:eastAsia="en-US"/>
        </w:rPr>
        <w:t>….</w:t>
      </w:r>
      <w:r w:rsidRPr="00DA6D09">
        <w:rPr>
          <w:sz w:val="24"/>
        </w:rPr>
        <w:t xml:space="preserve"> </w:t>
      </w:r>
      <w:r w:rsidRPr="00DA6D09">
        <w:rPr>
          <w:lang w:eastAsia="en-US"/>
        </w:rPr>
        <w:t>Furthermore, and equally worrying, if past experience is</w:t>
      </w:r>
      <w:r>
        <w:rPr>
          <w:lang w:eastAsia="en-US"/>
        </w:rPr>
        <w:t xml:space="preserve"> </w:t>
      </w:r>
      <w:r w:rsidRPr="00DA6D09">
        <w:rPr>
          <w:lang w:eastAsia="en-US"/>
        </w:rPr>
        <w:t>anything to go by, Governments are going to have difficulty even keeping their</w:t>
      </w:r>
      <w:r>
        <w:rPr>
          <w:lang w:eastAsia="en-US"/>
        </w:rPr>
        <w:t xml:space="preserve"> </w:t>
      </w:r>
      <w:r w:rsidRPr="00DA6D09">
        <w:rPr>
          <w:lang w:eastAsia="en-US"/>
        </w:rPr>
        <w:t>pension and health care budgets to the, already rather large, percentage points</w:t>
      </w:r>
      <w:r>
        <w:rPr>
          <w:lang w:eastAsia="en-US"/>
        </w:rPr>
        <w:t xml:space="preserve"> </w:t>
      </w:r>
      <w:r w:rsidRPr="00DA6D09">
        <w:rPr>
          <w:lang w:eastAsia="en-US"/>
        </w:rPr>
        <w:t>increases which will emanate from purely demographic factors.</w:t>
      </w:r>
      <w:r>
        <w:rPr>
          <w:lang w:eastAsia="en-US"/>
        </w:rPr>
        <w:t>” (Mc</w:t>
      </w:r>
      <w:r w:rsidRPr="005E1B53">
        <w:rPr>
          <w:lang w:eastAsia="en-US"/>
        </w:rPr>
        <w:t xml:space="preserve">Morrow and Roeger </w:t>
      </w:r>
      <w:r>
        <w:rPr>
          <w:lang w:eastAsia="en-US"/>
        </w:rPr>
        <w:t>1999 p.16).</w:t>
      </w:r>
    </w:p>
    <w:p w:rsidR="00C715D3" w:rsidRDefault="00C715D3" w:rsidP="00C715D3">
      <w:pPr>
        <w:rPr>
          <w:lang w:val="en" w:eastAsia="en-US"/>
        </w:rPr>
      </w:pPr>
    </w:p>
    <w:p w:rsidR="00C715D3" w:rsidRDefault="00C715D3" w:rsidP="00C715D3">
      <w:pPr>
        <w:rPr>
          <w:lang w:eastAsia="en-US"/>
        </w:rPr>
      </w:pPr>
      <w:r>
        <w:rPr>
          <w:lang w:val="en" w:eastAsia="en-US"/>
        </w:rPr>
        <w:t>The demographic timebomb was also used by the IMF to justify the abandonment of the Keynesian stimulus policies of 2009 in favour of long-term, global austerity policies. It projected that healthcare spending alone could rise by the equivalent of 3.5% of GDP by 2030, and pensions spending by 1% of GDP, and proposed a general austerity strategy, with the sole objective of  containing future growth of public spending</w:t>
      </w:r>
      <w:r w:rsidRPr="00D07A15">
        <w:rPr>
          <w:lang w:eastAsia="en-US"/>
        </w:rPr>
        <w:t>.</w:t>
      </w:r>
      <w:r>
        <w:rPr>
          <w:lang w:eastAsia="en-US"/>
        </w:rPr>
        <w:t xml:space="preserve"> (IMF 2010)</w:t>
      </w:r>
    </w:p>
    <w:p w:rsidR="007E0A6E" w:rsidRPr="00D07A15" w:rsidRDefault="007E0A6E" w:rsidP="00C715D3">
      <w:pPr>
        <w:rPr>
          <w:lang w:eastAsia="en-US"/>
        </w:rPr>
      </w:pPr>
    </w:p>
    <w:p w:rsidR="00C715D3" w:rsidRDefault="00C715D3" w:rsidP="00C715D3">
      <w:pPr>
        <w:pStyle w:val="Heading8"/>
        <w:rPr>
          <w:lang w:val="en"/>
        </w:rPr>
      </w:pPr>
      <w:bookmarkStart w:id="26" w:name="_Toc425285680"/>
      <w:r>
        <w:rPr>
          <w:lang w:val="en"/>
        </w:rPr>
        <w:t>IMF and the fear of future public spending</w:t>
      </w:r>
      <w:bookmarkEnd w:id="26"/>
    </w:p>
    <w:p w:rsidR="00C715D3" w:rsidRPr="00CA6B21" w:rsidRDefault="00E718FF" w:rsidP="00C715D3">
      <w:pPr>
        <w:rPr>
          <w:lang w:val="en" w:eastAsia="en-US"/>
        </w:rPr>
      </w:pPr>
      <w:r>
        <w:rPr>
          <w:noProof/>
        </w:rPr>
        <w:drawing>
          <wp:inline distT="0" distB="0" distL="0" distR="0" wp14:anchorId="709DBE34">
            <wp:extent cx="4584700" cy="3944620"/>
            <wp:effectExtent l="0" t="0" r="635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84700" cy="3944620"/>
                    </a:xfrm>
                    <a:prstGeom prst="rect">
                      <a:avLst/>
                    </a:prstGeom>
                    <a:noFill/>
                  </pic:spPr>
                </pic:pic>
              </a:graphicData>
            </a:graphic>
          </wp:inline>
        </w:drawing>
      </w:r>
    </w:p>
    <w:p w:rsidR="00C715D3" w:rsidRDefault="00C715D3" w:rsidP="00C715D3">
      <w:pPr>
        <w:rPr>
          <w:lang w:eastAsia="en-US"/>
        </w:rPr>
      </w:pPr>
      <w:r>
        <w:rPr>
          <w:lang w:eastAsia="en-US"/>
        </w:rPr>
        <w:t>Source: IMF 2010</w:t>
      </w:r>
    </w:p>
    <w:p w:rsidR="00C715D3" w:rsidRDefault="00C715D3" w:rsidP="00C715D3">
      <w:pPr>
        <w:rPr>
          <w:lang w:eastAsia="en-US"/>
        </w:rPr>
      </w:pPr>
    </w:p>
    <w:p w:rsidR="00C715D3" w:rsidRDefault="00C715D3" w:rsidP="00C715D3">
      <w:pPr>
        <w:rPr>
          <w:lang w:val="en" w:eastAsia="en-US"/>
        </w:rPr>
      </w:pPr>
      <w:r>
        <w:rPr>
          <w:lang w:val="en" w:eastAsia="en-US"/>
        </w:rPr>
        <w:t xml:space="preserve">Thus by 2009 many governments had already adopted policies of reducing pension entitlements and pension levels, both in general and for public employees in particular, despite strong attempts at resistance. People now have to work longer, retire later, and receive lower pensions. </w:t>
      </w:r>
    </w:p>
    <w:p w:rsidR="00C715D3" w:rsidRDefault="00C715D3" w:rsidP="00C715D3">
      <w:pPr>
        <w:rPr>
          <w:lang w:val="en" w:eastAsia="en-US"/>
        </w:rPr>
      </w:pPr>
    </w:p>
    <w:p w:rsidR="00C715D3" w:rsidRDefault="00C715D3" w:rsidP="00C715D3">
      <w:pPr>
        <w:rPr>
          <w:lang w:val="en" w:eastAsia="en-US"/>
        </w:rPr>
      </w:pPr>
      <w:r>
        <w:rPr>
          <w:lang w:val="en" w:eastAsia="en-US"/>
        </w:rPr>
        <w:t xml:space="preserve">Public spending on public healthcare in Europe has also now started falling, from 9.2% of GDP in 2009 and 9.0% in 2010 for the first time in many years: exactly what the international institutions had been wanting to happen. Ireland and Greece recorded some of the biggest cuts (OECD/EU 2012). </w:t>
      </w:r>
    </w:p>
    <w:p w:rsidR="00C715D3" w:rsidRPr="00DA6D09" w:rsidRDefault="00C715D3" w:rsidP="00C715D3">
      <w:pPr>
        <w:rPr>
          <w:lang w:val="en" w:eastAsia="en-US"/>
        </w:rPr>
      </w:pPr>
    </w:p>
    <w:p w:rsidR="00C715D3" w:rsidRPr="001C3713" w:rsidRDefault="00C715D3" w:rsidP="00C715D3">
      <w:pPr>
        <w:rPr>
          <w:lang w:val="en"/>
        </w:rPr>
      </w:pPr>
    </w:p>
    <w:p w:rsidR="00096B57" w:rsidRDefault="00096B57" w:rsidP="00096B57">
      <w:pPr>
        <w:pStyle w:val="Heading1"/>
      </w:pPr>
      <w:bookmarkStart w:id="27" w:name="_Toc425285681"/>
      <w:r>
        <w:t>IMF</w:t>
      </w:r>
      <w:bookmarkEnd w:id="27"/>
      <w:r>
        <w:t xml:space="preserve"> </w:t>
      </w:r>
    </w:p>
    <w:p w:rsidR="000453DC" w:rsidRPr="000453DC" w:rsidRDefault="004D1B2C" w:rsidP="000453DC">
      <w:pPr>
        <w:rPr>
          <w:lang w:eastAsia="en-US"/>
        </w:rPr>
      </w:pPr>
      <w:r>
        <w:rPr>
          <w:lang w:eastAsia="en-US"/>
        </w:rPr>
        <w:t>The power of the IMF to influence the economic policies of governments has existed long before the recession and the crises in European countries. This power derives not from any legal obligation on countries to follow p</w:t>
      </w:r>
      <w:r w:rsidR="00A8659B">
        <w:rPr>
          <w:lang w:eastAsia="en-US"/>
        </w:rPr>
        <w:t>articular policies, but from the economic significance of its surveillance and lending powers. It  brings it into conflict with national law, and  reflects a global role that is not only economic but, increasingly, geopolitical.</w:t>
      </w:r>
    </w:p>
    <w:p w:rsidR="00096B57" w:rsidRDefault="0051627C" w:rsidP="00096B57">
      <w:pPr>
        <w:pStyle w:val="Heading2"/>
      </w:pPr>
      <w:bookmarkStart w:id="28" w:name="_Toc425285682"/>
      <w:r>
        <w:t>Informal power and conflicts of interest</w:t>
      </w:r>
      <w:bookmarkEnd w:id="28"/>
    </w:p>
    <w:p w:rsidR="00E20083" w:rsidRDefault="00096B57" w:rsidP="00096B57">
      <w:pPr>
        <w:rPr>
          <w:lang w:eastAsia="en-US"/>
        </w:rPr>
      </w:pPr>
      <w:r w:rsidRPr="00F435FA">
        <w:rPr>
          <w:lang w:eastAsia="en-US"/>
        </w:rPr>
        <w:t xml:space="preserve">The original remit of the IMF was drawn up in the context of the Bretton Woods exchange rate mechanism, and under article IV member states undertook “to collaborate with the Fund to promote exchange stability, to maintain orderly exchange arrangements with other members, and to avoid competitive exchange alterations”. </w:t>
      </w:r>
      <w:r w:rsidR="00FC3740">
        <w:rPr>
          <w:lang w:eastAsia="en-US"/>
        </w:rPr>
        <w:t>The IMF was authorised to make loans</w:t>
      </w:r>
      <w:r w:rsidR="00FC3740" w:rsidRPr="00F435FA">
        <w:rPr>
          <w:lang w:eastAsia="en-US"/>
        </w:rPr>
        <w:t xml:space="preserve"> </w:t>
      </w:r>
      <w:r w:rsidR="00FC3740">
        <w:rPr>
          <w:lang w:eastAsia="en-US"/>
        </w:rPr>
        <w:t>to countries to assist in stabilising the value of currencies, and to help countries in balance of payments difficulties. There were also p</w:t>
      </w:r>
      <w:r w:rsidRPr="00F435FA">
        <w:rPr>
          <w:lang w:eastAsia="en-US"/>
        </w:rPr>
        <w:t xml:space="preserve">ossible sanctions </w:t>
      </w:r>
      <w:r w:rsidR="00FC3740">
        <w:rPr>
          <w:lang w:eastAsia="en-US"/>
        </w:rPr>
        <w:t xml:space="preserve">against countries which failed to maintain their proper exchange rates, </w:t>
      </w:r>
      <w:r w:rsidRPr="00F435FA">
        <w:rPr>
          <w:lang w:eastAsia="en-US"/>
        </w:rPr>
        <w:t>includ</w:t>
      </w:r>
      <w:r w:rsidR="00FC3740">
        <w:rPr>
          <w:lang w:eastAsia="en-US"/>
        </w:rPr>
        <w:t>ing</w:t>
      </w:r>
      <w:r w:rsidRPr="00F435FA">
        <w:rPr>
          <w:lang w:eastAsia="en-US"/>
        </w:rPr>
        <w:t xml:space="preserve"> losing the right to borrow from </w:t>
      </w:r>
      <w:r w:rsidR="0051627C">
        <w:rPr>
          <w:lang w:eastAsia="en-US"/>
        </w:rPr>
        <w:t>the IMF, or loss of membership.</w:t>
      </w:r>
    </w:p>
    <w:p w:rsidR="0051627C" w:rsidRDefault="0051627C" w:rsidP="00096B57">
      <w:pPr>
        <w:rPr>
          <w:lang w:eastAsia="en-US"/>
        </w:rPr>
      </w:pPr>
    </w:p>
    <w:p w:rsidR="00096B57" w:rsidRDefault="00E20083" w:rsidP="00096B57">
      <w:pPr>
        <w:rPr>
          <w:lang w:eastAsia="en-US"/>
        </w:rPr>
      </w:pPr>
      <w:r>
        <w:rPr>
          <w:lang w:eastAsia="en-US"/>
        </w:rPr>
        <w:t>As the</w:t>
      </w:r>
      <w:r w:rsidR="00096B57" w:rsidRPr="00F435FA">
        <w:rPr>
          <w:lang w:eastAsia="en-US"/>
        </w:rPr>
        <w:t xml:space="preserve"> fixed exchange rate system</w:t>
      </w:r>
      <w:r>
        <w:rPr>
          <w:lang w:eastAsia="en-US"/>
        </w:rPr>
        <w:t xml:space="preserve"> came to an end</w:t>
      </w:r>
      <w:r w:rsidRPr="00E20083">
        <w:rPr>
          <w:lang w:eastAsia="en-US"/>
        </w:rPr>
        <w:t xml:space="preserve"> </w:t>
      </w:r>
      <w:r>
        <w:rPr>
          <w:lang w:eastAsia="en-US"/>
        </w:rPr>
        <w:t>in the 1970s</w:t>
      </w:r>
      <w:r w:rsidR="00096B57" w:rsidRPr="00F435FA">
        <w:rPr>
          <w:lang w:eastAsia="en-US"/>
        </w:rPr>
        <w:t>, the IMF’s remit was re-defined</w:t>
      </w:r>
      <w:r w:rsidR="00C5544B">
        <w:rPr>
          <w:lang w:eastAsia="en-US"/>
        </w:rPr>
        <w:t xml:space="preserve"> to provide loans to deal with </w:t>
      </w:r>
      <w:r>
        <w:rPr>
          <w:lang w:eastAsia="en-US"/>
        </w:rPr>
        <w:t xml:space="preserve">economic crises, including those caused by the surge in oil prices, or by excessive foreign debts. </w:t>
      </w:r>
      <w:r w:rsidR="00096B57" w:rsidRPr="00F435FA">
        <w:rPr>
          <w:lang w:eastAsia="en-US"/>
        </w:rPr>
        <w:t>The</w:t>
      </w:r>
      <w:r>
        <w:rPr>
          <w:lang w:eastAsia="en-US"/>
        </w:rPr>
        <w:t xml:space="preserve"> </w:t>
      </w:r>
      <w:r w:rsidR="00096B57" w:rsidRPr="00F435FA">
        <w:rPr>
          <w:lang w:eastAsia="en-US"/>
        </w:rPr>
        <w:t xml:space="preserve">IMF </w:t>
      </w:r>
      <w:r w:rsidR="0071267B">
        <w:rPr>
          <w:lang w:eastAsia="en-US"/>
        </w:rPr>
        <w:t xml:space="preserve">was given new powers to monitor </w:t>
      </w:r>
      <w:r w:rsidR="00865859">
        <w:rPr>
          <w:lang w:eastAsia="en-US"/>
        </w:rPr>
        <w:t>and</w:t>
      </w:r>
      <w:r w:rsidR="0071267B">
        <w:rPr>
          <w:lang w:eastAsia="en-US"/>
        </w:rPr>
        <w:t xml:space="preserve"> influence national policies </w:t>
      </w:r>
      <w:r w:rsidR="00096B57" w:rsidRPr="00F435FA">
        <w:rPr>
          <w:lang w:eastAsia="en-US"/>
        </w:rPr>
        <w:t>using “dialogue, persuasion, cando</w:t>
      </w:r>
      <w:r w:rsidR="00C5544B">
        <w:rPr>
          <w:lang w:eastAsia="en-US"/>
        </w:rPr>
        <w:t>u</w:t>
      </w:r>
      <w:r w:rsidR="00096B57" w:rsidRPr="00F435FA">
        <w:rPr>
          <w:lang w:eastAsia="en-US"/>
        </w:rPr>
        <w:t>r, even</w:t>
      </w:r>
      <w:r w:rsidR="00C5544B">
        <w:rPr>
          <w:lang w:eastAsia="en-US"/>
        </w:rPr>
        <w:t>-</w:t>
      </w:r>
      <w:r w:rsidR="00096B57" w:rsidRPr="00F435FA">
        <w:rPr>
          <w:lang w:eastAsia="en-US"/>
        </w:rPr>
        <w:t xml:space="preserve">handedness and due </w:t>
      </w:r>
      <w:r w:rsidR="0071267B">
        <w:rPr>
          <w:lang w:eastAsia="en-US"/>
        </w:rPr>
        <w:t>regard to country circumstances”, as well as to provide technical assistance</w:t>
      </w:r>
      <w:r w:rsidR="00865859">
        <w:rPr>
          <w:lang w:eastAsia="en-US"/>
        </w:rPr>
        <w:t xml:space="preserve"> to central banks and finance ministries</w:t>
      </w:r>
      <w:r w:rsidR="00FC3740">
        <w:rPr>
          <w:lang w:eastAsia="en-US"/>
        </w:rPr>
        <w:t xml:space="preserve">. </w:t>
      </w:r>
      <w:r w:rsidR="0071267B">
        <w:rPr>
          <w:lang w:eastAsia="en-US"/>
        </w:rPr>
        <w:t xml:space="preserve"> The </w:t>
      </w:r>
      <w:r w:rsidR="00FC3740">
        <w:rPr>
          <w:lang w:eastAsia="en-US"/>
        </w:rPr>
        <w:t xml:space="preserve">IMF </w:t>
      </w:r>
      <w:r w:rsidR="00AB69FE">
        <w:rPr>
          <w:lang w:eastAsia="en-US"/>
        </w:rPr>
        <w:t xml:space="preserve">also </w:t>
      </w:r>
      <w:r w:rsidR="00FC3740">
        <w:rPr>
          <w:lang w:eastAsia="en-US"/>
        </w:rPr>
        <w:t>began</w:t>
      </w:r>
      <w:r w:rsidR="00C5544B">
        <w:rPr>
          <w:lang w:eastAsia="en-US"/>
        </w:rPr>
        <w:t xml:space="preserve"> </w:t>
      </w:r>
      <w:r w:rsidR="0071267B">
        <w:rPr>
          <w:lang w:eastAsia="en-US"/>
        </w:rPr>
        <w:t xml:space="preserve">to specify  policies as </w:t>
      </w:r>
      <w:r w:rsidR="00FC3740">
        <w:rPr>
          <w:lang w:eastAsia="en-US"/>
        </w:rPr>
        <w:t>conditions for loans</w:t>
      </w:r>
      <w:r w:rsidR="00C5544B">
        <w:rPr>
          <w:lang w:eastAsia="en-US"/>
        </w:rPr>
        <w:t xml:space="preserve">, </w:t>
      </w:r>
      <w:r w:rsidR="00F81BBD">
        <w:rPr>
          <w:lang w:eastAsia="en-US"/>
        </w:rPr>
        <w:t xml:space="preserve">and in its advice to governments, </w:t>
      </w:r>
      <w:r w:rsidR="00C5544B">
        <w:rPr>
          <w:lang w:eastAsia="en-US"/>
        </w:rPr>
        <w:t xml:space="preserve">with a standard set of  measures including reductions in public spending, especially in the public sector wages bill, increased charges for public services, </w:t>
      </w:r>
      <w:r w:rsidR="0071267B">
        <w:rPr>
          <w:lang w:eastAsia="en-US"/>
        </w:rPr>
        <w:t>de-regulation and</w:t>
      </w:r>
      <w:r w:rsidR="00C5544B">
        <w:rPr>
          <w:lang w:eastAsia="en-US"/>
        </w:rPr>
        <w:t xml:space="preserve"> privatisation</w:t>
      </w:r>
      <w:r w:rsidR="0071267B">
        <w:rPr>
          <w:lang w:eastAsia="en-US"/>
        </w:rPr>
        <w:t xml:space="preserve"> – the </w:t>
      </w:r>
      <w:r w:rsidR="00C5544B">
        <w:rPr>
          <w:lang w:eastAsia="en-US"/>
        </w:rPr>
        <w:t>central feature</w:t>
      </w:r>
      <w:r w:rsidR="0071267B">
        <w:rPr>
          <w:lang w:eastAsia="en-US"/>
        </w:rPr>
        <w:t>s</w:t>
      </w:r>
      <w:r w:rsidR="00C5544B">
        <w:rPr>
          <w:lang w:eastAsia="en-US"/>
        </w:rPr>
        <w:t xml:space="preserve"> of the ‘Washington consensus’ </w:t>
      </w:r>
      <w:r w:rsidR="0071267B">
        <w:rPr>
          <w:lang w:eastAsia="en-US"/>
        </w:rPr>
        <w:t>and</w:t>
      </w:r>
      <w:r w:rsidR="00C5544B">
        <w:rPr>
          <w:lang w:eastAsia="en-US"/>
        </w:rPr>
        <w:t xml:space="preserve">  neoliberal economic policies.</w:t>
      </w:r>
      <w:r w:rsidR="00096B57" w:rsidRPr="00F435FA">
        <w:rPr>
          <w:lang w:eastAsia="en-US"/>
        </w:rPr>
        <w:t xml:space="preserve"> </w:t>
      </w:r>
      <w:r w:rsidR="00F77490">
        <w:rPr>
          <w:lang w:eastAsia="en-US"/>
        </w:rPr>
        <w:t>With the political approval of its most powerful members for these policies, the</w:t>
      </w:r>
      <w:r w:rsidR="0071267B">
        <w:rPr>
          <w:lang w:eastAsia="en-US"/>
        </w:rPr>
        <w:t xml:space="preserve"> conditionalities </w:t>
      </w:r>
      <w:r w:rsidR="00865859">
        <w:rPr>
          <w:lang w:eastAsia="en-US"/>
        </w:rPr>
        <w:t xml:space="preserve">attached to </w:t>
      </w:r>
      <w:r w:rsidR="0071267B">
        <w:rPr>
          <w:lang w:eastAsia="en-US"/>
        </w:rPr>
        <w:t xml:space="preserve">IMF loans </w:t>
      </w:r>
      <w:r w:rsidR="00F81BBD">
        <w:rPr>
          <w:lang w:eastAsia="en-US"/>
        </w:rPr>
        <w:t>became</w:t>
      </w:r>
      <w:r w:rsidR="0071267B">
        <w:rPr>
          <w:lang w:eastAsia="en-US"/>
        </w:rPr>
        <w:t xml:space="preserve"> a key way of promoting and extending these policies world-wide</w:t>
      </w:r>
      <w:r w:rsidR="00F81BBD">
        <w:rPr>
          <w:lang w:eastAsia="en-US"/>
        </w:rPr>
        <w:t>, and a key part of globalisation</w:t>
      </w:r>
      <w:r w:rsidR="0071267B">
        <w:rPr>
          <w:lang w:eastAsia="en-US"/>
        </w:rPr>
        <w:t xml:space="preserve">. </w:t>
      </w:r>
      <w:r w:rsidR="00096B57">
        <w:rPr>
          <w:lang w:eastAsia="en-US"/>
        </w:rPr>
        <w:t>(Thorstensen et al 2013)</w:t>
      </w:r>
    </w:p>
    <w:p w:rsidR="00096B57" w:rsidRPr="00FC3740" w:rsidRDefault="00096B57" w:rsidP="00096B57">
      <w:pPr>
        <w:rPr>
          <w:lang w:eastAsia="en-US"/>
        </w:rPr>
      </w:pPr>
    </w:p>
    <w:p w:rsidR="00096B57" w:rsidRDefault="00096B57" w:rsidP="00096B57">
      <w:pPr>
        <w:rPr>
          <w:lang w:eastAsia="en-US"/>
        </w:rPr>
      </w:pPr>
      <w:r>
        <w:rPr>
          <w:lang w:eastAsia="en-US"/>
        </w:rPr>
        <w:t>The</w:t>
      </w:r>
      <w:r w:rsidR="00F81BBD">
        <w:rPr>
          <w:lang w:eastAsia="en-US"/>
        </w:rPr>
        <w:t xml:space="preserve"> </w:t>
      </w:r>
      <w:r w:rsidR="00F77490">
        <w:rPr>
          <w:lang w:eastAsia="en-US"/>
        </w:rPr>
        <w:t xml:space="preserve">IMF has </w:t>
      </w:r>
      <w:r w:rsidR="004D1B2C">
        <w:rPr>
          <w:lang w:eastAsia="en-US"/>
        </w:rPr>
        <w:t>been able to have such impact</w:t>
      </w:r>
      <w:r w:rsidR="00F77490">
        <w:rPr>
          <w:lang w:eastAsia="en-US"/>
        </w:rPr>
        <w:t xml:space="preserve"> not because countries have any legal obligation to adopt a certain set of policies. Unlike membership of the EU, which requires countries to adopt a wide range of specific laws and policies on economic, environmental and other issues, there is no such obli</w:t>
      </w:r>
      <w:r w:rsidR="00AB69FE">
        <w:rPr>
          <w:lang w:eastAsia="en-US"/>
        </w:rPr>
        <w:t>gation on members of the IMF. Nor is there a contractual obligation on borrowers which is legally enforced by the IMF - formally, the conditionalities are contained in a government statement of policies it proposes to follow</w:t>
      </w:r>
      <w:r w:rsidR="00F4551F">
        <w:rPr>
          <w:lang w:eastAsia="en-US"/>
        </w:rPr>
        <w:t xml:space="preserve"> </w:t>
      </w:r>
      <w:r w:rsidR="00F4551F">
        <w:t>(Klein 2003)</w:t>
      </w:r>
      <w:r w:rsidR="00AB69FE">
        <w:rPr>
          <w:lang w:eastAsia="en-US"/>
        </w:rPr>
        <w:t xml:space="preserve">. </w:t>
      </w:r>
      <w:r w:rsidR="00F77490">
        <w:rPr>
          <w:lang w:eastAsia="en-US"/>
        </w:rPr>
        <w:t>The impact o</w:t>
      </w:r>
      <w:r w:rsidR="000909C0">
        <w:rPr>
          <w:lang w:eastAsia="en-US"/>
        </w:rPr>
        <w:t xml:space="preserve">f the IMF rather stems from its unique ability to exercise economic power and influence over selected countries, </w:t>
      </w:r>
      <w:r w:rsidR="004D76CA">
        <w:rPr>
          <w:lang w:eastAsia="en-US"/>
        </w:rPr>
        <w:t>as a result of its surveillance and lending powers</w:t>
      </w:r>
      <w:r w:rsidR="000909C0">
        <w:rPr>
          <w:lang w:eastAsia="en-US"/>
        </w:rPr>
        <w:t xml:space="preserve">.  </w:t>
      </w:r>
      <w:r w:rsidR="00F77490">
        <w:rPr>
          <w:lang w:eastAsia="en-US"/>
        </w:rPr>
        <w:t xml:space="preserve"> </w:t>
      </w:r>
    </w:p>
    <w:p w:rsidR="00096B57" w:rsidRDefault="00096B57" w:rsidP="00096B57">
      <w:pPr>
        <w:rPr>
          <w:lang w:eastAsia="en-US"/>
        </w:rPr>
      </w:pPr>
    </w:p>
    <w:p w:rsidR="00096B57" w:rsidRDefault="004D76CA" w:rsidP="00225FFB">
      <w:pPr>
        <w:rPr>
          <w:lang w:eastAsia="en-US"/>
        </w:rPr>
      </w:pPr>
      <w:r>
        <w:rPr>
          <w:lang w:eastAsia="en-US"/>
        </w:rPr>
        <w:t>T</w:t>
      </w:r>
      <w:r w:rsidR="00F77490">
        <w:rPr>
          <w:lang w:eastAsia="en-US"/>
        </w:rPr>
        <w:t xml:space="preserve">he </w:t>
      </w:r>
      <w:r>
        <w:rPr>
          <w:lang w:eastAsia="en-US"/>
        </w:rPr>
        <w:t xml:space="preserve">surveillance role gives the </w:t>
      </w:r>
      <w:r w:rsidR="00F77490">
        <w:rPr>
          <w:lang w:eastAsia="en-US"/>
        </w:rPr>
        <w:t xml:space="preserve">IMF </w:t>
      </w:r>
      <w:r w:rsidR="00096B57">
        <w:rPr>
          <w:lang w:eastAsia="en-US"/>
        </w:rPr>
        <w:t xml:space="preserve">a globally unique role as constant and universal economic policy adviser to all countries at all times, through the programme of annual visits </w:t>
      </w:r>
      <w:r w:rsidR="00225FFB">
        <w:rPr>
          <w:lang w:eastAsia="en-US"/>
        </w:rPr>
        <w:t>and reports on national economies</w:t>
      </w:r>
      <w:r w:rsidR="001A6AD4">
        <w:rPr>
          <w:lang w:eastAsia="en-US"/>
        </w:rPr>
        <w:t xml:space="preserve">. </w:t>
      </w:r>
      <w:r w:rsidR="000E0E62">
        <w:rPr>
          <w:lang w:eastAsia="en-US"/>
        </w:rPr>
        <w:t xml:space="preserve"> Without the context of an IMF loan, these may function to encourage and reinforce existing policies: to take an improbable example,  </w:t>
      </w:r>
      <w:r w:rsidR="000E0E62" w:rsidRPr="00F4791B">
        <w:rPr>
          <w:lang w:eastAsia="en-US"/>
        </w:rPr>
        <w:t>an IMF staff mission</w:t>
      </w:r>
      <w:r w:rsidR="000E0E62">
        <w:rPr>
          <w:lang w:eastAsia="en-US"/>
        </w:rPr>
        <w:t xml:space="preserve"> to Libya in 2010</w:t>
      </w:r>
      <w:r w:rsidR="000E0E62" w:rsidRPr="00F4791B">
        <w:rPr>
          <w:lang w:eastAsia="en-US"/>
        </w:rPr>
        <w:t xml:space="preserve"> congratulated the Gaddafi regime in Libya for a programme to make 340,000 public employees redundant, recommended that the process “should be accelerated”, and </w:t>
      </w:r>
      <w:r w:rsidR="000E0E62">
        <w:rPr>
          <w:lang w:eastAsia="en-US"/>
        </w:rPr>
        <w:t>add</w:t>
      </w:r>
      <w:r w:rsidR="000E0E62" w:rsidRPr="00F4791B">
        <w:rPr>
          <w:lang w:eastAsia="en-US"/>
        </w:rPr>
        <w:t>ed that  “</w:t>
      </w:r>
      <w:r w:rsidR="000E0E62" w:rsidRPr="00F4791B">
        <w:rPr>
          <w:iCs/>
          <w:lang w:eastAsia="en-US"/>
        </w:rPr>
        <w:t>The mission would like to thank the authorities for their excellent cooperation and hospitality.”</w:t>
      </w:r>
      <w:r w:rsidR="000E0E62" w:rsidRPr="00F4791B">
        <w:rPr>
          <w:vertAlign w:val="superscript"/>
          <w:lang w:eastAsia="en-US"/>
        </w:rPr>
        <w:t xml:space="preserve"> </w:t>
      </w:r>
      <w:r w:rsidR="000E0E62" w:rsidRPr="00F4791B">
        <w:rPr>
          <w:vertAlign w:val="superscript"/>
          <w:lang w:eastAsia="en-US"/>
        </w:rPr>
        <w:endnoteReference w:id="2"/>
      </w:r>
      <w:r w:rsidR="000E0E62">
        <w:rPr>
          <w:vertAlign w:val="superscript"/>
          <w:lang w:eastAsia="en-US"/>
        </w:rPr>
        <w:t xml:space="preserve">  </w:t>
      </w:r>
      <w:r w:rsidR="001A6AD4">
        <w:rPr>
          <w:lang w:eastAsia="en-US"/>
        </w:rPr>
        <w:t>Th</w:t>
      </w:r>
      <w:r w:rsidR="000E0E62">
        <w:rPr>
          <w:lang w:eastAsia="en-US"/>
        </w:rPr>
        <w:t>ese visits are</w:t>
      </w:r>
      <w:r w:rsidR="001A6AD4">
        <w:rPr>
          <w:lang w:eastAsia="en-US"/>
        </w:rPr>
        <w:t xml:space="preserve"> supplemented by </w:t>
      </w:r>
      <w:r w:rsidR="00096B57">
        <w:rPr>
          <w:lang w:eastAsia="en-US"/>
        </w:rPr>
        <w:t>regular reports on the world economy</w:t>
      </w:r>
      <w:r w:rsidR="00225FFB">
        <w:rPr>
          <w:lang w:eastAsia="en-US"/>
        </w:rPr>
        <w:t>,</w:t>
      </w:r>
      <w:r w:rsidR="00096B57">
        <w:rPr>
          <w:lang w:eastAsia="en-US"/>
        </w:rPr>
        <w:t xml:space="preserve"> </w:t>
      </w:r>
      <w:r w:rsidR="001A6AD4">
        <w:rPr>
          <w:lang w:eastAsia="en-US"/>
        </w:rPr>
        <w:t xml:space="preserve">global financial issues, </w:t>
      </w:r>
      <w:r w:rsidR="00096B57">
        <w:rPr>
          <w:lang w:eastAsia="en-US"/>
        </w:rPr>
        <w:t xml:space="preserve">and a plethora of research and other papers on economic policy. </w:t>
      </w:r>
      <w:r w:rsidR="00225FFB">
        <w:rPr>
          <w:lang w:eastAsia="en-US"/>
        </w:rPr>
        <w:t xml:space="preserve">At national level, this </w:t>
      </w:r>
      <w:r w:rsidR="00350CFB">
        <w:rPr>
          <w:lang w:eastAsia="en-US"/>
        </w:rPr>
        <w:t>has repeated impact on the acceptable range of government policies</w:t>
      </w:r>
      <w:r w:rsidR="007742DD">
        <w:rPr>
          <w:lang w:eastAsia="en-US"/>
        </w:rPr>
        <w:t>: a bad report from the IMF surveillance make</w:t>
      </w:r>
      <w:r w:rsidR="00350CFB">
        <w:rPr>
          <w:lang w:eastAsia="en-US"/>
        </w:rPr>
        <w:t>s</w:t>
      </w:r>
      <w:r w:rsidR="007742DD">
        <w:rPr>
          <w:lang w:eastAsia="en-US"/>
        </w:rPr>
        <w:t xml:space="preserve"> it more difficult for a country to borrow the money it needs. </w:t>
      </w:r>
      <w:r w:rsidR="00225FFB">
        <w:rPr>
          <w:lang w:eastAsia="en-US"/>
        </w:rPr>
        <w:t xml:space="preserve">At international level, </w:t>
      </w:r>
      <w:r w:rsidR="001A6AD4">
        <w:rPr>
          <w:lang w:eastAsia="en-US"/>
        </w:rPr>
        <w:t xml:space="preserve">the effect is magnified by constant media coverage, academic discussion, and attention from financial markets, which </w:t>
      </w:r>
      <w:r>
        <w:rPr>
          <w:lang w:eastAsia="en-US"/>
        </w:rPr>
        <w:t>continuous</w:t>
      </w:r>
      <w:r w:rsidR="001A6AD4">
        <w:rPr>
          <w:lang w:eastAsia="en-US"/>
        </w:rPr>
        <w:t>ly</w:t>
      </w:r>
      <w:r>
        <w:rPr>
          <w:lang w:eastAsia="en-US"/>
        </w:rPr>
        <w:t xml:space="preserve"> </w:t>
      </w:r>
      <w:r w:rsidR="001A6AD4">
        <w:rPr>
          <w:lang w:eastAsia="en-US"/>
        </w:rPr>
        <w:t xml:space="preserve">reinforces the </w:t>
      </w:r>
      <w:r w:rsidR="00762CBD">
        <w:rPr>
          <w:lang w:eastAsia="en-US"/>
        </w:rPr>
        <w:t xml:space="preserve">dominance of the </w:t>
      </w:r>
      <w:r w:rsidR="001A6AD4">
        <w:rPr>
          <w:lang w:eastAsia="en-US"/>
        </w:rPr>
        <w:t xml:space="preserve">orthodox </w:t>
      </w:r>
      <w:r w:rsidR="00225FFB">
        <w:rPr>
          <w:lang w:eastAsia="en-US"/>
        </w:rPr>
        <w:t xml:space="preserve"> economic ideology of the Washington consensus.</w:t>
      </w:r>
    </w:p>
    <w:p w:rsidR="00096B57" w:rsidRDefault="00096B57" w:rsidP="00096B57">
      <w:pPr>
        <w:rPr>
          <w:lang w:eastAsia="en-US"/>
        </w:rPr>
      </w:pPr>
    </w:p>
    <w:p w:rsidR="00096B57" w:rsidRDefault="001A6AD4" w:rsidP="00225FFB">
      <w:pPr>
        <w:rPr>
          <w:lang w:eastAsia="en-US"/>
        </w:rPr>
      </w:pPr>
      <w:r>
        <w:rPr>
          <w:lang w:eastAsia="en-US"/>
        </w:rPr>
        <w:t xml:space="preserve">IMF </w:t>
      </w:r>
      <w:r w:rsidR="00392CEB">
        <w:rPr>
          <w:lang w:eastAsia="en-US"/>
        </w:rPr>
        <w:t xml:space="preserve">loans </w:t>
      </w:r>
      <w:r>
        <w:rPr>
          <w:lang w:eastAsia="en-US"/>
        </w:rPr>
        <w:t xml:space="preserve">create </w:t>
      </w:r>
      <w:r w:rsidR="00096B57">
        <w:rPr>
          <w:lang w:eastAsia="en-US"/>
        </w:rPr>
        <w:t>a</w:t>
      </w:r>
      <w:r w:rsidR="00392CEB">
        <w:rPr>
          <w:lang w:eastAsia="en-US"/>
        </w:rPr>
        <w:t xml:space="preserve"> more direct </w:t>
      </w:r>
      <w:r w:rsidR="00096B57">
        <w:rPr>
          <w:lang w:eastAsia="en-US"/>
        </w:rPr>
        <w:t xml:space="preserve">economic bargaining </w:t>
      </w:r>
      <w:r>
        <w:rPr>
          <w:lang w:eastAsia="en-US"/>
        </w:rPr>
        <w:t>mechanism</w:t>
      </w:r>
      <w:r w:rsidR="00392CEB">
        <w:rPr>
          <w:lang w:eastAsia="en-US"/>
        </w:rPr>
        <w:t>, in which the loan conditionalities enable the IMF to induce</w:t>
      </w:r>
      <w:r>
        <w:rPr>
          <w:lang w:eastAsia="en-US"/>
        </w:rPr>
        <w:t xml:space="preserve"> countries to adopt its preferred policies</w:t>
      </w:r>
      <w:r w:rsidR="00D36960">
        <w:rPr>
          <w:lang w:eastAsia="en-US"/>
        </w:rPr>
        <w:t xml:space="preserve">. This </w:t>
      </w:r>
      <w:r w:rsidR="00392CEB">
        <w:rPr>
          <w:lang w:eastAsia="en-US"/>
        </w:rPr>
        <w:t xml:space="preserve">power is based on the </w:t>
      </w:r>
      <w:r w:rsidR="00D36960">
        <w:rPr>
          <w:lang w:eastAsia="en-US"/>
        </w:rPr>
        <w:t xml:space="preserve">potential </w:t>
      </w:r>
      <w:r w:rsidR="00096B57">
        <w:rPr>
          <w:lang w:eastAsia="en-US"/>
        </w:rPr>
        <w:t>sanction of postponing or with</w:t>
      </w:r>
      <w:r w:rsidR="00762CBD">
        <w:rPr>
          <w:lang w:eastAsia="en-US"/>
        </w:rPr>
        <w:t>hold</w:t>
      </w:r>
      <w:r w:rsidR="00096B57">
        <w:rPr>
          <w:lang w:eastAsia="en-US"/>
        </w:rPr>
        <w:t>ing the loans</w:t>
      </w:r>
      <w:r w:rsidR="00D36960">
        <w:rPr>
          <w:lang w:eastAsia="en-US"/>
        </w:rPr>
        <w:t xml:space="preserve"> – if the correct policies are not adopted, the </w:t>
      </w:r>
      <w:r w:rsidR="00392CEB">
        <w:rPr>
          <w:lang w:eastAsia="en-US"/>
        </w:rPr>
        <w:t>loans may be witheld</w:t>
      </w:r>
      <w:r w:rsidR="0051627C">
        <w:rPr>
          <w:lang w:eastAsia="en-US"/>
        </w:rPr>
        <w:t xml:space="preserve">, and </w:t>
      </w:r>
      <w:r w:rsidR="00D36960">
        <w:rPr>
          <w:lang w:eastAsia="en-US"/>
        </w:rPr>
        <w:t>the money markets will be much less willing to lend money</w:t>
      </w:r>
      <w:r w:rsidR="00392CEB">
        <w:rPr>
          <w:lang w:eastAsia="en-US"/>
        </w:rPr>
        <w:t xml:space="preserve"> to the government</w:t>
      </w:r>
      <w:r w:rsidR="0051627C">
        <w:rPr>
          <w:lang w:eastAsia="en-US"/>
        </w:rPr>
        <w:t xml:space="preserve">. </w:t>
      </w:r>
      <w:r w:rsidR="00D36960">
        <w:rPr>
          <w:lang w:eastAsia="en-US"/>
        </w:rPr>
        <w:t xml:space="preserve"> So the</w:t>
      </w:r>
      <w:r w:rsidR="000909C0">
        <w:rPr>
          <w:lang w:eastAsia="en-US"/>
        </w:rPr>
        <w:t xml:space="preserve"> relationship is not simply a partners</w:t>
      </w:r>
      <w:r>
        <w:rPr>
          <w:lang w:eastAsia="en-US"/>
        </w:rPr>
        <w:t>hip cooperating to a single end</w:t>
      </w:r>
      <w:r w:rsidR="00D36960">
        <w:rPr>
          <w:lang w:eastAsia="en-US"/>
        </w:rPr>
        <w:t xml:space="preserve">. It is also </w:t>
      </w:r>
      <w:r w:rsidR="000909C0">
        <w:rPr>
          <w:lang w:eastAsia="en-US"/>
        </w:rPr>
        <w:t>an exchange relationship, in which the IMF receives its desired policies in exchange for a loan</w:t>
      </w:r>
      <w:r w:rsidR="00D36960">
        <w:rPr>
          <w:lang w:eastAsia="en-US"/>
        </w:rPr>
        <w:t xml:space="preserve"> – even if those policies are not desired by the government or large sections of the population of those countries.</w:t>
      </w:r>
    </w:p>
    <w:p w:rsidR="00096B57" w:rsidRDefault="00096B57" w:rsidP="00096B57">
      <w:pPr>
        <w:rPr>
          <w:lang w:eastAsia="en-US"/>
        </w:rPr>
      </w:pPr>
    </w:p>
    <w:p w:rsidR="007B4131" w:rsidRDefault="00045D78" w:rsidP="00626E6A">
      <w:r>
        <w:rPr>
          <w:lang w:eastAsia="en-US"/>
        </w:rPr>
        <w:t>As shown in the previous section, the</w:t>
      </w:r>
      <w:r w:rsidR="00A859E1">
        <w:rPr>
          <w:lang w:eastAsia="en-US"/>
        </w:rPr>
        <w:t xml:space="preserve">se economic policies are not a technocratic and uncontroversial package, but rather a set of highly contentious policies. </w:t>
      </w:r>
      <w:r w:rsidR="007B4131">
        <w:rPr>
          <w:lang w:eastAsia="en-US"/>
        </w:rPr>
        <w:t xml:space="preserve">The </w:t>
      </w:r>
      <w:r w:rsidR="00A859E1">
        <w:rPr>
          <w:lang w:eastAsia="en-US"/>
        </w:rPr>
        <w:t xml:space="preserve">role of conditionalities is thus to ward off the </w:t>
      </w:r>
      <w:r w:rsidR="007B4131">
        <w:rPr>
          <w:lang w:eastAsia="en-US"/>
        </w:rPr>
        <w:t xml:space="preserve"> danger that democratic processes will not lead to the result</w:t>
      </w:r>
      <w:r w:rsidR="00A859E1" w:rsidRPr="00A859E1">
        <w:rPr>
          <w:lang w:eastAsia="en-US"/>
        </w:rPr>
        <w:t xml:space="preserve"> </w:t>
      </w:r>
      <w:r w:rsidR="00A859E1">
        <w:rPr>
          <w:lang w:eastAsia="en-US"/>
        </w:rPr>
        <w:t>desired by the IMF</w:t>
      </w:r>
      <w:r w:rsidR="007B4131">
        <w:rPr>
          <w:lang w:eastAsia="en-US"/>
        </w:rPr>
        <w:t xml:space="preserve">, because of  </w:t>
      </w:r>
      <w:r w:rsidR="007B4131" w:rsidRPr="00725BBC">
        <w:t>a confl</w:t>
      </w:r>
      <w:r w:rsidR="007B4131">
        <w:t>ict of interests:</w:t>
      </w:r>
      <w:r w:rsidR="007B4131" w:rsidRPr="008B0B7D">
        <w:t xml:space="preserve"> </w:t>
      </w:r>
      <w:r w:rsidR="007B4131">
        <w:t>“</w:t>
      </w:r>
      <w:r w:rsidR="007B4131" w:rsidRPr="008B0B7D">
        <w:t>between the IMF as lender and the country as borrower</w:t>
      </w:r>
      <w:r w:rsidR="007B4131">
        <w:t>, …b</w:t>
      </w:r>
      <w:r w:rsidR="007B4131" w:rsidRPr="008B0B7D">
        <w:t>etween the country and other foreign lenders, or between sharply conflicting interests within a country</w:t>
      </w:r>
      <w:r w:rsidR="007B4131">
        <w:t>.”</w:t>
      </w:r>
      <w:r w:rsidR="007B4131" w:rsidRPr="000E0E62">
        <w:t xml:space="preserve"> </w:t>
      </w:r>
      <w:r w:rsidR="007B4131">
        <w:t>(Drazen 2002)</w:t>
      </w:r>
      <w:r w:rsidR="00A859E1">
        <w:t xml:space="preserve">. The </w:t>
      </w:r>
      <w:r w:rsidR="007B4131">
        <w:t>core</w:t>
      </w:r>
      <w:r w:rsidR="00A859E1">
        <w:t xml:space="preserve"> of this</w:t>
      </w:r>
      <w:r w:rsidR="007B4131">
        <w:t xml:space="preserve"> conflict is between the interests of citizens as expressed through democracy and the interests of financial entities expressed through the market:</w:t>
      </w:r>
    </w:p>
    <w:p w:rsidR="00045D78" w:rsidRDefault="00045D78" w:rsidP="00626E6A"/>
    <w:p w:rsidR="00762CBD" w:rsidRDefault="00392CEB" w:rsidP="007B4131">
      <w:pPr>
        <w:ind w:left="720"/>
      </w:pPr>
      <w:r>
        <w:rPr>
          <w:lang w:eastAsia="en-US"/>
        </w:rPr>
        <w:t xml:space="preserve"> </w:t>
      </w:r>
      <w:r w:rsidR="00626E6A">
        <w:t>“</w:t>
      </w:r>
      <w:r w:rsidR="00626E6A" w:rsidRPr="00626E6A">
        <w:t>The politics of public debt may be conceived in terms of a distributional conflict between creditors and citizens. Both have claims on public funds in the form of contractual-commercial and political-social rights, respectively. In a democracy, citizens have the possibility of electing a government responsive to them but “irresponsible” from the viewpoint of financial markets</w:t>
      </w:r>
      <w:r w:rsidR="00626E6A">
        <w:t>….</w:t>
      </w:r>
      <w:r w:rsidR="00626E6A" w:rsidRPr="00626E6A">
        <w:t xml:space="preserve"> creditors will seek guarantees that </w:t>
      </w:r>
      <w:r w:rsidR="00626E6A">
        <w:t>..</w:t>
      </w:r>
      <w:r w:rsidR="00626E6A" w:rsidRPr="00626E6A">
        <w:t xml:space="preserve"> their </w:t>
      </w:r>
      <w:r w:rsidR="00626E6A">
        <w:t xml:space="preserve"> </w:t>
      </w:r>
      <w:r w:rsidR="00626E6A" w:rsidRPr="00626E6A">
        <w:t>claims will always be given priority over those of citizens</w:t>
      </w:r>
      <w:r w:rsidR="00626E6A">
        <w:t>” (</w:t>
      </w:r>
      <w:r w:rsidR="00626E6A" w:rsidRPr="00111A4B">
        <w:rPr>
          <w:szCs w:val="22"/>
        </w:rPr>
        <w:t>Streeck</w:t>
      </w:r>
      <w:r w:rsidR="00626E6A">
        <w:rPr>
          <w:szCs w:val="22"/>
        </w:rPr>
        <w:t xml:space="preserve"> 2013)</w:t>
      </w:r>
    </w:p>
    <w:p w:rsidR="00762CBD" w:rsidRDefault="00762CBD" w:rsidP="00225FFB"/>
    <w:p w:rsidR="007B4131" w:rsidRDefault="00D73447" w:rsidP="00D73447">
      <w:r>
        <w:t>The impact of the IMF should thus be understood as the</w:t>
      </w:r>
      <w:r w:rsidRPr="002D27F0">
        <w:t xml:space="preserve"> exercise of informal power</w:t>
      </w:r>
      <w:r>
        <w:t xml:space="preserve">, engaged in repeated conflicts with </w:t>
      </w:r>
      <w:r w:rsidRPr="002D27F0">
        <w:t xml:space="preserve">the framework of national law </w:t>
      </w:r>
      <w:r>
        <w:t>and</w:t>
      </w:r>
      <w:r w:rsidRPr="002D27F0">
        <w:t xml:space="preserve"> democratic activity, as summarised by Ulrich Beck:</w:t>
      </w:r>
      <w:r>
        <w:t xml:space="preserve"> </w:t>
      </w:r>
    </w:p>
    <w:p w:rsidR="00D73447" w:rsidRDefault="00D73447" w:rsidP="007B4131">
      <w:pPr>
        <w:ind w:left="720"/>
      </w:pPr>
      <w:r>
        <w:t xml:space="preserve"> </w:t>
      </w:r>
      <w:r w:rsidRPr="002D27F0">
        <w:t>“This de-territorialised economic power requires neither political implementation nor political legitimacy. In establishing itself, it even bypasses the institutions of the developed democracies, including parliaments and courts. This meta power is neither legal nor legitimate; it is ‘translegal’ (Beck 2005)</w:t>
      </w:r>
    </w:p>
    <w:p w:rsidR="004C0EE7" w:rsidRDefault="009C7DC8" w:rsidP="004C0EE7">
      <w:pPr>
        <w:pStyle w:val="Heading2"/>
      </w:pPr>
      <w:bookmarkStart w:id="29" w:name="_Toc425285683"/>
      <w:bookmarkStart w:id="30" w:name="_Toc351656237"/>
      <w:r>
        <w:t>IMF and national</w:t>
      </w:r>
      <w:r w:rsidR="00F279AA">
        <w:t xml:space="preserve"> </w:t>
      </w:r>
      <w:r w:rsidR="004C0EE7">
        <w:t xml:space="preserve"> constitutions</w:t>
      </w:r>
      <w:bookmarkEnd w:id="29"/>
    </w:p>
    <w:p w:rsidR="004C0EE7" w:rsidRPr="002D27F0" w:rsidRDefault="004C0EE7" w:rsidP="004C0EE7">
      <w:r>
        <w:t xml:space="preserve">The IMF has repeatedly encountered </w:t>
      </w:r>
      <w:r w:rsidR="00A859E1">
        <w:t xml:space="preserve">public and political </w:t>
      </w:r>
      <w:r>
        <w:t>resistance to its programmes</w:t>
      </w:r>
      <w:r w:rsidR="00A859E1">
        <w:t xml:space="preserve">. One form of this resistance has been </w:t>
      </w:r>
      <w:r>
        <w:t xml:space="preserve">through </w:t>
      </w:r>
      <w:r w:rsidR="00A859E1">
        <w:t xml:space="preserve">national </w:t>
      </w:r>
      <w:r>
        <w:t xml:space="preserve">court cases seeking rulings that measures required by the IMF are unconstitutional. </w:t>
      </w:r>
      <w:r w:rsidRPr="002D27F0">
        <w:t>As shown in the table</w:t>
      </w:r>
      <w:r w:rsidR="00A859E1">
        <w:t xml:space="preserve"> below</w:t>
      </w:r>
      <w:r w:rsidRPr="002D27F0">
        <w:t xml:space="preserve">, the constitutional courts of Latvia, Romania, Hungary and Portugal have ruled </w:t>
      </w:r>
      <w:r>
        <w:t xml:space="preserve">various </w:t>
      </w:r>
      <w:r w:rsidRPr="002D27F0">
        <w:t>elements of their countries’ packages unconstitutional</w:t>
      </w:r>
      <w:r>
        <w:t>, mostly in relation to cuts in pensions entitlement, cuts in public sector pay, or cuts in healthcare provision. This form of resistance has also been encountered in previous IMF packages, including in Colombia in the early 2000s</w:t>
      </w:r>
      <w:r w:rsidR="0071380B">
        <w:t xml:space="preserve"> </w:t>
      </w:r>
      <w:r w:rsidR="00F4551F">
        <w:t xml:space="preserve">and </w:t>
      </w:r>
      <w:r w:rsidR="0071380B">
        <w:t>Hungary in the 1990s.</w:t>
      </w:r>
      <w:r>
        <w:t xml:space="preserve"> </w:t>
      </w:r>
    </w:p>
    <w:p w:rsidR="004C0EE7" w:rsidRPr="002D27F0" w:rsidRDefault="004C0EE7" w:rsidP="004C0EE7"/>
    <w:p w:rsidR="004C0EE7" w:rsidRDefault="004C0EE7" w:rsidP="004C0EE7">
      <w:r>
        <w:t xml:space="preserve">This has become a matter of concern to the financial markets, who see the constitutions as undesirable obstacles to the economic policies desired by countries’ creditors. The bankers JP Morgan issued a remarkable note on the crisis in June 2013  which discussed the progress of European countries on deleveraging, economic restructuring, and political reform. </w:t>
      </w:r>
      <w:r w:rsidR="00F4551F">
        <w:t xml:space="preserve"> Under the heading of ‘political reform’, i</w:t>
      </w:r>
      <w:r>
        <w:t>t warned that:</w:t>
      </w:r>
    </w:p>
    <w:p w:rsidR="004C0EE7" w:rsidRDefault="004C0EE7" w:rsidP="004C0EE7"/>
    <w:p w:rsidR="004C0EE7" w:rsidRDefault="004C0EE7" w:rsidP="004C0EE7">
      <w:pPr>
        <w:ind w:left="720"/>
      </w:pPr>
      <w:r>
        <w:t>“</w:t>
      </w:r>
      <w:r w:rsidRPr="0092182D">
        <w:t>there are deep seated political problems in the periphery, which, in our view, need to</w:t>
      </w:r>
      <w:r>
        <w:t xml:space="preserve"> </w:t>
      </w:r>
      <w:r w:rsidRPr="0092182D">
        <w:t>change if EMU is going to function properly in the long run.</w:t>
      </w:r>
      <w:r>
        <w:t xml:space="preserve"> </w:t>
      </w:r>
      <w:r w:rsidRPr="0092182D">
        <w:t>The political systems in the periphery were established in the aftermath of</w:t>
      </w:r>
      <w:r>
        <w:t xml:space="preserve"> </w:t>
      </w:r>
      <w:r w:rsidRPr="0092182D">
        <w:t>dictatorship, and were defined by that experience. Constitutions tend to show a</w:t>
      </w:r>
      <w:r>
        <w:t xml:space="preserve"> </w:t>
      </w:r>
      <w:r w:rsidRPr="0092182D">
        <w:t>strong socialist influence, reflecting the political strength that left wing parties gained</w:t>
      </w:r>
      <w:r>
        <w:t xml:space="preserve"> </w:t>
      </w:r>
      <w:r w:rsidRPr="0092182D">
        <w:t>after the defeat of fascism</w:t>
      </w:r>
      <w:r>
        <w:t>……</w:t>
      </w:r>
      <w:r w:rsidRPr="0092182D">
        <w:rPr>
          <w:rFonts w:ascii="TimesNewRoman" w:hAnsi="TimesNewRoman" w:cs="TimesNewRoman"/>
          <w:color w:val="000000"/>
          <w:sz w:val="20"/>
          <w:szCs w:val="20"/>
        </w:rPr>
        <w:t xml:space="preserve"> </w:t>
      </w:r>
      <w:r w:rsidRPr="0092182D">
        <w:t>There is a growing recognition of the extent of this problem, both in the core and in</w:t>
      </w:r>
      <w:r>
        <w:t xml:space="preserve"> </w:t>
      </w:r>
      <w:r w:rsidRPr="0092182D">
        <w:t>the periphery. Change is beginning to take place.</w:t>
      </w:r>
      <w:r w:rsidRPr="002D27F0">
        <w:t xml:space="preserve">” </w:t>
      </w:r>
      <w:r>
        <w:t>(JP Morgan 2013)</w:t>
      </w:r>
    </w:p>
    <w:p w:rsidR="004C0EE7" w:rsidRDefault="004C0EE7" w:rsidP="004C0EE7"/>
    <w:p w:rsidR="004C0EE7" w:rsidRPr="002D27F0" w:rsidRDefault="00EE44D0" w:rsidP="004C0EE7">
      <w:pPr>
        <w:pStyle w:val="Heading7"/>
      </w:pPr>
      <w:r>
        <w:t xml:space="preserve"> </w:t>
      </w:r>
      <w:bookmarkStart w:id="31" w:name="_Toc425285684"/>
      <w:r w:rsidR="004C0EE7" w:rsidRPr="002D27F0">
        <w:t>National constitutional court decisions against IMF/Troika austerity</w:t>
      </w:r>
      <w:bookmarkEnd w:id="31"/>
    </w:p>
    <w:tbl>
      <w:tblPr>
        <w:tblStyle w:val="TableGrid"/>
        <w:tblW w:w="0" w:type="auto"/>
        <w:tblLook w:val="04A0" w:firstRow="1" w:lastRow="0" w:firstColumn="1" w:lastColumn="0" w:noHBand="0" w:noVBand="1"/>
      </w:tblPr>
      <w:tblGrid>
        <w:gridCol w:w="1278"/>
        <w:gridCol w:w="1084"/>
        <w:gridCol w:w="1358"/>
        <w:gridCol w:w="6134"/>
      </w:tblGrid>
      <w:tr w:rsidR="004C0EE7" w:rsidRPr="002D27F0" w:rsidTr="00C90BB5">
        <w:tc>
          <w:tcPr>
            <w:tcW w:w="1219" w:type="dxa"/>
          </w:tcPr>
          <w:p w:rsidR="004C0EE7" w:rsidRPr="00FC3740" w:rsidRDefault="004C0EE7" w:rsidP="00C90BB5">
            <w:pPr>
              <w:rPr>
                <w:szCs w:val="22"/>
              </w:rPr>
            </w:pPr>
            <w:r w:rsidRPr="00FC3740">
              <w:rPr>
                <w:szCs w:val="22"/>
              </w:rPr>
              <w:t>Date</w:t>
            </w:r>
          </w:p>
        </w:tc>
        <w:tc>
          <w:tcPr>
            <w:tcW w:w="1084" w:type="dxa"/>
          </w:tcPr>
          <w:p w:rsidR="004C0EE7" w:rsidRPr="00FC3740" w:rsidRDefault="004C0EE7" w:rsidP="00C90BB5">
            <w:pPr>
              <w:rPr>
                <w:szCs w:val="22"/>
              </w:rPr>
            </w:pPr>
            <w:r w:rsidRPr="00FC3740">
              <w:rPr>
                <w:szCs w:val="22"/>
              </w:rPr>
              <w:t>Country</w:t>
            </w:r>
          </w:p>
        </w:tc>
        <w:tc>
          <w:tcPr>
            <w:tcW w:w="1316" w:type="dxa"/>
          </w:tcPr>
          <w:p w:rsidR="004C0EE7" w:rsidRPr="00FC3740" w:rsidRDefault="004C0EE7" w:rsidP="00C90BB5">
            <w:pPr>
              <w:rPr>
                <w:szCs w:val="22"/>
              </w:rPr>
            </w:pPr>
            <w:r w:rsidRPr="00FC3740">
              <w:rPr>
                <w:szCs w:val="22"/>
              </w:rPr>
              <w:t>Issues</w:t>
            </w:r>
          </w:p>
        </w:tc>
        <w:tc>
          <w:tcPr>
            <w:tcW w:w="6235" w:type="dxa"/>
          </w:tcPr>
          <w:p w:rsidR="004C0EE7" w:rsidRPr="00FC3740" w:rsidRDefault="004C0EE7" w:rsidP="00C90BB5">
            <w:pPr>
              <w:rPr>
                <w:szCs w:val="22"/>
              </w:rPr>
            </w:pPr>
          </w:p>
        </w:tc>
      </w:tr>
      <w:tr w:rsidR="0071380B" w:rsidRPr="002D27F0" w:rsidTr="00C90BB5">
        <w:tc>
          <w:tcPr>
            <w:tcW w:w="1219" w:type="dxa"/>
          </w:tcPr>
          <w:p w:rsidR="0071380B" w:rsidRPr="00FC3740" w:rsidRDefault="0071380B" w:rsidP="00C90BB5">
            <w:pPr>
              <w:rPr>
                <w:szCs w:val="22"/>
              </w:rPr>
            </w:pPr>
            <w:r>
              <w:rPr>
                <w:szCs w:val="22"/>
              </w:rPr>
              <w:t>1995</w:t>
            </w:r>
          </w:p>
        </w:tc>
        <w:tc>
          <w:tcPr>
            <w:tcW w:w="1084" w:type="dxa"/>
          </w:tcPr>
          <w:p w:rsidR="0071380B" w:rsidRPr="00FC3740" w:rsidRDefault="0071380B" w:rsidP="00C90BB5">
            <w:pPr>
              <w:rPr>
                <w:szCs w:val="22"/>
              </w:rPr>
            </w:pPr>
            <w:r>
              <w:rPr>
                <w:szCs w:val="22"/>
              </w:rPr>
              <w:t>Hungary</w:t>
            </w:r>
          </w:p>
        </w:tc>
        <w:tc>
          <w:tcPr>
            <w:tcW w:w="1316" w:type="dxa"/>
          </w:tcPr>
          <w:p w:rsidR="0071380B" w:rsidRPr="00FC3740" w:rsidRDefault="0071380B" w:rsidP="00C90BB5">
            <w:pPr>
              <w:rPr>
                <w:szCs w:val="22"/>
              </w:rPr>
            </w:pPr>
            <w:r>
              <w:rPr>
                <w:szCs w:val="22"/>
              </w:rPr>
              <w:t xml:space="preserve">Benefits, labour law, </w:t>
            </w:r>
          </w:p>
        </w:tc>
        <w:tc>
          <w:tcPr>
            <w:tcW w:w="6235" w:type="dxa"/>
          </w:tcPr>
          <w:p w:rsidR="0071380B" w:rsidRPr="00FC3740" w:rsidRDefault="0071380B" w:rsidP="0071380B">
            <w:pPr>
              <w:rPr>
                <w:szCs w:val="22"/>
              </w:rPr>
            </w:pPr>
            <w:r>
              <w:rPr>
                <w:szCs w:val="22"/>
              </w:rPr>
              <w:t xml:space="preserve">The court rejected a number of elements of a cuts package demanded by the IMF in 1995, e.g. on benefits and sick leave. The IMF demands were partly reduced, some cuts were made elsewhere, and privatisation was accelerated. (Scheppele </w:t>
            </w:r>
            <w:r w:rsidR="00852707">
              <w:rPr>
                <w:szCs w:val="22"/>
              </w:rPr>
              <w:t>2006)</w:t>
            </w:r>
          </w:p>
        </w:tc>
      </w:tr>
      <w:tr w:rsidR="004C0EE7" w:rsidRPr="002D27F0" w:rsidTr="00C90BB5">
        <w:tc>
          <w:tcPr>
            <w:tcW w:w="1219" w:type="dxa"/>
          </w:tcPr>
          <w:p w:rsidR="004C0EE7" w:rsidRPr="00FC3740" w:rsidRDefault="004C0EE7" w:rsidP="00C90BB5">
            <w:pPr>
              <w:rPr>
                <w:szCs w:val="22"/>
              </w:rPr>
            </w:pPr>
            <w:r w:rsidRPr="00FC3740">
              <w:rPr>
                <w:szCs w:val="22"/>
              </w:rPr>
              <w:t>2000-2004</w:t>
            </w:r>
          </w:p>
        </w:tc>
        <w:tc>
          <w:tcPr>
            <w:tcW w:w="1084" w:type="dxa"/>
          </w:tcPr>
          <w:p w:rsidR="004C0EE7" w:rsidRPr="00FC3740" w:rsidRDefault="004C0EE7" w:rsidP="00C90BB5">
            <w:pPr>
              <w:rPr>
                <w:szCs w:val="22"/>
              </w:rPr>
            </w:pPr>
            <w:r w:rsidRPr="00FC3740">
              <w:rPr>
                <w:szCs w:val="22"/>
              </w:rPr>
              <w:t>Colombia</w:t>
            </w:r>
          </w:p>
        </w:tc>
        <w:tc>
          <w:tcPr>
            <w:tcW w:w="1316" w:type="dxa"/>
          </w:tcPr>
          <w:p w:rsidR="004C0EE7" w:rsidRPr="00FC3740" w:rsidRDefault="004C0EE7" w:rsidP="00C90BB5">
            <w:pPr>
              <w:rPr>
                <w:szCs w:val="22"/>
              </w:rPr>
            </w:pPr>
            <w:r w:rsidRPr="00FC3740">
              <w:rPr>
                <w:szCs w:val="22"/>
              </w:rPr>
              <w:t>Pensions, public sector pay, healthcare,</w:t>
            </w:r>
          </w:p>
        </w:tc>
        <w:tc>
          <w:tcPr>
            <w:tcW w:w="6235" w:type="dxa"/>
          </w:tcPr>
          <w:p w:rsidR="004C0EE7" w:rsidRPr="00FC3740" w:rsidRDefault="004C0EE7" w:rsidP="00C90BB5">
            <w:pPr>
              <w:rPr>
                <w:szCs w:val="22"/>
              </w:rPr>
            </w:pPr>
            <w:r w:rsidRPr="00FC3740">
              <w:rPr>
                <w:szCs w:val="22"/>
              </w:rPr>
              <w:t>the constitutional court of Colombia heard a series of cases against the IMF structural adjustment programmes between 1999-2004, and ruled policies were unconstitutional in 39 cases: “The Court affirmed that the need to control the fiscal deficit is not a valid argument to maintain situations that can violate constitutional rights”</w:t>
            </w:r>
          </w:p>
        </w:tc>
      </w:tr>
      <w:tr w:rsidR="004C0EE7" w:rsidRPr="002D27F0" w:rsidTr="00C90BB5">
        <w:tc>
          <w:tcPr>
            <w:tcW w:w="1219" w:type="dxa"/>
          </w:tcPr>
          <w:p w:rsidR="004C0EE7" w:rsidRPr="00FC3740" w:rsidRDefault="004C0EE7" w:rsidP="00C90BB5">
            <w:pPr>
              <w:rPr>
                <w:szCs w:val="22"/>
              </w:rPr>
            </w:pPr>
            <w:r w:rsidRPr="00FC3740">
              <w:rPr>
                <w:szCs w:val="22"/>
              </w:rPr>
              <w:t>21/12/2009</w:t>
            </w:r>
          </w:p>
        </w:tc>
        <w:tc>
          <w:tcPr>
            <w:tcW w:w="1084" w:type="dxa"/>
          </w:tcPr>
          <w:p w:rsidR="004C0EE7" w:rsidRPr="00FC3740" w:rsidRDefault="004C0EE7" w:rsidP="00C90BB5">
            <w:pPr>
              <w:rPr>
                <w:szCs w:val="22"/>
              </w:rPr>
            </w:pPr>
            <w:r w:rsidRPr="00FC3740">
              <w:rPr>
                <w:szCs w:val="22"/>
              </w:rPr>
              <w:t>Latvia</w:t>
            </w:r>
          </w:p>
        </w:tc>
        <w:tc>
          <w:tcPr>
            <w:tcW w:w="1316" w:type="dxa"/>
          </w:tcPr>
          <w:p w:rsidR="004C0EE7" w:rsidRPr="00FC3740" w:rsidRDefault="004C0EE7" w:rsidP="00C90BB5">
            <w:pPr>
              <w:rPr>
                <w:szCs w:val="22"/>
              </w:rPr>
            </w:pPr>
            <w:r w:rsidRPr="00FC3740">
              <w:rPr>
                <w:szCs w:val="22"/>
              </w:rPr>
              <w:t>Pensions</w:t>
            </w:r>
          </w:p>
        </w:tc>
        <w:tc>
          <w:tcPr>
            <w:tcW w:w="6235" w:type="dxa"/>
          </w:tcPr>
          <w:p w:rsidR="004C0EE7" w:rsidRPr="00FC3740" w:rsidRDefault="004C0EE7" w:rsidP="00C90BB5">
            <w:pPr>
              <w:rPr>
                <w:szCs w:val="22"/>
              </w:rPr>
            </w:pPr>
            <w:r w:rsidRPr="00FC3740">
              <w:rPr>
                <w:szCs w:val="22"/>
              </w:rPr>
              <w:t>The Court found the law [which decreased the amount received by current pensioners by 10% and that by future pensioners who were currently employed by 70%] unconstitutional and in violation of an individual’s right to a pension because Parliament had not considered other less restrictive alternatives, had not provided an adequate transition period before the law came into effect and there was no plan for future compensation: even if the conditions had been externally imposed, those conditions “cannot replace the rights established by the Constitution’.</w:t>
            </w:r>
          </w:p>
        </w:tc>
      </w:tr>
      <w:tr w:rsidR="004C0EE7" w:rsidRPr="002D27F0" w:rsidTr="00C90BB5">
        <w:tc>
          <w:tcPr>
            <w:tcW w:w="1219" w:type="dxa"/>
          </w:tcPr>
          <w:p w:rsidR="004C0EE7" w:rsidRPr="00FC3740" w:rsidRDefault="004C0EE7" w:rsidP="00C90BB5">
            <w:pPr>
              <w:rPr>
                <w:szCs w:val="22"/>
              </w:rPr>
            </w:pPr>
            <w:r w:rsidRPr="00FC3740">
              <w:rPr>
                <w:szCs w:val="22"/>
              </w:rPr>
              <w:t>24/06/2010</w:t>
            </w:r>
          </w:p>
        </w:tc>
        <w:tc>
          <w:tcPr>
            <w:tcW w:w="1084" w:type="dxa"/>
          </w:tcPr>
          <w:p w:rsidR="004C0EE7" w:rsidRPr="00FC3740" w:rsidRDefault="004C0EE7" w:rsidP="00C90BB5">
            <w:pPr>
              <w:rPr>
                <w:szCs w:val="22"/>
              </w:rPr>
            </w:pPr>
            <w:r w:rsidRPr="00FC3740">
              <w:rPr>
                <w:szCs w:val="22"/>
              </w:rPr>
              <w:t>Romania</w:t>
            </w:r>
          </w:p>
        </w:tc>
        <w:tc>
          <w:tcPr>
            <w:tcW w:w="1316" w:type="dxa"/>
          </w:tcPr>
          <w:p w:rsidR="004C0EE7" w:rsidRPr="00FC3740" w:rsidRDefault="004C0EE7" w:rsidP="00C90BB5">
            <w:pPr>
              <w:rPr>
                <w:szCs w:val="22"/>
              </w:rPr>
            </w:pPr>
            <w:r w:rsidRPr="00FC3740">
              <w:rPr>
                <w:szCs w:val="22"/>
              </w:rPr>
              <w:t>pensions</w:t>
            </w:r>
          </w:p>
        </w:tc>
        <w:tc>
          <w:tcPr>
            <w:tcW w:w="6235" w:type="dxa"/>
          </w:tcPr>
          <w:p w:rsidR="004C0EE7" w:rsidRPr="00FC3740" w:rsidRDefault="005F6928" w:rsidP="00C90BB5">
            <w:pPr>
              <w:rPr>
                <w:szCs w:val="22"/>
              </w:rPr>
            </w:pPr>
            <w:hyperlink r:id="rId18" w:history="1">
              <w:r w:rsidR="004C0EE7" w:rsidRPr="00FC3740">
                <w:rPr>
                  <w:rStyle w:val="Hyperlink"/>
                  <w:szCs w:val="22"/>
                </w:rPr>
                <w:t>the Romanian constitutional court</w:t>
              </w:r>
            </w:hyperlink>
            <w:r w:rsidR="004C0EE7" w:rsidRPr="00FC3740">
              <w:rPr>
                <w:szCs w:val="22"/>
              </w:rPr>
              <w:t xml:space="preserve"> provoked enormous upheaval by overturning a proposed 15% cut in pensions government's plan to cut pensions by 15 percent in 2010 in order to reduce public spending was "unconstitutional."</w:t>
            </w:r>
          </w:p>
        </w:tc>
      </w:tr>
      <w:tr w:rsidR="004C0EE7" w:rsidRPr="002D27F0" w:rsidTr="00C90BB5">
        <w:tc>
          <w:tcPr>
            <w:tcW w:w="1219" w:type="dxa"/>
          </w:tcPr>
          <w:p w:rsidR="004C0EE7" w:rsidRPr="00FC3740" w:rsidRDefault="004C0EE7" w:rsidP="00C90BB5">
            <w:pPr>
              <w:rPr>
                <w:szCs w:val="22"/>
              </w:rPr>
            </w:pPr>
            <w:r w:rsidRPr="00FC3740">
              <w:rPr>
                <w:szCs w:val="22"/>
              </w:rPr>
              <w:t>10/2010</w:t>
            </w:r>
          </w:p>
        </w:tc>
        <w:tc>
          <w:tcPr>
            <w:tcW w:w="1084" w:type="dxa"/>
          </w:tcPr>
          <w:p w:rsidR="004C0EE7" w:rsidRPr="00FC3740" w:rsidRDefault="004C0EE7" w:rsidP="00C90BB5">
            <w:pPr>
              <w:rPr>
                <w:szCs w:val="22"/>
              </w:rPr>
            </w:pPr>
            <w:r w:rsidRPr="00FC3740">
              <w:rPr>
                <w:szCs w:val="22"/>
              </w:rPr>
              <w:t>Hungary</w:t>
            </w:r>
          </w:p>
        </w:tc>
        <w:tc>
          <w:tcPr>
            <w:tcW w:w="1316" w:type="dxa"/>
          </w:tcPr>
          <w:p w:rsidR="004C0EE7" w:rsidRPr="00FC3740" w:rsidRDefault="004C0EE7" w:rsidP="00C90BB5">
            <w:pPr>
              <w:rPr>
                <w:szCs w:val="22"/>
              </w:rPr>
            </w:pPr>
            <w:r w:rsidRPr="00FC3740">
              <w:rPr>
                <w:szCs w:val="22"/>
              </w:rPr>
              <w:t>Public sector pay</w:t>
            </w:r>
          </w:p>
        </w:tc>
        <w:tc>
          <w:tcPr>
            <w:tcW w:w="6235" w:type="dxa"/>
          </w:tcPr>
          <w:p w:rsidR="004C0EE7" w:rsidRPr="00FC3740" w:rsidRDefault="004C0EE7" w:rsidP="00C90BB5">
            <w:pPr>
              <w:rPr>
                <w:szCs w:val="22"/>
              </w:rPr>
            </w:pPr>
            <w:r w:rsidRPr="00FC3740">
              <w:rPr>
                <w:szCs w:val="22"/>
              </w:rPr>
              <w:t xml:space="preserve">the constitutional court struck down several laws as unconstitutional, including a 98% tax on public sector severence pay packages worth more than 7,275 euros. The government </w:t>
            </w:r>
            <w:hyperlink r:id="rId19" w:history="1">
              <w:r w:rsidRPr="00FC3740">
                <w:rPr>
                  <w:rStyle w:val="Hyperlink"/>
                  <w:szCs w:val="22"/>
                </w:rPr>
                <w:t>t</w:t>
              </w:r>
            </w:hyperlink>
            <w:hyperlink r:id="rId20" w:history="1">
              <w:r w:rsidRPr="00FC3740">
                <w:rPr>
                  <w:rStyle w:val="Hyperlink"/>
                  <w:szCs w:val="22"/>
                </w:rPr>
                <w:t>hen passed a constitutional amendment</w:t>
              </w:r>
            </w:hyperlink>
            <w:r w:rsidRPr="00FC3740">
              <w:rPr>
                <w:szCs w:val="22"/>
              </w:rPr>
              <w:t xml:space="preserve"> by two thirds parliamentary vote, which allows the Constitutional Court the power to annul laws affecting the budget, the implementation of the budget, central taxes, contribution payments and duties </w:t>
            </w:r>
            <w:r w:rsidRPr="00FC3740">
              <w:rPr>
                <w:b/>
                <w:bCs/>
                <w:szCs w:val="22"/>
              </w:rPr>
              <w:t>only</w:t>
            </w:r>
            <w:r w:rsidRPr="00FC3740">
              <w:rPr>
                <w:szCs w:val="22"/>
              </w:rPr>
              <w:t xml:space="preserve"> if they violate the right to life and dignity, the right to protect personal data, the freedom of thought, conscience and religion, and rights connected to Hungarian citizenship. The Constitutional Court can still declare laws outside of this unconstitutional, but cannot annul them.</w:t>
            </w:r>
          </w:p>
        </w:tc>
      </w:tr>
      <w:tr w:rsidR="004C0EE7" w:rsidRPr="002D27F0" w:rsidTr="00C90BB5">
        <w:tc>
          <w:tcPr>
            <w:tcW w:w="1219" w:type="dxa"/>
          </w:tcPr>
          <w:p w:rsidR="004C0EE7" w:rsidRPr="00FC3740" w:rsidRDefault="004C0EE7" w:rsidP="00C90BB5">
            <w:pPr>
              <w:rPr>
                <w:szCs w:val="22"/>
              </w:rPr>
            </w:pPr>
            <w:r w:rsidRPr="00FC3740">
              <w:rPr>
                <w:szCs w:val="22"/>
              </w:rPr>
              <w:t>04/04/2013</w:t>
            </w:r>
          </w:p>
        </w:tc>
        <w:tc>
          <w:tcPr>
            <w:tcW w:w="1084" w:type="dxa"/>
          </w:tcPr>
          <w:p w:rsidR="004C0EE7" w:rsidRPr="00FC3740" w:rsidRDefault="004C0EE7" w:rsidP="00C90BB5">
            <w:pPr>
              <w:rPr>
                <w:szCs w:val="22"/>
              </w:rPr>
            </w:pPr>
            <w:r w:rsidRPr="00FC3740">
              <w:rPr>
                <w:szCs w:val="22"/>
              </w:rPr>
              <w:t>Portugal</w:t>
            </w:r>
          </w:p>
        </w:tc>
        <w:tc>
          <w:tcPr>
            <w:tcW w:w="1316" w:type="dxa"/>
          </w:tcPr>
          <w:p w:rsidR="004C0EE7" w:rsidRPr="00FC3740" w:rsidRDefault="004C0EE7" w:rsidP="00C90BB5">
            <w:pPr>
              <w:rPr>
                <w:szCs w:val="22"/>
              </w:rPr>
            </w:pPr>
            <w:r w:rsidRPr="00FC3740">
              <w:rPr>
                <w:szCs w:val="22"/>
              </w:rPr>
              <w:t>Pensions, Public sector pay</w:t>
            </w:r>
          </w:p>
        </w:tc>
        <w:tc>
          <w:tcPr>
            <w:tcW w:w="6235" w:type="dxa"/>
          </w:tcPr>
          <w:p w:rsidR="004C0EE7" w:rsidRPr="00FC3740" w:rsidRDefault="005F6928" w:rsidP="00C90BB5">
            <w:pPr>
              <w:rPr>
                <w:szCs w:val="22"/>
              </w:rPr>
            </w:pPr>
            <w:hyperlink r:id="rId21" w:tooltip="Lisbon braces for constitutional court ruling - FT.com" w:history="1">
              <w:r w:rsidR="004C0EE7" w:rsidRPr="00FC3740">
                <w:rPr>
                  <w:rStyle w:val="Hyperlink"/>
                  <w:szCs w:val="22"/>
                </w:rPr>
                <w:t>the constitutional court rejected cuts</w:t>
              </w:r>
            </w:hyperlink>
            <w:r w:rsidR="004C0EE7" w:rsidRPr="00FC3740">
              <w:rPr>
                <w:szCs w:val="22"/>
              </w:rPr>
              <w:t xml:space="preserve"> in state pensions and public sector pay equivalent to about 7 per cent of annual income as well as cuts in sickness and unemployment benefits. the measures deemed unconstitutional represented between €900m and €1.3bn in government revenue and savings, about 20 per cent of the €5bn the government planned to gain from austerity measures this year.</w:t>
            </w:r>
          </w:p>
        </w:tc>
      </w:tr>
      <w:tr w:rsidR="004C0EE7" w:rsidRPr="002D27F0" w:rsidTr="00C90BB5">
        <w:tc>
          <w:tcPr>
            <w:tcW w:w="1219" w:type="dxa"/>
          </w:tcPr>
          <w:p w:rsidR="004C0EE7" w:rsidRPr="00FC3740" w:rsidRDefault="004C0EE7" w:rsidP="00C90BB5">
            <w:pPr>
              <w:rPr>
                <w:szCs w:val="22"/>
              </w:rPr>
            </w:pPr>
            <w:r w:rsidRPr="00FC3740">
              <w:rPr>
                <w:szCs w:val="22"/>
              </w:rPr>
              <w:t>28/08/2013</w:t>
            </w:r>
          </w:p>
        </w:tc>
        <w:tc>
          <w:tcPr>
            <w:tcW w:w="1084" w:type="dxa"/>
          </w:tcPr>
          <w:p w:rsidR="004C0EE7" w:rsidRPr="00FC3740" w:rsidRDefault="004C0EE7" w:rsidP="00C90BB5">
            <w:pPr>
              <w:rPr>
                <w:szCs w:val="22"/>
              </w:rPr>
            </w:pPr>
            <w:r w:rsidRPr="00FC3740">
              <w:rPr>
                <w:szCs w:val="22"/>
              </w:rPr>
              <w:t>Portugal</w:t>
            </w:r>
          </w:p>
        </w:tc>
        <w:tc>
          <w:tcPr>
            <w:tcW w:w="1316" w:type="dxa"/>
          </w:tcPr>
          <w:p w:rsidR="004C0EE7" w:rsidRPr="00FC3740" w:rsidRDefault="004C0EE7" w:rsidP="00C90BB5">
            <w:pPr>
              <w:rPr>
                <w:szCs w:val="22"/>
              </w:rPr>
            </w:pPr>
            <w:r w:rsidRPr="00FC3740">
              <w:rPr>
                <w:szCs w:val="22"/>
              </w:rPr>
              <w:t>Public sector employment</w:t>
            </w:r>
          </w:p>
        </w:tc>
        <w:tc>
          <w:tcPr>
            <w:tcW w:w="6235" w:type="dxa"/>
          </w:tcPr>
          <w:p w:rsidR="004C0EE7" w:rsidRPr="00FC3740" w:rsidRDefault="004C0EE7" w:rsidP="00C90BB5">
            <w:pPr>
              <w:rPr>
                <w:szCs w:val="22"/>
              </w:rPr>
            </w:pPr>
            <w:r w:rsidRPr="00FC3740">
              <w:rPr>
                <w:szCs w:val="22"/>
              </w:rPr>
              <w:t>court has ruled that legislation enabling the government to fire public sector workers who cannot be retrained is illegal, the provision flouted Portugal's "job safety guarantee"</w:t>
            </w:r>
            <w:r>
              <w:rPr>
                <w:szCs w:val="22"/>
              </w:rPr>
              <w:t>.</w:t>
            </w:r>
          </w:p>
        </w:tc>
      </w:tr>
      <w:tr w:rsidR="004C0EE7" w:rsidRPr="002D27F0" w:rsidTr="00C90BB5">
        <w:tc>
          <w:tcPr>
            <w:tcW w:w="1219" w:type="dxa"/>
          </w:tcPr>
          <w:p w:rsidR="004C0EE7" w:rsidRPr="00FC3740" w:rsidRDefault="004C0EE7" w:rsidP="00C90BB5">
            <w:pPr>
              <w:rPr>
                <w:szCs w:val="22"/>
              </w:rPr>
            </w:pPr>
          </w:p>
        </w:tc>
        <w:tc>
          <w:tcPr>
            <w:tcW w:w="1084" w:type="dxa"/>
          </w:tcPr>
          <w:p w:rsidR="004C0EE7" w:rsidRPr="00FC3740" w:rsidRDefault="004C0EE7" w:rsidP="00C90BB5">
            <w:pPr>
              <w:rPr>
                <w:szCs w:val="22"/>
              </w:rPr>
            </w:pPr>
          </w:p>
        </w:tc>
        <w:tc>
          <w:tcPr>
            <w:tcW w:w="1316" w:type="dxa"/>
          </w:tcPr>
          <w:p w:rsidR="004C0EE7" w:rsidRPr="00FC3740" w:rsidRDefault="004C0EE7" w:rsidP="00C90BB5">
            <w:pPr>
              <w:rPr>
                <w:szCs w:val="22"/>
              </w:rPr>
            </w:pPr>
          </w:p>
        </w:tc>
        <w:tc>
          <w:tcPr>
            <w:tcW w:w="6235" w:type="dxa"/>
          </w:tcPr>
          <w:p w:rsidR="004C0EE7" w:rsidRPr="00FC3740" w:rsidRDefault="004C0EE7" w:rsidP="00C90BB5">
            <w:pPr>
              <w:rPr>
                <w:szCs w:val="22"/>
              </w:rPr>
            </w:pPr>
          </w:p>
        </w:tc>
      </w:tr>
    </w:tbl>
    <w:p w:rsidR="00852707" w:rsidRDefault="004C0EE7" w:rsidP="004C0EE7">
      <w:r w:rsidRPr="00B32728">
        <w:rPr>
          <w:i/>
        </w:rPr>
        <w:t>Sources: Rodriguez 2005</w:t>
      </w:r>
      <w:r>
        <w:rPr>
          <w:i/>
        </w:rPr>
        <w:t xml:space="preserve">, </w:t>
      </w:r>
      <w:r w:rsidRPr="007602C7">
        <w:rPr>
          <w:i/>
          <w:szCs w:val="22"/>
        </w:rPr>
        <w:t xml:space="preserve"> </w:t>
      </w:r>
      <w:r w:rsidRPr="00B32728">
        <w:rPr>
          <w:i/>
          <w:szCs w:val="22"/>
        </w:rPr>
        <w:t>O'Donovan 2010,</w:t>
      </w:r>
      <w:r w:rsidR="00F4551F">
        <w:rPr>
          <w:i/>
          <w:szCs w:val="22"/>
        </w:rPr>
        <w:t xml:space="preserve"> Klein 2003, Scheppele 2006</w:t>
      </w:r>
    </w:p>
    <w:p w:rsidR="00F279AA" w:rsidRDefault="00F279AA" w:rsidP="00F279AA">
      <w:pPr>
        <w:pStyle w:val="Heading2"/>
      </w:pPr>
      <w:bookmarkStart w:id="32" w:name="_Toc425285685"/>
      <w:bookmarkEnd w:id="30"/>
      <w:r>
        <w:t>Geopolitics</w:t>
      </w:r>
      <w:r w:rsidR="000453DC">
        <w:t xml:space="preserve"> and the pattern of loans</w:t>
      </w:r>
      <w:bookmarkEnd w:id="32"/>
    </w:p>
    <w:p w:rsidR="00F279AA" w:rsidRDefault="00F279AA" w:rsidP="00F279AA">
      <w:pPr>
        <w:rPr>
          <w:lang w:eastAsia="en-US"/>
        </w:rPr>
      </w:pPr>
      <w:r>
        <w:rPr>
          <w:lang w:eastAsia="en-US"/>
        </w:rPr>
        <w:t xml:space="preserve">Europe is now especially important to the IMF because many countries in other world regions have effectively rejected the possibility of an IMF loan as an instrument of policy. No country in South America, except for Colombia, currently has an IMF loan, in most cases because governments have taken policy decisions to pay off loans as fast as possible and avoid any future IMF loan, following their experiences with structural adjustment loans in the 1990s and 2000s. In Asia, many countries took similar decisions, explicitly or in practice, following their experiences with IMF loans after the Asian currency crisis of 1998, including Indonesia, Philippines and Thailand.  </w:t>
      </w:r>
    </w:p>
    <w:p w:rsidR="00F279AA" w:rsidRDefault="00F279AA" w:rsidP="00F279AA">
      <w:pPr>
        <w:rPr>
          <w:lang w:eastAsia="en-US"/>
        </w:rPr>
      </w:pPr>
    </w:p>
    <w:p w:rsidR="00F279AA" w:rsidRPr="00B2237E" w:rsidRDefault="00F279AA" w:rsidP="00F279AA">
      <w:pPr>
        <w:rPr>
          <w:lang w:eastAsia="en-US"/>
        </w:rPr>
      </w:pPr>
      <w:r>
        <w:rPr>
          <w:lang w:eastAsia="en-US"/>
        </w:rPr>
        <w:t xml:space="preserve">This had such an impact that the IMF was preparing to make 10% of its staff redundant, when the global financial crisis arrived to give the IMF a new role in dealing with the consequences. However, Asian and Latin American countries have continued to distance themselves from the possibility of fresh interventions by the IMF. A Latin American initiative to create a ‘Bank of the South’ was followed by the east Asian countries developing an alternative regional system of support through the </w:t>
      </w:r>
      <w:r w:rsidRPr="00FE1BED">
        <w:rPr>
          <w:lang w:eastAsia="en-US"/>
        </w:rPr>
        <w:t>Chiang Mai Initiative Multilateralisation (CMIM)</w:t>
      </w:r>
      <w:r>
        <w:rPr>
          <w:lang w:eastAsia="en-US"/>
        </w:rPr>
        <w:t xml:space="preserve">, and now the BRICS countries have also agreed to create a New Development Bank (Nissan 2013, </w:t>
      </w:r>
      <w:r w:rsidRPr="0071157C">
        <w:rPr>
          <w:iCs/>
          <w:szCs w:val="22"/>
        </w:rPr>
        <w:t>Bretton Woods Project</w:t>
      </w:r>
      <w:r w:rsidRPr="0071157C">
        <w:rPr>
          <w:szCs w:val="22"/>
        </w:rPr>
        <w:t xml:space="preserve"> 2014</w:t>
      </w:r>
      <w:r>
        <w:rPr>
          <w:szCs w:val="22"/>
        </w:rPr>
        <w:t>)</w:t>
      </w:r>
      <w:r>
        <w:rPr>
          <w:lang w:eastAsia="en-US"/>
        </w:rPr>
        <w:t xml:space="preserve">. </w:t>
      </w:r>
    </w:p>
    <w:p w:rsidR="00F279AA" w:rsidRDefault="00F279AA" w:rsidP="00F279AA">
      <w:pPr>
        <w:pStyle w:val="Heading7"/>
        <w:ind w:left="0" w:firstLine="0"/>
      </w:pPr>
      <w:bookmarkStart w:id="33" w:name="_Toc425285686"/>
      <w:r>
        <w:t>Countries which accelerated final repayment of IMF loans</w:t>
      </w:r>
      <w:bookmarkEnd w:id="3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150"/>
      </w:tblGrid>
      <w:tr w:rsidR="001006BE" w:rsidTr="000453DC">
        <w:tc>
          <w:tcPr>
            <w:tcW w:w="2628" w:type="dxa"/>
          </w:tcPr>
          <w:p w:rsidR="001006BE" w:rsidRDefault="001006BE" w:rsidP="00F279AA">
            <w:pPr>
              <w:rPr>
                <w:b/>
                <w:bCs/>
                <w:sz w:val="20"/>
                <w:szCs w:val="20"/>
                <w:lang w:eastAsia="en-US"/>
              </w:rPr>
            </w:pPr>
            <w:r>
              <w:rPr>
                <w:b/>
                <w:bCs/>
                <w:sz w:val="20"/>
                <w:szCs w:val="20"/>
                <w:lang w:eastAsia="en-US"/>
              </w:rPr>
              <w:t>Country</w:t>
            </w:r>
          </w:p>
        </w:tc>
        <w:tc>
          <w:tcPr>
            <w:tcW w:w="3150" w:type="dxa"/>
          </w:tcPr>
          <w:p w:rsidR="001006BE" w:rsidRDefault="001006BE" w:rsidP="000453DC">
            <w:pPr>
              <w:rPr>
                <w:b/>
                <w:bCs/>
                <w:sz w:val="20"/>
                <w:szCs w:val="20"/>
                <w:lang w:eastAsia="en-US"/>
              </w:rPr>
            </w:pPr>
            <w:r>
              <w:rPr>
                <w:b/>
                <w:bCs/>
                <w:sz w:val="20"/>
                <w:szCs w:val="20"/>
                <w:lang w:eastAsia="en-US"/>
              </w:rPr>
              <w:t>Date of final repayment to IMF</w:t>
            </w:r>
          </w:p>
        </w:tc>
      </w:tr>
      <w:tr w:rsidR="001006BE" w:rsidTr="000453DC">
        <w:tc>
          <w:tcPr>
            <w:tcW w:w="2628" w:type="dxa"/>
          </w:tcPr>
          <w:p w:rsidR="001006BE" w:rsidRDefault="001006BE" w:rsidP="00F279AA">
            <w:pPr>
              <w:rPr>
                <w:sz w:val="20"/>
                <w:szCs w:val="20"/>
                <w:lang w:eastAsia="en-US"/>
              </w:rPr>
            </w:pPr>
          </w:p>
        </w:tc>
        <w:tc>
          <w:tcPr>
            <w:tcW w:w="3150" w:type="dxa"/>
          </w:tcPr>
          <w:p w:rsidR="001006BE" w:rsidRDefault="001006BE" w:rsidP="00F279AA">
            <w:pPr>
              <w:rPr>
                <w:sz w:val="20"/>
                <w:szCs w:val="20"/>
                <w:lang w:eastAsia="en-US"/>
              </w:rPr>
            </w:pPr>
          </w:p>
        </w:tc>
      </w:tr>
      <w:tr w:rsidR="001006BE" w:rsidTr="000453DC">
        <w:tc>
          <w:tcPr>
            <w:tcW w:w="2628" w:type="dxa"/>
          </w:tcPr>
          <w:p w:rsidR="001006BE" w:rsidRDefault="001006BE" w:rsidP="00F279AA">
            <w:pPr>
              <w:rPr>
                <w:sz w:val="20"/>
                <w:szCs w:val="20"/>
                <w:lang w:val="sv-SE" w:eastAsia="en-US"/>
              </w:rPr>
            </w:pPr>
            <w:r>
              <w:rPr>
                <w:sz w:val="20"/>
                <w:szCs w:val="20"/>
                <w:lang w:val="sv-SE" w:eastAsia="en-US"/>
              </w:rPr>
              <w:t>Argentina</w:t>
            </w:r>
          </w:p>
        </w:tc>
        <w:tc>
          <w:tcPr>
            <w:tcW w:w="3150" w:type="dxa"/>
          </w:tcPr>
          <w:p w:rsidR="001006BE" w:rsidRDefault="001006BE" w:rsidP="00F279AA">
            <w:pPr>
              <w:rPr>
                <w:sz w:val="20"/>
                <w:szCs w:val="20"/>
                <w:lang w:val="sv-SE" w:eastAsia="en-US"/>
              </w:rPr>
            </w:pPr>
            <w:r>
              <w:rPr>
                <w:sz w:val="20"/>
                <w:szCs w:val="20"/>
                <w:lang w:val="sv-SE" w:eastAsia="en-US"/>
              </w:rPr>
              <w:t>2005</w:t>
            </w:r>
          </w:p>
        </w:tc>
      </w:tr>
      <w:tr w:rsidR="001006BE" w:rsidTr="000453DC">
        <w:tc>
          <w:tcPr>
            <w:tcW w:w="2628" w:type="dxa"/>
          </w:tcPr>
          <w:p w:rsidR="001006BE" w:rsidRDefault="001006BE" w:rsidP="00F279AA">
            <w:pPr>
              <w:rPr>
                <w:sz w:val="20"/>
                <w:szCs w:val="20"/>
                <w:lang w:eastAsia="en-US"/>
              </w:rPr>
            </w:pPr>
            <w:r>
              <w:rPr>
                <w:sz w:val="20"/>
                <w:szCs w:val="20"/>
                <w:lang w:eastAsia="en-US"/>
              </w:rPr>
              <w:t>Brazil</w:t>
            </w:r>
          </w:p>
        </w:tc>
        <w:tc>
          <w:tcPr>
            <w:tcW w:w="3150" w:type="dxa"/>
          </w:tcPr>
          <w:p w:rsidR="001006BE" w:rsidRDefault="001006BE" w:rsidP="00F279AA">
            <w:pPr>
              <w:rPr>
                <w:sz w:val="20"/>
                <w:szCs w:val="20"/>
                <w:lang w:val="sv-SE" w:eastAsia="en-US"/>
              </w:rPr>
            </w:pPr>
            <w:r>
              <w:rPr>
                <w:sz w:val="20"/>
                <w:szCs w:val="20"/>
                <w:lang w:val="sv-SE" w:eastAsia="en-US"/>
              </w:rPr>
              <w:t>2005</w:t>
            </w:r>
          </w:p>
        </w:tc>
      </w:tr>
      <w:tr w:rsidR="001006BE" w:rsidTr="000453DC">
        <w:tc>
          <w:tcPr>
            <w:tcW w:w="2628" w:type="dxa"/>
          </w:tcPr>
          <w:p w:rsidR="001006BE" w:rsidRDefault="001006BE" w:rsidP="00F279AA">
            <w:pPr>
              <w:rPr>
                <w:sz w:val="20"/>
                <w:szCs w:val="20"/>
                <w:lang w:eastAsia="en-US"/>
              </w:rPr>
            </w:pPr>
            <w:r>
              <w:rPr>
                <w:sz w:val="20"/>
                <w:szCs w:val="20"/>
                <w:lang w:eastAsia="en-US"/>
              </w:rPr>
              <w:t>Bulgaria</w:t>
            </w:r>
          </w:p>
        </w:tc>
        <w:tc>
          <w:tcPr>
            <w:tcW w:w="3150" w:type="dxa"/>
          </w:tcPr>
          <w:p w:rsidR="001006BE" w:rsidRDefault="001006BE" w:rsidP="00F279AA">
            <w:pPr>
              <w:rPr>
                <w:sz w:val="20"/>
                <w:szCs w:val="20"/>
                <w:lang w:eastAsia="en-US"/>
              </w:rPr>
            </w:pPr>
            <w:r>
              <w:rPr>
                <w:sz w:val="20"/>
                <w:szCs w:val="20"/>
                <w:lang w:eastAsia="en-US"/>
              </w:rPr>
              <w:t>2007</w:t>
            </w:r>
            <w:r w:rsidR="000453DC">
              <w:rPr>
                <w:sz w:val="20"/>
                <w:szCs w:val="20"/>
                <w:lang w:eastAsia="en-US"/>
              </w:rPr>
              <w:t>-2008</w:t>
            </w:r>
          </w:p>
        </w:tc>
      </w:tr>
      <w:tr w:rsidR="000453DC" w:rsidTr="000453DC">
        <w:tc>
          <w:tcPr>
            <w:tcW w:w="2628" w:type="dxa"/>
          </w:tcPr>
          <w:p w:rsidR="000453DC" w:rsidRDefault="000453DC" w:rsidP="00F279AA">
            <w:pPr>
              <w:rPr>
                <w:sz w:val="20"/>
                <w:szCs w:val="20"/>
                <w:lang w:eastAsia="en-US"/>
              </w:rPr>
            </w:pPr>
            <w:r>
              <w:rPr>
                <w:sz w:val="20"/>
                <w:szCs w:val="20"/>
                <w:lang w:eastAsia="en-US"/>
              </w:rPr>
              <w:t>Ecuador</w:t>
            </w:r>
          </w:p>
        </w:tc>
        <w:tc>
          <w:tcPr>
            <w:tcW w:w="3150" w:type="dxa"/>
          </w:tcPr>
          <w:p w:rsidR="000453DC" w:rsidRDefault="000453DC" w:rsidP="00F279AA">
            <w:pPr>
              <w:rPr>
                <w:sz w:val="20"/>
                <w:szCs w:val="20"/>
                <w:lang w:eastAsia="en-US"/>
              </w:rPr>
            </w:pPr>
            <w:r>
              <w:rPr>
                <w:sz w:val="20"/>
                <w:szCs w:val="20"/>
                <w:lang w:eastAsia="en-US"/>
              </w:rPr>
              <w:t>2007-2008</w:t>
            </w:r>
          </w:p>
        </w:tc>
      </w:tr>
      <w:tr w:rsidR="001006BE" w:rsidTr="000453DC">
        <w:tc>
          <w:tcPr>
            <w:tcW w:w="2628" w:type="dxa"/>
          </w:tcPr>
          <w:p w:rsidR="001006BE" w:rsidRDefault="001006BE" w:rsidP="00F279AA">
            <w:pPr>
              <w:rPr>
                <w:sz w:val="20"/>
                <w:szCs w:val="20"/>
                <w:lang w:eastAsia="en-US"/>
              </w:rPr>
            </w:pPr>
            <w:r>
              <w:rPr>
                <w:sz w:val="20"/>
                <w:szCs w:val="20"/>
                <w:lang w:eastAsia="en-US"/>
              </w:rPr>
              <w:t>Indonesia</w:t>
            </w:r>
          </w:p>
        </w:tc>
        <w:tc>
          <w:tcPr>
            <w:tcW w:w="3150" w:type="dxa"/>
          </w:tcPr>
          <w:p w:rsidR="001006BE" w:rsidRDefault="001006BE" w:rsidP="00F279AA">
            <w:pPr>
              <w:rPr>
                <w:sz w:val="20"/>
                <w:szCs w:val="20"/>
                <w:lang w:eastAsia="en-US"/>
              </w:rPr>
            </w:pPr>
            <w:r>
              <w:rPr>
                <w:sz w:val="20"/>
                <w:szCs w:val="20"/>
                <w:lang w:eastAsia="en-US"/>
              </w:rPr>
              <w:t>2008</w:t>
            </w:r>
          </w:p>
        </w:tc>
      </w:tr>
      <w:tr w:rsidR="001006BE" w:rsidTr="000453DC">
        <w:tc>
          <w:tcPr>
            <w:tcW w:w="2628" w:type="dxa"/>
          </w:tcPr>
          <w:p w:rsidR="001006BE" w:rsidRDefault="001006BE" w:rsidP="00F279AA">
            <w:pPr>
              <w:rPr>
                <w:sz w:val="20"/>
                <w:szCs w:val="20"/>
                <w:lang w:eastAsia="en-US"/>
              </w:rPr>
            </w:pPr>
            <w:smartTag w:uri="urn:schemas-microsoft-com:office:smarttags" w:element="country-region">
              <w:smartTag w:uri="urn:schemas-microsoft-com:office:smarttags" w:element="place">
                <w:r>
                  <w:rPr>
                    <w:sz w:val="20"/>
                    <w:szCs w:val="20"/>
                    <w:lang w:eastAsia="en-US"/>
                  </w:rPr>
                  <w:t>Philippines</w:t>
                </w:r>
              </w:smartTag>
            </w:smartTag>
          </w:p>
        </w:tc>
        <w:tc>
          <w:tcPr>
            <w:tcW w:w="3150" w:type="dxa"/>
          </w:tcPr>
          <w:p w:rsidR="001006BE" w:rsidRDefault="001006BE" w:rsidP="00F279AA">
            <w:pPr>
              <w:rPr>
                <w:sz w:val="20"/>
                <w:szCs w:val="20"/>
                <w:lang w:eastAsia="en-US"/>
              </w:rPr>
            </w:pPr>
            <w:r>
              <w:rPr>
                <w:sz w:val="20"/>
                <w:szCs w:val="20"/>
                <w:lang w:eastAsia="en-US"/>
              </w:rPr>
              <w:t>2006</w:t>
            </w:r>
          </w:p>
        </w:tc>
      </w:tr>
      <w:tr w:rsidR="001006BE" w:rsidTr="000453DC">
        <w:tc>
          <w:tcPr>
            <w:tcW w:w="2628" w:type="dxa"/>
          </w:tcPr>
          <w:p w:rsidR="001006BE" w:rsidRDefault="001006BE" w:rsidP="00F279AA">
            <w:pPr>
              <w:rPr>
                <w:sz w:val="20"/>
                <w:szCs w:val="20"/>
                <w:lang w:eastAsia="en-US"/>
              </w:rPr>
            </w:pPr>
            <w:r>
              <w:rPr>
                <w:sz w:val="20"/>
                <w:szCs w:val="20"/>
                <w:lang w:eastAsia="en-US"/>
              </w:rPr>
              <w:t>Serbia</w:t>
            </w:r>
          </w:p>
        </w:tc>
        <w:tc>
          <w:tcPr>
            <w:tcW w:w="3150" w:type="dxa"/>
          </w:tcPr>
          <w:p w:rsidR="001006BE" w:rsidRDefault="001006BE" w:rsidP="00F279AA">
            <w:pPr>
              <w:rPr>
                <w:sz w:val="20"/>
                <w:szCs w:val="20"/>
                <w:lang w:eastAsia="en-US"/>
              </w:rPr>
            </w:pPr>
            <w:r>
              <w:rPr>
                <w:sz w:val="20"/>
                <w:szCs w:val="20"/>
                <w:lang w:eastAsia="en-US"/>
              </w:rPr>
              <w:t>2007</w:t>
            </w:r>
          </w:p>
        </w:tc>
      </w:tr>
      <w:tr w:rsidR="001006BE" w:rsidTr="000453DC">
        <w:tc>
          <w:tcPr>
            <w:tcW w:w="2628" w:type="dxa"/>
          </w:tcPr>
          <w:p w:rsidR="001006BE" w:rsidRDefault="001006BE" w:rsidP="00F279AA">
            <w:pPr>
              <w:rPr>
                <w:sz w:val="20"/>
                <w:szCs w:val="20"/>
                <w:lang w:eastAsia="en-US"/>
              </w:rPr>
            </w:pPr>
            <w:r>
              <w:rPr>
                <w:sz w:val="20"/>
                <w:szCs w:val="20"/>
                <w:lang w:eastAsia="en-US"/>
              </w:rPr>
              <w:t>Thailand</w:t>
            </w:r>
          </w:p>
        </w:tc>
        <w:tc>
          <w:tcPr>
            <w:tcW w:w="3150" w:type="dxa"/>
          </w:tcPr>
          <w:p w:rsidR="001006BE" w:rsidRDefault="001006BE" w:rsidP="00F279AA">
            <w:pPr>
              <w:rPr>
                <w:sz w:val="20"/>
                <w:szCs w:val="20"/>
                <w:lang w:eastAsia="en-US"/>
              </w:rPr>
            </w:pPr>
            <w:r>
              <w:rPr>
                <w:sz w:val="20"/>
                <w:szCs w:val="20"/>
                <w:lang w:eastAsia="en-US"/>
              </w:rPr>
              <w:t>2003</w:t>
            </w:r>
          </w:p>
        </w:tc>
      </w:tr>
      <w:tr w:rsidR="001006BE" w:rsidRPr="001006BE" w:rsidTr="000453DC">
        <w:tc>
          <w:tcPr>
            <w:tcW w:w="2628" w:type="dxa"/>
          </w:tcPr>
          <w:p w:rsidR="001006BE" w:rsidRPr="001006BE" w:rsidRDefault="001006BE" w:rsidP="00963F76">
            <w:pPr>
              <w:rPr>
                <w:iCs/>
                <w:sz w:val="20"/>
                <w:szCs w:val="20"/>
                <w:lang w:eastAsia="en-US"/>
              </w:rPr>
            </w:pPr>
            <w:r w:rsidRPr="001006BE">
              <w:rPr>
                <w:iCs/>
                <w:sz w:val="20"/>
                <w:szCs w:val="20"/>
                <w:lang w:eastAsia="en-US"/>
              </w:rPr>
              <w:t>Turkey</w:t>
            </w:r>
          </w:p>
        </w:tc>
        <w:tc>
          <w:tcPr>
            <w:tcW w:w="3150" w:type="dxa"/>
          </w:tcPr>
          <w:p w:rsidR="001006BE" w:rsidRPr="001006BE" w:rsidRDefault="001006BE" w:rsidP="00963F76">
            <w:pPr>
              <w:rPr>
                <w:iCs/>
                <w:sz w:val="20"/>
                <w:szCs w:val="20"/>
                <w:lang w:eastAsia="en-US"/>
              </w:rPr>
            </w:pPr>
            <w:r w:rsidRPr="001006BE">
              <w:rPr>
                <w:iCs/>
                <w:sz w:val="20"/>
                <w:szCs w:val="20"/>
                <w:lang w:eastAsia="en-US"/>
              </w:rPr>
              <w:t xml:space="preserve">2013 </w:t>
            </w:r>
          </w:p>
        </w:tc>
      </w:tr>
      <w:tr w:rsidR="001006BE" w:rsidTr="000453DC">
        <w:tc>
          <w:tcPr>
            <w:tcW w:w="2628" w:type="dxa"/>
          </w:tcPr>
          <w:p w:rsidR="001006BE" w:rsidRDefault="001006BE" w:rsidP="00F279AA">
            <w:pPr>
              <w:rPr>
                <w:sz w:val="20"/>
                <w:szCs w:val="20"/>
                <w:lang w:eastAsia="en-US"/>
              </w:rPr>
            </w:pPr>
            <w:r>
              <w:rPr>
                <w:sz w:val="20"/>
                <w:szCs w:val="20"/>
                <w:lang w:eastAsia="en-US"/>
              </w:rPr>
              <w:t>Uruguay</w:t>
            </w:r>
          </w:p>
        </w:tc>
        <w:tc>
          <w:tcPr>
            <w:tcW w:w="3150" w:type="dxa"/>
          </w:tcPr>
          <w:p w:rsidR="001006BE" w:rsidRDefault="000453DC" w:rsidP="00F279AA">
            <w:pPr>
              <w:rPr>
                <w:sz w:val="20"/>
                <w:szCs w:val="20"/>
                <w:lang w:eastAsia="en-US"/>
              </w:rPr>
            </w:pPr>
            <w:r>
              <w:rPr>
                <w:sz w:val="20"/>
                <w:szCs w:val="20"/>
                <w:lang w:eastAsia="en-US"/>
              </w:rPr>
              <w:t>2007-2008</w:t>
            </w:r>
          </w:p>
        </w:tc>
      </w:tr>
      <w:tr w:rsidR="001006BE" w:rsidTr="000453DC">
        <w:tc>
          <w:tcPr>
            <w:tcW w:w="2628" w:type="dxa"/>
          </w:tcPr>
          <w:p w:rsidR="001006BE" w:rsidRDefault="001006BE" w:rsidP="00F279AA">
            <w:pPr>
              <w:rPr>
                <w:sz w:val="20"/>
                <w:szCs w:val="20"/>
                <w:lang w:eastAsia="en-US"/>
              </w:rPr>
            </w:pPr>
            <w:smartTag w:uri="urn:schemas-microsoft-com:office:smarttags" w:element="country-region">
              <w:smartTag w:uri="urn:schemas-microsoft-com:office:smarttags" w:element="place">
                <w:r>
                  <w:rPr>
                    <w:sz w:val="20"/>
                    <w:szCs w:val="20"/>
                    <w:lang w:eastAsia="en-US"/>
                  </w:rPr>
                  <w:t>Venezuela</w:t>
                </w:r>
              </w:smartTag>
            </w:smartTag>
          </w:p>
        </w:tc>
        <w:tc>
          <w:tcPr>
            <w:tcW w:w="3150" w:type="dxa"/>
          </w:tcPr>
          <w:p w:rsidR="001006BE" w:rsidRDefault="001006BE" w:rsidP="00F279AA">
            <w:pPr>
              <w:rPr>
                <w:sz w:val="20"/>
                <w:szCs w:val="20"/>
                <w:lang w:eastAsia="en-US"/>
              </w:rPr>
            </w:pPr>
            <w:r>
              <w:rPr>
                <w:sz w:val="20"/>
                <w:szCs w:val="20"/>
                <w:lang w:eastAsia="en-US"/>
              </w:rPr>
              <w:t>1999</w:t>
            </w:r>
          </w:p>
        </w:tc>
      </w:tr>
    </w:tbl>
    <w:p w:rsidR="00F279AA" w:rsidRDefault="00F279AA" w:rsidP="00F279AA">
      <w:r w:rsidRPr="006C2D16">
        <w:t xml:space="preserve">Source: </w:t>
      </w:r>
      <w:r w:rsidR="009C7DC8">
        <w:t xml:space="preserve">IMF Annual Report 2007; </w:t>
      </w:r>
      <w:r w:rsidRPr="006C2D16">
        <w:t xml:space="preserve">Soren Ambrose “The decline (&amp; fall?) of the IMF” 02 April 2007    </w:t>
      </w:r>
      <w:hyperlink r:id="rId22" w:history="1">
        <w:r w:rsidRPr="006C2D16">
          <w:rPr>
            <w:rStyle w:val="Hyperlink"/>
          </w:rPr>
          <w:t>http://www.focusweb.org/index2.php?option=com_content&amp;do_pdf=1&amp;id=1172</w:t>
        </w:r>
      </w:hyperlink>
      <w:r w:rsidRPr="006C2D16">
        <w:t xml:space="preserve"> </w:t>
      </w:r>
    </w:p>
    <w:p w:rsidR="000453DC" w:rsidRDefault="000453DC" w:rsidP="00F279AA"/>
    <w:p w:rsidR="00D516C7" w:rsidRDefault="00A8659B" w:rsidP="001B0361">
      <w:pPr>
        <w:rPr>
          <w:lang w:eastAsia="en-US"/>
        </w:rPr>
      </w:pPr>
      <w:r>
        <w:rPr>
          <w:lang w:eastAsia="en-US"/>
        </w:rPr>
        <w:t xml:space="preserve">As a result, IMF loans are now heavily concentrated in Europe, Africa, and central America and Caribbean – with Europe representing by far the greatest amount by value. The map of IMF loans shows this pattern very clearly, and also shows how other loans are also clustered in regions of strategic geopolitical importance – eastern Europe, the middle east, central Asia and the Indian Ocean. </w:t>
      </w:r>
    </w:p>
    <w:p w:rsidR="00D516C7" w:rsidRDefault="00D516C7" w:rsidP="001B0361">
      <w:pPr>
        <w:rPr>
          <w:lang w:eastAsia="en-US"/>
        </w:rPr>
      </w:pPr>
    </w:p>
    <w:p w:rsidR="001B0361" w:rsidRDefault="00A8659B" w:rsidP="001B0361">
      <w:r>
        <w:rPr>
          <w:lang w:eastAsia="en-US"/>
        </w:rPr>
        <w:t>The persistent attempts to offer loans to north African countries following the Arab spring</w:t>
      </w:r>
      <w:r w:rsidR="00530F3B">
        <w:rPr>
          <w:lang w:eastAsia="en-US"/>
        </w:rPr>
        <w:t xml:space="preserve">, </w:t>
      </w:r>
      <w:r w:rsidR="001B0361">
        <w:t>with only vague attempts at explaining why the loans are necessary</w:t>
      </w:r>
      <w:r w:rsidR="00D516C7">
        <w:t xml:space="preserve"> (</w:t>
      </w:r>
      <w:r w:rsidR="00530F3B">
        <w:rPr>
          <w:lang w:eastAsia="en-US"/>
        </w:rPr>
        <w:t>and the new loan to Ukraine in 2014</w:t>
      </w:r>
      <w:r w:rsidR="00D516C7">
        <w:rPr>
          <w:lang w:eastAsia="en-US"/>
        </w:rPr>
        <w:t>)</w:t>
      </w:r>
      <w:r>
        <w:rPr>
          <w:lang w:eastAsia="en-US"/>
        </w:rPr>
        <w:t xml:space="preserve"> </w:t>
      </w:r>
      <w:r w:rsidR="001B0361">
        <w:rPr>
          <w:lang w:eastAsia="en-US"/>
        </w:rPr>
        <w:t xml:space="preserve">may also be best explained by their geo-political significance. </w:t>
      </w:r>
      <w:r w:rsidR="00D516C7">
        <w:t>In</w:t>
      </w:r>
      <w:r w:rsidR="001B0361" w:rsidRPr="00F4791B">
        <w:rPr>
          <w:lang w:eastAsia="en-US"/>
        </w:rPr>
        <w:t xml:space="preserve"> 2010 the IMF endorsed the policies of the Mubarak regime </w:t>
      </w:r>
      <w:r w:rsidR="001B0361">
        <w:rPr>
          <w:lang w:eastAsia="en-US"/>
        </w:rPr>
        <w:t xml:space="preserve">in Egypt </w:t>
      </w:r>
      <w:r w:rsidR="001B0361" w:rsidRPr="00F4791B">
        <w:rPr>
          <w:lang w:eastAsia="en-US"/>
        </w:rPr>
        <w:t>as “Five years of reforms and prudent macroeconomic policies”</w:t>
      </w:r>
      <w:r w:rsidR="001B0361">
        <w:rPr>
          <w:lang w:eastAsia="en-US"/>
        </w:rPr>
        <w:t xml:space="preserve">; but since the </w:t>
      </w:r>
      <w:r w:rsidR="001B0361">
        <w:t xml:space="preserve">2011 uprising, the IMF has repeatedly offered Egypt a loan, which has been </w:t>
      </w:r>
      <w:r w:rsidR="00D516C7">
        <w:t xml:space="preserve">initially </w:t>
      </w:r>
      <w:r w:rsidR="001B0361">
        <w:t>accepted by the interim military governments, and by the short-lived Morsi government, but then deferred as a result of widespread popular opposition.  A somewhat different dynamic was at play in Russia</w:t>
      </w:r>
      <w:r w:rsidR="00D516C7">
        <w:t xml:space="preserve"> in the 1990s</w:t>
      </w:r>
      <w:r w:rsidR="001B0361">
        <w:t xml:space="preserve">, where the IMF, unusually, was effectively indifferent to the apparent misappropriation of the money for the use of individuals: the core objective of supporting new free-market  policies was more important to the IMF. </w:t>
      </w:r>
    </w:p>
    <w:p w:rsidR="00A8659B" w:rsidRDefault="00A8659B" w:rsidP="00A8659B">
      <w:pPr>
        <w:pStyle w:val="Heading8"/>
      </w:pPr>
      <w:bookmarkStart w:id="34" w:name="_Toc425285687"/>
      <w:r>
        <w:t>IMF Lending at a Glance (March 2014)</w:t>
      </w:r>
      <w:bookmarkEnd w:id="34"/>
    </w:p>
    <w:p w:rsidR="00A8659B" w:rsidRDefault="00A8659B" w:rsidP="00F279AA">
      <w:r>
        <w:rPr>
          <w:noProof/>
        </w:rPr>
        <w:drawing>
          <wp:inline distT="0" distB="0" distL="0" distR="0" wp14:anchorId="37DEB06C" wp14:editId="7523018A">
            <wp:extent cx="5943600" cy="325374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943600" cy="3253740"/>
                    </a:xfrm>
                    <a:prstGeom prst="rect">
                      <a:avLst/>
                    </a:prstGeom>
                  </pic:spPr>
                </pic:pic>
              </a:graphicData>
            </a:graphic>
          </wp:inline>
        </w:drawing>
      </w:r>
    </w:p>
    <w:p w:rsidR="00A8659B" w:rsidRDefault="00A8659B" w:rsidP="00F279AA">
      <w:r>
        <w:rPr>
          <w:lang w:eastAsia="en-US"/>
        </w:rPr>
        <w:t>Source: IMF Lending at a glance (</w:t>
      </w:r>
      <w:hyperlink r:id="rId24" w:history="1">
        <w:r w:rsidRPr="008038FD">
          <w:rPr>
            <w:rStyle w:val="Hyperlink"/>
            <w:lang w:eastAsia="en-US"/>
          </w:rPr>
          <w:t>http://www.imf.org/external/np/exr/map/lending/index.htm</w:t>
        </w:r>
      </w:hyperlink>
      <w:r>
        <w:rPr>
          <w:lang w:eastAsia="en-US"/>
        </w:rPr>
        <w:t>)</w:t>
      </w:r>
    </w:p>
    <w:p w:rsidR="00096B57" w:rsidRDefault="00096B57" w:rsidP="00096B57">
      <w:pPr>
        <w:pStyle w:val="Heading1"/>
      </w:pPr>
      <w:bookmarkStart w:id="35" w:name="_Toc425285688"/>
      <w:r>
        <w:t>EU</w:t>
      </w:r>
      <w:bookmarkEnd w:id="35"/>
      <w:r w:rsidR="00F4791B">
        <w:t xml:space="preserve"> </w:t>
      </w:r>
    </w:p>
    <w:p w:rsidR="00530F3B" w:rsidRPr="00530F3B" w:rsidRDefault="00530F3B" w:rsidP="00530F3B">
      <w:pPr>
        <w:rPr>
          <w:lang w:eastAsia="en-US"/>
        </w:rPr>
      </w:pPr>
      <w:r>
        <w:rPr>
          <w:lang w:eastAsia="en-US"/>
        </w:rPr>
        <w:t>The EU has revised the treaty and introduced new laws, directives and agreements</w:t>
      </w:r>
      <w:r w:rsidR="008456A3">
        <w:rPr>
          <w:lang w:eastAsia="en-US"/>
        </w:rPr>
        <w:t xml:space="preserve"> which seek to strengthen the role of the EU in monitoring and directing the fiscal and economic policies of member states</w:t>
      </w:r>
      <w:r w:rsidR="009C7DC8">
        <w:rPr>
          <w:lang w:eastAsia="en-US"/>
        </w:rPr>
        <w:t xml:space="preserve">. These changes </w:t>
      </w:r>
      <w:r w:rsidR="00766B48">
        <w:rPr>
          <w:lang w:eastAsia="en-US"/>
        </w:rPr>
        <w:t xml:space="preserve">build on existing constraints on public services and fiscal policies, by providing the EU with new powers of fiscal supervision and surveillance, explicitly designed to limit the possibility of policy changes arising from national democratic activity. </w:t>
      </w:r>
      <w:r w:rsidR="008456A3">
        <w:rPr>
          <w:lang w:eastAsia="en-US"/>
        </w:rPr>
        <w:t xml:space="preserve"> </w:t>
      </w:r>
      <w:r>
        <w:rPr>
          <w:lang w:eastAsia="en-US"/>
        </w:rPr>
        <w:t xml:space="preserve">  </w:t>
      </w:r>
    </w:p>
    <w:p w:rsidR="00261C77" w:rsidRDefault="00261C77" w:rsidP="00261C77">
      <w:pPr>
        <w:pStyle w:val="Heading2"/>
      </w:pPr>
      <w:bookmarkStart w:id="36" w:name="_Toc425285689"/>
      <w:r>
        <w:t>Public services and trade: liberalisation and privatisation</w:t>
      </w:r>
      <w:bookmarkEnd w:id="36"/>
    </w:p>
    <w:p w:rsidR="00CE5016" w:rsidRDefault="00CE5016" w:rsidP="00CE5016">
      <w:pPr>
        <w:rPr>
          <w:lang w:eastAsia="en-US"/>
        </w:rPr>
      </w:pPr>
      <w:r>
        <w:rPr>
          <w:lang w:eastAsia="en-US"/>
        </w:rPr>
        <w:t xml:space="preserve">The subordination of public services </w:t>
      </w:r>
      <w:r w:rsidR="005506B0">
        <w:rPr>
          <w:lang w:eastAsia="en-US"/>
        </w:rPr>
        <w:t xml:space="preserve">(also known as services of general interest, SGI) </w:t>
      </w:r>
      <w:r>
        <w:rPr>
          <w:lang w:eastAsia="en-US"/>
        </w:rPr>
        <w:t xml:space="preserve">to the requirements of policies of trade liberalisation and fiscal orthodoxy has developed over </w:t>
      </w:r>
      <w:r w:rsidR="005506B0">
        <w:rPr>
          <w:lang w:eastAsia="en-US"/>
        </w:rPr>
        <w:t xml:space="preserve">many </w:t>
      </w:r>
      <w:r>
        <w:rPr>
          <w:lang w:eastAsia="en-US"/>
        </w:rPr>
        <w:t xml:space="preserve">decades in the EU.  </w:t>
      </w:r>
      <w:r w:rsidR="005506B0">
        <w:rPr>
          <w:lang w:eastAsia="en-US"/>
        </w:rPr>
        <w:t>The early political framework for the development of the EU allowed for economic liberalisation to be central to the  European level, while public services were for the most part left to national competences, a compromosie which allowed support from a wide range of political positions on left and right (Bugaric 2013).</w:t>
      </w:r>
    </w:p>
    <w:p w:rsidR="00CE5016" w:rsidRPr="00CE5016" w:rsidRDefault="00CE5016" w:rsidP="00CE5016">
      <w:pPr>
        <w:rPr>
          <w:lang w:eastAsia="en-US"/>
        </w:rPr>
      </w:pPr>
    </w:p>
    <w:p w:rsidR="00261C77" w:rsidRDefault="00530F3B" w:rsidP="00261C77">
      <w:pPr>
        <w:rPr>
          <w:lang w:eastAsia="en-US"/>
        </w:rPr>
      </w:pPr>
      <w:r>
        <w:rPr>
          <w:lang w:eastAsia="en-US"/>
        </w:rPr>
        <w:t>The provision of p</w:t>
      </w:r>
      <w:r w:rsidR="00261C77">
        <w:rPr>
          <w:lang w:eastAsia="en-US"/>
        </w:rPr>
        <w:t xml:space="preserve">ublic services in Europe have </w:t>
      </w:r>
      <w:r w:rsidR="005506B0">
        <w:rPr>
          <w:lang w:eastAsia="en-US"/>
        </w:rPr>
        <w:t xml:space="preserve">been subject to more and more encroachment by </w:t>
      </w:r>
      <w:r w:rsidR="00261C77">
        <w:rPr>
          <w:lang w:eastAsia="en-US"/>
        </w:rPr>
        <w:t xml:space="preserve"> </w:t>
      </w:r>
      <w:r w:rsidR="005506B0">
        <w:rPr>
          <w:lang w:eastAsia="en-US"/>
        </w:rPr>
        <w:t>treaty clauses and directives</w:t>
      </w:r>
      <w:r w:rsidR="00261C77">
        <w:rPr>
          <w:lang w:eastAsia="en-US"/>
        </w:rPr>
        <w:t xml:space="preserve"> concerning trade, competition and the creation of the internal market. These include: </w:t>
      </w:r>
    </w:p>
    <w:p w:rsidR="00261C77" w:rsidRDefault="00261C77" w:rsidP="00261C77">
      <w:pPr>
        <w:pStyle w:val="ListParagraph"/>
        <w:numPr>
          <w:ilvl w:val="0"/>
          <w:numId w:val="17"/>
        </w:numPr>
        <w:rPr>
          <w:lang w:eastAsia="en-US"/>
        </w:rPr>
      </w:pPr>
      <w:r>
        <w:rPr>
          <w:lang w:eastAsia="en-US"/>
        </w:rPr>
        <w:t>Procurement law, intended to promote transparent competition for public contracts, has been used to restrict the ability of public authorities to use corporatized entities without tendering</w:t>
      </w:r>
    </w:p>
    <w:p w:rsidR="00261C77" w:rsidRDefault="00261C77" w:rsidP="00261C77">
      <w:pPr>
        <w:pStyle w:val="ListParagraph"/>
        <w:numPr>
          <w:ilvl w:val="0"/>
          <w:numId w:val="17"/>
        </w:numPr>
        <w:rPr>
          <w:lang w:eastAsia="en-US"/>
        </w:rPr>
      </w:pPr>
      <w:r>
        <w:rPr>
          <w:lang w:eastAsia="en-US"/>
        </w:rPr>
        <w:t xml:space="preserve">State aid rules, originally intended to prevent member states subsidising manufacturing companies to give them an unfair competitive advantage against competitors in other countries, came to be increasingly applied to restrict the financing of public service organisations in sectors where private providers wanted to expand their activities; </w:t>
      </w:r>
    </w:p>
    <w:p w:rsidR="00261C77" w:rsidRDefault="00261C77" w:rsidP="00261C77">
      <w:pPr>
        <w:pStyle w:val="ListParagraph"/>
        <w:numPr>
          <w:ilvl w:val="0"/>
          <w:numId w:val="17"/>
        </w:numPr>
        <w:rPr>
          <w:lang w:eastAsia="en-US"/>
        </w:rPr>
      </w:pPr>
      <w:r>
        <w:rPr>
          <w:lang w:eastAsia="en-US"/>
        </w:rPr>
        <w:t>Internal market rules extended to sectors previously part of the public sector in many countries, such as electricity, telecoms, rail, and post, requiring the end of public monopolies and the opening of markets in these sectors, and more general liberalisation of the services sector</w:t>
      </w:r>
    </w:p>
    <w:p w:rsidR="00261C77" w:rsidRDefault="00261C77" w:rsidP="00261C77">
      <w:pPr>
        <w:rPr>
          <w:lang w:eastAsia="en-US"/>
        </w:rPr>
      </w:pPr>
    </w:p>
    <w:p w:rsidR="00261C77" w:rsidRDefault="00261C77" w:rsidP="00261C77">
      <w:pPr>
        <w:rPr>
          <w:lang w:eastAsia="en-US"/>
        </w:rPr>
      </w:pPr>
      <w:r>
        <w:rPr>
          <w:lang w:eastAsia="en-US"/>
        </w:rPr>
        <w:t>This process, which involved a series of directives and rulings by the Commission and judgments by the ECJ, has been politically contentious and vigorously contested</w:t>
      </w:r>
      <w:r w:rsidR="005506B0">
        <w:rPr>
          <w:lang w:eastAsia="en-US"/>
        </w:rPr>
        <w:t xml:space="preserve">, for example the </w:t>
      </w:r>
      <w:r>
        <w:rPr>
          <w:lang w:eastAsia="en-US"/>
        </w:rPr>
        <w:t>long battle over the Services Directive in the mid-2000s</w:t>
      </w:r>
      <w:r w:rsidR="005506B0">
        <w:rPr>
          <w:lang w:eastAsia="en-US"/>
        </w:rPr>
        <w:t>. T</w:t>
      </w:r>
      <w:r>
        <w:rPr>
          <w:lang w:eastAsia="en-US"/>
        </w:rPr>
        <w:t xml:space="preserve">hese conflicts continue: a recent example is the Concessions Directive, which facilitates the use of concessions and other PPPs, where the Commission felt obliged to exclude the water sector as a result of a Europe wide campaign.  </w:t>
      </w:r>
      <w:r w:rsidR="00970E88">
        <w:rPr>
          <w:lang w:eastAsia="en-US"/>
        </w:rPr>
        <w:t xml:space="preserve">This process is driven by the </w:t>
      </w:r>
      <w:r>
        <w:rPr>
          <w:lang w:eastAsia="en-US"/>
        </w:rPr>
        <w:t xml:space="preserve">primacy of trade policy </w:t>
      </w:r>
      <w:r w:rsidR="00970E88">
        <w:rPr>
          <w:lang w:eastAsia="en-US"/>
        </w:rPr>
        <w:t xml:space="preserve">in the </w:t>
      </w:r>
      <w:r>
        <w:rPr>
          <w:lang w:eastAsia="en-US"/>
        </w:rPr>
        <w:t xml:space="preserve"> EU, which has developed an “assymetric policy regime, </w:t>
      </w:r>
      <w:r w:rsidRPr="003F799E">
        <w:rPr>
          <w:lang w:eastAsia="en-US"/>
        </w:rPr>
        <w:t>with strong exclusive Commission competences in the field of competition and shared fragile EU competences in the realm of social policies</w:t>
      </w:r>
      <w:r>
        <w:rPr>
          <w:lang w:eastAsia="en-US"/>
        </w:rPr>
        <w:t xml:space="preserve">”, as part of a system based on insider consensus which resists conflict over the fundamental policies themselves, at the expense of undermining the political legitimacy of the EU itself. (Crespy 2013, 2014)  </w:t>
      </w:r>
    </w:p>
    <w:p w:rsidR="00261C77" w:rsidRDefault="00261C77" w:rsidP="00261C77">
      <w:pPr>
        <w:rPr>
          <w:lang w:eastAsia="en-US"/>
        </w:rPr>
      </w:pPr>
    </w:p>
    <w:p w:rsidR="00261C77" w:rsidRDefault="00B00CB9" w:rsidP="00261C77">
      <w:pPr>
        <w:rPr>
          <w:lang w:eastAsia="en-US"/>
        </w:rPr>
      </w:pPr>
      <w:r>
        <w:rPr>
          <w:lang w:eastAsia="en-US"/>
        </w:rPr>
        <w:t>This subordination of public services to market liberalisation was not inevitable.</w:t>
      </w:r>
      <w:r w:rsidR="00261C77">
        <w:rPr>
          <w:lang w:eastAsia="en-US"/>
        </w:rPr>
        <w:t xml:space="preserve"> </w:t>
      </w:r>
      <w:r w:rsidR="00E811F9">
        <w:rPr>
          <w:lang w:eastAsia="en-US"/>
        </w:rPr>
        <w:t>In response to the recession, for example, the Commission applied a temporary framework enabling it to authorise state aid for the financial sector worth €592 billion in capital support measures and €906 billion in guarantees, a combined total worth 12.3% of the GDP of the whole of Europe (EU 2013B) – the decision to enable such support for banks, but not for public services, was a political choice, not a legal inevitability. Within the long-term framework of the treaty itself, it</w:t>
      </w:r>
      <w:r w:rsidR="00261C77">
        <w:rPr>
          <w:lang w:eastAsia="en-US"/>
        </w:rPr>
        <w:t xml:space="preserve"> would </w:t>
      </w:r>
      <w:r w:rsidR="00E811F9">
        <w:rPr>
          <w:lang w:eastAsia="en-US"/>
        </w:rPr>
        <w:t xml:space="preserve">be </w:t>
      </w:r>
      <w:r w:rsidR="00261C77">
        <w:rPr>
          <w:lang w:eastAsia="en-US"/>
        </w:rPr>
        <w:t>possible</w:t>
      </w:r>
      <w:r w:rsidR="00E811F9">
        <w:rPr>
          <w:lang w:eastAsia="en-US"/>
        </w:rPr>
        <w:t xml:space="preserve"> </w:t>
      </w:r>
      <w:r w:rsidR="00261C77">
        <w:rPr>
          <w:lang w:eastAsia="en-US"/>
        </w:rPr>
        <w:t xml:space="preserve">to give a blanket exemption for public services from all elements of the treaty, as has been done for arms and weapons (including </w:t>
      </w:r>
      <w:r w:rsidR="00E811F9">
        <w:rPr>
          <w:lang w:eastAsia="en-US"/>
        </w:rPr>
        <w:t xml:space="preserve">biological, </w:t>
      </w:r>
      <w:r w:rsidR="00261C77">
        <w:rPr>
          <w:lang w:eastAsia="en-US"/>
        </w:rPr>
        <w:t xml:space="preserve">chemical </w:t>
      </w:r>
      <w:r w:rsidR="00E811F9">
        <w:rPr>
          <w:lang w:eastAsia="en-US"/>
        </w:rPr>
        <w:t xml:space="preserve">and nuclear </w:t>
      </w:r>
      <w:r w:rsidR="00261C77">
        <w:rPr>
          <w:lang w:eastAsia="en-US"/>
        </w:rPr>
        <w:t>weapons) ever since the original Treaty of Rome in 1958, and continues in the latest version of the treaty: “</w:t>
      </w:r>
      <w:r w:rsidR="00261C77" w:rsidRPr="00F4077F">
        <w:rPr>
          <w:lang w:eastAsia="en-US"/>
        </w:rPr>
        <w:t xml:space="preserve">The provisions of this Treaty shall not preclude the application of the following rules: </w:t>
      </w:r>
      <w:r w:rsidR="00261C77">
        <w:rPr>
          <w:lang w:eastAsia="en-US"/>
        </w:rPr>
        <w:t>…..</w:t>
      </w:r>
      <w:r w:rsidR="00261C77" w:rsidRPr="00F4077F">
        <w:rPr>
          <w:lang w:eastAsia="en-US"/>
        </w:rPr>
        <w:t>(b) Any Member State may take such measures as it considers necessary for the protection of the essential interests of its security which are connected with the production of or trade in arms, munitions and war material</w:t>
      </w:r>
      <w:r w:rsidR="00261C77">
        <w:rPr>
          <w:lang w:eastAsia="en-US"/>
        </w:rPr>
        <w:t>”. An order of the Commission lists the firearms, artillery, bombs, rockets, tanks, ships, aircraft, electronic and other equipment covered by this exemption, including “</w:t>
      </w:r>
      <w:r w:rsidR="00261C77" w:rsidRPr="00EC48D2">
        <w:rPr>
          <w:lang w:eastAsia="en-US"/>
        </w:rPr>
        <w:t>toxic, biological or chemical agents and radioactive agents adapted for destructive use in war ag</w:t>
      </w:r>
      <w:r w:rsidR="00261C77">
        <w:rPr>
          <w:lang w:eastAsia="en-US"/>
        </w:rPr>
        <w:t>ainst persons, animals or crops”</w:t>
      </w:r>
      <w:r w:rsidR="007D5645">
        <w:rPr>
          <w:lang w:eastAsia="en-US"/>
        </w:rPr>
        <w:t xml:space="preserve"> (Article 346 TFEU)</w:t>
      </w:r>
      <w:r w:rsidR="00261C77">
        <w:rPr>
          <w:lang w:eastAsia="en-US"/>
        </w:rPr>
        <w:t xml:space="preserve">. </w:t>
      </w:r>
    </w:p>
    <w:p w:rsidR="00261C77" w:rsidRDefault="001C3713" w:rsidP="00261C77">
      <w:pPr>
        <w:pStyle w:val="Heading2"/>
      </w:pPr>
      <w:bookmarkStart w:id="37" w:name="_Toc425285690"/>
      <w:r>
        <w:t xml:space="preserve">Maastricht </w:t>
      </w:r>
      <w:r w:rsidR="00BC3AC9">
        <w:t>rules on debt and deficit</w:t>
      </w:r>
      <w:bookmarkEnd w:id="37"/>
    </w:p>
    <w:p w:rsidR="00B00CB9" w:rsidRDefault="00261C77" w:rsidP="00261C77">
      <w:pPr>
        <w:rPr>
          <w:lang w:eastAsia="en-US"/>
        </w:rPr>
      </w:pPr>
      <w:r>
        <w:rPr>
          <w:lang w:eastAsia="en-US"/>
        </w:rPr>
        <w:t xml:space="preserve">A more fundamental problem </w:t>
      </w:r>
      <w:r w:rsidR="00B00CB9">
        <w:rPr>
          <w:lang w:eastAsia="en-US"/>
        </w:rPr>
        <w:t xml:space="preserve">for all forms of public spending </w:t>
      </w:r>
      <w:r>
        <w:rPr>
          <w:lang w:eastAsia="en-US"/>
        </w:rPr>
        <w:t>arose from the construction of the EMU and the Euro, which created the first legal powers for the EU to intervene in the fiscal policies of member states</w:t>
      </w:r>
      <w:r w:rsidR="00F004B7">
        <w:rPr>
          <w:lang w:eastAsia="en-US"/>
        </w:rPr>
        <w:t>, and thus decisions on financing public services</w:t>
      </w:r>
      <w:r>
        <w:rPr>
          <w:lang w:eastAsia="en-US"/>
        </w:rPr>
        <w:t xml:space="preserve">. This was based on the premise that a common currency, and even a common economic union, required all member states to accept standardised constraints on government annual deficits, set at a maximum of 3% of GDP, and on accumulated government debt, set at a maximum of 60% of GDP. </w:t>
      </w:r>
      <w:r w:rsidR="00F73465">
        <w:rPr>
          <w:lang w:eastAsia="en-US"/>
        </w:rPr>
        <w:t xml:space="preserve"> </w:t>
      </w:r>
      <w:r>
        <w:rPr>
          <w:lang w:eastAsia="en-US"/>
        </w:rPr>
        <w:t>These figures were not mathematically deduced from universally accepted economic laws and truths – indeed, the relationship between public deficit, debt, and economic growth continues to be a hotly contested issue – but simply the result of political negotiation as part of the Maastricht treaty revisions in 1993: “the rule is quite arbitrary…the only reason why 60% seems to have been chosen at Maastricht was that</w:t>
      </w:r>
      <w:r w:rsidRPr="00A64F62">
        <w:rPr>
          <w:lang w:eastAsia="en-US"/>
        </w:rPr>
        <w:t xml:space="preserve"> </w:t>
      </w:r>
      <w:r>
        <w:rPr>
          <w:lang w:eastAsia="en-US"/>
        </w:rPr>
        <w:t xml:space="preserve">at that time this was the average debt-GDP ratio in the EU”. (De Grauwe 2012 p.138)  </w:t>
      </w:r>
    </w:p>
    <w:p w:rsidR="00B00CB9" w:rsidRDefault="00B00CB9" w:rsidP="00261C77">
      <w:pPr>
        <w:rPr>
          <w:lang w:eastAsia="en-US"/>
        </w:rPr>
      </w:pPr>
    </w:p>
    <w:p w:rsidR="00C00FCF" w:rsidRDefault="00261C77" w:rsidP="00261C77">
      <w:pPr>
        <w:rPr>
          <w:lang w:eastAsia="en-US"/>
        </w:rPr>
      </w:pPr>
      <w:r>
        <w:rPr>
          <w:lang w:eastAsia="en-US"/>
        </w:rPr>
        <w:t xml:space="preserve">The </w:t>
      </w:r>
      <w:r w:rsidR="00C00FCF">
        <w:rPr>
          <w:lang w:eastAsia="en-US"/>
        </w:rPr>
        <w:t>Commission</w:t>
      </w:r>
      <w:r>
        <w:rPr>
          <w:lang w:eastAsia="en-US"/>
        </w:rPr>
        <w:t xml:space="preserve"> was give</w:t>
      </w:r>
      <w:r w:rsidR="00EA0CCA">
        <w:rPr>
          <w:lang w:eastAsia="en-US"/>
        </w:rPr>
        <w:t>n</w:t>
      </w:r>
      <w:r>
        <w:rPr>
          <w:lang w:eastAsia="en-US"/>
        </w:rPr>
        <w:t xml:space="preserve"> the power to apply fines on member states which breached these limits</w:t>
      </w:r>
      <w:r w:rsidR="00EA0CCA">
        <w:rPr>
          <w:lang w:eastAsia="en-US"/>
        </w:rPr>
        <w:t>, but d</w:t>
      </w:r>
      <w:r w:rsidR="00B00CB9">
        <w:rPr>
          <w:lang w:eastAsia="en-US"/>
        </w:rPr>
        <w:t xml:space="preserve">espite their legal status under the treaty, </w:t>
      </w:r>
      <w:r w:rsidR="00C00FCF">
        <w:rPr>
          <w:lang w:eastAsia="en-US"/>
        </w:rPr>
        <w:t xml:space="preserve">it </w:t>
      </w:r>
      <w:r w:rsidR="00B00CB9">
        <w:rPr>
          <w:lang w:eastAsia="en-US"/>
        </w:rPr>
        <w:t xml:space="preserve">was unable to apply these sanctions effectively against its largest member states – </w:t>
      </w:r>
      <w:r w:rsidR="00C00FCF">
        <w:rPr>
          <w:lang w:eastAsia="en-US"/>
        </w:rPr>
        <w:t xml:space="preserve">, France, </w:t>
      </w:r>
      <w:r w:rsidR="00B00CB9">
        <w:rPr>
          <w:lang w:eastAsia="en-US"/>
        </w:rPr>
        <w:t>Germany</w:t>
      </w:r>
      <w:r w:rsidR="00C00FCF">
        <w:rPr>
          <w:lang w:eastAsia="en-US"/>
        </w:rPr>
        <w:t xml:space="preserve">, Italy </w:t>
      </w:r>
      <w:r w:rsidR="00B00CB9">
        <w:rPr>
          <w:lang w:eastAsia="en-US"/>
        </w:rPr>
        <w:t>and the UK – when they breached the limits in the early 2000s.</w:t>
      </w:r>
      <w:r w:rsidR="00C00FCF">
        <w:rPr>
          <w:lang w:eastAsia="en-US"/>
        </w:rPr>
        <w:t xml:space="preserve">This led to reforms which allowed the Commission to calculate ‘medium-term objectives’ for countries, but without additional sanctions </w:t>
      </w:r>
      <w:r w:rsidR="00B00CB9">
        <w:rPr>
          <w:lang w:eastAsia="en-US"/>
        </w:rPr>
        <w:t xml:space="preserve"> </w:t>
      </w:r>
      <w:r w:rsidR="0049363A">
        <w:rPr>
          <w:lang w:eastAsia="en-US"/>
        </w:rPr>
        <w:t xml:space="preserve">(Thillaye et al 2014). </w:t>
      </w:r>
    </w:p>
    <w:p w:rsidR="00C00FCF" w:rsidRDefault="00C00FCF" w:rsidP="00261C77">
      <w:pPr>
        <w:rPr>
          <w:lang w:eastAsia="en-US"/>
        </w:rPr>
      </w:pPr>
    </w:p>
    <w:p w:rsidR="00261C77" w:rsidRDefault="00BC3AC9" w:rsidP="00261C77">
      <w:pPr>
        <w:rPr>
          <w:lang w:eastAsia="en-US"/>
        </w:rPr>
      </w:pPr>
      <w:r>
        <w:rPr>
          <w:lang w:eastAsia="en-US"/>
        </w:rPr>
        <w:t>Th</w:t>
      </w:r>
      <w:r w:rsidR="00907477">
        <w:rPr>
          <w:lang w:eastAsia="en-US"/>
        </w:rPr>
        <w:t xml:space="preserve">e fiscal rules, and the EU’s inability to enforce them, have also </w:t>
      </w:r>
      <w:r w:rsidR="00261C77">
        <w:rPr>
          <w:lang w:eastAsia="en-US"/>
        </w:rPr>
        <w:t xml:space="preserve">led the EU to </w:t>
      </w:r>
      <w:r w:rsidR="00907477">
        <w:rPr>
          <w:lang w:eastAsia="en-US"/>
        </w:rPr>
        <w:t xml:space="preserve">encourage </w:t>
      </w:r>
      <w:r w:rsidR="00261C77">
        <w:rPr>
          <w:lang w:eastAsia="en-US"/>
        </w:rPr>
        <w:t>PPPs</w:t>
      </w:r>
      <w:r>
        <w:rPr>
          <w:lang w:eastAsia="en-US"/>
        </w:rPr>
        <w:t xml:space="preserve"> - which are counted as private finance -</w:t>
      </w:r>
      <w:r w:rsidR="00111A4B">
        <w:rPr>
          <w:lang w:eastAsia="en-US"/>
        </w:rPr>
        <w:t xml:space="preserve"> </w:t>
      </w:r>
      <w:r>
        <w:rPr>
          <w:lang w:eastAsia="en-US"/>
        </w:rPr>
        <w:t xml:space="preserve">as a way of </w:t>
      </w:r>
      <w:r w:rsidR="00111A4B">
        <w:rPr>
          <w:lang w:eastAsia="en-US"/>
        </w:rPr>
        <w:t xml:space="preserve">allowing member states to </w:t>
      </w:r>
      <w:r>
        <w:rPr>
          <w:lang w:eastAsia="en-US"/>
        </w:rPr>
        <w:t>finance borrowing which would otherwise exceed the limits,</w:t>
      </w:r>
      <w:r w:rsidR="00111A4B">
        <w:rPr>
          <w:lang w:eastAsia="en-US"/>
        </w:rPr>
        <w:t xml:space="preserve"> in order to improve the chances of fiscal rules appearing to be observed.  As a result, while the EU is adamant that it will not issue Euro bonds as a risk-sharing tool to support </w:t>
      </w:r>
      <w:r w:rsidR="00111A4B" w:rsidRPr="00111A4B">
        <w:rPr>
          <w:i/>
          <w:lang w:eastAsia="en-US"/>
        </w:rPr>
        <w:t>government</w:t>
      </w:r>
      <w:r w:rsidR="00111A4B">
        <w:rPr>
          <w:lang w:eastAsia="en-US"/>
        </w:rPr>
        <w:t xml:space="preserve"> borrowing by member states, it is </w:t>
      </w:r>
      <w:r>
        <w:rPr>
          <w:lang w:eastAsia="en-US"/>
        </w:rPr>
        <w:t xml:space="preserve">planning to </w:t>
      </w:r>
      <w:r w:rsidR="00111A4B">
        <w:rPr>
          <w:lang w:eastAsia="en-US"/>
        </w:rPr>
        <w:t>issu</w:t>
      </w:r>
      <w:r>
        <w:rPr>
          <w:lang w:eastAsia="en-US"/>
        </w:rPr>
        <w:t>e</w:t>
      </w:r>
      <w:r w:rsidR="00111A4B">
        <w:rPr>
          <w:lang w:eastAsia="en-US"/>
        </w:rPr>
        <w:t xml:space="preserve"> ‘Europe 2020 Project Bonds’, which can then be used by member states to provide low-cost finance for PPPs.</w:t>
      </w:r>
      <w:r w:rsidR="00907477">
        <w:rPr>
          <w:lang w:eastAsia="en-US"/>
        </w:rPr>
        <w:t xml:space="preserve"> The impact of PPPs on public services is also multiply negative – they are more expensive than public borrowing, less efficient than public services, and have resulted in a high and damaging failure rate, for example in public transport PPPs in London. </w:t>
      </w:r>
      <w:r w:rsidR="00111A4B">
        <w:rPr>
          <w:lang w:eastAsia="en-US"/>
        </w:rPr>
        <w:t xml:space="preserve">(Spiegel 2012, EIB 2013) </w:t>
      </w:r>
    </w:p>
    <w:p w:rsidR="008456A3" w:rsidRDefault="008456A3" w:rsidP="00BC3AC9">
      <w:pPr>
        <w:rPr>
          <w:szCs w:val="22"/>
          <w:lang w:eastAsia="en-US"/>
        </w:rPr>
      </w:pPr>
    </w:p>
    <w:p w:rsidR="008456A3" w:rsidRDefault="008456A3" w:rsidP="008456A3">
      <w:pPr>
        <w:pStyle w:val="Heading2"/>
      </w:pPr>
      <w:bookmarkStart w:id="38" w:name="_Toc425285691"/>
      <w:r>
        <w:t>The crisis and new powers for the EU</w:t>
      </w:r>
      <w:bookmarkEnd w:id="38"/>
    </w:p>
    <w:p w:rsidR="00DF5EA8" w:rsidRPr="00963F76" w:rsidRDefault="00DF5EA8" w:rsidP="00BC3AC9"/>
    <w:p w:rsidR="008456A3" w:rsidRPr="001B0361" w:rsidRDefault="008456A3" w:rsidP="008456A3">
      <w:pPr>
        <w:rPr>
          <w:szCs w:val="22"/>
        </w:rPr>
      </w:pPr>
      <w:r w:rsidRPr="001B0361">
        <w:rPr>
          <w:szCs w:val="22"/>
          <w:lang w:eastAsia="en-US"/>
        </w:rPr>
        <w:t xml:space="preserve">The financial and economic crisis of 2008 led to much greater economic policy intervention by the EU. The initial response to the crisis required the EU to play a key role in enabling the response of member states through providing support for the financial sector and, initially, stimulating economic demand. Subsequently, the use of conditionalities through the EU-IMF-ECB </w:t>
      </w:r>
      <w:r w:rsidRPr="001B0361">
        <w:rPr>
          <w:szCs w:val="22"/>
        </w:rPr>
        <w:t xml:space="preserve"> ‘Troika’ packages provided the first occasion when the EU could impose specific policy requirements on member states in relation to non-fiscal issues, albeit in conjunction with the IMF. The support packages for member states in crisis also led to demands from some member states for much stricter EU controls as a condition of assuring such support for the future.  </w:t>
      </w:r>
    </w:p>
    <w:p w:rsidR="008456A3" w:rsidRPr="001B0361" w:rsidRDefault="008456A3" w:rsidP="008456A3">
      <w:pPr>
        <w:rPr>
          <w:szCs w:val="22"/>
        </w:rPr>
      </w:pPr>
    </w:p>
    <w:p w:rsidR="00EA0CCA" w:rsidRPr="001B0361" w:rsidRDefault="001B0361" w:rsidP="00EA0CCA">
      <w:pPr>
        <w:rPr>
          <w:szCs w:val="22"/>
          <w:lang w:eastAsia="en-US"/>
        </w:rPr>
      </w:pPr>
      <w:r w:rsidRPr="001B0361">
        <w:rPr>
          <w:szCs w:val="22"/>
          <w:lang w:eastAsia="en-US"/>
        </w:rPr>
        <w:t xml:space="preserve">Since the crisis, the EU has </w:t>
      </w:r>
      <w:r w:rsidR="00BC3AC9" w:rsidRPr="001B0361">
        <w:rPr>
          <w:szCs w:val="22"/>
          <w:lang w:eastAsia="en-US"/>
        </w:rPr>
        <w:t xml:space="preserve">developed a series of new mechanisms, which effectively strengthen its </w:t>
      </w:r>
      <w:r w:rsidR="002150C3" w:rsidRPr="001B0361">
        <w:rPr>
          <w:szCs w:val="22"/>
          <w:lang w:eastAsia="en-US"/>
        </w:rPr>
        <w:t>power</w:t>
      </w:r>
      <w:r w:rsidR="00E90C9B" w:rsidRPr="001B0361">
        <w:rPr>
          <w:szCs w:val="22"/>
          <w:lang w:eastAsia="en-US"/>
        </w:rPr>
        <w:t xml:space="preserve"> and influence</w:t>
      </w:r>
      <w:r w:rsidR="002150C3" w:rsidRPr="001B0361">
        <w:rPr>
          <w:szCs w:val="22"/>
          <w:lang w:eastAsia="en-US"/>
        </w:rPr>
        <w:t xml:space="preserve"> over </w:t>
      </w:r>
      <w:r w:rsidR="00BC3AC9" w:rsidRPr="001B0361">
        <w:rPr>
          <w:szCs w:val="22"/>
          <w:lang w:eastAsia="en-US"/>
        </w:rPr>
        <w:t xml:space="preserve">the economic and fiscal policies of member states. </w:t>
      </w:r>
      <w:r w:rsidR="00D456AA" w:rsidRPr="001B0361">
        <w:rPr>
          <w:szCs w:val="22"/>
          <w:lang w:eastAsia="en-US"/>
        </w:rPr>
        <w:t xml:space="preserve">It has increased the scope of its economic surveillance, through the European semester, </w:t>
      </w:r>
      <w:r w:rsidRPr="001B0361">
        <w:rPr>
          <w:szCs w:val="22"/>
          <w:lang w:eastAsia="en-US"/>
        </w:rPr>
        <w:t xml:space="preserve">the Fiscal Compact, </w:t>
      </w:r>
      <w:r w:rsidRPr="001B0361">
        <w:rPr>
          <w:szCs w:val="22"/>
        </w:rPr>
        <w:t xml:space="preserve">which </w:t>
      </w:r>
      <w:r w:rsidRPr="001B0361">
        <w:rPr>
          <w:szCs w:val="22"/>
          <w:lang w:eastAsia="en-US"/>
        </w:rPr>
        <w:t>requires countries to be constitutionally or at least statutorily bound to a balanced budget, and</w:t>
      </w:r>
      <w:r w:rsidR="00D456AA" w:rsidRPr="001B0361">
        <w:rPr>
          <w:szCs w:val="22"/>
          <w:lang w:eastAsia="en-US"/>
        </w:rPr>
        <w:t xml:space="preserve"> </w:t>
      </w:r>
      <w:r w:rsidR="00C53CF3" w:rsidRPr="001B0361">
        <w:rPr>
          <w:szCs w:val="22"/>
        </w:rPr>
        <w:t xml:space="preserve">the  </w:t>
      </w:r>
      <w:r w:rsidR="00C53CF3" w:rsidRPr="001B0361">
        <w:rPr>
          <w:szCs w:val="22"/>
          <w:lang w:eastAsia="en-US"/>
        </w:rPr>
        <w:t>European Stabilisation Mechanism (ESM) providing financial support for countries in crisis</w:t>
      </w:r>
      <w:r w:rsidRPr="001B0361">
        <w:rPr>
          <w:szCs w:val="22"/>
          <w:lang w:eastAsia="en-US"/>
        </w:rPr>
        <w:t xml:space="preserve">. </w:t>
      </w:r>
      <w:r w:rsidR="00EA0CCA" w:rsidRPr="001B0361">
        <w:rPr>
          <w:szCs w:val="22"/>
          <w:lang w:eastAsia="en-US"/>
        </w:rPr>
        <w:t xml:space="preserve">  </w:t>
      </w:r>
    </w:p>
    <w:p w:rsidR="006A4A21" w:rsidRPr="001B0361" w:rsidRDefault="006A4A21" w:rsidP="001C3713">
      <w:pPr>
        <w:rPr>
          <w:szCs w:val="22"/>
          <w:lang w:eastAsia="en-US"/>
        </w:rPr>
      </w:pPr>
    </w:p>
    <w:p w:rsidR="00B14332" w:rsidRPr="001B0361" w:rsidRDefault="00EA0CCA" w:rsidP="007753FB">
      <w:pPr>
        <w:rPr>
          <w:szCs w:val="22"/>
          <w:lang w:eastAsia="en-US"/>
        </w:rPr>
      </w:pPr>
      <w:r w:rsidRPr="001B0361">
        <w:rPr>
          <w:szCs w:val="22"/>
          <w:lang w:eastAsia="en-US"/>
        </w:rPr>
        <w:t>The</w:t>
      </w:r>
      <w:r w:rsidR="005562F6" w:rsidRPr="001B0361">
        <w:rPr>
          <w:szCs w:val="22"/>
          <w:lang w:eastAsia="en-US"/>
        </w:rPr>
        <w:t xml:space="preserve"> ‘European Semester’</w:t>
      </w:r>
      <w:r w:rsidRPr="001B0361">
        <w:rPr>
          <w:szCs w:val="22"/>
          <w:lang w:eastAsia="en-US"/>
        </w:rPr>
        <w:t xml:space="preserve"> is</w:t>
      </w:r>
      <w:r w:rsidR="005562F6" w:rsidRPr="001B0361">
        <w:rPr>
          <w:szCs w:val="22"/>
          <w:lang w:eastAsia="en-US"/>
        </w:rPr>
        <w:t xml:space="preserve"> a cycle of monitoring and coordination of the economic policies of member states, based on the annual submission of draft budgets and macroeconomic plans by governments</w:t>
      </w:r>
      <w:r w:rsidR="002150C3" w:rsidRPr="001B0361">
        <w:rPr>
          <w:szCs w:val="22"/>
          <w:lang w:eastAsia="en-US"/>
        </w:rPr>
        <w:t xml:space="preserve">. </w:t>
      </w:r>
      <w:r w:rsidR="00D456AA" w:rsidRPr="001B0361">
        <w:rPr>
          <w:szCs w:val="22"/>
          <w:lang w:eastAsia="en-US"/>
        </w:rPr>
        <w:t xml:space="preserve">This semester was reinforced by further legislation known as the ‘Six-pack’ and Two-pack’. </w:t>
      </w:r>
      <w:r w:rsidR="0049363A" w:rsidRPr="001B0361">
        <w:rPr>
          <w:szCs w:val="22"/>
          <w:lang w:eastAsia="en-US"/>
        </w:rPr>
        <w:t xml:space="preserve"> </w:t>
      </w:r>
      <w:r w:rsidR="007753FB" w:rsidRPr="001B0361">
        <w:rPr>
          <w:szCs w:val="22"/>
          <w:lang w:eastAsia="en-US"/>
        </w:rPr>
        <w:t xml:space="preserve">The fiscal rules are defined by reference to medium-term objectives for budget deficits (MTOs) for each member state, which are set following detailed formulae, and which member states are obliged to follow.  The formulae for MTOs refer not only to targets for deficit and debt, but also to targets for expenditure levels as a % of GDP, calculated by reference to EU reports on the cost of age-related public expenditure.  Public spending must not rise faster than medium-term potential GDP growth, unless it is matched by adequate revenues.  There are new stricter sanctions, with more automatic procedures, for breaching the deficit and debt targets, and a clause making it harder for the member states to override the application of these sanctions.  (EU 2013A; </w:t>
      </w:r>
      <w:hyperlink r:id="rId25" w:history="1">
        <w:r w:rsidR="007753FB" w:rsidRPr="001B0361">
          <w:rPr>
            <w:rStyle w:val="Hyperlink"/>
            <w:szCs w:val="22"/>
          </w:rPr>
          <w:t>Regulation (EU) No 1175/2011</w:t>
        </w:r>
      </w:hyperlink>
      <w:r w:rsidR="007753FB" w:rsidRPr="001B0361">
        <w:rPr>
          <w:rStyle w:val="Hyperlink"/>
          <w:szCs w:val="22"/>
        </w:rPr>
        <w:t xml:space="preserve">; </w:t>
      </w:r>
      <w:r w:rsidR="00E90C9B" w:rsidRPr="001B0361">
        <w:rPr>
          <w:szCs w:val="22"/>
          <w:lang w:eastAsia="en-US"/>
        </w:rPr>
        <w:t xml:space="preserve"> Kocharov 2012).  </w:t>
      </w:r>
    </w:p>
    <w:p w:rsidR="00B14332" w:rsidRPr="001B0361" w:rsidRDefault="00B14332" w:rsidP="002150C3">
      <w:pPr>
        <w:rPr>
          <w:szCs w:val="22"/>
          <w:lang w:eastAsia="en-US"/>
        </w:rPr>
      </w:pPr>
    </w:p>
    <w:p w:rsidR="00B14332" w:rsidRPr="001B0361" w:rsidRDefault="00D456AA" w:rsidP="00B14332">
      <w:pPr>
        <w:rPr>
          <w:szCs w:val="22"/>
        </w:rPr>
      </w:pPr>
      <w:r w:rsidRPr="001B0361">
        <w:rPr>
          <w:szCs w:val="22"/>
          <w:lang w:eastAsia="en-US"/>
        </w:rPr>
        <w:t>There is also a new Macroeconomic Imbalances Procedure (MIP</w:t>
      </w:r>
      <w:r w:rsidR="00B14332" w:rsidRPr="001B0361">
        <w:rPr>
          <w:szCs w:val="22"/>
          <w:lang w:eastAsia="en-US"/>
        </w:rPr>
        <w:t>)</w:t>
      </w:r>
      <w:r w:rsidR="00B14332" w:rsidRPr="001B0361">
        <w:rPr>
          <w:szCs w:val="22"/>
        </w:rPr>
        <w:t xml:space="preserve">, which allows the Commission to issue ‘alerts’, and preventive </w:t>
      </w:r>
      <w:r w:rsidR="00CA68F6" w:rsidRPr="001B0361">
        <w:rPr>
          <w:szCs w:val="22"/>
        </w:rPr>
        <w:t xml:space="preserve">and corrective </w:t>
      </w:r>
      <w:r w:rsidR="00B14332" w:rsidRPr="001B0361">
        <w:rPr>
          <w:szCs w:val="22"/>
        </w:rPr>
        <w:t>recommendations to member states</w:t>
      </w:r>
      <w:r w:rsidR="00CA68F6" w:rsidRPr="001B0361">
        <w:rPr>
          <w:szCs w:val="22"/>
        </w:rPr>
        <w:t xml:space="preserve">. Member states who repeatedly fail to take action required can be fined 0.1% of GDP per year. The procedure uses </w:t>
      </w:r>
      <w:r w:rsidR="00B14332" w:rsidRPr="001B0361">
        <w:rPr>
          <w:szCs w:val="22"/>
        </w:rPr>
        <w:t xml:space="preserve">a </w:t>
      </w:r>
      <w:r w:rsidR="00CA68F6" w:rsidRPr="001B0361">
        <w:rPr>
          <w:szCs w:val="22"/>
        </w:rPr>
        <w:t>‘</w:t>
      </w:r>
      <w:r w:rsidR="00B14332" w:rsidRPr="001B0361">
        <w:rPr>
          <w:szCs w:val="22"/>
        </w:rPr>
        <w:t>scorecard</w:t>
      </w:r>
      <w:r w:rsidR="00CA68F6" w:rsidRPr="001B0361">
        <w:rPr>
          <w:szCs w:val="22"/>
        </w:rPr>
        <w:t>’</w:t>
      </w:r>
      <w:r w:rsidR="00B14332" w:rsidRPr="001B0361">
        <w:rPr>
          <w:szCs w:val="22"/>
        </w:rPr>
        <w:t xml:space="preserve"> for macro-economic policies</w:t>
      </w:r>
      <w:r w:rsidR="00B14332" w:rsidRPr="001B0361">
        <w:rPr>
          <w:szCs w:val="22"/>
          <w:lang w:eastAsia="en-US"/>
        </w:rPr>
        <w:t xml:space="preserve"> concerning trade deficits, investment, labour costs, exchange rates, private and public sector debt, and house prices</w:t>
      </w:r>
      <w:r w:rsidR="00B14332" w:rsidRPr="001B0361">
        <w:rPr>
          <w:szCs w:val="22"/>
        </w:rPr>
        <w:t xml:space="preserve">. </w:t>
      </w:r>
      <w:r w:rsidR="00B14332" w:rsidRPr="001B0361">
        <w:rPr>
          <w:szCs w:val="22"/>
          <w:lang w:eastAsia="en-US"/>
        </w:rPr>
        <w:t xml:space="preserve"> </w:t>
      </w:r>
      <w:r w:rsidR="00B14332" w:rsidRPr="001B0361">
        <w:rPr>
          <w:szCs w:val="22"/>
        </w:rPr>
        <w:t xml:space="preserve">The March 2014 report from the Commission under the MIP </w:t>
      </w:r>
      <w:r w:rsidR="00CA68F6" w:rsidRPr="001B0361">
        <w:rPr>
          <w:szCs w:val="22"/>
        </w:rPr>
        <w:t xml:space="preserve">illustrates the scope of these powers. It </w:t>
      </w:r>
      <w:r w:rsidR="00B14332" w:rsidRPr="001B0361">
        <w:rPr>
          <w:szCs w:val="22"/>
        </w:rPr>
        <w:t xml:space="preserve">identifies  fourteen countries as having imbalances (including </w:t>
      </w:r>
      <w:r w:rsidR="00CA68F6" w:rsidRPr="001B0361">
        <w:rPr>
          <w:szCs w:val="22"/>
        </w:rPr>
        <w:t>Germany</w:t>
      </w:r>
      <w:r w:rsidR="00B14332" w:rsidRPr="001B0361">
        <w:rPr>
          <w:szCs w:val="22"/>
        </w:rPr>
        <w:t>)</w:t>
      </w:r>
      <w:r w:rsidR="008456A3" w:rsidRPr="001B0361">
        <w:rPr>
          <w:szCs w:val="22"/>
        </w:rPr>
        <w:t xml:space="preserve"> :  Italy, Slovenia and Croatia have been singled out as having ‘excessive imbalances’. The report also shows ten countries with excessive fiscal deficits under the SGP, of which</w:t>
      </w:r>
      <w:r w:rsidR="00B14332" w:rsidRPr="001B0361">
        <w:rPr>
          <w:szCs w:val="22"/>
        </w:rPr>
        <w:t xml:space="preserve"> France and Slovakia have received special warnings of the risk of non-compliance with the target deficit. </w:t>
      </w:r>
      <w:r w:rsidR="001162F9" w:rsidRPr="001B0361">
        <w:rPr>
          <w:szCs w:val="22"/>
        </w:rPr>
        <w:t>The Commission</w:t>
      </w:r>
      <w:r w:rsidR="00B14332" w:rsidRPr="001B0361">
        <w:rPr>
          <w:szCs w:val="22"/>
        </w:rPr>
        <w:t xml:space="preserve"> can also use the new ‘Excessive Imbalance Procedure’, under which countries have to submit corrective action plans: if they fail to do so, then  ultimately the countries can be fined up to 0.1% of GDP. (European Commission 2014)</w:t>
      </w:r>
    </w:p>
    <w:p w:rsidR="002E23B8" w:rsidRPr="001B0361" w:rsidRDefault="002E23B8" w:rsidP="00B14332">
      <w:pPr>
        <w:rPr>
          <w:szCs w:val="22"/>
          <w:lang w:eastAsia="en-US"/>
        </w:rPr>
      </w:pPr>
    </w:p>
    <w:p w:rsidR="0006503B" w:rsidRPr="001B0361" w:rsidRDefault="0006503B" w:rsidP="0006503B">
      <w:pPr>
        <w:rPr>
          <w:szCs w:val="22"/>
          <w:lang w:eastAsia="en-US"/>
        </w:rPr>
      </w:pPr>
      <w:r w:rsidRPr="001B0361">
        <w:rPr>
          <w:szCs w:val="22"/>
          <w:lang w:eastAsia="en-US"/>
        </w:rPr>
        <w:t>The new Treaty on Stability, Coordination and Governance (TSCG, also known as the Fiscal Pact), signed by all member states (now including the Czech republic) except the UK, reinforces these fiscal rules</w:t>
      </w:r>
      <w:r w:rsidRPr="001B0361">
        <w:rPr>
          <w:szCs w:val="22"/>
        </w:rPr>
        <w:t xml:space="preserve"> by requiring Member States to enshrine </w:t>
      </w:r>
      <w:r w:rsidR="00EF6CD0" w:rsidRPr="001B0361">
        <w:rPr>
          <w:szCs w:val="22"/>
        </w:rPr>
        <w:t xml:space="preserve">balanced budget rules </w:t>
      </w:r>
      <w:r w:rsidRPr="001B0361">
        <w:rPr>
          <w:szCs w:val="22"/>
        </w:rPr>
        <w:t xml:space="preserve"> in national binding law, preferably of constitutional nature.</w:t>
      </w:r>
      <w:r w:rsidR="00EF6CD0" w:rsidRPr="001B0361">
        <w:rPr>
          <w:szCs w:val="22"/>
        </w:rPr>
        <w:t xml:space="preserve"> The obligation applies not only to the balanced budget principle but also to the specific rules for calculating this and ‘automatic’ correction of policies. The treaty (article 3) specifies:</w:t>
      </w:r>
    </w:p>
    <w:p w:rsidR="0006503B" w:rsidRPr="001B0361" w:rsidRDefault="0006503B" w:rsidP="0006503B">
      <w:pPr>
        <w:rPr>
          <w:szCs w:val="22"/>
          <w:lang w:eastAsia="en-US"/>
        </w:rPr>
      </w:pPr>
    </w:p>
    <w:p w:rsidR="0006503B" w:rsidRPr="001B0361" w:rsidRDefault="0006503B" w:rsidP="0006503B">
      <w:pPr>
        <w:pStyle w:val="ListParagraph"/>
        <w:numPr>
          <w:ilvl w:val="0"/>
          <w:numId w:val="26"/>
        </w:numPr>
        <w:rPr>
          <w:szCs w:val="22"/>
          <w:lang w:eastAsia="en-US"/>
        </w:rPr>
      </w:pPr>
      <w:r w:rsidRPr="001B0361">
        <w:rPr>
          <w:szCs w:val="22"/>
          <w:lang w:eastAsia="en-US"/>
        </w:rPr>
        <w:t>“the budgetary position of the general government of the Contracting  parties shall  be balanced or in surplus”</w:t>
      </w:r>
    </w:p>
    <w:p w:rsidR="0006503B" w:rsidRPr="001B0361" w:rsidRDefault="00D33BE8" w:rsidP="0006503B">
      <w:pPr>
        <w:pStyle w:val="ListParagraph"/>
        <w:numPr>
          <w:ilvl w:val="0"/>
          <w:numId w:val="26"/>
        </w:numPr>
        <w:rPr>
          <w:szCs w:val="22"/>
          <w:lang w:eastAsia="en-US"/>
        </w:rPr>
      </w:pPr>
      <w:r w:rsidRPr="001B0361">
        <w:rPr>
          <w:szCs w:val="22"/>
          <w:lang w:eastAsia="en-US"/>
        </w:rPr>
        <w:t xml:space="preserve">This </w:t>
      </w:r>
      <w:r w:rsidR="00EF6CD0" w:rsidRPr="001B0361">
        <w:rPr>
          <w:szCs w:val="22"/>
          <w:lang w:eastAsia="en-US"/>
        </w:rPr>
        <w:t>is defined as a balance which is equal to “</w:t>
      </w:r>
      <w:r w:rsidR="00EF6CD0" w:rsidRPr="001B0361">
        <w:rPr>
          <w:szCs w:val="22"/>
        </w:rPr>
        <w:t>country-specific medium-term objective”</w:t>
      </w:r>
      <w:r w:rsidR="00EF6CD0" w:rsidRPr="001B0361">
        <w:rPr>
          <w:szCs w:val="22"/>
          <w:lang w:eastAsia="en-US"/>
        </w:rPr>
        <w:t xml:space="preserve">, but the </w:t>
      </w:r>
      <w:r w:rsidR="0006503B" w:rsidRPr="001B0361">
        <w:rPr>
          <w:szCs w:val="22"/>
          <w:lang w:eastAsia="en-US"/>
        </w:rPr>
        <w:t xml:space="preserve"> </w:t>
      </w:r>
      <w:r w:rsidR="00EF6CD0" w:rsidRPr="001B0361">
        <w:rPr>
          <w:szCs w:val="22"/>
          <w:lang w:eastAsia="en-US"/>
        </w:rPr>
        <w:t xml:space="preserve">in any case the </w:t>
      </w:r>
      <w:r w:rsidR="0006503B" w:rsidRPr="001B0361">
        <w:rPr>
          <w:szCs w:val="22"/>
          <w:lang w:eastAsia="en-US"/>
        </w:rPr>
        <w:t xml:space="preserve">structural deficit should not exceed 0.5 per  cent of the </w:t>
      </w:r>
      <w:r w:rsidR="00EF6CD0" w:rsidRPr="001B0361">
        <w:rPr>
          <w:szCs w:val="22"/>
          <w:lang w:eastAsia="en-US"/>
        </w:rPr>
        <w:t>GDP.</w:t>
      </w:r>
    </w:p>
    <w:p w:rsidR="00EF6CD0" w:rsidRPr="001B0361" w:rsidRDefault="00EF6CD0" w:rsidP="0006503B">
      <w:pPr>
        <w:pStyle w:val="ListParagraph"/>
        <w:numPr>
          <w:ilvl w:val="0"/>
          <w:numId w:val="26"/>
        </w:numPr>
        <w:rPr>
          <w:szCs w:val="22"/>
          <w:lang w:eastAsia="en-US"/>
        </w:rPr>
      </w:pPr>
      <w:r w:rsidRPr="001B0361">
        <w:rPr>
          <w:szCs w:val="22"/>
          <w:lang w:eastAsia="en-US"/>
        </w:rPr>
        <w:t xml:space="preserve">The </w:t>
      </w:r>
      <w:r w:rsidR="0055138A" w:rsidRPr="001B0361">
        <w:rPr>
          <w:szCs w:val="22"/>
          <w:lang w:eastAsia="en-US"/>
        </w:rPr>
        <w:t>pa</w:t>
      </w:r>
      <w:r w:rsidRPr="001B0361">
        <w:rPr>
          <w:szCs w:val="22"/>
          <w:lang w:eastAsia="en-US"/>
        </w:rPr>
        <w:t xml:space="preserve">rties commit to “rapid convergence </w:t>
      </w:r>
      <w:r w:rsidRPr="001B0361">
        <w:rPr>
          <w:szCs w:val="22"/>
        </w:rPr>
        <w:t xml:space="preserve">towards their respective medium-term objective”, with the time-frame defined by the Commission, and progress will be evaluated </w:t>
      </w:r>
      <w:r w:rsidR="00686E1B" w:rsidRPr="001B0361">
        <w:rPr>
          <w:szCs w:val="22"/>
        </w:rPr>
        <w:t>using an assessment “including an analysis of expenditure”</w:t>
      </w:r>
    </w:p>
    <w:p w:rsidR="0055138A" w:rsidRPr="001B0361" w:rsidRDefault="0055138A" w:rsidP="0006503B">
      <w:pPr>
        <w:pStyle w:val="ListParagraph"/>
        <w:numPr>
          <w:ilvl w:val="0"/>
          <w:numId w:val="26"/>
        </w:numPr>
        <w:rPr>
          <w:szCs w:val="22"/>
          <w:lang w:eastAsia="en-US"/>
        </w:rPr>
      </w:pPr>
      <w:r w:rsidRPr="001B0361">
        <w:rPr>
          <w:szCs w:val="22"/>
        </w:rPr>
        <w:t>In case they deviate from their path to achieving their MTO, countries must have “a correction mechanism” which “shall be triggered automatically”</w:t>
      </w:r>
    </w:p>
    <w:p w:rsidR="0006503B" w:rsidRPr="001B0361" w:rsidRDefault="0055138A" w:rsidP="0006503B">
      <w:pPr>
        <w:pStyle w:val="ListParagraph"/>
        <w:numPr>
          <w:ilvl w:val="0"/>
          <w:numId w:val="26"/>
        </w:numPr>
        <w:rPr>
          <w:szCs w:val="22"/>
          <w:lang w:eastAsia="en-US"/>
        </w:rPr>
      </w:pPr>
      <w:r w:rsidRPr="001B0361">
        <w:rPr>
          <w:szCs w:val="22"/>
          <w:lang w:eastAsia="en-US"/>
        </w:rPr>
        <w:t xml:space="preserve">All of these rules must be incorporated in </w:t>
      </w:r>
      <w:r w:rsidR="0006503B" w:rsidRPr="001B0361">
        <w:rPr>
          <w:szCs w:val="22"/>
          <w:lang w:eastAsia="en-US"/>
        </w:rPr>
        <w:t xml:space="preserve">national legislation </w:t>
      </w:r>
      <w:r w:rsidRPr="001B0361">
        <w:rPr>
          <w:szCs w:val="22"/>
          <w:lang w:eastAsia="en-US"/>
        </w:rPr>
        <w:t>“</w:t>
      </w:r>
      <w:r w:rsidRPr="001B0361">
        <w:rPr>
          <w:szCs w:val="22"/>
        </w:rPr>
        <w:t xml:space="preserve">through provisions of binding force and permanent character, preferably constitutional, or otherwise guaranteed to be fully respected and adhered to throughout the national budgetary processes”. Countries must also </w:t>
      </w:r>
      <w:r w:rsidR="0006503B" w:rsidRPr="001B0361">
        <w:rPr>
          <w:szCs w:val="22"/>
          <w:lang w:eastAsia="en-US"/>
        </w:rPr>
        <w:t xml:space="preserve"> </w:t>
      </w:r>
      <w:r w:rsidRPr="001B0361">
        <w:rPr>
          <w:szCs w:val="22"/>
          <w:lang w:eastAsia="en-US"/>
        </w:rPr>
        <w:t>create at national level their correction mechanism, in line with “</w:t>
      </w:r>
      <w:r w:rsidRPr="001B0361">
        <w:rPr>
          <w:szCs w:val="22"/>
        </w:rPr>
        <w:t>common principles to be proposed by the European Commission, concerning in particular the nature, size and time-frame of the corrective action to be undertaken, also in the case of exceptional circumstances, and the role and independence of the institutions responsible at national level for monitoring compliance with the rules”</w:t>
      </w:r>
      <w:r w:rsidR="0006503B" w:rsidRPr="001B0361">
        <w:rPr>
          <w:szCs w:val="22"/>
          <w:lang w:eastAsia="en-US"/>
        </w:rPr>
        <w:t xml:space="preserve"> enforceable by the ECJ. (</w:t>
      </w:r>
      <w:r w:rsidR="00EF6CD0" w:rsidRPr="001B0361">
        <w:rPr>
          <w:szCs w:val="22"/>
          <w:lang w:eastAsia="en-US"/>
        </w:rPr>
        <w:t>EU 2012A, EU 2012B</w:t>
      </w:r>
      <w:r w:rsidR="0006503B" w:rsidRPr="001B0361">
        <w:rPr>
          <w:szCs w:val="22"/>
          <w:lang w:eastAsia="en-US"/>
        </w:rPr>
        <w:t>)</w:t>
      </w:r>
    </w:p>
    <w:p w:rsidR="0006503B" w:rsidRPr="001B0361" w:rsidRDefault="0006503B" w:rsidP="0006503B">
      <w:pPr>
        <w:rPr>
          <w:szCs w:val="22"/>
          <w:lang w:eastAsia="en-US"/>
        </w:rPr>
      </w:pPr>
    </w:p>
    <w:p w:rsidR="00C53CF3" w:rsidRPr="001B0361" w:rsidRDefault="001162F9" w:rsidP="005562F6">
      <w:pPr>
        <w:rPr>
          <w:szCs w:val="22"/>
          <w:lang w:eastAsia="en-US"/>
        </w:rPr>
      </w:pPr>
      <w:r w:rsidRPr="001B0361">
        <w:rPr>
          <w:szCs w:val="22"/>
          <w:lang w:eastAsia="en-US"/>
        </w:rPr>
        <w:t>Finally, t</w:t>
      </w:r>
      <w:r w:rsidR="00C53CF3" w:rsidRPr="001B0361">
        <w:rPr>
          <w:szCs w:val="22"/>
          <w:lang w:eastAsia="en-US"/>
        </w:rPr>
        <w:t>he European Stability Mechanism (ESM) was established in 2012 by a new treaty amongst the 17 member states of the Eurozone</w:t>
      </w:r>
      <w:r w:rsidR="0010598C" w:rsidRPr="001B0361">
        <w:rPr>
          <w:szCs w:val="22"/>
          <w:lang w:eastAsia="en-US"/>
        </w:rPr>
        <w:t xml:space="preserve"> to safeguard the stability of the Euro area by creating a fund “</w:t>
      </w:r>
      <w:r w:rsidR="0010598C" w:rsidRPr="001B0361">
        <w:rPr>
          <w:szCs w:val="22"/>
        </w:rPr>
        <w:t xml:space="preserve">to mobilise funding and provide stability support under strict conditionality”. </w:t>
      </w:r>
      <w:r w:rsidR="0006503B" w:rsidRPr="001B0361">
        <w:rPr>
          <w:szCs w:val="22"/>
        </w:rPr>
        <w:t>The conditionalities will be determined following an examination by the EU-ECB-IMF Troika. G</w:t>
      </w:r>
      <w:r w:rsidR="0010598C" w:rsidRPr="001B0361">
        <w:rPr>
          <w:szCs w:val="22"/>
        </w:rPr>
        <w:t xml:space="preserve">overnments </w:t>
      </w:r>
      <w:r w:rsidR="0006503B" w:rsidRPr="001B0361">
        <w:rPr>
          <w:szCs w:val="22"/>
        </w:rPr>
        <w:t xml:space="preserve">have to </w:t>
      </w:r>
      <w:r w:rsidR="0010598C" w:rsidRPr="001B0361">
        <w:rPr>
          <w:szCs w:val="22"/>
        </w:rPr>
        <w:t xml:space="preserve">sign agreement to the conditionalities, and also have to be signatories to the Fiscal Compact. </w:t>
      </w:r>
      <w:r w:rsidR="0010598C" w:rsidRPr="001B0361">
        <w:rPr>
          <w:szCs w:val="22"/>
          <w:lang w:eastAsia="en-US"/>
        </w:rPr>
        <w:t>(EU 2012D)</w:t>
      </w:r>
    </w:p>
    <w:p w:rsidR="002E23B8" w:rsidRPr="001162F9" w:rsidRDefault="001162F9" w:rsidP="001162F9">
      <w:pPr>
        <w:pStyle w:val="Heading7"/>
      </w:pPr>
      <w:bookmarkStart w:id="39" w:name="_Toc425285692"/>
      <w:r w:rsidRPr="001162F9">
        <w:t>EU surveillance and correction of macroeconomic and fiscal imbalances</w:t>
      </w:r>
      <w:r>
        <w:t xml:space="preserve"> (March 2014)</w:t>
      </w:r>
      <w:bookmarkEnd w:id="39"/>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418"/>
        <w:gridCol w:w="4819"/>
        <w:gridCol w:w="2694"/>
      </w:tblGrid>
      <w:tr w:rsidR="002E23B8" w:rsidRPr="002E23B8" w:rsidTr="003412A6">
        <w:trPr>
          <w:trHeight w:val="271"/>
        </w:trPr>
        <w:tc>
          <w:tcPr>
            <w:tcW w:w="675" w:type="dxa"/>
          </w:tcPr>
          <w:p w:rsidR="002E23B8" w:rsidRPr="002E23B8" w:rsidRDefault="002E23B8" w:rsidP="003412A6">
            <w:pPr>
              <w:rPr>
                <w:b/>
                <w:bCs/>
                <w:sz w:val="20"/>
                <w:szCs w:val="20"/>
                <w:lang w:eastAsia="en-US"/>
              </w:rPr>
            </w:pPr>
          </w:p>
        </w:tc>
        <w:tc>
          <w:tcPr>
            <w:tcW w:w="6237" w:type="dxa"/>
            <w:gridSpan w:val="2"/>
          </w:tcPr>
          <w:p w:rsidR="002E23B8" w:rsidRPr="002E23B8" w:rsidRDefault="002E23B8" w:rsidP="003412A6">
            <w:pPr>
              <w:rPr>
                <w:sz w:val="20"/>
                <w:szCs w:val="20"/>
                <w:lang w:eastAsia="en-US"/>
              </w:rPr>
            </w:pPr>
            <w:r>
              <w:rPr>
                <w:sz w:val="20"/>
                <w:szCs w:val="20"/>
                <w:lang w:eastAsia="en-US"/>
              </w:rPr>
              <w:t>Macroeconomic imbalances</w:t>
            </w:r>
          </w:p>
        </w:tc>
        <w:tc>
          <w:tcPr>
            <w:tcW w:w="2694" w:type="dxa"/>
          </w:tcPr>
          <w:p w:rsidR="002E23B8" w:rsidRPr="002E23B8" w:rsidRDefault="002E23B8" w:rsidP="003412A6">
            <w:pPr>
              <w:rPr>
                <w:sz w:val="20"/>
                <w:szCs w:val="20"/>
                <w:lang w:eastAsia="en-US"/>
              </w:rPr>
            </w:pPr>
            <w:r>
              <w:rPr>
                <w:sz w:val="20"/>
                <w:szCs w:val="20"/>
                <w:lang w:eastAsia="en-US"/>
              </w:rPr>
              <w:t>Fiscal deficit</w:t>
            </w:r>
          </w:p>
        </w:tc>
      </w:tr>
      <w:tr w:rsidR="002E23B8" w:rsidRPr="002E23B8" w:rsidTr="003412A6">
        <w:trPr>
          <w:trHeight w:val="271"/>
        </w:trPr>
        <w:tc>
          <w:tcPr>
            <w:tcW w:w="675" w:type="dxa"/>
          </w:tcPr>
          <w:p w:rsidR="002E23B8" w:rsidRPr="002E23B8" w:rsidRDefault="002E23B8" w:rsidP="003412A6">
            <w:pPr>
              <w:rPr>
                <w:b/>
                <w:bCs/>
                <w:sz w:val="20"/>
                <w:szCs w:val="20"/>
                <w:lang w:eastAsia="en-US"/>
              </w:rPr>
            </w:pPr>
          </w:p>
        </w:tc>
        <w:tc>
          <w:tcPr>
            <w:tcW w:w="1418" w:type="dxa"/>
          </w:tcPr>
          <w:p w:rsidR="002E23B8" w:rsidRPr="002E23B8" w:rsidRDefault="002E23B8" w:rsidP="003412A6">
            <w:pPr>
              <w:rPr>
                <w:sz w:val="20"/>
                <w:szCs w:val="20"/>
                <w:lang w:eastAsia="en-US"/>
              </w:rPr>
            </w:pPr>
            <w:r>
              <w:rPr>
                <w:sz w:val="20"/>
                <w:szCs w:val="20"/>
                <w:lang w:eastAsia="en-US"/>
              </w:rPr>
              <w:t>Finding</w:t>
            </w:r>
          </w:p>
        </w:tc>
        <w:tc>
          <w:tcPr>
            <w:tcW w:w="4819" w:type="dxa"/>
          </w:tcPr>
          <w:p w:rsidR="002E23B8" w:rsidRPr="002E23B8" w:rsidRDefault="002E23B8" w:rsidP="003412A6">
            <w:pPr>
              <w:rPr>
                <w:sz w:val="20"/>
                <w:szCs w:val="20"/>
                <w:lang w:eastAsia="en-US"/>
              </w:rPr>
            </w:pPr>
            <w:r>
              <w:rPr>
                <w:sz w:val="20"/>
                <w:szCs w:val="20"/>
                <w:lang w:eastAsia="en-US"/>
              </w:rPr>
              <w:t>Follow-up</w:t>
            </w:r>
          </w:p>
        </w:tc>
        <w:tc>
          <w:tcPr>
            <w:tcW w:w="2694" w:type="dxa"/>
          </w:tcPr>
          <w:p w:rsidR="002E23B8" w:rsidRPr="002E23B8" w:rsidRDefault="002E23B8" w:rsidP="003412A6">
            <w:pPr>
              <w:rPr>
                <w:sz w:val="20"/>
                <w:szCs w:val="20"/>
                <w:lang w:eastAsia="en-US"/>
              </w:rPr>
            </w:pPr>
            <w:r>
              <w:rPr>
                <w:sz w:val="20"/>
                <w:szCs w:val="20"/>
                <w:lang w:eastAsia="en-US"/>
              </w:rPr>
              <w:t>Finding</w:t>
            </w:r>
          </w:p>
        </w:tc>
      </w:tr>
      <w:tr w:rsidR="002E23B8" w:rsidRPr="002E23B8" w:rsidTr="003412A6">
        <w:trPr>
          <w:trHeight w:val="27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BE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2013 </w:t>
            </w:r>
          </w:p>
        </w:tc>
      </w:tr>
      <w:tr w:rsidR="002E23B8" w:rsidRPr="002E23B8" w:rsidTr="003412A6">
        <w:trPr>
          <w:trHeight w:val="22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BG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Not yet at MTO </w:t>
            </w:r>
          </w:p>
        </w:tc>
      </w:tr>
      <w:tr w:rsidR="002E23B8" w:rsidRPr="002E23B8" w:rsidTr="003412A6">
        <w:trPr>
          <w:trHeight w:val="27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DE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Overachieving MTO </w:t>
            </w:r>
          </w:p>
        </w:tc>
      </w:tr>
      <w:tr w:rsidR="002E23B8" w:rsidRPr="002E23B8" w:rsidTr="003412A6">
        <w:trPr>
          <w:trHeight w:val="22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DK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No 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2013 </w:t>
            </w:r>
          </w:p>
        </w:tc>
      </w:tr>
      <w:tr w:rsidR="002E23B8" w:rsidRPr="002E23B8" w:rsidTr="003412A6">
        <w:trPr>
          <w:trHeight w:val="375"/>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IE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Specific monitoring: post-programme surveillance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2015 </w:t>
            </w:r>
          </w:p>
        </w:tc>
      </w:tr>
      <w:tr w:rsidR="002E23B8" w:rsidRPr="002E23B8" w:rsidTr="003412A6">
        <w:trPr>
          <w:trHeight w:val="375"/>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ES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Specific monitoring: post-programme surveillance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2016 </w:t>
            </w:r>
          </w:p>
        </w:tc>
      </w:tr>
      <w:tr w:rsidR="002E23B8" w:rsidRPr="002E23B8" w:rsidTr="003412A6">
        <w:trPr>
          <w:trHeight w:val="508"/>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FR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Specific monitoring to be put in motion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2015 </w:t>
            </w:r>
          </w:p>
          <w:p w:rsidR="002E23B8" w:rsidRPr="002E23B8" w:rsidRDefault="002E23B8" w:rsidP="003412A6">
            <w:pPr>
              <w:rPr>
                <w:sz w:val="20"/>
                <w:szCs w:val="20"/>
                <w:lang w:eastAsia="en-US"/>
              </w:rPr>
            </w:pPr>
            <w:r w:rsidRPr="002E23B8">
              <w:rPr>
                <w:sz w:val="20"/>
                <w:szCs w:val="20"/>
                <w:lang w:eastAsia="en-US"/>
              </w:rPr>
              <w:t xml:space="preserve">The Commission adopts today a recommendation (*) </w:t>
            </w:r>
          </w:p>
        </w:tc>
      </w:tr>
      <w:tr w:rsidR="002E23B8" w:rsidRPr="002E23B8" w:rsidTr="003412A6">
        <w:trPr>
          <w:trHeight w:val="429"/>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HR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Excessive 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Decision to be taken in June on subsequent steps under the MIP. Specific monitoring to be put in motion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2016 </w:t>
            </w:r>
          </w:p>
        </w:tc>
      </w:tr>
      <w:tr w:rsidR="002E23B8" w:rsidRPr="002E23B8" w:rsidTr="003412A6">
        <w:trPr>
          <w:trHeight w:val="459"/>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IT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Excessive 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Decision to be taken in June on subsequent steps under the MIP. Specific monitoring to be put in motion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Not yet at MTO </w:t>
            </w:r>
          </w:p>
        </w:tc>
      </w:tr>
      <w:tr w:rsidR="002E23B8" w:rsidRPr="002E23B8" w:rsidTr="003412A6">
        <w:trPr>
          <w:trHeight w:val="27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LU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No 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Overachieving MTO </w:t>
            </w:r>
          </w:p>
        </w:tc>
      </w:tr>
      <w:tr w:rsidR="002E23B8" w:rsidRPr="002E23B8" w:rsidTr="003412A6">
        <w:trPr>
          <w:trHeight w:val="222"/>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HU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Not yet at MTO </w:t>
            </w:r>
          </w:p>
        </w:tc>
      </w:tr>
      <w:tr w:rsidR="002E23B8" w:rsidRPr="002E23B8" w:rsidTr="003412A6">
        <w:trPr>
          <w:trHeight w:val="27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MT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No 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2014 </w:t>
            </w:r>
          </w:p>
        </w:tc>
      </w:tr>
      <w:tr w:rsidR="002E23B8" w:rsidRPr="002E23B8" w:rsidTr="003412A6">
        <w:trPr>
          <w:trHeight w:val="27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NL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2014 </w:t>
            </w:r>
          </w:p>
        </w:tc>
      </w:tr>
      <w:tr w:rsidR="002E23B8" w:rsidRPr="002E23B8" w:rsidTr="003412A6">
        <w:trPr>
          <w:trHeight w:val="508"/>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SI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Excessive 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Decision to be taken in June on subsequent steps under the MIP. Specific monitoring to be put in motion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2015 </w:t>
            </w:r>
          </w:p>
          <w:p w:rsidR="002E23B8" w:rsidRPr="002E23B8" w:rsidRDefault="002E23B8" w:rsidP="003412A6">
            <w:pPr>
              <w:rPr>
                <w:sz w:val="20"/>
                <w:szCs w:val="20"/>
                <w:lang w:eastAsia="en-US"/>
              </w:rPr>
            </w:pPr>
            <w:r w:rsidRPr="002E23B8">
              <w:rPr>
                <w:sz w:val="20"/>
                <w:szCs w:val="20"/>
                <w:lang w:eastAsia="en-US"/>
              </w:rPr>
              <w:t xml:space="preserve">The Commission adopts today a recommendation (*) </w:t>
            </w:r>
          </w:p>
        </w:tc>
      </w:tr>
      <w:tr w:rsidR="002E23B8" w:rsidRPr="002E23B8" w:rsidTr="003412A6">
        <w:trPr>
          <w:trHeight w:val="222"/>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SE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Overachieving MTO </w:t>
            </w:r>
          </w:p>
        </w:tc>
      </w:tr>
      <w:tr w:rsidR="002E23B8" w:rsidRPr="002E23B8" w:rsidTr="003412A6">
        <w:trPr>
          <w:trHeight w:val="272"/>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FI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Not yet at MTO </w:t>
            </w:r>
          </w:p>
        </w:tc>
      </w:tr>
      <w:tr w:rsidR="002E23B8" w:rsidRPr="002E23B8" w:rsidTr="003412A6">
        <w:trPr>
          <w:trHeight w:val="221"/>
        </w:trPr>
        <w:tc>
          <w:tcPr>
            <w:tcW w:w="675" w:type="dxa"/>
          </w:tcPr>
          <w:p w:rsidR="002E23B8" w:rsidRPr="002E23B8" w:rsidRDefault="002E23B8" w:rsidP="003412A6">
            <w:pPr>
              <w:rPr>
                <w:sz w:val="20"/>
                <w:szCs w:val="20"/>
                <w:lang w:eastAsia="en-US"/>
              </w:rPr>
            </w:pPr>
            <w:r w:rsidRPr="002E23B8">
              <w:rPr>
                <w:b/>
                <w:bCs/>
                <w:sz w:val="20"/>
                <w:szCs w:val="20"/>
                <w:lang w:eastAsia="en-US"/>
              </w:rPr>
              <w:t xml:space="preserve">UK </w:t>
            </w:r>
          </w:p>
        </w:tc>
        <w:tc>
          <w:tcPr>
            <w:tcW w:w="1418" w:type="dxa"/>
          </w:tcPr>
          <w:p w:rsidR="002E23B8" w:rsidRPr="002E23B8" w:rsidRDefault="002E23B8" w:rsidP="003412A6">
            <w:pPr>
              <w:rPr>
                <w:sz w:val="20"/>
                <w:szCs w:val="20"/>
                <w:lang w:eastAsia="en-US"/>
              </w:rPr>
            </w:pPr>
            <w:r w:rsidRPr="002E23B8">
              <w:rPr>
                <w:sz w:val="20"/>
                <w:szCs w:val="20"/>
                <w:lang w:eastAsia="en-US"/>
              </w:rPr>
              <w:t xml:space="preserve">Imbalance </w:t>
            </w:r>
          </w:p>
        </w:tc>
        <w:tc>
          <w:tcPr>
            <w:tcW w:w="4819" w:type="dxa"/>
          </w:tcPr>
          <w:p w:rsidR="002E23B8" w:rsidRPr="002E23B8" w:rsidRDefault="002E23B8" w:rsidP="003412A6">
            <w:pPr>
              <w:rPr>
                <w:sz w:val="20"/>
                <w:szCs w:val="20"/>
                <w:lang w:eastAsia="en-US"/>
              </w:rPr>
            </w:pPr>
            <w:r w:rsidRPr="002E23B8">
              <w:rPr>
                <w:sz w:val="20"/>
                <w:szCs w:val="20"/>
                <w:lang w:eastAsia="en-US"/>
              </w:rPr>
              <w:t xml:space="preserve">Recommendations to be adopted under the European Semester, including on MIP-related issues </w:t>
            </w:r>
          </w:p>
        </w:tc>
        <w:tc>
          <w:tcPr>
            <w:tcW w:w="2694" w:type="dxa"/>
          </w:tcPr>
          <w:p w:rsidR="002E23B8" w:rsidRPr="002E23B8" w:rsidRDefault="002E23B8" w:rsidP="003412A6">
            <w:pPr>
              <w:rPr>
                <w:sz w:val="20"/>
                <w:szCs w:val="20"/>
                <w:lang w:eastAsia="en-US"/>
              </w:rPr>
            </w:pPr>
            <w:r w:rsidRPr="002E23B8">
              <w:rPr>
                <w:sz w:val="20"/>
                <w:szCs w:val="20"/>
                <w:lang w:eastAsia="en-US"/>
              </w:rPr>
              <w:t xml:space="preserve">Excessive deficit, deadline for correction: 2014-5 </w:t>
            </w:r>
          </w:p>
        </w:tc>
      </w:tr>
    </w:tbl>
    <w:p w:rsidR="002E23B8" w:rsidRDefault="002E23B8" w:rsidP="002E23B8">
      <w:pPr>
        <w:rPr>
          <w:lang w:eastAsia="en-US"/>
        </w:rPr>
      </w:pPr>
      <w:r>
        <w:rPr>
          <w:lang w:eastAsia="en-US"/>
        </w:rPr>
        <w:t>Source: EU 2014</w:t>
      </w:r>
    </w:p>
    <w:p w:rsidR="00C53CF3" w:rsidRDefault="00C53CF3" w:rsidP="005562F6">
      <w:pPr>
        <w:rPr>
          <w:lang w:eastAsia="en-US"/>
        </w:rPr>
      </w:pPr>
    </w:p>
    <w:p w:rsidR="00EF28C8" w:rsidRDefault="00EF28C8" w:rsidP="00261C77">
      <w:pPr>
        <w:rPr>
          <w:lang w:eastAsia="en-US"/>
        </w:rPr>
      </w:pPr>
    </w:p>
    <w:bookmarkEnd w:id="11"/>
    <w:bookmarkEnd w:id="12"/>
    <w:p w:rsidR="00FB3BD6" w:rsidRPr="00FB3BD6" w:rsidRDefault="00165547" w:rsidP="00165547">
      <w:pPr>
        <w:pStyle w:val="NormalWeb"/>
        <w:rPr>
          <w:sz w:val="22"/>
          <w:szCs w:val="22"/>
          <w:lang w:eastAsia="en-US"/>
        </w:rPr>
      </w:pPr>
      <w:r w:rsidRPr="00FB3BD6">
        <w:rPr>
          <w:sz w:val="22"/>
          <w:szCs w:val="22"/>
          <w:lang w:eastAsia="en-US"/>
        </w:rPr>
        <w:t xml:space="preserve">These new powers </w:t>
      </w:r>
      <w:r w:rsidR="001B0361" w:rsidRPr="00FB3BD6">
        <w:rPr>
          <w:sz w:val="22"/>
          <w:szCs w:val="22"/>
          <w:lang w:eastAsia="en-US"/>
        </w:rPr>
        <w:t>work by constraining the decisions which can be taken by future elected</w:t>
      </w:r>
      <w:r w:rsidR="001B0361" w:rsidRPr="00DC7241">
        <w:rPr>
          <w:szCs w:val="22"/>
          <w:lang w:eastAsia="en-US"/>
        </w:rPr>
        <w:t xml:space="preserve"> </w:t>
      </w:r>
      <w:r w:rsidR="001B0361" w:rsidRPr="00FB3BD6">
        <w:rPr>
          <w:sz w:val="22"/>
          <w:szCs w:val="22"/>
          <w:lang w:eastAsia="en-US"/>
        </w:rPr>
        <w:t>governments</w:t>
      </w:r>
      <w:r w:rsidRPr="00FB3BD6">
        <w:rPr>
          <w:sz w:val="22"/>
          <w:szCs w:val="22"/>
          <w:lang w:eastAsia="en-US"/>
        </w:rPr>
        <w:t xml:space="preserve">, especially on economic policy. </w:t>
      </w:r>
      <w:r w:rsidR="001B0361" w:rsidRPr="00FB3BD6">
        <w:rPr>
          <w:sz w:val="22"/>
          <w:szCs w:val="22"/>
          <w:lang w:eastAsia="en-US"/>
        </w:rPr>
        <w:t>They are intended to work this way: when the Fiscal Compact was agreed, Angela Merkel was reported as saying: “</w:t>
      </w:r>
      <w:r w:rsidR="001B0361" w:rsidRPr="00FB3BD6">
        <w:rPr>
          <w:sz w:val="22"/>
          <w:szCs w:val="22"/>
        </w:rPr>
        <w:t xml:space="preserve">The debt brakes will be binding and valid forever. </w:t>
      </w:r>
      <w:r w:rsidR="001B0361" w:rsidRPr="00075831">
        <w:rPr>
          <w:sz w:val="22"/>
          <w:szCs w:val="22"/>
        </w:rPr>
        <w:t>Never will you be able to change them through a parliamentary majority."</w:t>
      </w:r>
      <w:r w:rsidR="001B0361" w:rsidRPr="00FB3BD6">
        <w:rPr>
          <w:sz w:val="22"/>
          <w:szCs w:val="22"/>
        </w:rPr>
        <w:t xml:space="preserve"> (Guardian 2012)</w:t>
      </w:r>
      <w:r w:rsidRPr="00FB3BD6">
        <w:rPr>
          <w:sz w:val="22"/>
          <w:szCs w:val="22"/>
        </w:rPr>
        <w:t xml:space="preserve">  </w:t>
      </w:r>
      <w:r w:rsidR="00FB3BD6" w:rsidRPr="00FB3BD6">
        <w:rPr>
          <w:sz w:val="22"/>
          <w:szCs w:val="22"/>
        </w:rPr>
        <w:t xml:space="preserve">They also </w:t>
      </w:r>
      <w:r w:rsidRPr="00FB3BD6">
        <w:rPr>
          <w:sz w:val="22"/>
          <w:szCs w:val="22"/>
          <w:lang w:eastAsia="en-US"/>
        </w:rPr>
        <w:t>include a political bias: a</w:t>
      </w:r>
      <w:r w:rsidR="001B0361" w:rsidRPr="00FB3BD6">
        <w:rPr>
          <w:sz w:val="22"/>
          <w:szCs w:val="22"/>
          <w:lang w:eastAsia="en-US"/>
        </w:rPr>
        <w:t xml:space="preserve"> government which prioritised maintaining a higher economic stimulus through government borrowing – like the USA government, for example – would risk sanctions from the EU and its own constitutional court. The fiscal compact thus: “</w:t>
      </w:r>
      <w:r w:rsidR="001B0361" w:rsidRPr="00FB3BD6">
        <w:rPr>
          <w:rFonts w:cs="PalatinoLinotype"/>
          <w:sz w:val="22"/>
          <w:szCs w:val="22"/>
        </w:rPr>
        <w:t>outlaws Keynesianism and its counter-cyclical economic policies and constitutionalizes austerity and balanced budgets as new fundamental principles of the EU constitutional order.” (Bogaric 2013)</w:t>
      </w:r>
      <w:r w:rsidR="00FB3BD6">
        <w:rPr>
          <w:rFonts w:cs="PalatinoLinotype"/>
          <w:sz w:val="22"/>
          <w:szCs w:val="22"/>
        </w:rPr>
        <w:t xml:space="preserve">. The EU is acting more like an international financial institution than a federal government. </w:t>
      </w:r>
    </w:p>
    <w:p w:rsidR="001B0361" w:rsidRDefault="001B0361" w:rsidP="001B0361">
      <w:pPr>
        <w:rPr>
          <w:szCs w:val="22"/>
          <w:lang w:eastAsia="en-US"/>
        </w:rPr>
      </w:pPr>
    </w:p>
    <w:p w:rsidR="00165547" w:rsidRPr="00FB3BD6" w:rsidRDefault="00165547" w:rsidP="00165547">
      <w:pPr>
        <w:rPr>
          <w:szCs w:val="22"/>
          <w:lang w:eastAsia="en-US"/>
        </w:rPr>
      </w:pPr>
      <w:r w:rsidRPr="00766B48">
        <w:rPr>
          <w:szCs w:val="22"/>
          <w:lang w:eastAsia="en-US"/>
        </w:rPr>
        <w:t>It is worth noting that t</w:t>
      </w:r>
      <w:r w:rsidRPr="00FB3BD6">
        <w:rPr>
          <w:szCs w:val="22"/>
          <w:lang w:eastAsia="en-US"/>
        </w:rPr>
        <w:t xml:space="preserve">he new powers of the EU are far greater than those of the USA federal government, which has no powers either to rescue or sanction states with fiscal crises, or monitor and direct economic policies in general. There is  no legal requirement for states </w:t>
      </w:r>
      <w:r w:rsidR="00766B48">
        <w:rPr>
          <w:szCs w:val="22"/>
          <w:lang w:eastAsia="en-US"/>
        </w:rPr>
        <w:t xml:space="preserve">in the USA </w:t>
      </w:r>
      <w:r w:rsidRPr="00FB3BD6">
        <w:rPr>
          <w:szCs w:val="22"/>
          <w:lang w:eastAsia="en-US"/>
        </w:rPr>
        <w:t>to adopt balanced budget rules, but since the mid-19</w:t>
      </w:r>
      <w:r w:rsidRPr="00FB3BD6">
        <w:rPr>
          <w:szCs w:val="22"/>
          <w:vertAlign w:val="superscript"/>
          <w:lang w:eastAsia="en-US"/>
        </w:rPr>
        <w:t>th</w:t>
      </w:r>
      <w:r w:rsidRPr="00FB3BD6">
        <w:rPr>
          <w:szCs w:val="22"/>
          <w:lang w:eastAsia="en-US"/>
        </w:rPr>
        <w:t xml:space="preserve"> century, most states have adopted a balanced budget rule, as a matter of fiscal prudence, partly to make it easier to access financial markets to borrow money. In 35 states this is enshrined in the constitution, in varying terminology, in 14 cases there are statutory or de facto requirements for a balanced budget: only one state, Vermont, has no such constraint. (Fabbrini 2013).   In both Europe and the USA, the balanced budget rules mean that the states prevent themselves from countering economic downturns by borrowing money to finance economic stimulus – in effect, Keynesian economic policies aree illegal  In the USA, the federal government can still  borrow and create money to finance reflationary Keynesian policies in times of recession, but the EU itself has no comparable ability, and so the entire Eurozone is left unable to</w:t>
      </w:r>
      <w:r w:rsidR="00766B48">
        <w:rPr>
          <w:szCs w:val="22"/>
          <w:lang w:eastAsia="en-US"/>
        </w:rPr>
        <w:t xml:space="preserve"> do so.</w:t>
      </w:r>
      <w:r w:rsidRPr="00FB3BD6">
        <w:rPr>
          <w:szCs w:val="22"/>
          <w:lang w:eastAsia="en-US"/>
        </w:rPr>
        <w:t xml:space="preserve">   (Fabbrini 2013)</w:t>
      </w:r>
    </w:p>
    <w:p w:rsidR="00165547" w:rsidRPr="00FB3BD6" w:rsidRDefault="00165547" w:rsidP="00165547">
      <w:pPr>
        <w:rPr>
          <w:szCs w:val="22"/>
          <w:lang w:eastAsia="en-US"/>
        </w:rPr>
      </w:pPr>
    </w:p>
    <w:p w:rsidR="00165547" w:rsidRPr="00FB3BD6" w:rsidRDefault="00165547" w:rsidP="00165547">
      <w:pPr>
        <w:rPr>
          <w:szCs w:val="22"/>
          <w:lang w:eastAsia="en-US"/>
        </w:rPr>
      </w:pPr>
      <w:r w:rsidRPr="00FB3BD6">
        <w:rPr>
          <w:szCs w:val="22"/>
          <w:lang w:eastAsia="en-US"/>
        </w:rPr>
        <w:t>A comparison between the new EU powers and those of the IMF is also illuminating. Firstly, the EU now has detailed macroeconomic surveillance powers, similar to those of the IMF, through the semester, reinforced by the MIP, using set criteria. This may not enhance the status of the EU in the way that it has the IMF, however, because the EU is already facing widespread difficulties in many countries for excessive interference in the affairs of member states, and the semester/MIP may reinforce these problems.</w:t>
      </w:r>
    </w:p>
    <w:p w:rsidR="00DC7241" w:rsidRPr="00FB3BD6" w:rsidRDefault="00165547" w:rsidP="001162F9">
      <w:pPr>
        <w:rPr>
          <w:szCs w:val="22"/>
          <w:lang w:eastAsia="en-US"/>
        </w:rPr>
      </w:pPr>
      <w:r w:rsidRPr="00FB3BD6">
        <w:rPr>
          <w:szCs w:val="22"/>
          <w:lang w:eastAsia="en-US"/>
        </w:rPr>
        <w:t xml:space="preserve">Secondly, the EU has embedded a strict set of  neoliberal economic rules in the Fiscal Compact and the MIP mechanism, which gives these rules more legal and institutional authority than the informal status of the IMF’s rules. However, the IMF retains flexibility to modify the rules in different times and places, whereas the EU rules are set in legislation in remarkable detail: </w:t>
      </w:r>
      <w:r w:rsidRPr="00766B48">
        <w:rPr>
          <w:szCs w:val="22"/>
          <w:lang w:eastAsia="en-US"/>
        </w:rPr>
        <w:t>“the Fiscal Compact provides a very detailed and technical “golden rule,” which defines in strict mathematical terms the yearly structural deficit permitted in every member state and specifies conditions</w:t>
      </w:r>
      <w:r w:rsidR="001B0658">
        <w:rPr>
          <w:szCs w:val="22"/>
          <w:lang w:eastAsia="en-US"/>
        </w:rPr>
        <w:t xml:space="preserve"> </w:t>
      </w:r>
      <w:r w:rsidRPr="00766B48">
        <w:rPr>
          <w:szCs w:val="22"/>
          <w:lang w:eastAsia="en-US"/>
        </w:rPr>
        <w:t xml:space="preserve">for disrespecting the rule, as well as automatic mechanisms to ensure compliance.”(Fabbrini 2013)   </w:t>
      </w:r>
      <w:r w:rsidR="00DC7241" w:rsidRPr="00FB3BD6">
        <w:rPr>
          <w:szCs w:val="22"/>
          <w:lang w:eastAsia="en-US"/>
        </w:rPr>
        <w:t xml:space="preserve">Thirdly, the EU institutions now have the financial carrot of the ESM to </w:t>
      </w:r>
      <w:r w:rsidRPr="00FB3BD6">
        <w:rPr>
          <w:szCs w:val="22"/>
          <w:lang w:eastAsia="en-US"/>
        </w:rPr>
        <w:t>us</w:t>
      </w:r>
      <w:r w:rsidR="00766B48">
        <w:rPr>
          <w:szCs w:val="22"/>
          <w:lang w:eastAsia="en-US"/>
        </w:rPr>
        <w:t>e</w:t>
      </w:r>
      <w:r w:rsidRPr="00FB3BD6">
        <w:rPr>
          <w:szCs w:val="22"/>
          <w:lang w:eastAsia="en-US"/>
        </w:rPr>
        <w:t>,  as well as the sticks</w:t>
      </w:r>
      <w:r w:rsidR="00DC7241" w:rsidRPr="00FB3BD6">
        <w:rPr>
          <w:szCs w:val="22"/>
          <w:lang w:eastAsia="en-US"/>
        </w:rPr>
        <w:t xml:space="preserve"> of the penalties </w:t>
      </w:r>
      <w:r w:rsidRPr="00FB3BD6">
        <w:rPr>
          <w:szCs w:val="22"/>
          <w:lang w:eastAsia="en-US"/>
        </w:rPr>
        <w:t xml:space="preserve">and sanctions </w:t>
      </w:r>
      <w:r w:rsidR="00DC7241" w:rsidRPr="00FB3BD6">
        <w:rPr>
          <w:szCs w:val="22"/>
          <w:lang w:eastAsia="en-US"/>
        </w:rPr>
        <w:t xml:space="preserve">under the SGP.  </w:t>
      </w:r>
      <w:r w:rsidRPr="00FB3BD6">
        <w:rPr>
          <w:szCs w:val="22"/>
          <w:lang w:eastAsia="en-US"/>
        </w:rPr>
        <w:t>But u</w:t>
      </w:r>
      <w:r w:rsidR="00DC7241" w:rsidRPr="00FB3BD6">
        <w:rPr>
          <w:szCs w:val="22"/>
          <w:lang w:eastAsia="en-US"/>
        </w:rPr>
        <w:t xml:space="preserve">nlike the IMF, the EU cannot threaten to walk away from a member state; and also unlike the IMF, the EU is directly affected by, and may be weakened by, public and political </w:t>
      </w:r>
      <w:r w:rsidR="00FB3BD6" w:rsidRPr="00FB3BD6">
        <w:rPr>
          <w:szCs w:val="22"/>
          <w:lang w:eastAsia="en-US"/>
        </w:rPr>
        <w:t xml:space="preserve">resistance from within countries. </w:t>
      </w:r>
      <w:r w:rsidRPr="00FB3BD6">
        <w:rPr>
          <w:szCs w:val="22"/>
          <w:lang w:eastAsia="en-US"/>
        </w:rPr>
        <w:t xml:space="preserve"> </w:t>
      </w:r>
      <w:r w:rsidR="00DC7241" w:rsidRPr="00FB3BD6">
        <w:rPr>
          <w:szCs w:val="22"/>
          <w:lang w:eastAsia="en-US"/>
        </w:rPr>
        <w:t xml:space="preserve">   </w:t>
      </w:r>
    </w:p>
    <w:p w:rsidR="001B0361" w:rsidRDefault="001B0361" w:rsidP="00C36C3D"/>
    <w:p w:rsidR="001B0361" w:rsidRDefault="00656079" w:rsidP="001B0361">
      <w:pPr>
        <w:pStyle w:val="Heading1"/>
      </w:pPr>
      <w:bookmarkStart w:id="40" w:name="_Toc425285693"/>
      <w:r>
        <w:t>C</w:t>
      </w:r>
      <w:r w:rsidR="001B0361">
        <w:t>onclusion</w:t>
      </w:r>
      <w:bookmarkEnd w:id="40"/>
    </w:p>
    <w:p w:rsidR="009139DA" w:rsidRDefault="00656079" w:rsidP="00513626">
      <w:r>
        <w:t xml:space="preserve">Austerity  was not an automatic consequence of the crisis, but an exercise in political economy.  It reversed the Keynesian policies which were remarkably successful in stemming the impact of the crisis in 2009, and it provides support for the banks who are the principal creditors of countries in crisis.  This is appreciated by the banks – although they were rescued by enormous public debt under the brief Keynesian period </w:t>
      </w:r>
      <w:r w:rsidR="00D424D5">
        <w:t>–</w:t>
      </w:r>
      <w:r>
        <w:t xml:space="preserve"> </w:t>
      </w:r>
      <w:r w:rsidR="00D424D5">
        <w:t>as it was in the crises of the late 19</w:t>
      </w:r>
      <w:r w:rsidR="00D424D5" w:rsidRPr="00D424D5">
        <w:rPr>
          <w:vertAlign w:val="superscript"/>
        </w:rPr>
        <w:t>th</w:t>
      </w:r>
      <w:r w:rsidR="00D424D5">
        <w:t xml:space="preserve"> century.  The  banks, the IMF and now the EU share a belief that democratic processes and constitutions are threats  to the stable continuation of neoliberal economic policies.   This is probably true, as </w:t>
      </w:r>
      <w:r w:rsidR="00513626">
        <w:t xml:space="preserve"> </w:t>
      </w:r>
      <w:r w:rsidR="00D424D5">
        <w:t>long as this</w:t>
      </w:r>
      <w:r w:rsidR="00FB3BD6">
        <w:t xml:space="preserve"> set of economic policies </w:t>
      </w:r>
      <w:r w:rsidR="00D424D5">
        <w:t xml:space="preserve">does not deliver economic growth enjoyed by all in terms of employment and prosperity.  </w:t>
      </w:r>
      <w:r w:rsidR="00513626">
        <w:t xml:space="preserve">The tensions between democratic politics at national level, and neo-liberal economic policies driven by international institutions, are likely to continue for the foreseeable future. </w:t>
      </w:r>
    </w:p>
    <w:p w:rsidR="00C36C3D" w:rsidRDefault="00C36C3D" w:rsidP="00C36C3D"/>
    <w:p w:rsidR="005150F1" w:rsidRDefault="005150F1" w:rsidP="00F279AA">
      <w:r>
        <w:br w:type="page"/>
      </w:r>
    </w:p>
    <w:p w:rsidR="0006503B" w:rsidRDefault="0006503B" w:rsidP="00725BBC">
      <w:pPr>
        <w:pStyle w:val="Heading1"/>
        <w:numPr>
          <w:ilvl w:val="0"/>
          <w:numId w:val="0"/>
        </w:numPr>
        <w:ind w:left="360" w:hanging="360"/>
      </w:pPr>
      <w:bookmarkStart w:id="41" w:name="_Toc425285694"/>
      <w:r>
        <w:t>Annexe: the EU Semester</w:t>
      </w:r>
      <w:bookmarkEnd w:id="41"/>
      <w:r>
        <w:t xml:space="preserve"> </w:t>
      </w:r>
    </w:p>
    <w:p w:rsidR="0006503B" w:rsidRDefault="0006503B" w:rsidP="0006503B">
      <w:pPr>
        <w:pStyle w:val="Heading8"/>
      </w:pPr>
      <w:bookmarkStart w:id="42" w:name="_Toc425285695"/>
      <w:r w:rsidRPr="001C3713">
        <w:t>THE EUROPEAN SEMESTER</w:t>
      </w:r>
      <w:r w:rsidRPr="00716E19">
        <w:t xml:space="preserve"> </w:t>
      </w:r>
      <w:r>
        <w:t xml:space="preserve">- </w:t>
      </w:r>
      <w:r w:rsidRPr="001C3713">
        <w:t>COORDINATION THROUGHOUT THE YEAR</w:t>
      </w:r>
      <w:bookmarkEnd w:id="42"/>
    </w:p>
    <w:p w:rsidR="0006503B" w:rsidRPr="00BC3AC9" w:rsidRDefault="0006503B" w:rsidP="0006503B">
      <w:pPr>
        <w:rPr>
          <w:lang w:eastAsia="en-US"/>
        </w:rPr>
      </w:pPr>
      <w:r w:rsidRPr="00BC3AC9">
        <w:rPr>
          <w:lang w:eastAsia="en-US"/>
        </w:rPr>
        <w:t>Glossary: AGS=Annual Growth Survey; AMR=Alert Mechanism Report; CSR=Country-specific recommendations EDP=Excess Deficit Procedure; IDR In-depth Review</w:t>
      </w:r>
    </w:p>
    <w:p w:rsidR="0006503B" w:rsidRDefault="0006503B" w:rsidP="0006503B">
      <w:pPr>
        <w:rPr>
          <w:lang w:eastAsia="en-US"/>
        </w:rPr>
      </w:pPr>
      <w:r>
        <w:rPr>
          <w:noProof/>
        </w:rPr>
        <w:drawing>
          <wp:inline distT="0" distB="0" distL="0" distR="0" wp14:anchorId="5411C067" wp14:editId="480F238F">
            <wp:extent cx="6121102" cy="3442447"/>
            <wp:effectExtent l="0" t="0" r="0" b="5715"/>
            <wp:docPr id="3" name="Picture 3" descr="http://europa.eu/rapid/exploit/2013/11/MEMO/EN/m13_979.eni/Pictures/1000000000001A8500000CF8B5851A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uropa.eu/rapid/exploit/2013/11/MEMO/EN/m13_979.eni/Pictures/1000000000001A8500000CF8B5851A21.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20130" cy="3441900"/>
                    </a:xfrm>
                    <a:prstGeom prst="rect">
                      <a:avLst/>
                    </a:prstGeom>
                    <a:noFill/>
                    <a:ln>
                      <a:noFill/>
                    </a:ln>
                  </pic:spPr>
                </pic:pic>
              </a:graphicData>
            </a:graphic>
          </wp:inline>
        </w:drawing>
      </w:r>
    </w:p>
    <w:p w:rsidR="0006503B" w:rsidRDefault="0006503B" w:rsidP="0006503B">
      <w:pPr>
        <w:rPr>
          <w:lang w:eastAsia="en-US"/>
        </w:rPr>
      </w:pPr>
      <w:r>
        <w:rPr>
          <w:lang w:eastAsia="en-US"/>
        </w:rPr>
        <w:t xml:space="preserve"> Source: </w:t>
      </w:r>
      <w:hyperlink r:id="rId27" w:history="1">
        <w:r w:rsidRPr="003161A9">
          <w:rPr>
            <w:rStyle w:val="Hyperlink"/>
            <w:lang w:eastAsia="en-US"/>
          </w:rPr>
          <w:t>http://ec.europa.eu/economy_finance/economic_governance/the_european_semester/index_en.htm</w:t>
        </w:r>
      </w:hyperlink>
      <w:r>
        <w:rPr>
          <w:lang w:eastAsia="en-US"/>
        </w:rPr>
        <w:t xml:space="preserve"> </w:t>
      </w:r>
    </w:p>
    <w:p w:rsidR="0006503B" w:rsidRDefault="0006503B" w:rsidP="0006503B">
      <w:pPr>
        <w:rPr>
          <w:lang w:eastAsia="en-US"/>
        </w:rPr>
      </w:pPr>
    </w:p>
    <w:p w:rsidR="0006503B" w:rsidRDefault="0006503B" w:rsidP="0006503B">
      <w:pPr>
        <w:rPr>
          <w:lang w:eastAsia="en-US"/>
        </w:rPr>
      </w:pPr>
      <w:r>
        <w:rPr>
          <w:lang w:eastAsia="en-US"/>
        </w:rPr>
        <w:br w:type="page"/>
      </w:r>
    </w:p>
    <w:p w:rsidR="0006503B" w:rsidRPr="0006503B" w:rsidRDefault="0006503B" w:rsidP="0006503B">
      <w:pPr>
        <w:rPr>
          <w:lang w:eastAsia="en-US"/>
        </w:rPr>
      </w:pPr>
    </w:p>
    <w:p w:rsidR="00725BBC" w:rsidRDefault="00725BBC" w:rsidP="00725BBC">
      <w:pPr>
        <w:pStyle w:val="Heading1"/>
        <w:numPr>
          <w:ilvl w:val="0"/>
          <w:numId w:val="0"/>
        </w:numPr>
        <w:ind w:left="360" w:hanging="360"/>
      </w:pPr>
      <w:bookmarkStart w:id="43" w:name="_Toc425285696"/>
      <w:r>
        <w:t>Bibliography</w:t>
      </w:r>
      <w:bookmarkEnd w:id="43"/>
    </w:p>
    <w:tbl>
      <w:tblPr>
        <w:tblStyle w:val="TableGrid"/>
        <w:tblW w:w="0" w:type="auto"/>
        <w:tblLook w:val="04A0" w:firstRow="1" w:lastRow="0" w:firstColumn="1" w:lastColumn="0" w:noHBand="0" w:noVBand="1"/>
      </w:tblPr>
      <w:tblGrid>
        <w:gridCol w:w="9854"/>
      </w:tblGrid>
      <w:tr w:rsidR="009E7E2C" w:rsidRPr="00AC669A" w:rsidTr="007E6C75">
        <w:tc>
          <w:tcPr>
            <w:tcW w:w="9854" w:type="dxa"/>
          </w:tcPr>
          <w:p w:rsidR="009E7E2C" w:rsidRPr="00111A4B" w:rsidRDefault="009E7E2C" w:rsidP="00111A4B">
            <w:pPr>
              <w:rPr>
                <w:rStyle w:val="Hyperlink"/>
                <w:iCs/>
                <w:szCs w:val="22"/>
                <w:u w:val="none"/>
              </w:rPr>
            </w:pPr>
            <w:r w:rsidRPr="00111A4B">
              <w:rPr>
                <w:szCs w:val="22"/>
              </w:rPr>
              <w:t xml:space="preserve">Beck U. 2005 </w:t>
            </w:r>
            <w:r w:rsidRPr="0096325B">
              <w:rPr>
                <w:iCs/>
                <w:szCs w:val="22"/>
              </w:rPr>
              <w:t>Power in the Global Age</w:t>
            </w:r>
            <w:r w:rsidRPr="00111A4B">
              <w:rPr>
                <w:rStyle w:val="Hyperlink"/>
                <w:iCs/>
                <w:szCs w:val="22"/>
                <w:u w:val="none"/>
              </w:rPr>
              <w:t xml:space="preserve"> </w:t>
            </w:r>
            <w:r w:rsidRPr="00111A4B">
              <w:rPr>
                <w:szCs w:val="22"/>
              </w:rPr>
              <w:t>Polity Press</w:t>
            </w:r>
            <w:r w:rsidR="0096325B">
              <w:rPr>
                <w:szCs w:val="22"/>
              </w:rPr>
              <w:t xml:space="preserve"> </w:t>
            </w:r>
            <w:hyperlink r:id="rId28" w:history="1">
              <w:r w:rsidR="0096325B" w:rsidRPr="003201EE">
                <w:rPr>
                  <w:rStyle w:val="Hyperlink"/>
                  <w:szCs w:val="22"/>
                </w:rPr>
                <w:t>http://www.polity.co.uk/book.asp?ref=9780745632308</w:t>
              </w:r>
            </w:hyperlink>
            <w:r w:rsidR="0096325B">
              <w:rPr>
                <w:szCs w:val="22"/>
              </w:rPr>
              <w:t xml:space="preserve"> </w:t>
            </w:r>
          </w:p>
        </w:tc>
      </w:tr>
      <w:tr w:rsidR="009E7E2C" w:rsidRPr="00AC669A" w:rsidTr="007E6C75">
        <w:tc>
          <w:tcPr>
            <w:tcW w:w="9854" w:type="dxa"/>
          </w:tcPr>
          <w:p w:rsidR="009E7E2C" w:rsidRPr="00111A4B" w:rsidRDefault="009E7E2C" w:rsidP="00111A4B">
            <w:pPr>
              <w:rPr>
                <w:szCs w:val="22"/>
                <w:lang w:eastAsia="en-US"/>
              </w:rPr>
            </w:pPr>
            <w:r w:rsidRPr="00111A4B">
              <w:rPr>
                <w:szCs w:val="22"/>
                <w:lang w:eastAsia="en-US"/>
              </w:rPr>
              <w:t xml:space="preserve">Benczes I. 2013 Fiscal rules and national ownership: a Critical evaluation of past and Current Fiscal rules in the EU. In: Jody Jensen, Ferenc Miszlivetz (eds.). 2013. Global Challenges – European Answers The Rise of Glocality in Europe. savaria university press. </w:t>
            </w:r>
            <w:hyperlink r:id="rId29" w:anchor="page=79" w:history="1">
              <w:r w:rsidRPr="00111A4B">
                <w:rPr>
                  <w:rStyle w:val="Hyperlink"/>
                  <w:szCs w:val="22"/>
                  <w:u w:val="none"/>
                  <w:lang w:eastAsia="en-US"/>
                </w:rPr>
                <w:t>http://www.ises.hu/webimages/files/ISESkonyv_belivek.pdf#page=79</w:t>
              </w:r>
            </w:hyperlink>
            <w:r w:rsidRPr="00111A4B">
              <w:rPr>
                <w:szCs w:val="22"/>
                <w:lang w:eastAsia="en-US"/>
              </w:rPr>
              <w:t xml:space="preserve"> .</w:t>
            </w:r>
          </w:p>
        </w:tc>
      </w:tr>
      <w:tr w:rsidR="009E7E2C" w:rsidRPr="0071157C" w:rsidTr="007E6C75">
        <w:tc>
          <w:tcPr>
            <w:tcW w:w="9854" w:type="dxa"/>
          </w:tcPr>
          <w:p w:rsidR="009E7E2C" w:rsidRPr="00111A4B" w:rsidRDefault="009E7E2C" w:rsidP="00111A4B">
            <w:pPr>
              <w:rPr>
                <w:szCs w:val="22"/>
              </w:rPr>
            </w:pPr>
            <w:r w:rsidRPr="00111A4B">
              <w:rPr>
                <w:iCs/>
                <w:szCs w:val="22"/>
              </w:rPr>
              <w:t>Bretton Woods Project</w:t>
            </w:r>
            <w:r w:rsidRPr="00111A4B">
              <w:rPr>
                <w:szCs w:val="22"/>
              </w:rPr>
              <w:t xml:space="preserve"> 2014 ‘The Future of Global Economic Governance and the IMF’. 2014. </w:t>
            </w:r>
            <w:r w:rsidRPr="00111A4B">
              <w:rPr>
                <w:iCs/>
                <w:szCs w:val="22"/>
              </w:rPr>
              <w:t>Bretton Woods Project</w:t>
            </w:r>
            <w:r w:rsidRPr="00111A4B">
              <w:rPr>
                <w:szCs w:val="22"/>
              </w:rPr>
              <w:t xml:space="preserve">. Accessed April 1. </w:t>
            </w:r>
            <w:hyperlink r:id="rId30" w:history="1">
              <w:r w:rsidRPr="00111A4B">
                <w:rPr>
                  <w:rStyle w:val="Hyperlink"/>
                  <w:szCs w:val="22"/>
                  <w:u w:val="none"/>
                </w:rPr>
                <w:t>http://www.brettonwoodsproject.org/2014/03/future-global-economic-governance-imf-challenges-opportunities-europe-emerging-economies-developing-countries/</w:t>
              </w:r>
            </w:hyperlink>
            <w:r w:rsidRPr="00111A4B">
              <w:rPr>
                <w:szCs w:val="22"/>
              </w:rPr>
              <w:t xml:space="preserve">  </w:t>
            </w:r>
          </w:p>
        </w:tc>
      </w:tr>
      <w:tr w:rsidR="009E7E2C" w:rsidRPr="00655FA6" w:rsidTr="007E6C75">
        <w:tc>
          <w:tcPr>
            <w:tcW w:w="9854" w:type="dxa"/>
          </w:tcPr>
          <w:p w:rsidR="009E7E2C" w:rsidRPr="00655FA6" w:rsidRDefault="009E7E2C" w:rsidP="00655FA6">
            <w:pPr>
              <w:rPr>
                <w:szCs w:val="22"/>
                <w:lang w:eastAsia="en-US"/>
              </w:rPr>
            </w:pPr>
            <w:r w:rsidRPr="00655FA6">
              <w:rPr>
                <w:szCs w:val="22"/>
              </w:rPr>
              <w:t xml:space="preserve">Bugaric, Bojan. 2013. ‘Europe against the Left? On Legal Limits to Progressive Politics’. LSE </w:t>
            </w:r>
            <w:r w:rsidRPr="00655FA6">
              <w:rPr>
                <w:rFonts w:cs="Cambria"/>
                <w:szCs w:val="22"/>
              </w:rPr>
              <w:t>LEQS Paper No. 61/2013</w:t>
            </w:r>
            <w:r w:rsidRPr="00655FA6">
              <w:rPr>
                <w:szCs w:val="22"/>
              </w:rPr>
              <w:t xml:space="preserve"> </w:t>
            </w:r>
            <w:hyperlink r:id="rId31" w:history="1">
              <w:r w:rsidRPr="00655FA6">
                <w:rPr>
                  <w:rStyle w:val="Hyperlink"/>
                  <w:szCs w:val="22"/>
                </w:rPr>
                <w:t>http://www.lse.ac.uk/europeanInstitute/LEQS/LEQSHome.aspx</w:t>
              </w:r>
            </w:hyperlink>
            <w:r w:rsidRPr="00655FA6">
              <w:rPr>
                <w:szCs w:val="22"/>
              </w:rPr>
              <w:t xml:space="preserve"> </w:t>
            </w:r>
          </w:p>
        </w:tc>
      </w:tr>
      <w:tr w:rsidR="009E7E2C" w:rsidRPr="00AC669A" w:rsidTr="00FC3740">
        <w:tc>
          <w:tcPr>
            <w:tcW w:w="9854" w:type="dxa"/>
          </w:tcPr>
          <w:p w:rsidR="009E7E2C" w:rsidRPr="00111A4B" w:rsidRDefault="009E7E2C" w:rsidP="00111A4B">
            <w:pPr>
              <w:rPr>
                <w:szCs w:val="22"/>
              </w:rPr>
            </w:pPr>
            <w:r w:rsidRPr="00111A4B">
              <w:rPr>
                <w:szCs w:val="22"/>
              </w:rPr>
              <w:t xml:space="preserve">Crespy, Amandine. 2013. ‘Deliberative Democracy and the Legitimacy of the European Union: A Reappraisal of Conflict’. </w:t>
            </w:r>
            <w:r w:rsidRPr="00111A4B">
              <w:rPr>
                <w:iCs/>
                <w:szCs w:val="22"/>
              </w:rPr>
              <w:t>Political Studies</w:t>
            </w:r>
            <w:r w:rsidRPr="00111A4B">
              <w:rPr>
                <w:szCs w:val="22"/>
              </w:rPr>
              <w:t xml:space="preserve">, August, n/a–n/a. doi:10.1111/1467-9248.12058. </w:t>
            </w:r>
            <w:hyperlink r:id="rId32" w:history="1">
              <w:r w:rsidRPr="00111A4B">
                <w:rPr>
                  <w:rStyle w:val="Hyperlink"/>
                  <w:szCs w:val="22"/>
                  <w:u w:val="none"/>
                </w:rPr>
                <w:t>http://onlinelibrary.wiley.com/doi/10.1111/1467-9248.12058/abstract</w:t>
              </w:r>
            </w:hyperlink>
            <w:r w:rsidRPr="00111A4B">
              <w:rPr>
                <w:szCs w:val="22"/>
              </w:rPr>
              <w:t xml:space="preserve"> </w:t>
            </w:r>
          </w:p>
        </w:tc>
      </w:tr>
      <w:tr w:rsidR="009E7E2C" w:rsidRPr="00AC669A" w:rsidTr="00FC3740">
        <w:tc>
          <w:tcPr>
            <w:tcW w:w="9854" w:type="dxa"/>
          </w:tcPr>
          <w:p w:rsidR="009E7E2C" w:rsidRPr="00111A4B" w:rsidRDefault="009E7E2C" w:rsidP="00111A4B">
            <w:pPr>
              <w:rPr>
                <w:szCs w:val="22"/>
              </w:rPr>
            </w:pPr>
            <w:r w:rsidRPr="00111A4B">
              <w:rPr>
                <w:szCs w:val="22"/>
              </w:rPr>
              <w:t xml:space="preserve">Crespy, Amandine. 2014. ‘“The Vanishing Promise of a More Social Europe: Public Services before and after the Eurocrisis”, Prepared for the Conference of the Council for European Studies, Washington DC, March 2014.’ Accessed March 31. </w:t>
            </w:r>
            <w:hyperlink r:id="rId33" w:history="1">
              <w:r w:rsidRPr="00111A4B">
                <w:rPr>
                  <w:rStyle w:val="Hyperlink"/>
                  <w:szCs w:val="22"/>
                  <w:u w:val="none"/>
                </w:rPr>
                <w:t>https://www.academia.edu/6317935/_The_Vanishing_Promise_of_a_more_social_Europe_public_services_before_and_after_the_Eurocrisis_prepared_for_the_Conference_of_the_Council_for_European_Studies_Washington_DC_March_2014</w:t>
              </w:r>
            </w:hyperlink>
          </w:p>
        </w:tc>
      </w:tr>
      <w:tr w:rsidR="009E7E2C" w:rsidRPr="00AC669A" w:rsidTr="007E6C75">
        <w:tc>
          <w:tcPr>
            <w:tcW w:w="9854" w:type="dxa"/>
          </w:tcPr>
          <w:p w:rsidR="009E7E2C" w:rsidRPr="00111A4B" w:rsidRDefault="009E7E2C" w:rsidP="00111A4B">
            <w:pPr>
              <w:rPr>
                <w:szCs w:val="22"/>
                <w:lang w:val="en"/>
              </w:rPr>
            </w:pPr>
            <w:r w:rsidRPr="00111A4B">
              <w:rPr>
                <w:bCs/>
                <w:szCs w:val="22"/>
                <w:lang w:val="en" w:eastAsia="en-US"/>
              </w:rPr>
              <w:t xml:space="preserve">De Grauwe P. and Ji Y. 2013 Panic-driven austerity in the Eurozone and its implications </w:t>
            </w:r>
            <w:hyperlink r:id="rId34" w:history="1">
              <w:r w:rsidRPr="00111A4B">
                <w:rPr>
                  <w:rStyle w:val="Hyperlink"/>
                  <w:bCs/>
                  <w:szCs w:val="22"/>
                  <w:u w:val="none"/>
                  <w:lang w:val="en" w:eastAsia="en-US"/>
                </w:rPr>
                <w:t>http://www.voxeu.org/article/panic-driven-austerity-eurozone-and-its-implications</w:t>
              </w:r>
            </w:hyperlink>
          </w:p>
        </w:tc>
      </w:tr>
      <w:tr w:rsidR="009E7E2C" w:rsidRPr="00AC669A" w:rsidTr="007E6C75">
        <w:tc>
          <w:tcPr>
            <w:tcW w:w="9854" w:type="dxa"/>
          </w:tcPr>
          <w:p w:rsidR="009E7E2C" w:rsidRPr="00111A4B" w:rsidRDefault="009E7E2C" w:rsidP="00111A4B">
            <w:pPr>
              <w:rPr>
                <w:szCs w:val="22"/>
              </w:rPr>
            </w:pPr>
            <w:r w:rsidRPr="00111A4B">
              <w:rPr>
                <w:szCs w:val="22"/>
              </w:rPr>
              <w:t>De Grauwe, Paul 2012 Economics of Monetary Union 9</w:t>
            </w:r>
            <w:r w:rsidRPr="00111A4B">
              <w:rPr>
                <w:szCs w:val="22"/>
                <w:vertAlign w:val="superscript"/>
              </w:rPr>
              <w:t>th</w:t>
            </w:r>
            <w:r w:rsidRPr="00111A4B">
              <w:rPr>
                <w:szCs w:val="22"/>
              </w:rPr>
              <w:t xml:space="preserve"> edition OUP 2012 </w:t>
            </w:r>
            <w:hyperlink r:id="rId35" w:history="1">
              <w:r w:rsidRPr="00111A4B">
                <w:rPr>
                  <w:rStyle w:val="Hyperlink"/>
                  <w:szCs w:val="22"/>
                  <w:u w:val="none"/>
                </w:rPr>
                <w:t>http://ukcatalogue.oup.com/product/9780199605576.do</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Drazen A. 2002 "Conditionality and Ownership in IMF Lending: A Political Economy Approach" IMF Staff Papers </w:t>
            </w:r>
            <w:hyperlink r:id="rId36" w:history="1">
              <w:r w:rsidRPr="00111A4B">
                <w:rPr>
                  <w:rStyle w:val="Hyperlink"/>
                  <w:szCs w:val="22"/>
                  <w:u w:val="none"/>
                </w:rPr>
                <w:t>http://econweb.umd.edu/~drazen/ConditionalityIMFStaff.pdf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lang w:eastAsia="en-US"/>
              </w:rPr>
            </w:pPr>
            <w:r w:rsidRPr="00111A4B">
              <w:rPr>
                <w:szCs w:val="22"/>
                <w:lang w:eastAsia="en-US"/>
              </w:rPr>
              <w:t xml:space="preserve">EIB 2013 The Europe 2020 Project Bond Initiative </w:t>
            </w:r>
            <w:hyperlink r:id="rId37" w:history="1">
              <w:r w:rsidRPr="00111A4B">
                <w:rPr>
                  <w:rStyle w:val="Hyperlink"/>
                  <w:szCs w:val="22"/>
                  <w:u w:val="none"/>
                  <w:lang w:eastAsia="en-US"/>
                </w:rPr>
                <w:t>http://www.eib.europa.eu/products/project-bonds/index.htm</w:t>
              </w:r>
            </w:hyperlink>
            <w:r w:rsidRPr="00111A4B">
              <w:rPr>
                <w:szCs w:val="22"/>
                <w:lang w:eastAsia="en-US"/>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Eichengreen  B. ed 2007  Europe’s post-war recovery. Cambridge University Press.</w:t>
            </w:r>
          </w:p>
        </w:tc>
      </w:tr>
      <w:tr w:rsidR="009E7E2C" w:rsidRPr="00EF28C8" w:rsidTr="007E6C75">
        <w:tc>
          <w:tcPr>
            <w:tcW w:w="9854" w:type="dxa"/>
          </w:tcPr>
          <w:p w:rsidR="009E7E2C" w:rsidRPr="00EF28C8" w:rsidRDefault="009E7E2C" w:rsidP="00111A4B">
            <w:pPr>
              <w:rPr>
                <w:szCs w:val="22"/>
              </w:rPr>
            </w:pPr>
            <w:r w:rsidRPr="00EF28C8">
              <w:rPr>
                <w:szCs w:val="22"/>
              </w:rPr>
              <w:t xml:space="preserve">EU 2010 EUROPE 2020: A strategy for smart, sustainable and inclusive growth march 2010 COM (2010) 2020 final  </w:t>
            </w:r>
            <w:hyperlink r:id="rId38" w:history="1">
              <w:r w:rsidRPr="00EF28C8">
                <w:rPr>
                  <w:rStyle w:val="Hyperlink"/>
                  <w:szCs w:val="22"/>
                </w:rPr>
                <w:t>http://eur-lex.europa.eu/LexUriServ/LexUriServ.do?uri=COM:2010:2020:FIN:EN:PDF</w:t>
              </w:r>
            </w:hyperlink>
          </w:p>
        </w:tc>
      </w:tr>
      <w:tr w:rsidR="009E7E2C" w:rsidRPr="00EF28C8" w:rsidTr="007E6C75">
        <w:tc>
          <w:tcPr>
            <w:tcW w:w="9854" w:type="dxa"/>
          </w:tcPr>
          <w:p w:rsidR="009E7E2C" w:rsidRPr="00EF28C8" w:rsidRDefault="009E7E2C" w:rsidP="00F279AA">
            <w:pPr>
              <w:pStyle w:val="Default"/>
              <w:rPr>
                <w:rFonts w:asciiTheme="minorHAnsi" w:hAnsiTheme="minorHAnsi"/>
              </w:rPr>
            </w:pPr>
            <w:r w:rsidRPr="00EF28C8">
              <w:rPr>
                <w:rFonts w:asciiTheme="minorHAnsi" w:hAnsiTheme="minorHAnsi"/>
                <w:sz w:val="22"/>
                <w:szCs w:val="22"/>
              </w:rPr>
              <w:t xml:space="preserve">EU </w:t>
            </w:r>
            <w:r w:rsidRPr="00941894">
              <w:rPr>
                <w:rFonts w:asciiTheme="minorHAnsi" w:hAnsiTheme="minorHAnsi"/>
                <w:sz w:val="22"/>
                <w:szCs w:val="22"/>
              </w:rPr>
              <w:t>201</w:t>
            </w:r>
            <w:r w:rsidRPr="00EF28C8">
              <w:rPr>
                <w:rFonts w:asciiTheme="minorHAnsi" w:hAnsiTheme="minorHAnsi"/>
                <w:sz w:val="22"/>
                <w:szCs w:val="22"/>
              </w:rPr>
              <w:t>2A</w:t>
            </w:r>
            <w:r w:rsidRPr="00941894">
              <w:rPr>
                <w:rFonts w:asciiTheme="minorHAnsi" w:hAnsiTheme="minorHAnsi"/>
                <w:sz w:val="22"/>
                <w:szCs w:val="22"/>
              </w:rPr>
              <w:t xml:space="preserve">. </w:t>
            </w:r>
            <w:r w:rsidRPr="00EF28C8">
              <w:rPr>
                <w:rFonts w:asciiTheme="minorHAnsi" w:hAnsiTheme="minorHAnsi"/>
                <w:sz w:val="22"/>
                <w:szCs w:val="22"/>
              </w:rPr>
              <w:t xml:space="preserve">  TREATY ON STABILITY, COORDINATION AND GOVERNANCE  </w:t>
            </w:r>
            <w:r w:rsidRPr="00941894">
              <w:rPr>
                <w:rFonts w:asciiTheme="minorHAnsi" w:hAnsiTheme="minorHAnsi"/>
                <w:sz w:val="22"/>
                <w:szCs w:val="22"/>
              </w:rPr>
              <w:t xml:space="preserve"> </w:t>
            </w:r>
            <w:hyperlink r:id="rId39" w:history="1">
              <w:r w:rsidRPr="00EF28C8">
                <w:rPr>
                  <w:rStyle w:val="Hyperlink"/>
                  <w:rFonts w:asciiTheme="minorHAnsi" w:hAnsiTheme="minorHAnsi"/>
                  <w:sz w:val="22"/>
                  <w:szCs w:val="22"/>
                </w:rPr>
                <w:t>http://european-council.europa.eu/media/639235/st00tscg26_en12.pdf</w:t>
              </w:r>
            </w:hyperlink>
            <w:r w:rsidRPr="00EF28C8">
              <w:rPr>
                <w:rFonts w:asciiTheme="minorHAnsi" w:hAnsiTheme="minorHAnsi"/>
                <w:sz w:val="22"/>
                <w:szCs w:val="22"/>
              </w:rPr>
              <w:t xml:space="preserve"> </w:t>
            </w:r>
          </w:p>
        </w:tc>
      </w:tr>
      <w:tr w:rsidR="009E7E2C" w:rsidRPr="00EF28C8" w:rsidTr="007E6C75">
        <w:tc>
          <w:tcPr>
            <w:tcW w:w="9854" w:type="dxa"/>
          </w:tcPr>
          <w:p w:rsidR="009E7E2C" w:rsidRPr="00EF28C8" w:rsidRDefault="009E7E2C" w:rsidP="00F279AA">
            <w:pPr>
              <w:rPr>
                <w:lang w:eastAsia="en-US"/>
              </w:rPr>
            </w:pPr>
            <w:r w:rsidRPr="00EF28C8">
              <w:rPr>
                <w:szCs w:val="22"/>
              </w:rPr>
              <w:t xml:space="preserve">EU 2012B Specifications on the implementation of the Stability and Growth Pact  3 Sept 2012  </w:t>
            </w:r>
            <w:hyperlink r:id="rId40" w:history="1">
              <w:r w:rsidRPr="00EF28C8">
                <w:rPr>
                  <w:rStyle w:val="Hyperlink"/>
                  <w:szCs w:val="22"/>
                </w:rPr>
                <w:t>http://ec.europa.eu/economy_finance/economic_governance/sgp/pdf/coc/code_of_conduct_en.pdf</w:t>
              </w:r>
            </w:hyperlink>
            <w:r w:rsidRPr="00EF28C8">
              <w:rPr>
                <w:szCs w:val="22"/>
              </w:rPr>
              <w:t xml:space="preserve"> </w:t>
            </w:r>
          </w:p>
        </w:tc>
      </w:tr>
      <w:tr w:rsidR="009E7E2C" w:rsidRPr="00EF28C8" w:rsidTr="007E6C75">
        <w:tc>
          <w:tcPr>
            <w:tcW w:w="9854" w:type="dxa"/>
          </w:tcPr>
          <w:p w:rsidR="009E7E2C" w:rsidRPr="00EF28C8" w:rsidRDefault="009E7E2C" w:rsidP="00F279AA">
            <w:pPr>
              <w:rPr>
                <w:szCs w:val="22"/>
                <w:lang w:eastAsia="en-US"/>
              </w:rPr>
            </w:pPr>
            <w:r w:rsidRPr="00EF28C8">
              <w:rPr>
                <w:szCs w:val="22"/>
                <w:lang w:eastAsia="en-US"/>
              </w:rPr>
              <w:t xml:space="preserve">EU 2012C The 2012 Ageing Report Economic and Budgetary Projections for the 27 EU Member States 2010 2060 - Ee-2012-2_en.pdf’. 2014. Accessed April 6. </w:t>
            </w:r>
            <w:hyperlink r:id="rId41" w:history="1">
              <w:r w:rsidRPr="00EF28C8">
                <w:rPr>
                  <w:rStyle w:val="Hyperlink"/>
                  <w:szCs w:val="22"/>
                  <w:lang w:eastAsia="en-US"/>
                </w:rPr>
                <w:t>http://ec.europa.eu/economy_finance/publications/european_economy/2012/pdf/ee-2012-2_en.pdf</w:t>
              </w:r>
            </w:hyperlink>
          </w:p>
        </w:tc>
      </w:tr>
      <w:tr w:rsidR="0010598C" w:rsidRPr="00EF28C8" w:rsidTr="007E6C75">
        <w:tc>
          <w:tcPr>
            <w:tcW w:w="9854" w:type="dxa"/>
          </w:tcPr>
          <w:p w:rsidR="0010598C" w:rsidRDefault="0010598C" w:rsidP="00111A4B">
            <w:pPr>
              <w:rPr>
                <w:szCs w:val="22"/>
                <w:lang w:eastAsia="en-US"/>
              </w:rPr>
            </w:pPr>
            <w:r>
              <w:rPr>
                <w:szCs w:val="22"/>
                <w:lang w:eastAsia="en-US"/>
              </w:rPr>
              <w:t xml:space="preserve">EU 2012D </w:t>
            </w:r>
            <w:r>
              <w:t xml:space="preserve">Treaty establishing the European Stability Mechanism (ESM) 2012 </w:t>
            </w:r>
            <w:hyperlink r:id="rId42" w:history="1">
              <w:r w:rsidRPr="003161A9">
                <w:rPr>
                  <w:rStyle w:val="Hyperlink"/>
                </w:rPr>
                <w:t>http://www.european-council.europa.eu/media/582311/05-tesm2.en12.pdf</w:t>
              </w:r>
            </w:hyperlink>
            <w:r>
              <w:t xml:space="preserve"> </w:t>
            </w:r>
          </w:p>
        </w:tc>
      </w:tr>
      <w:tr w:rsidR="009E7E2C" w:rsidRPr="00EF28C8" w:rsidTr="007E6C75">
        <w:tc>
          <w:tcPr>
            <w:tcW w:w="9854" w:type="dxa"/>
          </w:tcPr>
          <w:p w:rsidR="00E811F9" w:rsidRDefault="00E811F9" w:rsidP="00111A4B">
            <w:r>
              <w:rPr>
                <w:szCs w:val="22"/>
                <w:lang w:eastAsia="en-US"/>
              </w:rPr>
              <w:t xml:space="preserve">EU 2013A  </w:t>
            </w:r>
            <w:r>
              <w:t>The EU's economic governance explained</w:t>
            </w:r>
            <w:r>
              <w:rPr>
                <w:szCs w:val="22"/>
                <w:lang w:eastAsia="en-US"/>
              </w:rPr>
              <w:t xml:space="preserve">  </w:t>
            </w:r>
            <w:r>
              <w:t xml:space="preserve">MEMO/13/979   12/11/2013 </w:t>
            </w:r>
            <w:hyperlink r:id="rId43" w:history="1">
              <w:r w:rsidRPr="00711B6B">
                <w:rPr>
                  <w:rStyle w:val="Hyperlink"/>
                </w:rPr>
                <w:t>http://europa.eu/rapid/press-release_MEMO-13-979_en.htm</w:t>
              </w:r>
            </w:hyperlink>
            <w:r>
              <w:t xml:space="preserve"> </w:t>
            </w:r>
          </w:p>
          <w:p w:rsidR="00E811F9" w:rsidRDefault="00E811F9" w:rsidP="00111A4B"/>
          <w:p w:rsidR="009E7E2C" w:rsidRPr="00EF28C8" w:rsidRDefault="009E7E2C" w:rsidP="00111A4B">
            <w:r w:rsidRPr="00EF28C8">
              <w:t>The ‘six-pack’ includes:</w:t>
            </w:r>
          </w:p>
          <w:p w:rsidR="009E7E2C" w:rsidRPr="00EF28C8" w:rsidRDefault="009E7E2C" w:rsidP="00111A4B"/>
          <w:p w:rsidR="009E7E2C" w:rsidRPr="00EF28C8" w:rsidRDefault="009E7E2C" w:rsidP="00111A4B">
            <w:r w:rsidRPr="00EF28C8">
              <w:t>Council Directive 2011/85/EU</w:t>
            </w:r>
            <w:r w:rsidRPr="00EF28C8">
              <w:rPr>
                <w:noProof/>
                <w:color w:val="0000FF"/>
              </w:rPr>
              <w:drawing>
                <wp:inline distT="0" distB="0" distL="0" distR="0" wp14:anchorId="18EA0FEF" wp14:editId="66720A7B">
                  <wp:extent cx="152400" cy="152400"/>
                  <wp:effectExtent l="0" t="0" r="0" b="0"/>
                  <wp:docPr id="5" name="Picture 5" descr="pdf">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df">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EF28C8">
              <w:t xml:space="preserve"> of 8 November 2011 on requirements for budgetary frameworks of the Member States </w:t>
            </w:r>
            <w:hyperlink r:id="rId46" w:history="1">
              <w:r w:rsidRPr="00EF28C8">
                <w:rPr>
                  <w:rStyle w:val="Hyperlink"/>
                </w:rPr>
                <w:t>http://eur-lex.europa.eu/LexUriServ/LexUriServ.do?uri=OJ:L:2011:306:0041:0047:EN:PDF</w:t>
              </w:r>
            </w:hyperlink>
            <w:r w:rsidRPr="00EF28C8">
              <w:t xml:space="preserve">  </w:t>
            </w:r>
          </w:p>
          <w:p w:rsidR="009E7E2C" w:rsidRPr="00EF28C8" w:rsidRDefault="009E7E2C" w:rsidP="00111A4B"/>
          <w:p w:rsidR="009E7E2C" w:rsidRDefault="009E7E2C" w:rsidP="00111A4B">
            <w:r>
              <w:t xml:space="preserve">And </w:t>
            </w:r>
            <w:r w:rsidRPr="00EF28C8">
              <w:t>the following regulations:</w:t>
            </w:r>
          </w:p>
          <w:p w:rsidR="009E7E2C" w:rsidRPr="00EF28C8" w:rsidRDefault="009E7E2C" w:rsidP="00111A4B"/>
          <w:p w:rsidR="009E7E2C" w:rsidRPr="00EF28C8" w:rsidRDefault="009E7E2C" w:rsidP="00FC72E0">
            <w:r w:rsidRPr="00EF28C8">
              <w:t xml:space="preserve">  </w:t>
            </w:r>
            <w:hyperlink r:id="rId47" w:history="1">
              <w:r w:rsidRPr="00EF28C8">
                <w:rPr>
                  <w:rStyle w:val="Hyperlink"/>
                </w:rPr>
                <w:t>Regulation (EU) No 473/2013</w:t>
              </w:r>
            </w:hyperlink>
            <w:r w:rsidRPr="00EF28C8">
              <w:t xml:space="preserve"> of the European Parliament and of the Council of 21 May 2013 on common provisions for monitoring and assessing draft budgetary plans and ensuring the correction of excessive deficit of the Member States in the euro area </w:t>
            </w:r>
          </w:p>
          <w:p w:rsidR="009E7E2C" w:rsidRPr="00EF28C8" w:rsidRDefault="009E7E2C" w:rsidP="00FC72E0">
            <w:r w:rsidRPr="00EF28C8">
              <w:t xml:space="preserve">  </w:t>
            </w:r>
            <w:hyperlink r:id="rId48" w:history="1">
              <w:r w:rsidRPr="00EF28C8">
                <w:rPr>
                  <w:rStyle w:val="Hyperlink"/>
                </w:rPr>
                <w:t>Regulation (EU) No 472/2013</w:t>
              </w:r>
            </w:hyperlink>
            <w:r w:rsidRPr="00EF28C8">
              <w:t xml:space="preserve"> of the European Parliament and of the Council of 21 May 2013 on the strengthening of economic and budgetary surveillance of Member States in the euro area experiencing or threatened with serious difficulties with respect to their financial stability </w:t>
            </w:r>
          </w:p>
          <w:p w:rsidR="009E7E2C" w:rsidRPr="00EF28C8" w:rsidRDefault="009E7E2C" w:rsidP="00FC72E0">
            <w:r w:rsidRPr="00EF28C8">
              <w:t xml:space="preserve">  </w:t>
            </w:r>
            <w:hyperlink r:id="rId49" w:history="1">
              <w:r w:rsidRPr="00EF28C8">
                <w:rPr>
                  <w:rStyle w:val="Hyperlink"/>
                </w:rPr>
                <w:t>Council Regulation (EU) No 1177/2011</w:t>
              </w:r>
            </w:hyperlink>
            <w:r w:rsidRPr="00EF28C8">
              <w:t xml:space="preserve"> of 8 November 2011 amending Regulation (EC) No 1467/97 on speeding up and clarifying the implementation of the excessive deficit procedure </w:t>
            </w:r>
          </w:p>
          <w:p w:rsidR="009E7E2C" w:rsidRPr="00EF28C8" w:rsidRDefault="009E7E2C" w:rsidP="00FC72E0">
            <w:r w:rsidRPr="00EF28C8">
              <w:t xml:space="preserve">  </w:t>
            </w:r>
            <w:hyperlink r:id="rId50" w:history="1">
              <w:r w:rsidRPr="00EF28C8">
                <w:rPr>
                  <w:rStyle w:val="Hyperlink"/>
                </w:rPr>
                <w:t>Regulation (EU) No 1176/2011</w:t>
              </w:r>
            </w:hyperlink>
            <w:r w:rsidRPr="00EF28C8">
              <w:t xml:space="preserve"> of the European Parliament and of the Council of 16 November 2011 on the prevention and correction of macroeconomic imbalances </w:t>
            </w:r>
          </w:p>
          <w:p w:rsidR="009E7E2C" w:rsidRPr="00EF28C8" w:rsidRDefault="009E7E2C" w:rsidP="00FC72E0">
            <w:r w:rsidRPr="00EF28C8">
              <w:t xml:space="preserve">  </w:t>
            </w:r>
            <w:hyperlink r:id="rId51" w:history="1">
              <w:r w:rsidRPr="00EF28C8">
                <w:rPr>
                  <w:rStyle w:val="Hyperlink"/>
                </w:rPr>
                <w:t>Regulation (EU) No 1175/2011</w:t>
              </w:r>
            </w:hyperlink>
            <w:r w:rsidRPr="00EF28C8">
              <w:t xml:space="preserve"> of the European Parliament and of the Council of 16 November 2011 amending Council Regulation (EC) No 1466/97 on the strengthening of the surveillance of budgetary positions and the surveillance and coordination of economic policies </w:t>
            </w:r>
          </w:p>
          <w:p w:rsidR="009E7E2C" w:rsidRPr="00EF28C8" w:rsidRDefault="009E7E2C" w:rsidP="00FC72E0">
            <w:r w:rsidRPr="00EF28C8">
              <w:t xml:space="preserve">  </w:t>
            </w:r>
            <w:hyperlink r:id="rId52" w:history="1">
              <w:r w:rsidRPr="00EF28C8">
                <w:rPr>
                  <w:rStyle w:val="Hyperlink"/>
                </w:rPr>
                <w:t>Regulation (EU) No 1174/2011</w:t>
              </w:r>
            </w:hyperlink>
            <w:r w:rsidRPr="00EF28C8">
              <w:t xml:space="preserve"> of the European Parliament and of the Council of 16 November 2011 on enforcement measures to correct excessive macroeconomic imbalances in the euro area </w:t>
            </w:r>
          </w:p>
          <w:p w:rsidR="009E7E2C" w:rsidRPr="00EF28C8" w:rsidRDefault="009E7E2C" w:rsidP="00EF28C8">
            <w:pPr>
              <w:rPr>
                <w:szCs w:val="22"/>
                <w:lang w:eastAsia="en-US"/>
              </w:rPr>
            </w:pPr>
            <w:r w:rsidRPr="00EF28C8">
              <w:t xml:space="preserve">  </w:t>
            </w:r>
            <w:hyperlink r:id="rId53" w:history="1">
              <w:r w:rsidRPr="00EF28C8">
                <w:rPr>
                  <w:rStyle w:val="Hyperlink"/>
                </w:rPr>
                <w:t>Regulation (EU) No 1173/2011</w:t>
              </w:r>
            </w:hyperlink>
            <w:r w:rsidRPr="00EF28C8">
              <w:t xml:space="preserve"> of the European Parliament and of the Council of 16 November 2011 on the effective enforcement of budgetary surveillance in the euro area</w:t>
            </w:r>
          </w:p>
        </w:tc>
      </w:tr>
      <w:tr w:rsidR="00E811F9" w:rsidRPr="00E811F9" w:rsidTr="00963F76">
        <w:tc>
          <w:tcPr>
            <w:tcW w:w="9854" w:type="dxa"/>
          </w:tcPr>
          <w:p w:rsidR="00E811F9" w:rsidRPr="00E811F9" w:rsidRDefault="00E811F9" w:rsidP="00E811F9">
            <w:pPr>
              <w:rPr>
                <w:szCs w:val="22"/>
                <w:lang w:eastAsia="en-US"/>
              </w:rPr>
            </w:pPr>
            <w:r w:rsidRPr="00E811F9">
              <w:rPr>
                <w:szCs w:val="22"/>
              </w:rPr>
              <w:t xml:space="preserve">EU 2013B </w:t>
            </w:r>
            <w:r w:rsidRPr="00E811F9">
              <w:t xml:space="preserve">State Aid Scoreboard 2013 &gt; Aid in the context of the financial and economic crisis </w:t>
            </w:r>
            <w:hyperlink r:id="rId54" w:history="1">
              <w:r w:rsidRPr="00E811F9">
                <w:rPr>
                  <w:rStyle w:val="Hyperlink"/>
                </w:rPr>
                <w:t>http://ec.europa.eu/competition/state_aid/scoreboard/financial_economic_crisis_aid_en.html</w:t>
              </w:r>
            </w:hyperlink>
            <w:r w:rsidRPr="00E811F9">
              <w:t xml:space="preserve"> </w:t>
            </w:r>
          </w:p>
        </w:tc>
      </w:tr>
      <w:tr w:rsidR="009E7E2C" w:rsidRPr="00AC669A" w:rsidTr="007E6C75">
        <w:tc>
          <w:tcPr>
            <w:tcW w:w="9854" w:type="dxa"/>
          </w:tcPr>
          <w:p w:rsidR="009E7E2C" w:rsidRPr="00111A4B" w:rsidRDefault="009E7E2C" w:rsidP="00EF28C8">
            <w:pPr>
              <w:rPr>
                <w:szCs w:val="22"/>
                <w:lang w:eastAsia="en-US"/>
              </w:rPr>
            </w:pPr>
            <w:r w:rsidRPr="00EF28C8">
              <w:t xml:space="preserve">EU 2014A  Results of in-depth reviews under Regulation (EU) No 1176/2011 on the prevention and correction of macroeconomic imbalances March 2014.  COM(2014) 150 Accessed April 3. </w:t>
            </w:r>
            <w:hyperlink r:id="rId55" w:history="1">
              <w:r w:rsidRPr="00EF28C8">
                <w:rPr>
                  <w:rStyle w:val="Hyperlink"/>
                </w:rPr>
                <w:t>http://ec.europa.eu/economy_finance/economic_governance/documents/2014-03-05_in-depth_reviews_communication_en.pdf</w:t>
              </w:r>
            </w:hyperlink>
            <w:r w:rsidRPr="00EF28C8">
              <w:t xml:space="preserve"> </w:t>
            </w:r>
          </w:p>
        </w:tc>
      </w:tr>
      <w:tr w:rsidR="009E7E2C" w:rsidRPr="00AC669A" w:rsidTr="007E6C75">
        <w:tc>
          <w:tcPr>
            <w:tcW w:w="9854" w:type="dxa"/>
          </w:tcPr>
          <w:p w:rsidR="009E7E2C" w:rsidRPr="00111A4B" w:rsidRDefault="009E7E2C" w:rsidP="00111A4B">
            <w:pPr>
              <w:rPr>
                <w:szCs w:val="22"/>
                <w:lang w:eastAsia="en-US"/>
              </w:rPr>
            </w:pPr>
            <w:r w:rsidRPr="00111A4B">
              <w:rPr>
                <w:szCs w:val="22"/>
                <w:lang w:eastAsia="en-US"/>
              </w:rPr>
              <w:t xml:space="preserve">Eurodad 2014 Conditionally yours. </w:t>
            </w:r>
            <w:hyperlink r:id="rId56" w:tgtFrame="_blank" w:history="1">
              <w:r w:rsidRPr="00111A4B">
                <w:rPr>
                  <w:rStyle w:val="Hyperlink"/>
                  <w:szCs w:val="22"/>
                  <w:u w:val="none"/>
                  <w:lang w:val="en-CA" w:eastAsia="en-US"/>
                </w:rPr>
                <w:t>http://eurodad.org/files/pdf/533bd19646b20.pdf</w:t>
              </w:r>
            </w:hyperlink>
          </w:p>
        </w:tc>
      </w:tr>
      <w:tr w:rsidR="009E7E2C" w:rsidRPr="00AC669A" w:rsidTr="007E6C75">
        <w:tc>
          <w:tcPr>
            <w:tcW w:w="9854" w:type="dxa"/>
          </w:tcPr>
          <w:p w:rsidR="009E7E2C" w:rsidRPr="00111A4B" w:rsidRDefault="009E7E2C" w:rsidP="00111A4B">
            <w:pPr>
              <w:rPr>
                <w:rStyle w:val="Hyperlink"/>
                <w:szCs w:val="22"/>
                <w:u w:val="none"/>
              </w:rPr>
            </w:pPr>
            <w:r w:rsidRPr="00111A4B">
              <w:rPr>
                <w:szCs w:val="22"/>
              </w:rPr>
              <w:t xml:space="preserve">European Commission 2012 Report on Public Finances in EMU 2012, European economy series 4/2012 </w:t>
            </w:r>
            <w:hyperlink r:id="rId57" w:history="1">
              <w:r w:rsidRPr="00111A4B">
                <w:rPr>
                  <w:rStyle w:val="Hyperlink"/>
                  <w:szCs w:val="22"/>
                  <w:u w:val="none"/>
                </w:rPr>
                <w:t>http://ec.europa.eu/economy_finance/publications/european_economy/2012/pdf/ee-2012-4.pdf</w:t>
              </w:r>
            </w:hyperlink>
          </w:p>
        </w:tc>
      </w:tr>
      <w:tr w:rsidR="009E7E2C" w:rsidRPr="00AC669A" w:rsidTr="007E6C75">
        <w:tc>
          <w:tcPr>
            <w:tcW w:w="9854" w:type="dxa"/>
          </w:tcPr>
          <w:p w:rsidR="009E7E2C" w:rsidRPr="00111A4B" w:rsidRDefault="009E7E2C" w:rsidP="00111A4B">
            <w:pPr>
              <w:rPr>
                <w:szCs w:val="22"/>
              </w:rPr>
            </w:pPr>
            <w:r w:rsidRPr="00111A4B">
              <w:rPr>
                <w:szCs w:val="22"/>
              </w:rPr>
              <w:t>European Commission 201</w:t>
            </w:r>
            <w:r>
              <w:rPr>
                <w:szCs w:val="22"/>
              </w:rPr>
              <w:t>3 Public Fi</w:t>
            </w:r>
            <w:r w:rsidRPr="00111A4B">
              <w:rPr>
                <w:szCs w:val="22"/>
              </w:rPr>
              <w:t>n</w:t>
            </w:r>
            <w:r>
              <w:rPr>
                <w:szCs w:val="22"/>
              </w:rPr>
              <w:t>a</w:t>
            </w:r>
            <w:r w:rsidRPr="00111A4B">
              <w:rPr>
                <w:szCs w:val="22"/>
              </w:rPr>
              <w:t xml:space="preserve">nce Sustainability </w:t>
            </w:r>
            <w:hyperlink r:id="rId58" w:history="1">
              <w:r w:rsidRPr="00111A4B">
                <w:rPr>
                  <w:rStyle w:val="Hyperlink"/>
                  <w:szCs w:val="22"/>
                  <w:u w:val="none"/>
                </w:rPr>
                <w:t>http://ec.europa.eu/europe2020/pdf/themes/03_public_finance_sustainability.pdf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European Commission 2014 Commission Concludes in-Depth Reviews to Identify Macroeconomic Imbalances and Assesses Progress in Fiscal Consolidation’. 2014. Accessed March 31. </w:t>
            </w:r>
            <w:hyperlink r:id="rId59" w:history="1">
              <w:r w:rsidRPr="00111A4B">
                <w:rPr>
                  <w:rStyle w:val="Hyperlink"/>
                  <w:szCs w:val="22"/>
                  <w:u w:val="none"/>
                </w:rPr>
                <w:t>http://europa.eu/rapid/press-release_IP-14-216_en.htm</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lang w:eastAsia="en-US"/>
              </w:rPr>
            </w:pPr>
            <w:r w:rsidRPr="00111A4B">
              <w:rPr>
                <w:szCs w:val="22"/>
                <w:lang w:eastAsia="en-US"/>
              </w:rPr>
              <w:t xml:space="preserve">Fabbrini, Federico. 2013. ‘THE FISCAL COMPACT, THE“ GOLDEN RULE,” AND THE PARADOX OF EUROPEAN FEDERALISM.’ </w:t>
            </w:r>
            <w:r w:rsidRPr="00111A4B">
              <w:rPr>
                <w:iCs/>
                <w:szCs w:val="22"/>
                <w:lang w:eastAsia="en-US"/>
              </w:rPr>
              <w:t>Boston College International &amp; Comparative Law Review</w:t>
            </w:r>
            <w:r w:rsidRPr="00111A4B">
              <w:rPr>
                <w:szCs w:val="22"/>
                <w:lang w:eastAsia="en-US"/>
              </w:rPr>
              <w:t xml:space="preserve"> 36 (1). </w:t>
            </w:r>
            <w:hyperlink r:id="rId60" w:history="1">
              <w:r w:rsidRPr="00111A4B">
                <w:rPr>
                  <w:rStyle w:val="Hyperlink"/>
                  <w:szCs w:val="22"/>
                  <w:u w:val="none"/>
                  <w:lang w:eastAsia="en-US"/>
                </w:rPr>
                <w:t>http://federalismo.sspa.it/wp-content/uploads/Fiscal_Compact_Fabbrini.pdf</w:t>
              </w:r>
            </w:hyperlink>
            <w:r w:rsidRPr="00111A4B">
              <w:rPr>
                <w:szCs w:val="22"/>
                <w:lang w:eastAsia="en-US"/>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Giannone D.,  Lenza M. and Reichlin L. 2010 Market freedom and the global recession OECD  </w:t>
            </w:r>
            <w:hyperlink r:id="rId61" w:history="1">
              <w:r w:rsidRPr="00111A4B">
                <w:rPr>
                  <w:rStyle w:val="Hyperlink"/>
                  <w:szCs w:val="22"/>
                  <w:u w:val="none"/>
                </w:rPr>
                <w:t>http://www.oecd.org/economy/productivityandlongtermgrowth/46418753.pdf</w:t>
              </w:r>
            </w:hyperlink>
            <w:r w:rsidRPr="00111A4B">
              <w:rPr>
                <w:szCs w:val="22"/>
              </w:rPr>
              <w:t xml:space="preserve">  </w:t>
            </w:r>
          </w:p>
        </w:tc>
      </w:tr>
      <w:tr w:rsidR="00075831" w:rsidRPr="00075831" w:rsidTr="007E6C75">
        <w:tc>
          <w:tcPr>
            <w:tcW w:w="9854" w:type="dxa"/>
          </w:tcPr>
          <w:p w:rsidR="00075831" w:rsidRPr="00075831" w:rsidRDefault="00075831" w:rsidP="00075831">
            <w:pPr>
              <w:rPr>
                <w:szCs w:val="22"/>
              </w:rPr>
            </w:pPr>
            <w:r w:rsidRPr="00075831">
              <w:rPr>
                <w:szCs w:val="22"/>
              </w:rPr>
              <w:t xml:space="preserve">Guardian 2012 </w:t>
            </w:r>
            <w:r w:rsidRPr="00075831">
              <w:t xml:space="preserve">Germany to set the terms for saving the euro 31 January 2012 </w:t>
            </w:r>
            <w:hyperlink r:id="rId62" w:history="1">
              <w:r w:rsidRPr="00075831">
                <w:rPr>
                  <w:rStyle w:val="Hyperlink"/>
                </w:rPr>
                <w:t>http://www.theguardian.com/business/2012/jan/30/eu-summit-eurozone-treaty-deal</w:t>
              </w:r>
            </w:hyperlink>
            <w:r w:rsidRPr="00075831">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IMF 2003 </w:t>
            </w:r>
            <w:r w:rsidRPr="00111A4B">
              <w:rPr>
                <w:bCs/>
                <w:color w:val="292526"/>
                <w:szCs w:val="22"/>
              </w:rPr>
              <w:t xml:space="preserve">Fiscal Adjustment in IMF-Supported Programs </w:t>
            </w:r>
            <w:hyperlink r:id="rId63" w:history="1">
              <w:r w:rsidRPr="00111A4B">
                <w:rPr>
                  <w:rStyle w:val="Hyperlink"/>
                  <w:iCs/>
                  <w:szCs w:val="22"/>
                  <w:u w:val="none"/>
                </w:rPr>
                <w:t>www.ieo-imf.org/ieo/files/completedevaluations/09092003main.pdf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IMF 2009 Fiscal multipliers  </w:t>
            </w:r>
            <w:hyperlink r:id="rId64" w:history="1">
              <w:r w:rsidRPr="00111A4B">
                <w:rPr>
                  <w:rStyle w:val="Hyperlink"/>
                  <w:szCs w:val="22"/>
                  <w:u w:val="none"/>
                </w:rPr>
                <w:t>http://www.imf.org/external/pubs/ft/spn/2009/spn0911.pdf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IMF 2010 ‘From Stimulus to Consolidation: Revenue and Expenditure Policies in Advanced and Emerging Economies’ April 30, 2010 </w:t>
            </w:r>
            <w:hyperlink r:id="rId65" w:history="1">
              <w:r w:rsidRPr="00111A4B">
                <w:rPr>
                  <w:rStyle w:val="Hyperlink"/>
                  <w:szCs w:val="22"/>
                  <w:u w:val="none"/>
                </w:rPr>
                <w:t>www.imf.org/external/np/pp/eng/2010/043010a.pdf</w:t>
              </w:r>
            </w:hyperlink>
          </w:p>
        </w:tc>
      </w:tr>
      <w:tr w:rsidR="009E7E2C" w:rsidRPr="00195BFD" w:rsidTr="007E6C75">
        <w:tc>
          <w:tcPr>
            <w:tcW w:w="9854" w:type="dxa"/>
          </w:tcPr>
          <w:p w:rsidR="009E7E2C" w:rsidRPr="00111A4B" w:rsidRDefault="009E7E2C" w:rsidP="00111A4B">
            <w:pPr>
              <w:rPr>
                <w:szCs w:val="22"/>
                <w:lang w:val="es-ES_tradnl"/>
              </w:rPr>
            </w:pPr>
            <w:r w:rsidRPr="00111A4B">
              <w:rPr>
                <w:szCs w:val="22"/>
              </w:rPr>
              <w:t xml:space="preserve">IMF 2011 The Economic Crisis: Did Financial Supervision Matter?  </w:t>
            </w:r>
            <w:r w:rsidRPr="00111A4B">
              <w:rPr>
                <w:szCs w:val="22"/>
                <w:lang w:val="it-IT"/>
              </w:rPr>
              <w:t xml:space="preserve">Donato Masciandaro, Rosaria Vega Pansini, Marc Quinty  IMF  </w:t>
            </w:r>
            <w:r w:rsidRPr="00111A4B">
              <w:rPr>
                <w:szCs w:val="22"/>
                <w:lang w:val="es-ES_tradnl"/>
              </w:rPr>
              <w:t xml:space="preserve">WP 11/261 </w:t>
            </w:r>
            <w:hyperlink r:id="rId66" w:history="1">
              <w:r w:rsidRPr="00111A4B">
                <w:rPr>
                  <w:rStyle w:val="Hyperlink"/>
                  <w:szCs w:val="22"/>
                  <w:u w:val="none"/>
                  <w:lang w:val="es-ES_tradnl"/>
                </w:rPr>
                <w:t>http://www.imf.org/external/pubs/ft/wp/2011/wp11261.pdf</w:t>
              </w:r>
            </w:hyperlink>
            <w:r w:rsidRPr="00111A4B">
              <w:rPr>
                <w:szCs w:val="22"/>
                <w:lang w:val="es-ES_tradnl"/>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IMF 2012a  “Successful Austerity in the United States, Europe and Japan”. IMF WP12/190 </w:t>
            </w:r>
            <w:hyperlink r:id="rId67" w:history="1">
              <w:r w:rsidRPr="00111A4B">
                <w:rPr>
                  <w:rStyle w:val="Hyperlink"/>
                  <w:szCs w:val="22"/>
                  <w:u w:val="none"/>
                </w:rPr>
                <w:t>http://www.imf.org/external/pubs/ft/wp/2012/wp12190.pdf</w:t>
              </w:r>
            </w:hyperlink>
            <w:r w:rsidRPr="00111A4B">
              <w:rPr>
                <w:szCs w:val="22"/>
              </w:rPr>
              <w:t xml:space="preserve"> </w:t>
            </w:r>
          </w:p>
        </w:tc>
      </w:tr>
      <w:tr w:rsidR="009E7E2C" w:rsidRPr="00AC669A" w:rsidTr="007E6C75">
        <w:tc>
          <w:tcPr>
            <w:tcW w:w="9854" w:type="dxa"/>
          </w:tcPr>
          <w:p w:rsidR="009E7E2C" w:rsidRPr="00111A4B" w:rsidRDefault="009E7E2C" w:rsidP="00111A4B">
            <w:pPr>
              <w:rPr>
                <w:rStyle w:val="Hyperlink"/>
                <w:szCs w:val="22"/>
                <w:u w:val="none"/>
              </w:rPr>
            </w:pPr>
            <w:r w:rsidRPr="00111A4B">
              <w:rPr>
                <w:szCs w:val="22"/>
              </w:rPr>
              <w:t xml:space="preserve">IMF 2012b World Economic Outlook October 2012  </w:t>
            </w:r>
            <w:hyperlink r:id="rId68" w:history="1">
              <w:r w:rsidRPr="00111A4B">
                <w:rPr>
                  <w:rStyle w:val="Hyperlink"/>
                  <w:szCs w:val="22"/>
                  <w:u w:val="none"/>
                </w:rPr>
                <w:t>http://www.imf.org/external/pubs/ft/weo/2012/02/pdf/text.pdf</w:t>
              </w:r>
            </w:hyperlink>
          </w:p>
        </w:tc>
      </w:tr>
      <w:tr w:rsidR="009E7E2C" w:rsidRPr="00AC669A" w:rsidTr="007E6C75">
        <w:tc>
          <w:tcPr>
            <w:tcW w:w="9854" w:type="dxa"/>
          </w:tcPr>
          <w:p w:rsidR="009E7E2C" w:rsidRPr="00111A4B" w:rsidRDefault="009E7E2C" w:rsidP="00111A4B">
            <w:pPr>
              <w:rPr>
                <w:szCs w:val="22"/>
              </w:rPr>
            </w:pPr>
            <w:r w:rsidRPr="00111A4B">
              <w:rPr>
                <w:szCs w:val="22"/>
              </w:rPr>
              <w:t xml:space="preserve">JP Morgan. 2013. ‘The Euro Area Adjustment: About Halfway There’. </w:t>
            </w:r>
            <w:hyperlink r:id="rId69" w:history="1">
              <w:r w:rsidRPr="00111A4B">
                <w:rPr>
                  <w:rStyle w:val="Hyperlink"/>
                  <w:szCs w:val="22"/>
                  <w:u w:val="none"/>
                </w:rPr>
                <w:t>https://11740092596917189242.googlegroups.com/attach/243626285e18f68b/JPM-the-euro-area-adjustment--about-halfway-there.pdf?part=7&amp;vt=ANaJVrG2WGC_YZQfaQXY7PeR28q3XCWQFXiOlyP7FtL81IFFYTx9nRhv8FLQAMwGy9B4_Nq5ZCR738qsPF1-LI6OccRFEfijGnIQpBHSSNJv1SHRZ_0paUI</w:t>
              </w:r>
            </w:hyperlink>
            <w:r w:rsidRPr="00111A4B">
              <w:rPr>
                <w:szCs w:val="22"/>
              </w:rPr>
              <w:t xml:space="preserve"> ; see also </w:t>
            </w:r>
            <w:hyperlink r:id="rId70" w:history="1">
              <w:r w:rsidRPr="00111A4B">
                <w:rPr>
                  <w:rStyle w:val="Hyperlink"/>
                  <w:szCs w:val="22"/>
                  <w:u w:val="none"/>
                </w:rPr>
                <w:t>http://blogs.euobserver.com/phillips/2013/06/07/jp-morgan-to-eurozone-periphery-get-rid-of-your-pinko-anti-fascist-constitutions/</w:t>
              </w:r>
            </w:hyperlink>
          </w:p>
        </w:tc>
      </w:tr>
      <w:tr w:rsidR="009E7E2C" w:rsidRPr="00AC669A" w:rsidTr="007E6C75">
        <w:tc>
          <w:tcPr>
            <w:tcW w:w="9854" w:type="dxa"/>
          </w:tcPr>
          <w:p w:rsidR="009E7E2C" w:rsidRPr="00111A4B" w:rsidRDefault="009E7E2C" w:rsidP="00111A4B">
            <w:pPr>
              <w:rPr>
                <w:szCs w:val="22"/>
                <w:lang w:eastAsia="en-US"/>
              </w:rPr>
            </w:pPr>
            <w:r w:rsidRPr="00111A4B">
              <w:rPr>
                <w:szCs w:val="22"/>
                <w:lang w:eastAsia="en-US"/>
              </w:rPr>
              <w:t xml:space="preserve">Klein, J. 2003. ‘„The Battle for Rule of Law in Thailand. The Constitutional Court of Thailand‟’. </w:t>
            </w:r>
            <w:r w:rsidRPr="00111A4B">
              <w:rPr>
                <w:iCs/>
                <w:szCs w:val="22"/>
                <w:lang w:eastAsia="en-US"/>
              </w:rPr>
              <w:t>The Constitutional Court of Thailand. The Provisions and the Working of the Court</w:t>
            </w:r>
            <w:r w:rsidRPr="00111A4B">
              <w:rPr>
                <w:szCs w:val="22"/>
                <w:lang w:eastAsia="en-US"/>
              </w:rPr>
              <w:t xml:space="preserve">, 34–90. </w:t>
            </w:r>
            <w:hyperlink r:id="rId71" w:history="1">
              <w:r w:rsidRPr="00111A4B">
                <w:rPr>
                  <w:rStyle w:val="Hyperlink"/>
                  <w:szCs w:val="22"/>
                  <w:u w:val="none"/>
                  <w:lang w:eastAsia="en-US"/>
                </w:rPr>
                <w:t>http://www.cdi.anu.edu.au/CDIwebsite_1998-2004/thailand/thailand_downloads/ThaiUpdate_Klien_ConCourt%20Apr03.pdf</w:t>
              </w:r>
            </w:hyperlink>
            <w:r w:rsidRPr="00111A4B">
              <w:rPr>
                <w:szCs w:val="22"/>
                <w:lang w:eastAsia="en-US"/>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Kocharov A. 2012 ANOTHER LEGAL MONSTER? AN EUI DEBATE ON THE FISCAL COMPACT TREATY EUI Working Papers LAW 2012/09 </w:t>
            </w:r>
            <w:hyperlink r:id="rId72" w:history="1">
              <w:r w:rsidRPr="00111A4B">
                <w:rPr>
                  <w:rStyle w:val="Hyperlink"/>
                  <w:szCs w:val="22"/>
                  <w:u w:val="none"/>
                </w:rPr>
                <w:t>http://cadmus.eui.eu/bitstream/handle/1814/21496/LAW_2012_09_Kocharov_ed.pdf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Kuttner R. 2013 Debtors' Prison: The Politics of Austerity Versus Possibility. Knopf. </w:t>
            </w:r>
            <w:hyperlink r:id="rId73" w:history="1">
              <w:r w:rsidRPr="00111A4B">
                <w:rPr>
                  <w:rStyle w:val="Hyperlink"/>
                  <w:szCs w:val="22"/>
                  <w:u w:val="none"/>
                </w:rPr>
                <w:t>http://knopfdoubleday.com/book/219148/debtors-prison/</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Lilico, A., Holmes E., and Sameen H. 2009 Controlling Spending and Government Deficits: Lessons from History and International Experience. Policy Exchange     </w:t>
            </w:r>
            <w:hyperlink r:id="rId74" w:history="1">
              <w:r w:rsidRPr="00111A4B">
                <w:rPr>
                  <w:rStyle w:val="Hyperlink"/>
                  <w:szCs w:val="22"/>
                  <w:u w:val="none"/>
                  <w:lang w:eastAsia="en-US"/>
                </w:rPr>
                <w:t>http://www.policyexchange.org.uk/images/publications/controlling%20spending%20and%20government%20deficits%20-%20nov%2009.pdf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Makova E. 2005 Role of the World Bank and IMF in Issuing  Loans to Russia: Responsibility, Tricks, Corruption, Mafia,and Important Use of Legal Enforcement. LL M Theses and Essays.Paper 31. </w:t>
            </w:r>
            <w:hyperlink r:id="rId75" w:history="1">
              <w:r w:rsidRPr="00111A4B">
                <w:rPr>
                  <w:rStyle w:val="Hyperlink"/>
                  <w:szCs w:val="22"/>
                  <w:u w:val="none"/>
                  <w:lang w:eastAsia="en-US"/>
                </w:rPr>
                <w:t>http://digitalcommons.law.uga.edu/stu_llm/31</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McMorrow K. and Roeger W. 1999 The economic consequences of ageing populations.  (European Economy. Economic Papers. </w:t>
            </w:r>
            <w:r w:rsidRPr="00111A4B">
              <w:rPr>
                <w:bCs/>
                <w:szCs w:val="22"/>
              </w:rPr>
              <w:t>138</w:t>
            </w:r>
            <w:r w:rsidRPr="00111A4B">
              <w:rPr>
                <w:szCs w:val="22"/>
              </w:rPr>
              <w:t xml:space="preserve">. November 1999. </w:t>
            </w:r>
            <w:hyperlink r:id="rId76" w:history="1">
              <w:r w:rsidRPr="00111A4B">
                <w:rPr>
                  <w:rStyle w:val="Hyperlink"/>
                  <w:szCs w:val="22"/>
                  <w:u w:val="none"/>
                  <w:lang w:eastAsia="en-US"/>
                </w:rPr>
                <w:t>http://ec.europa.eu/economy_finance/publications/publication11151_en.pdf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Nissan, Sargon 2013 ‘Guest Post: Brics without Mortar’. 2014. </w:t>
            </w:r>
            <w:r w:rsidRPr="00111A4B">
              <w:rPr>
                <w:iCs/>
                <w:szCs w:val="22"/>
              </w:rPr>
              <w:t>Financial Times</w:t>
            </w:r>
            <w:r w:rsidRPr="00111A4B">
              <w:rPr>
                <w:szCs w:val="22"/>
              </w:rPr>
              <w:t xml:space="preserve">. Accessed April 1. </w:t>
            </w:r>
            <w:hyperlink r:id="rId77" w:history="1">
              <w:r w:rsidRPr="00111A4B">
                <w:rPr>
                  <w:rStyle w:val="Hyperlink"/>
                  <w:szCs w:val="22"/>
                  <w:u w:val="none"/>
                </w:rPr>
                <w:t>http://blogs.ft.com/beyond-brics/2013/09/05/guest-post-brics-without-water/</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Odling-Smee J. 2005 The IMF and Russia in the 1990s  (IMF WP/04/155) </w:t>
            </w:r>
            <w:hyperlink r:id="rId78" w:history="1">
              <w:r w:rsidRPr="00111A4B">
                <w:rPr>
                  <w:rStyle w:val="Hyperlink"/>
                  <w:szCs w:val="22"/>
                  <w:u w:val="none"/>
                  <w:lang w:eastAsia="en-US"/>
                </w:rPr>
                <w:t>http://www.imf.org/external/pubs/ft/wp/2004/wp04155.pdf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O'Donovan Darren 2010 ‘A Twilight of Sovereignty: Eastern Europe’s Constitutional Courts, the IMF and Government Austerity Programmes’. 2013. </w:t>
            </w:r>
            <w:r w:rsidRPr="00111A4B">
              <w:rPr>
                <w:iCs/>
                <w:szCs w:val="22"/>
              </w:rPr>
              <w:t>Human Rights in Ireland</w:t>
            </w:r>
            <w:r w:rsidRPr="00111A4B">
              <w:rPr>
                <w:szCs w:val="22"/>
              </w:rPr>
              <w:t xml:space="preserve">. Accessed July 31. </w:t>
            </w:r>
            <w:hyperlink r:id="rId79" w:history="1">
              <w:r w:rsidRPr="00111A4B">
                <w:rPr>
                  <w:rStyle w:val="Hyperlink"/>
                  <w:szCs w:val="22"/>
                  <w:u w:val="none"/>
                  <w:lang w:eastAsia="en-US"/>
                </w:rPr>
                <w:t>http://humanrights.ie/constitution-of-ireland/a-twilight-of-sovereignty-eastern-europes-constitutional-courts-the-imf-and-government-austerity-programmes/</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OECD/EU 2012HealthAtAGlanceEurope2012 </w:t>
            </w:r>
            <w:hyperlink r:id="rId80" w:history="1">
              <w:r w:rsidRPr="00111A4B">
                <w:rPr>
                  <w:rStyle w:val="Hyperlink"/>
                  <w:szCs w:val="22"/>
                  <w:u w:val="none"/>
                </w:rPr>
                <w:t>http://www.oecd.org/els/health-systems/HealthAtAGlanceEurope2012.pdf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ONS 2012 The Effects of Taxes and Benefits on Household Income, 2010/2011  </w:t>
            </w:r>
            <w:hyperlink r:id="rId81" w:history="1">
              <w:r w:rsidRPr="00111A4B">
                <w:rPr>
                  <w:rStyle w:val="Hyperlink"/>
                  <w:szCs w:val="22"/>
                  <w:u w:val="none"/>
                </w:rPr>
                <w:t xml:space="preserve">http://www.ons.gov.uk/ons/rel/household-income/the-effects-of-taxes-and-benefits-on-household-income/2010-11/index.html  </w:t>
              </w:r>
            </w:hyperlink>
          </w:p>
        </w:tc>
      </w:tr>
      <w:tr w:rsidR="000F0594" w:rsidRPr="000F0594" w:rsidTr="007E6C75">
        <w:tc>
          <w:tcPr>
            <w:tcW w:w="9854" w:type="dxa"/>
          </w:tcPr>
          <w:p w:rsidR="000F0594" w:rsidRPr="000F0594" w:rsidRDefault="000F0594" w:rsidP="000F0594">
            <w:pPr>
              <w:rPr>
                <w:lang w:eastAsia="en-US"/>
              </w:rPr>
            </w:pPr>
            <w:r w:rsidRPr="000F0594">
              <w:t xml:space="preserve">Ortiz </w:t>
            </w:r>
            <w:r>
              <w:t xml:space="preserve"> I. </w:t>
            </w:r>
            <w:r w:rsidRPr="000F0594">
              <w:t xml:space="preserve">and Cummins </w:t>
            </w:r>
            <w:r>
              <w:t xml:space="preserve">M. </w:t>
            </w:r>
            <w:r w:rsidRPr="000F0594">
              <w:t xml:space="preserve">(2013) ‘The Age of Austerity: A Review of Public Expenditures and Adjustment Measures in 181 Countries’ </w:t>
            </w:r>
            <w:r>
              <w:t xml:space="preserve"> </w:t>
            </w:r>
            <w:hyperlink r:id="rId82" w:history="1">
              <w:r w:rsidRPr="003161A9">
                <w:rPr>
                  <w:rStyle w:val="Hyperlink"/>
                </w:rPr>
                <w:t>http://policydialogue.org/files/publications/Age_of_Austerity_Ortiz_and_Cummins.pdf</w:t>
              </w:r>
            </w:hyperlink>
            <w:r>
              <w:t xml:space="preserve"> </w:t>
            </w:r>
          </w:p>
        </w:tc>
      </w:tr>
      <w:tr w:rsidR="009E7E2C" w:rsidRPr="00AC669A" w:rsidTr="007E6C75">
        <w:tc>
          <w:tcPr>
            <w:tcW w:w="9854" w:type="dxa"/>
          </w:tcPr>
          <w:p w:rsidR="009E7E2C" w:rsidRPr="00111A4B" w:rsidRDefault="009E7E2C" w:rsidP="00DC6A00">
            <w:pPr>
              <w:rPr>
                <w:szCs w:val="22"/>
                <w:lang w:eastAsia="en-US"/>
              </w:rPr>
            </w:pPr>
            <w:r w:rsidRPr="00DC6A00">
              <w:rPr>
                <w:szCs w:val="22"/>
                <w:lang w:eastAsia="en-US"/>
              </w:rPr>
              <w:t xml:space="preserve">Oxfam. 2013. ‘A Cautionary Tale: The True Cost of Austerity and Inequality in Europe | Oxfam GB | Policy &amp; Practice’. </w:t>
            </w:r>
            <w:hyperlink r:id="rId83" w:history="1">
              <w:r w:rsidRPr="00681F45">
                <w:rPr>
                  <w:rStyle w:val="Hyperlink"/>
                  <w:szCs w:val="22"/>
                  <w:lang w:eastAsia="en-US"/>
                </w:rPr>
                <w:t>http://policy-practice.oxfam.org.uk/publications/a-cautionary-tale-the-true-cost-of-austerity-and-inequality-in-europe-301384</w:t>
              </w:r>
            </w:hyperlink>
            <w:r>
              <w:rPr>
                <w:szCs w:val="22"/>
                <w:lang w:eastAsia="en-US"/>
              </w:rPr>
              <w:t xml:space="preserve"> </w:t>
            </w:r>
          </w:p>
        </w:tc>
      </w:tr>
      <w:tr w:rsidR="009E7E2C" w:rsidRPr="00AC669A" w:rsidTr="007E6C75">
        <w:tc>
          <w:tcPr>
            <w:tcW w:w="9854" w:type="dxa"/>
          </w:tcPr>
          <w:p w:rsidR="009E7E2C" w:rsidRPr="00111A4B" w:rsidRDefault="009E7E2C" w:rsidP="00111A4B">
            <w:pPr>
              <w:rPr>
                <w:szCs w:val="22"/>
              </w:rPr>
            </w:pPr>
            <w:r w:rsidRPr="00111A4B">
              <w:rPr>
                <w:rFonts w:eastAsia="TimesNewRoman"/>
                <w:szCs w:val="22"/>
              </w:rPr>
              <w:t>Polidano C. 1999</w:t>
            </w:r>
            <w:r w:rsidRPr="00111A4B">
              <w:rPr>
                <w:rFonts w:eastAsia="TimesNewRoman"/>
                <w:bCs/>
                <w:szCs w:val="22"/>
              </w:rPr>
              <w:t xml:space="preserve"> The new public management in developing countries</w:t>
            </w:r>
            <w:r w:rsidRPr="00111A4B">
              <w:rPr>
                <w:rFonts w:eastAsia="TimesNewRoman"/>
                <w:szCs w:val="22"/>
              </w:rPr>
              <w:t xml:space="preserve"> IDPM Public Policy and Management Working Paper no. 13 November 1999 </w:t>
            </w:r>
            <w:hyperlink r:id="rId84" w:history="1">
              <w:r w:rsidRPr="00111A4B">
                <w:rPr>
                  <w:rStyle w:val="Hyperlink"/>
                  <w:szCs w:val="22"/>
                  <w:u w:val="none"/>
                </w:rPr>
                <w:t>http://unpan1.un.org/intradoc/groups/public/documents/APCITY/UNPAN014322.pdf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Rodríguez, Liliana Lizarazo. 2005. ‘The IMF, Constitutional Court Adjudication and Regulatory Efficiency in Colombia’. Accessed March 31. </w:t>
            </w:r>
            <w:hyperlink r:id="rId85" w:history="1">
              <w:r w:rsidRPr="00111A4B">
                <w:rPr>
                  <w:rStyle w:val="Hyperlink"/>
                  <w:szCs w:val="22"/>
                  <w:u w:val="none"/>
                </w:rPr>
                <w:t>http://www.uni-saarland.de/fak1/fr12/csle/workshop/program/lizarazo-rodriguez.pdf</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Ryner, Magnus. 2012. ‘Financial Crisis, Orthodoxy and Heterodoxy in the Production of Knowledge About the EU’. </w:t>
            </w:r>
            <w:r w:rsidRPr="00111A4B">
              <w:rPr>
                <w:iCs/>
                <w:szCs w:val="22"/>
              </w:rPr>
              <w:t>Millennium - Journal of International Studies</w:t>
            </w:r>
            <w:r w:rsidRPr="00111A4B">
              <w:rPr>
                <w:szCs w:val="22"/>
              </w:rPr>
              <w:t xml:space="preserve"> 40 (3) (June 1): 647–673. doi:10.1177/0305829812442300. </w:t>
            </w:r>
            <w:hyperlink r:id="rId86" w:history="1">
              <w:r w:rsidRPr="00111A4B">
                <w:rPr>
                  <w:rStyle w:val="Hyperlink"/>
                  <w:szCs w:val="22"/>
                  <w:u w:val="none"/>
                  <w:lang w:eastAsia="en-US"/>
                </w:rPr>
                <w:t>http://mil.sagepub.com/content/40/3/647</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Scheppele, K. 2006. DEMOCRACY BY JUDICIARY in: Czarnota, Adam, Martin Krygier, and Wojciech Sadurski. 2006. </w:t>
            </w:r>
            <w:r w:rsidRPr="00111A4B">
              <w:rPr>
                <w:iCs/>
                <w:szCs w:val="22"/>
              </w:rPr>
              <w:t>Rethinking the Rule of Law After Communism</w:t>
            </w:r>
            <w:r w:rsidRPr="00111A4B">
              <w:rPr>
                <w:szCs w:val="22"/>
              </w:rPr>
              <w:t>. Central European University Press.</w:t>
            </w:r>
          </w:p>
        </w:tc>
      </w:tr>
      <w:tr w:rsidR="009E7E2C" w:rsidRPr="00AC669A" w:rsidTr="007E6C75">
        <w:tc>
          <w:tcPr>
            <w:tcW w:w="9854" w:type="dxa"/>
          </w:tcPr>
          <w:p w:rsidR="009E7E2C" w:rsidRPr="00111A4B" w:rsidRDefault="009E7E2C" w:rsidP="00111A4B">
            <w:pPr>
              <w:rPr>
                <w:szCs w:val="22"/>
                <w:lang w:eastAsia="en-US"/>
              </w:rPr>
            </w:pPr>
            <w:r w:rsidRPr="00111A4B">
              <w:rPr>
                <w:szCs w:val="22"/>
                <w:lang w:eastAsia="en-US"/>
              </w:rPr>
              <w:t xml:space="preserve">Spiegel 2012 ‘The Coming EU Summit Clash: Merkel Vows 'No Euro Bonds as Long as I Live', Spiegel online, 27/06/2012  </w:t>
            </w:r>
            <w:hyperlink r:id="rId87" w:history="1">
              <w:r w:rsidRPr="00111A4B">
                <w:rPr>
                  <w:rStyle w:val="Hyperlink"/>
                  <w:szCs w:val="22"/>
                  <w:u w:val="none"/>
                  <w:lang w:eastAsia="en-US"/>
                </w:rPr>
                <w:t>http://www.spiegel.de/international/europe/chancellor-merkel-vows-no-euro-bonds-as-long-as-she-lives-a-841163.html</w:t>
              </w:r>
            </w:hyperlink>
          </w:p>
        </w:tc>
      </w:tr>
      <w:tr w:rsidR="009E7E2C" w:rsidRPr="00AC669A" w:rsidTr="007E6C75">
        <w:tc>
          <w:tcPr>
            <w:tcW w:w="9854" w:type="dxa"/>
          </w:tcPr>
          <w:p w:rsidR="009E7E2C" w:rsidRPr="00111A4B" w:rsidRDefault="009E7E2C" w:rsidP="00111A4B">
            <w:pPr>
              <w:rPr>
                <w:szCs w:val="22"/>
              </w:rPr>
            </w:pPr>
            <w:r w:rsidRPr="00111A4B">
              <w:rPr>
                <w:szCs w:val="22"/>
              </w:rPr>
              <w:t xml:space="preserve">Streeck, Wolfgang. 2013. ‘The Politics of Public Debt’. MPIfG Discussion Paper 13/7. Max-Planck-Institut für Gesellschaftsforschung, Köln. </w:t>
            </w:r>
            <w:hyperlink r:id="rId88" w:history="1">
              <w:r w:rsidRPr="00111A4B">
                <w:rPr>
                  <w:rStyle w:val="Hyperlink"/>
                  <w:szCs w:val="22"/>
                  <w:u w:val="none"/>
                </w:rPr>
                <w:t>http://www.mpifg.de/pu/mpifg_dp/dp13-7.pdf</w:t>
              </w:r>
            </w:hyperlink>
            <w:r w:rsidRPr="00111A4B">
              <w:rPr>
                <w:szCs w:val="22"/>
              </w:rPr>
              <w:t xml:space="preserve"> </w:t>
            </w:r>
          </w:p>
        </w:tc>
      </w:tr>
      <w:tr w:rsidR="003412A6" w:rsidRPr="00AC669A" w:rsidTr="007E6C75">
        <w:tc>
          <w:tcPr>
            <w:tcW w:w="9854" w:type="dxa"/>
          </w:tcPr>
          <w:p w:rsidR="003412A6" w:rsidRPr="00111A4B" w:rsidRDefault="003412A6" w:rsidP="0075299D">
            <w:pPr>
              <w:rPr>
                <w:szCs w:val="22"/>
                <w:lang w:eastAsia="en-US"/>
              </w:rPr>
            </w:pPr>
            <w:r>
              <w:rPr>
                <w:szCs w:val="22"/>
                <w:lang w:eastAsia="en-US"/>
              </w:rPr>
              <w:t xml:space="preserve">Stuckler and Basu 2013  </w:t>
            </w:r>
            <w:r w:rsidR="00712C83">
              <w:rPr>
                <w:rStyle w:val="a-size-large"/>
              </w:rPr>
              <w:t xml:space="preserve">The Body Economic: Eight experiments in economic recovery, from Iceland to Greece. Allen Lane 2013 </w:t>
            </w:r>
            <w:r w:rsidR="00712C83">
              <w:t xml:space="preserve"> </w:t>
            </w:r>
            <w:hyperlink r:id="rId89" w:history="1">
              <w:r w:rsidR="00712C83" w:rsidRPr="003201EE">
                <w:rPr>
                  <w:rStyle w:val="Hyperlink"/>
                </w:rPr>
                <w:t>http://www.penguin.co.uk/books/the-body-economic/9781846147838/</w:t>
              </w:r>
            </w:hyperlink>
            <w:r w:rsidR="00712C83">
              <w:t xml:space="preserve"> </w:t>
            </w:r>
            <w:r w:rsidR="0075299D">
              <w:t xml:space="preserve">;  </w:t>
            </w:r>
            <w:r>
              <w:rPr>
                <w:szCs w:val="22"/>
                <w:lang w:eastAsia="en-US"/>
              </w:rPr>
              <w:t xml:space="preserve">How Austerity Kills. New York Times 12 May 2013  </w:t>
            </w:r>
            <w:hyperlink r:id="rId90" w:history="1">
              <w:r w:rsidRPr="003201EE">
                <w:rPr>
                  <w:rStyle w:val="Hyperlink"/>
                  <w:szCs w:val="22"/>
                  <w:lang w:eastAsia="en-US"/>
                </w:rPr>
                <w:t>http://www.nytimes.com/2013/05/13/opinion/how-austerity-kills.html?_r=0</w:t>
              </w:r>
            </w:hyperlink>
            <w:r>
              <w:rPr>
                <w:szCs w:val="22"/>
                <w:lang w:eastAsia="en-US"/>
              </w:rPr>
              <w:t xml:space="preserve"> </w:t>
            </w:r>
          </w:p>
        </w:tc>
      </w:tr>
      <w:tr w:rsidR="009E7E2C" w:rsidRPr="00AC669A" w:rsidTr="007E6C75">
        <w:tc>
          <w:tcPr>
            <w:tcW w:w="9854" w:type="dxa"/>
          </w:tcPr>
          <w:p w:rsidR="009E7E2C" w:rsidRPr="00111A4B" w:rsidRDefault="009E7E2C" w:rsidP="00111A4B">
            <w:pPr>
              <w:rPr>
                <w:szCs w:val="22"/>
              </w:rPr>
            </w:pPr>
            <w:r w:rsidRPr="00111A4B">
              <w:rPr>
                <w:szCs w:val="22"/>
                <w:lang w:eastAsia="en-US"/>
              </w:rPr>
              <w:t xml:space="preserve">Thillaye, R, Ludek Kouba, and Andreas Sachs. 2014. ‘Reforming EU Economic Governance: Is “more”any Better?’ Accessed April 3. </w:t>
            </w:r>
            <w:hyperlink r:id="rId91" w:history="1">
              <w:r w:rsidRPr="00111A4B">
                <w:rPr>
                  <w:rStyle w:val="Hyperlink"/>
                  <w:szCs w:val="22"/>
                  <w:u w:val="none"/>
                  <w:lang w:eastAsia="en-US"/>
                </w:rPr>
                <w:t>http://www.progressiveeconomy.eu/de/system/files/papers/Renaud%20Thillaye%20Progressive%20Economy%20Paper%20on%20EU%20governance.pdf</w:t>
              </w:r>
            </w:hyperlink>
            <w:r w:rsidRPr="00111A4B">
              <w:rPr>
                <w:szCs w:val="22"/>
                <w:lang w:eastAsia="en-US"/>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Thorstensen, Vera, Daniel Ramos, and Carolina Muller. 2013. ‘The “Missing Link” Between the WTO and the IMF’. </w:t>
            </w:r>
            <w:r w:rsidRPr="00111A4B">
              <w:rPr>
                <w:iCs/>
                <w:szCs w:val="22"/>
              </w:rPr>
              <w:t>Journal of International Economic Law</w:t>
            </w:r>
            <w:r w:rsidRPr="00111A4B">
              <w:rPr>
                <w:szCs w:val="22"/>
              </w:rPr>
              <w:t xml:space="preserve"> 16 (2) (January 6): 353–381. doi:10.1093/jiel/jgt015. </w:t>
            </w:r>
            <w:hyperlink r:id="rId92" w:history="1">
              <w:r w:rsidRPr="00111A4B">
                <w:rPr>
                  <w:rStyle w:val="Hyperlink"/>
                  <w:szCs w:val="22"/>
                  <w:u w:val="none"/>
                  <w:lang w:eastAsia="en-US"/>
                </w:rPr>
                <w:t>http://jiel.oxfordjournals.org/content/16/2/353</w:t>
              </w:r>
            </w:hyperlink>
            <w:r w:rsidRPr="00111A4B">
              <w:rPr>
                <w:szCs w:val="22"/>
              </w:rPr>
              <w:t xml:space="preserve">  </w:t>
            </w:r>
          </w:p>
        </w:tc>
      </w:tr>
      <w:tr w:rsidR="009E7E2C" w:rsidRPr="00AC669A" w:rsidTr="007E6C75">
        <w:tc>
          <w:tcPr>
            <w:tcW w:w="9854" w:type="dxa"/>
          </w:tcPr>
          <w:p w:rsidR="009E7E2C" w:rsidRPr="00111A4B" w:rsidRDefault="009E7E2C" w:rsidP="00111A4B">
            <w:pPr>
              <w:rPr>
                <w:szCs w:val="22"/>
              </w:rPr>
            </w:pPr>
            <w:r w:rsidRPr="00111A4B">
              <w:rPr>
                <w:szCs w:val="22"/>
              </w:rPr>
              <w:t xml:space="preserve">UNCTAD 2011 Trade and development report: Post-crisis policy challenges in the world economy </w:t>
            </w:r>
            <w:hyperlink r:id="rId93" w:history="1">
              <w:r w:rsidRPr="00111A4B">
                <w:rPr>
                  <w:rStyle w:val="Hyperlink"/>
                  <w:szCs w:val="22"/>
                  <w:u w:val="none"/>
                </w:rPr>
                <w:t>http://unctad.org/en/Docs/tdr2011_en.pdf</w:t>
              </w:r>
            </w:hyperlink>
          </w:p>
        </w:tc>
      </w:tr>
      <w:tr w:rsidR="009E7E2C" w:rsidRPr="00AC669A" w:rsidTr="007E6C75">
        <w:tc>
          <w:tcPr>
            <w:tcW w:w="9854" w:type="dxa"/>
          </w:tcPr>
          <w:p w:rsidR="009E7E2C" w:rsidRPr="00111A4B" w:rsidRDefault="009E7E2C" w:rsidP="00111A4B">
            <w:pPr>
              <w:rPr>
                <w:szCs w:val="22"/>
              </w:rPr>
            </w:pPr>
            <w:r w:rsidRPr="00111A4B">
              <w:rPr>
                <w:szCs w:val="22"/>
              </w:rPr>
              <w:t xml:space="preserve">Verbist, G., M. Förster and M. Vaalavuo (2012), “The Impact of Publicly Provided Services on the Distribution of Resources: Review of New Results and Methods”, </w:t>
            </w:r>
            <w:r w:rsidRPr="00111A4B">
              <w:rPr>
                <w:iCs/>
                <w:szCs w:val="22"/>
              </w:rPr>
              <w:t>OECD Social, Employment and Migration Working Papers</w:t>
            </w:r>
            <w:r w:rsidRPr="00111A4B">
              <w:rPr>
                <w:szCs w:val="22"/>
              </w:rPr>
              <w:t xml:space="preserve">, No. 130, OECD Publishing. </w:t>
            </w:r>
            <w:hyperlink r:id="rId94" w:history="1">
              <w:r w:rsidRPr="00111A4B">
                <w:rPr>
                  <w:rStyle w:val="Hyperlink"/>
                  <w:szCs w:val="22"/>
                  <w:u w:val="none"/>
                  <w:lang w:eastAsia="en-US"/>
                </w:rPr>
                <w:t>http://dx.doi.org/10.1787/5k9h363c5szq-en</w:t>
              </w:r>
            </w:hyperlink>
          </w:p>
        </w:tc>
      </w:tr>
    </w:tbl>
    <w:p w:rsidR="0094190A" w:rsidRDefault="0094190A" w:rsidP="007E6C75"/>
    <w:p w:rsidR="00822888" w:rsidRDefault="00822888" w:rsidP="007E6C75"/>
    <w:p w:rsidR="009B106C" w:rsidRPr="005150F1" w:rsidRDefault="009B106C" w:rsidP="009B106C">
      <w:pPr>
        <w:pStyle w:val="Heading1"/>
        <w:numPr>
          <w:ilvl w:val="0"/>
          <w:numId w:val="0"/>
        </w:numPr>
        <w:ind w:left="360" w:hanging="360"/>
      </w:pPr>
      <w:bookmarkStart w:id="44" w:name="_Toc425285697"/>
      <w:r>
        <w:t>Notes</w:t>
      </w:r>
      <w:bookmarkEnd w:id="44"/>
    </w:p>
    <w:sectPr w:rsidR="009B106C" w:rsidRPr="005150F1" w:rsidSect="0078087D">
      <w:headerReference w:type="default" r:id="rId95"/>
      <w:footerReference w:type="default" r:id="rId96"/>
      <w:headerReference w:type="first" r:id="rId97"/>
      <w:footerReference w:type="first" r:id="rId98"/>
      <w:endnotePr>
        <w:numFmt w:val="decimal"/>
      </w:endnotePr>
      <w:pgSz w:w="11906" w:h="16838"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034E" w:rsidRDefault="00E9034E" w:rsidP="00992566">
      <w:r>
        <w:separator/>
      </w:r>
    </w:p>
  </w:endnote>
  <w:endnote w:type="continuationSeparator" w:id="0">
    <w:p w:rsidR="00E9034E" w:rsidRDefault="00E9034E" w:rsidP="00992566">
      <w:r>
        <w:continuationSeparator/>
      </w:r>
    </w:p>
  </w:endnote>
  <w:endnote w:id="1">
    <w:p w:rsidR="003412A6" w:rsidRDefault="003412A6" w:rsidP="006C6EC9">
      <w:pPr>
        <w:pStyle w:val="EndnoteText"/>
      </w:pPr>
      <w:r>
        <w:rPr>
          <w:rStyle w:val="EndnoteReference"/>
        </w:rPr>
        <w:endnoteRef/>
      </w:r>
      <w:r>
        <w:t xml:space="preserve">  </w:t>
      </w:r>
      <w:hyperlink r:id="rId1" w:history="1">
        <w:r w:rsidRPr="00EB20A5">
          <w:rPr>
            <w:rStyle w:val="Hyperlink"/>
          </w:rPr>
          <w:t>http://www.social-europe.eu/2012/10/blame-it-on-the-multiplier/</w:t>
        </w:r>
      </w:hyperlink>
    </w:p>
  </w:endnote>
  <w:endnote w:id="2">
    <w:p w:rsidR="003412A6" w:rsidRPr="003C4C31" w:rsidRDefault="003412A6" w:rsidP="000E0E62">
      <w:pPr>
        <w:rPr>
          <w:sz w:val="20"/>
          <w:szCs w:val="20"/>
        </w:rPr>
      </w:pPr>
      <w:r w:rsidRPr="003C4C31">
        <w:rPr>
          <w:rStyle w:val="EndnoteReference"/>
          <w:sz w:val="20"/>
          <w:szCs w:val="20"/>
        </w:rPr>
        <w:endnoteRef/>
      </w:r>
      <w:r w:rsidRPr="003C4C31">
        <w:rPr>
          <w:sz w:val="20"/>
          <w:szCs w:val="20"/>
        </w:rPr>
        <w:t xml:space="preserve">  IMF 2010 Preliminary Conclusions of the Mission</w:t>
      </w:r>
      <w:r>
        <w:rPr>
          <w:sz w:val="20"/>
          <w:szCs w:val="20"/>
        </w:rPr>
        <w:t xml:space="preserve"> to Libya October 2010 </w:t>
      </w:r>
      <w:r w:rsidRPr="003C4C31">
        <w:rPr>
          <w:sz w:val="20"/>
          <w:szCs w:val="20"/>
        </w:rPr>
        <w:t xml:space="preserve">      </w:t>
      </w:r>
      <w:hyperlink r:id="rId2" w:history="1">
        <w:r w:rsidRPr="003C4C31">
          <w:rPr>
            <w:rStyle w:val="Hyperlink"/>
            <w:sz w:val="20"/>
            <w:szCs w:val="20"/>
          </w:rPr>
          <w:t>http://www.imf.org/external/np/ms/2010/102810.htm</w:t>
        </w:r>
      </w:hyperlink>
      <w:r w:rsidRPr="003C4C31">
        <w:rPr>
          <w:sz w:val="20"/>
          <w:szCs w:val="20"/>
        </w:rPr>
        <w:t xml:space="preserve">  ; Jadaliyya   29 May 2011 Adam Hanieh ‘Egypt’s Orderly transition? International Aid and the Rush to Structural Adjustment </w:t>
      </w:r>
      <w:hyperlink r:id="rId3" w:history="1">
        <w:r w:rsidRPr="003C4C31">
          <w:rPr>
            <w:rStyle w:val="Hyperlink"/>
            <w:sz w:val="20"/>
            <w:szCs w:val="20"/>
          </w:rPr>
          <w:t>http://www.jadaliyya.com/pages/index/1711/egypts-%E2%80%98orderly-transition%E2%80%99-international-aid-and-</w:t>
        </w:r>
      </w:hyperlink>
      <w:r w:rsidRPr="003C4C31">
        <w:rPr>
          <w:sz w:val="20"/>
          <w:szCs w:val="20"/>
        </w:rPr>
        <w:t xml:space="preserve"> ; Patrick Bond (2011): Neoliberal threats to North Africa, Review of African</w:t>
      </w:r>
    </w:p>
    <w:p w:rsidR="003412A6" w:rsidRPr="003C4C31" w:rsidRDefault="003412A6" w:rsidP="000E0E62">
      <w:pPr>
        <w:rPr>
          <w:sz w:val="20"/>
          <w:szCs w:val="20"/>
        </w:rPr>
      </w:pPr>
      <w:r w:rsidRPr="003C4C31">
        <w:rPr>
          <w:sz w:val="20"/>
          <w:szCs w:val="20"/>
        </w:rPr>
        <w:t xml:space="preserve">Political Economy, 38:129, 481-495 </w:t>
      </w:r>
      <w:hyperlink r:id="rId4" w:history="1">
        <w:r w:rsidRPr="003C4C31">
          <w:rPr>
            <w:rStyle w:val="Hyperlink"/>
            <w:sz w:val="20"/>
            <w:szCs w:val="20"/>
          </w:rPr>
          <w:t>http://dx.doi.org/10.1080/03056244.2011.602546</w:t>
        </w:r>
      </w:hyperlink>
      <w:r w:rsidRPr="003C4C31">
        <w:rPr>
          <w:sz w:val="20"/>
          <w:szCs w:val="20"/>
        </w:rPr>
        <w:t xml:space="preserve"> </w:t>
      </w:r>
    </w:p>
    <w:p w:rsidR="003412A6" w:rsidRDefault="003412A6" w:rsidP="000E0E62">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Browallia New">
    <w:panose1 w:val="020B0604020202020204"/>
    <w:charset w:val="00"/>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PalatinoLinotype">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2A6" w:rsidRPr="00652411" w:rsidRDefault="003412A6" w:rsidP="00814BF3">
    <w:pPr>
      <w:pStyle w:val="Footer"/>
      <w:pBdr>
        <w:top w:val="single" w:sz="4" w:space="1" w:color="FF0000"/>
      </w:pBdr>
      <w:jc w:val="center"/>
      <w:rPr>
        <w:rFonts w:cs="Lucida Sans Unicode"/>
        <w:sz w:val="16"/>
        <w:szCs w:val="16"/>
      </w:rPr>
    </w:pPr>
    <w:r w:rsidRPr="00652411">
      <w:rPr>
        <w:rFonts w:cs="Lucida Sans Unicode"/>
        <w:sz w:val="16"/>
        <w:szCs w:val="16"/>
      </w:rPr>
      <w:fldChar w:fldCharType="begin"/>
    </w:r>
    <w:r w:rsidRPr="00652411">
      <w:rPr>
        <w:rFonts w:cs="Lucida Sans Unicode"/>
        <w:sz w:val="16"/>
        <w:szCs w:val="16"/>
      </w:rPr>
      <w:instrText xml:space="preserve"> DATE \@ "dd/MM/yyyy" </w:instrText>
    </w:r>
    <w:r w:rsidRPr="00652411">
      <w:rPr>
        <w:rFonts w:cs="Lucida Sans Unicode"/>
        <w:sz w:val="16"/>
        <w:szCs w:val="16"/>
      </w:rPr>
      <w:fldChar w:fldCharType="separate"/>
    </w:r>
    <w:r w:rsidR="005F6928">
      <w:rPr>
        <w:rFonts w:cs="Lucida Sans Unicode"/>
        <w:noProof/>
        <w:sz w:val="16"/>
        <w:szCs w:val="16"/>
      </w:rPr>
      <w:t>24/05/2017</w:t>
    </w:r>
    <w:r w:rsidRPr="00652411">
      <w:rPr>
        <w:rFonts w:cs="Lucida Sans Unicode"/>
        <w:sz w:val="16"/>
        <w:szCs w:val="16"/>
      </w:rPr>
      <w:fldChar w:fldCharType="end"/>
    </w:r>
    <w:r w:rsidRPr="00652411">
      <w:rPr>
        <w:rFonts w:cs="Lucida Sans Unicode"/>
        <w:sz w:val="16"/>
        <w:szCs w:val="16"/>
      </w:rPr>
      <w:tab/>
    </w:r>
    <w:r w:rsidRPr="00652411">
      <w:rPr>
        <w:rFonts w:cs="Lucida Sans Unicode"/>
        <w:sz w:val="16"/>
        <w:szCs w:val="16"/>
      </w:rPr>
      <w:tab/>
      <w:t xml:space="preserve">Page </w:t>
    </w:r>
    <w:r w:rsidRPr="00652411">
      <w:rPr>
        <w:rFonts w:cs="Lucida Sans Unicode"/>
        <w:sz w:val="16"/>
        <w:szCs w:val="16"/>
      </w:rPr>
      <w:fldChar w:fldCharType="begin"/>
    </w:r>
    <w:r w:rsidRPr="00652411">
      <w:rPr>
        <w:rFonts w:cs="Lucida Sans Unicode"/>
        <w:sz w:val="16"/>
        <w:szCs w:val="16"/>
      </w:rPr>
      <w:instrText xml:space="preserve"> PAGE </w:instrText>
    </w:r>
    <w:r w:rsidRPr="00652411">
      <w:rPr>
        <w:rFonts w:cs="Lucida Sans Unicode"/>
        <w:sz w:val="16"/>
        <w:szCs w:val="16"/>
      </w:rPr>
      <w:fldChar w:fldCharType="separate"/>
    </w:r>
    <w:r w:rsidR="005F6928">
      <w:rPr>
        <w:rFonts w:cs="Lucida Sans Unicode"/>
        <w:noProof/>
        <w:sz w:val="16"/>
        <w:szCs w:val="16"/>
      </w:rPr>
      <w:t>2</w:t>
    </w:r>
    <w:r w:rsidRPr="00652411">
      <w:rPr>
        <w:rFonts w:cs="Lucida Sans Unicode"/>
        <w:sz w:val="16"/>
        <w:szCs w:val="16"/>
      </w:rPr>
      <w:fldChar w:fldCharType="end"/>
    </w:r>
    <w:r w:rsidRPr="00652411">
      <w:rPr>
        <w:rFonts w:cs="Lucida Sans Unicode"/>
        <w:sz w:val="16"/>
        <w:szCs w:val="16"/>
      </w:rPr>
      <w:t xml:space="preserve"> of </w:t>
    </w:r>
    <w:r w:rsidRPr="00652411">
      <w:rPr>
        <w:rFonts w:cs="Lucida Sans Unicode"/>
        <w:sz w:val="16"/>
        <w:szCs w:val="16"/>
      </w:rPr>
      <w:fldChar w:fldCharType="begin"/>
    </w:r>
    <w:r w:rsidRPr="00652411">
      <w:rPr>
        <w:rFonts w:cs="Lucida Sans Unicode"/>
        <w:sz w:val="16"/>
        <w:szCs w:val="16"/>
      </w:rPr>
      <w:instrText xml:space="preserve"> NUMPAGES </w:instrText>
    </w:r>
    <w:r w:rsidRPr="00652411">
      <w:rPr>
        <w:rFonts w:cs="Lucida Sans Unicode"/>
        <w:sz w:val="16"/>
        <w:szCs w:val="16"/>
      </w:rPr>
      <w:fldChar w:fldCharType="separate"/>
    </w:r>
    <w:r w:rsidR="005F6928">
      <w:rPr>
        <w:rFonts w:cs="Lucida Sans Unicode"/>
        <w:noProof/>
        <w:sz w:val="16"/>
        <w:szCs w:val="16"/>
      </w:rPr>
      <w:t>22</w:t>
    </w:r>
    <w:r w:rsidRPr="00652411">
      <w:rPr>
        <w:rFonts w:cs="Lucida Sans Unicode"/>
        <w:sz w:val="16"/>
        <w:szCs w:val="16"/>
      </w:rPr>
      <w:fldChar w:fldCharType="end"/>
    </w:r>
    <w:r w:rsidRPr="00652411">
      <w:rPr>
        <w:rFonts w:cs="Lucida Sans Unicode"/>
        <w:sz w:val="16"/>
        <w:szCs w:val="16"/>
      </w:rPr>
      <w:tab/>
    </w:r>
    <w:r w:rsidRPr="00652411">
      <w:rPr>
        <w:rFonts w:cs="Lucida Sans Unicode"/>
        <w:sz w:val="16"/>
        <w:szCs w:val="16"/>
      </w:rPr>
      <w:tab/>
    </w:r>
    <w:r w:rsidRPr="00652411">
      <w:rPr>
        <w:rFonts w:cs="Lucida Sans Unicode"/>
        <w:sz w:val="16"/>
        <w:szCs w:val="16"/>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2A6" w:rsidRPr="006153AC" w:rsidRDefault="003412A6" w:rsidP="000866FC">
    <w:pPr>
      <w:pBdr>
        <w:top w:val="single" w:sz="4" w:space="1" w:color="auto"/>
        <w:left w:val="single" w:sz="4" w:space="4" w:color="auto"/>
        <w:bottom w:val="single" w:sz="4" w:space="1" w:color="auto"/>
        <w:right w:val="single" w:sz="4" w:space="4" w:color="auto"/>
      </w:pBdr>
      <w:jc w:val="center"/>
      <w:rPr>
        <w:rFonts w:ascii="Calibri" w:hAnsi="Calibri" w:cs="Lucida Sans Unicode"/>
        <w:i/>
        <w:sz w:val="18"/>
        <w:szCs w:val="18"/>
      </w:rPr>
    </w:pPr>
    <w:r w:rsidRPr="006153AC">
      <w:rPr>
        <w:rFonts w:ascii="Calibri" w:hAnsi="Calibri" w:cs="Lucida Sans Unicode"/>
        <w:b/>
        <w:color w:val="FF0000"/>
        <w:sz w:val="18"/>
        <w:szCs w:val="18"/>
      </w:rPr>
      <w:t>PSIRU, Business School, University of Greenwich, Park Row, London SE10 9LS, U.K.</w:t>
    </w:r>
  </w:p>
  <w:p w:rsidR="003412A6" w:rsidRPr="006153AC" w:rsidRDefault="003412A6" w:rsidP="000866FC">
    <w:pPr>
      <w:pBdr>
        <w:top w:val="single" w:sz="4" w:space="1" w:color="auto"/>
        <w:left w:val="single" w:sz="4" w:space="4" w:color="auto"/>
        <w:bottom w:val="single" w:sz="4" w:space="1" w:color="auto"/>
        <w:right w:val="single" w:sz="4" w:space="4" w:color="auto"/>
      </w:pBdr>
      <w:jc w:val="center"/>
      <w:rPr>
        <w:rFonts w:ascii="Calibri" w:hAnsi="Calibri" w:cs="Lucida Sans Unicode"/>
        <w:sz w:val="18"/>
        <w:szCs w:val="18"/>
      </w:rPr>
    </w:pPr>
    <w:r w:rsidRPr="006153AC">
      <w:rPr>
        <w:rFonts w:ascii="Calibri" w:hAnsi="Calibri" w:cs="Lucida Sans Unicode"/>
        <w:iCs/>
        <w:sz w:val="18"/>
        <w:szCs w:val="18"/>
      </w:rPr>
      <w:t xml:space="preserve">Website: </w:t>
    </w:r>
    <w:hyperlink r:id="rId1" w:history="1">
      <w:r w:rsidRPr="006153AC">
        <w:rPr>
          <w:rStyle w:val="Hyperlink"/>
          <w:rFonts w:ascii="Calibri" w:hAnsi="Calibri" w:cs="Lucida Sans Unicode"/>
          <w:sz w:val="18"/>
          <w:szCs w:val="18"/>
        </w:rPr>
        <w:t>www.psiru.org</w:t>
      </w:r>
    </w:hyperlink>
    <w:r w:rsidRPr="006153AC">
      <w:rPr>
        <w:rFonts w:ascii="Calibri" w:hAnsi="Calibri" w:cs="Lucida Sans Unicode"/>
        <w:sz w:val="18"/>
        <w:szCs w:val="18"/>
      </w:rPr>
      <w:t xml:space="preserve">   </w:t>
    </w:r>
    <w:r w:rsidRPr="006153AC">
      <w:rPr>
        <w:rFonts w:ascii="Calibri" w:hAnsi="Calibri" w:cs="Lucida Sans Unicode"/>
        <w:i/>
        <w:sz w:val="18"/>
        <w:szCs w:val="18"/>
      </w:rPr>
      <w:t xml:space="preserve">Email: </w:t>
    </w:r>
    <w:hyperlink r:id="rId2" w:history="1">
      <w:r w:rsidRPr="004824D2">
        <w:rPr>
          <w:rStyle w:val="Hyperlink"/>
          <w:rFonts w:ascii="Calibri" w:hAnsi="Calibri" w:cs="Lucida Sans Unicode"/>
          <w:i/>
          <w:sz w:val="18"/>
          <w:szCs w:val="18"/>
        </w:rPr>
        <w:t>d.j.hall@gre.ac.uk</w:t>
      </w:r>
    </w:hyperlink>
    <w:r>
      <w:rPr>
        <w:rFonts w:ascii="Calibri" w:hAnsi="Calibri" w:cs="Lucida Sans Unicode"/>
        <w:i/>
        <w:sz w:val="18"/>
        <w:szCs w:val="18"/>
      </w:rPr>
      <w:t xml:space="preserve"> </w:t>
    </w:r>
    <w:r w:rsidRPr="006153AC">
      <w:rPr>
        <w:rFonts w:ascii="Calibri" w:hAnsi="Calibri" w:cs="Lucida Sans Unicode"/>
        <w:sz w:val="18"/>
        <w:szCs w:val="18"/>
      </w:rPr>
      <w:t xml:space="preserve"> </w:t>
    </w:r>
    <w:r w:rsidRPr="006153AC">
      <w:rPr>
        <w:rFonts w:ascii="Calibri" w:hAnsi="Calibri" w:cs="Lucida Sans Unicode"/>
        <w:i/>
        <w:sz w:val="18"/>
        <w:szCs w:val="18"/>
      </w:rPr>
      <w:t>Tel</w:t>
    </w:r>
    <w:r>
      <w:rPr>
        <w:rFonts w:ascii="Calibri" w:hAnsi="Calibri" w:cs="Lucida Sans Unicode"/>
        <w:sz w:val="18"/>
        <w:szCs w:val="18"/>
      </w:rPr>
      <w:t>: +44-(0)208-331-9933</w:t>
    </w:r>
  </w:p>
  <w:p w:rsidR="003412A6" w:rsidRPr="006153AC" w:rsidRDefault="003412A6" w:rsidP="000866FC">
    <w:pPr>
      <w:pBdr>
        <w:top w:val="single" w:sz="4" w:space="1" w:color="auto"/>
        <w:left w:val="single" w:sz="4" w:space="4" w:color="auto"/>
        <w:bottom w:val="single" w:sz="4" w:space="1" w:color="auto"/>
        <w:right w:val="single" w:sz="4" w:space="4" w:color="auto"/>
      </w:pBdr>
      <w:jc w:val="center"/>
      <w:rPr>
        <w:rFonts w:ascii="Calibri" w:hAnsi="Calibri" w:cs="Lucida Sans Unicode"/>
        <w:color w:val="FF0000"/>
        <w:sz w:val="18"/>
        <w:szCs w:val="18"/>
      </w:rPr>
    </w:pPr>
    <w:r w:rsidRPr="006153AC">
      <w:rPr>
        <w:rFonts w:ascii="Calibri" w:hAnsi="Calibri" w:cs="Lucida Sans Unicode"/>
        <w:color w:val="FF0000"/>
        <w:sz w:val="18"/>
        <w:szCs w:val="18"/>
      </w:rPr>
      <w:t xml:space="preserve">Prof. Stephen Thomas, David Hall (Director), Jane Lethbridge, Emanuele Lobina, </w:t>
    </w:r>
    <w:r>
      <w:rPr>
        <w:rFonts w:ascii="Calibri" w:hAnsi="Calibri" w:cs="Lucida Sans Unicode"/>
        <w:color w:val="FF0000"/>
        <w:sz w:val="18"/>
        <w:szCs w:val="18"/>
      </w:rPr>
      <w:t xml:space="preserve">Jenny Nguyen, </w:t>
    </w:r>
    <w:r w:rsidRPr="006153AC">
      <w:rPr>
        <w:rFonts w:ascii="Calibri" w:hAnsi="Calibri" w:cs="Lucida Sans Unicode"/>
        <w:color w:val="FF0000"/>
        <w:sz w:val="18"/>
        <w:szCs w:val="18"/>
      </w:rPr>
      <w:t xml:space="preserve">Vladimir Popov, </w:t>
    </w:r>
    <w:r>
      <w:rPr>
        <w:rFonts w:ascii="Calibri" w:hAnsi="Calibri" w:cs="Lucida Sans Unicode"/>
        <w:color w:val="FF0000"/>
        <w:sz w:val="18"/>
        <w:szCs w:val="18"/>
      </w:rPr>
      <w:t>Sandra van Niekerk</w:t>
    </w:r>
  </w:p>
  <w:p w:rsidR="003412A6" w:rsidRDefault="003412A6" w:rsidP="0052568E">
    <w:pPr>
      <w:jc w:val="both"/>
      <w:rPr>
        <w:rFonts w:ascii="Lucida Sans Unicode" w:hAnsi="Lucida Sans Unicode" w:cs="Lucida Sans Unicode"/>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034E" w:rsidRDefault="00E9034E" w:rsidP="00992566">
      <w:r>
        <w:separator/>
      </w:r>
    </w:p>
  </w:footnote>
  <w:footnote w:type="continuationSeparator" w:id="0">
    <w:p w:rsidR="00E9034E" w:rsidRDefault="00E9034E" w:rsidP="009925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2A6" w:rsidRPr="00652411" w:rsidRDefault="003412A6" w:rsidP="00507056">
    <w:pPr>
      <w:pStyle w:val="Header"/>
      <w:pBdr>
        <w:bottom w:val="single" w:sz="4" w:space="1" w:color="FF0000"/>
      </w:pBdr>
      <w:rPr>
        <w:rFonts w:cs="Lucida Sans Unicode"/>
        <w:sz w:val="16"/>
        <w:szCs w:val="16"/>
      </w:rPr>
    </w:pPr>
    <w:r w:rsidRPr="00652411">
      <w:rPr>
        <w:rFonts w:cs="Lucida Sans Unicode"/>
        <w:sz w:val="16"/>
        <w:szCs w:val="16"/>
      </w:rPr>
      <w:t xml:space="preserve">PSIRU University of Greenwich                           </w:t>
    </w:r>
    <w:r>
      <w:rPr>
        <w:rFonts w:cs="Lucida Sans Unicode"/>
        <w:sz w:val="16"/>
        <w:szCs w:val="16"/>
      </w:rPr>
      <w:t xml:space="preserve">                      </w:t>
    </w:r>
    <w:r w:rsidRPr="00652411">
      <w:rPr>
        <w:rFonts w:cs="Lucida Sans Unicode"/>
        <w:sz w:val="16"/>
        <w:szCs w:val="16"/>
      </w:rPr>
      <w:t xml:space="preserve">                                                                       </w:t>
    </w:r>
    <w:hyperlink r:id="rId1" w:history="1">
      <w:r w:rsidRPr="00652411">
        <w:rPr>
          <w:rStyle w:val="Hyperlink"/>
          <w:rFonts w:cs="Lucida Sans Unicode"/>
          <w:sz w:val="16"/>
          <w:szCs w:val="16"/>
        </w:rPr>
        <w:t>www.psiru.org</w:t>
      </w:r>
    </w:hyperlink>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2A6" w:rsidRDefault="003412A6" w:rsidP="00B05F6D">
    <w:pPr>
      <w:pStyle w:val="Header"/>
    </w:pPr>
    <w:r>
      <w:rPr>
        <w:noProof/>
      </w:rPr>
      <mc:AlternateContent>
        <mc:Choice Requires="wps">
          <w:drawing>
            <wp:anchor distT="0" distB="0" distL="114300" distR="114300" simplePos="0" relativeHeight="251657728" behindDoc="0" locked="0" layoutInCell="1" allowOverlap="1" wp14:anchorId="38EF5EFD" wp14:editId="521BEFD1">
              <wp:simplePos x="0" y="0"/>
              <wp:positionH relativeFrom="column">
                <wp:posOffset>1593902</wp:posOffset>
              </wp:positionH>
              <wp:positionV relativeFrom="paragraph">
                <wp:posOffset>50501</wp:posOffset>
              </wp:positionV>
              <wp:extent cx="4457700" cy="533193"/>
              <wp:effectExtent l="0" t="0" r="0" b="63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7700" cy="53319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412A6" w:rsidRPr="004E3457" w:rsidRDefault="003412A6" w:rsidP="00B05F6D">
                          <w:pPr>
                            <w:jc w:val="center"/>
                            <w:rPr>
                              <w:rFonts w:ascii="Lucida Sans Unicode" w:hAnsi="Lucida Sans Unicode" w:cs="Lucida Sans Unicode"/>
                              <w:b/>
                              <w:sz w:val="26"/>
                              <w:szCs w:val="26"/>
                            </w:rPr>
                          </w:pPr>
                          <w:r w:rsidRPr="004E3457">
                            <w:rPr>
                              <w:rFonts w:ascii="Lucida Sans Unicode" w:hAnsi="Lucida Sans Unicode" w:cs="Lucida Sans Unicode"/>
                              <w:b/>
                              <w:color w:val="FF0000"/>
                              <w:sz w:val="26"/>
                              <w:szCs w:val="26"/>
                            </w:rPr>
                            <w:t>Public Services International Research Unit (PSIRU)</w:t>
                          </w:r>
                          <w:r w:rsidRPr="004E3457">
                            <w:rPr>
                              <w:rFonts w:ascii="Lucida Sans Unicode" w:hAnsi="Lucida Sans Unicode" w:cs="Lucida Sans Unicode"/>
                              <w:b/>
                              <w:sz w:val="26"/>
                              <w:szCs w:val="26"/>
                            </w:rPr>
                            <w:t xml:space="preserve"> </w:t>
                          </w:r>
                        </w:p>
                        <w:p w:rsidR="003412A6" w:rsidRPr="00B05F6D" w:rsidRDefault="005F6928" w:rsidP="004E3457">
                          <w:pPr>
                            <w:spacing w:line="600" w:lineRule="auto"/>
                            <w:jc w:val="center"/>
                            <w:rPr>
                              <w:rFonts w:ascii="Lucida Sans Unicode" w:hAnsi="Lucida Sans Unicode" w:cs="Lucida Sans Unicode"/>
                              <w:sz w:val="20"/>
                              <w:szCs w:val="20"/>
                            </w:rPr>
                          </w:pPr>
                          <w:hyperlink r:id="rId1" w:history="1">
                            <w:r w:rsidR="003412A6" w:rsidRPr="00B05F6D">
                              <w:rPr>
                                <w:rStyle w:val="Hyperlink"/>
                                <w:rFonts w:ascii="Lucida Sans Unicode" w:hAnsi="Lucida Sans Unicode" w:cs="Lucida Sans Unicode"/>
                                <w:sz w:val="20"/>
                                <w:szCs w:val="20"/>
                                <w:u w:val="none"/>
                              </w:rPr>
                              <w:t>www.psiru.org</w:t>
                            </w:r>
                          </w:hyperlink>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EF5EFD" id="_x0000_t202" coordsize="21600,21600" o:spt="202" path="m,l,21600r21600,l21600,xe">
              <v:stroke joinstyle="miter"/>
              <v:path gradientshapeok="t" o:connecttype="rect"/>
            </v:shapetype>
            <v:shape id="Text Box 5" o:spid="_x0000_s1026" type="#_x0000_t202" style="position:absolute;margin-left:125.5pt;margin-top:4pt;width:351pt;height:4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" stroked="f">
              <v:textbox inset=".5mm,.3mm,.5mm,.3mm">
                <w:txbxContent>
                  <w:p w:rsidR="003412A6" w:rsidRPr="004E3457" w:rsidRDefault="003412A6" w:rsidP="00B05F6D">
                    <w:pPr>
                      <w:jc w:val="center"/>
                      <w:rPr>
                        <w:rFonts w:ascii="Lucida Sans Unicode" w:hAnsi="Lucida Sans Unicode" w:cs="Lucida Sans Unicode"/>
                        <w:b/>
                        <w:sz w:val="26"/>
                        <w:szCs w:val="26"/>
                      </w:rPr>
                    </w:pPr>
                    <w:r w:rsidRPr="004E3457">
                      <w:rPr>
                        <w:rFonts w:ascii="Lucida Sans Unicode" w:hAnsi="Lucida Sans Unicode" w:cs="Lucida Sans Unicode"/>
                        <w:b/>
                        <w:color w:val="FF0000"/>
                        <w:sz w:val="26"/>
                        <w:szCs w:val="26"/>
                      </w:rPr>
                      <w:t>Public Services International Research Unit (PSIRU)</w:t>
                    </w:r>
                    <w:r w:rsidRPr="004E3457">
                      <w:rPr>
                        <w:rFonts w:ascii="Lucida Sans Unicode" w:hAnsi="Lucida Sans Unicode" w:cs="Lucida Sans Unicode"/>
                        <w:b/>
                        <w:sz w:val="26"/>
                        <w:szCs w:val="26"/>
                      </w:rPr>
                      <w:t xml:space="preserve"> </w:t>
                    </w:r>
                  </w:p>
                  <w:p w:rsidR="003412A6" w:rsidRPr="00B05F6D" w:rsidRDefault="005F6928" w:rsidP="004E3457">
                    <w:pPr>
                      <w:spacing w:line="600" w:lineRule="auto"/>
                      <w:jc w:val="center"/>
                      <w:rPr>
                        <w:rFonts w:ascii="Lucida Sans Unicode" w:hAnsi="Lucida Sans Unicode" w:cs="Lucida Sans Unicode"/>
                        <w:sz w:val="20"/>
                        <w:szCs w:val="20"/>
                      </w:rPr>
                    </w:pPr>
                    <w:hyperlink r:id="rId2" w:history="1">
                      <w:r w:rsidR="003412A6" w:rsidRPr="00B05F6D">
                        <w:rPr>
                          <w:rStyle w:val="Hyperlink"/>
                          <w:rFonts w:ascii="Lucida Sans Unicode" w:hAnsi="Lucida Sans Unicode" w:cs="Lucida Sans Unicode"/>
                          <w:sz w:val="20"/>
                          <w:szCs w:val="20"/>
                          <w:u w:val="none"/>
                        </w:rPr>
                        <w:t>www.psiru.org</w:t>
                      </w:r>
                    </w:hyperlink>
                  </w:p>
                </w:txbxContent>
              </v:textbox>
            </v:shape>
          </w:pict>
        </mc:Fallback>
      </mc:AlternateContent>
    </w:r>
    <w:r>
      <w:rPr>
        <w:noProof/>
        <w:color w:val="0033FF"/>
      </w:rPr>
      <w:drawing>
        <wp:inline distT="0" distB="0" distL="0" distR="0" wp14:anchorId="14CC11F3" wp14:editId="73D955C4">
          <wp:extent cx="1446245" cy="580157"/>
          <wp:effectExtent l="0" t="0" r="1905" b="0"/>
          <wp:docPr id="1" name="Picture 1" descr="Image link: University of Greenwich Home Page">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link: University of Greenwich Home P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50975" cy="582054"/>
                  </a:xfrm>
                  <a:prstGeom prst="rect">
                    <a:avLst/>
                  </a:prstGeom>
                  <a:noFill/>
                  <a:ln>
                    <a:noFill/>
                  </a:ln>
                </pic:spPr>
              </pic:pic>
            </a:graphicData>
          </a:graphic>
        </wp:inline>
      </w:drawing>
    </w:r>
  </w:p>
  <w:p w:rsidR="003412A6" w:rsidRDefault="003412A6" w:rsidP="004E3457">
    <w:pPr>
      <w:pStyle w:val="Header"/>
      <w:pBdr>
        <w:bottom w:val="single" w:sz="4" w:space="1"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4D23DD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0FA74A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9286BDA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1BEC850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5DE5D2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B0524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450512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96059F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050492A"/>
    <w:lvl w:ilvl="0">
      <w:start w:val="1"/>
      <w:numFmt w:val="decimal"/>
      <w:pStyle w:val="ListNumber"/>
      <w:lvlText w:val="%1."/>
      <w:lvlJc w:val="left"/>
      <w:pPr>
        <w:tabs>
          <w:tab w:val="num" w:pos="360"/>
        </w:tabs>
        <w:ind w:left="360" w:hanging="360"/>
      </w:pPr>
    </w:lvl>
  </w:abstractNum>
  <w:abstractNum w:abstractNumId="9" w15:restartNumberingAfterBreak="0">
    <w:nsid w:val="04F27A33"/>
    <w:multiLevelType w:val="hybridMultilevel"/>
    <w:tmpl w:val="9B6C0B70"/>
    <w:lvl w:ilvl="0" w:tplc="D4D205C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667537E"/>
    <w:multiLevelType w:val="hybridMultilevel"/>
    <w:tmpl w:val="A83CA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EAA4D7C"/>
    <w:multiLevelType w:val="hybridMultilevel"/>
    <w:tmpl w:val="89609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B01A02"/>
    <w:multiLevelType w:val="hybridMultilevel"/>
    <w:tmpl w:val="D58C065E"/>
    <w:lvl w:ilvl="0" w:tplc="18E2F1DC">
      <w:start w:val="1"/>
      <w:numFmt w:val="upperLetter"/>
      <w:pStyle w:val="Heading8"/>
      <w:lvlText w:val="Chart %1."/>
      <w:lvlJc w:val="left"/>
      <w:pPr>
        <w:tabs>
          <w:tab w:val="num" w:pos="360"/>
        </w:tabs>
        <w:ind w:left="36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19DA019B"/>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C7E2B2D"/>
    <w:multiLevelType w:val="multilevel"/>
    <w:tmpl w:val="284AF4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7F166D5"/>
    <w:multiLevelType w:val="hybridMultilevel"/>
    <w:tmpl w:val="8716C1FE"/>
    <w:lvl w:ilvl="0" w:tplc="BFC6AA94">
      <w:start w:val="1"/>
      <w:numFmt w:val="decimal"/>
      <w:pStyle w:val="Heading7"/>
      <w:lvlText w:val="Table %1. "/>
      <w:lvlJc w:val="left"/>
      <w:pPr>
        <w:tabs>
          <w:tab w:val="num" w:pos="180"/>
        </w:tabs>
        <w:ind w:left="180" w:hanging="18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3AC964EB"/>
    <w:multiLevelType w:val="multilevel"/>
    <w:tmpl w:val="C436E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BC42172"/>
    <w:multiLevelType w:val="hybridMultilevel"/>
    <w:tmpl w:val="D2EC56EA"/>
    <w:lvl w:ilvl="0" w:tplc="D4D205C8">
      <w:numFmt w:val="bullet"/>
      <w:lvlText w:val="-"/>
      <w:lvlJc w:val="left"/>
      <w:pPr>
        <w:ind w:left="720" w:hanging="360"/>
      </w:pPr>
      <w:rPr>
        <w:rFonts w:ascii="Times New Roman" w:eastAsia="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EC7C14"/>
    <w:multiLevelType w:val="hybridMultilevel"/>
    <w:tmpl w:val="BA6418AC"/>
    <w:lvl w:ilvl="0" w:tplc="D4D205C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334AB6"/>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4BDB6786"/>
    <w:multiLevelType w:val="multilevel"/>
    <w:tmpl w:val="0DA8493A"/>
    <w:lvl w:ilvl="0">
      <w:start w:val="1"/>
      <w:numFmt w:val="decimal"/>
      <w:pStyle w:val="Heading1"/>
      <w:lvlText w:val="%1."/>
      <w:lvlJc w:val="left"/>
      <w:pPr>
        <w:tabs>
          <w:tab w:val="num" w:pos="360"/>
        </w:tabs>
        <w:ind w:left="360" w:hanging="360"/>
      </w:pPr>
      <w:rPr>
        <w:rFonts w:hint="default"/>
      </w:rPr>
    </w:lvl>
    <w:lvl w:ilvl="1">
      <w:start w:val="1"/>
      <w:numFmt w:val="decimal"/>
      <w:pStyle w:val="Heading2"/>
      <w:lvlText w:val="%1.%2."/>
      <w:lvlJc w:val="left"/>
      <w:pPr>
        <w:tabs>
          <w:tab w:val="num" w:pos="792"/>
        </w:tabs>
        <w:ind w:left="792" w:hanging="792"/>
      </w:pPr>
      <w:rPr>
        <w:rFonts w:hint="default"/>
      </w:rPr>
    </w:lvl>
    <w:lvl w:ilvl="2">
      <w:start w:val="1"/>
      <w:numFmt w:val="decimal"/>
      <w:pStyle w:val="Heading3"/>
      <w:lvlText w:val="%1.%2.%3."/>
      <w:lvlJc w:val="left"/>
      <w:pPr>
        <w:tabs>
          <w:tab w:val="num" w:pos="1224"/>
        </w:tabs>
        <w:ind w:left="1224" w:hanging="1224"/>
      </w:pPr>
      <w:rPr>
        <w:rFonts w:hint="default"/>
      </w:rPr>
    </w:lvl>
    <w:lvl w:ilvl="3">
      <w:start w:val="1"/>
      <w:numFmt w:val="decimal"/>
      <w:lvlText w:val="%1.%2.%3.%4."/>
      <w:lvlJc w:val="left"/>
      <w:pPr>
        <w:tabs>
          <w:tab w:val="num" w:pos="1800"/>
        </w:tabs>
        <w:ind w:left="1728" w:hanging="1728"/>
      </w:pPr>
      <w:rPr>
        <w:rFonts w:hint="default"/>
      </w:rPr>
    </w:lvl>
    <w:lvl w:ilvl="4">
      <w:start w:val="1"/>
      <w:numFmt w:val="decimal"/>
      <w:lvlText w:val="%1.%2.%3.%4.%5."/>
      <w:lvlJc w:val="left"/>
      <w:pPr>
        <w:tabs>
          <w:tab w:val="num" w:pos="2520"/>
        </w:tabs>
        <w:ind w:left="2232" w:hanging="223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516C7463"/>
    <w:multiLevelType w:val="multilevel"/>
    <w:tmpl w:val="170CAF02"/>
    <w:lvl w:ilvl="0">
      <w:start w:val="1"/>
      <w:numFmt w:val="decimal"/>
      <w:pStyle w:val="Heading9"/>
      <w:lvlText w:val="Annexe %1."/>
      <w:lvlJc w:val="left"/>
      <w:pPr>
        <w:tabs>
          <w:tab w:val="num" w:pos="360"/>
        </w:tabs>
        <w:ind w:left="360" w:hanging="360"/>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none"/>
      <w:pStyle w:val="Heading9"/>
      <w:lvlText w:val=""/>
      <w:lvlJc w:val="left"/>
      <w:pPr>
        <w:tabs>
          <w:tab w:val="num" w:pos="360"/>
        </w:tabs>
        <w:ind w:left="0" w:firstLine="0"/>
      </w:pPr>
      <w:rPr>
        <w:rFonts w:hint="default"/>
      </w:rPr>
    </w:lvl>
  </w:abstractNum>
  <w:abstractNum w:abstractNumId="22" w15:restartNumberingAfterBreak="0">
    <w:nsid w:val="5E9E0DAE"/>
    <w:multiLevelType w:val="multilevel"/>
    <w:tmpl w:val="F0BCF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A6168F3"/>
    <w:multiLevelType w:val="multilevel"/>
    <w:tmpl w:val="E8466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C0B2914"/>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6D022A0E"/>
    <w:multiLevelType w:val="multilevel"/>
    <w:tmpl w:val="2EFCD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CA80453"/>
    <w:multiLevelType w:val="hybridMultilevel"/>
    <w:tmpl w:val="3F38BF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1"/>
  </w:num>
  <w:num w:numId="2">
    <w:abstractNumId w:val="19"/>
  </w:num>
  <w:num w:numId="3">
    <w:abstractNumId w:val="24"/>
  </w:num>
  <w:num w:numId="4">
    <w:abstractNumId w:val="13"/>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2"/>
  </w:num>
  <w:num w:numId="15">
    <w:abstractNumId w:val="15"/>
  </w:num>
  <w:num w:numId="16">
    <w:abstractNumId w:val="20"/>
  </w:num>
  <w:num w:numId="17">
    <w:abstractNumId w:val="18"/>
  </w:num>
  <w:num w:numId="18">
    <w:abstractNumId w:val="9"/>
  </w:num>
  <w:num w:numId="19">
    <w:abstractNumId w:val="17"/>
  </w:num>
  <w:num w:numId="20">
    <w:abstractNumId w:val="10"/>
  </w:num>
  <w:num w:numId="21">
    <w:abstractNumId w:val="23"/>
  </w:num>
  <w:num w:numId="22">
    <w:abstractNumId w:val="14"/>
  </w:num>
  <w:num w:numId="23">
    <w:abstractNumId w:val="16"/>
  </w:num>
  <w:num w:numId="24">
    <w:abstractNumId w:val="25"/>
  </w:num>
  <w:num w:numId="25">
    <w:abstractNumId w:val="22"/>
  </w:num>
  <w:num w:numId="26">
    <w:abstractNumId w:val="11"/>
  </w:num>
  <w:num w:numId="27">
    <w:abstractNumId w:val="2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8" w:nlCheck="1" w:checkStyle="1"/>
  <w:activeWritingStyle w:appName="MSWord" w:lang="en-US" w:vendorID="64" w:dllVersion="131078" w:nlCheck="1" w:checkStyle="1"/>
  <w:activeWritingStyle w:appName="MSWord" w:lang="es-ES_tradnl" w:vendorID="64" w:dllVersion="131078" w:nlCheck="1" w:checkStyle="1"/>
  <w:activeWritingStyle w:appName="MSWord" w:lang="fr-FR" w:vendorID="64" w:dllVersion="131078" w:nlCheck="1" w:checkStyle="1"/>
  <w:activeWritingStyle w:appName="MSWord" w:lang="en-CA" w:vendorID="64" w:dllVersion="131078" w:nlCheck="1" w:checkStyle="1"/>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noPunctuationKerning/>
  <w:characterSpacingControl w:val="doNotCompress"/>
  <w:hdrShapeDefaults>
    <o:shapedefaults v:ext="edit" spidmax="4097" fillcolor="white" stroke="f">
      <v:fill color="white"/>
      <v:stroke on="f"/>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562A"/>
    <w:rsid w:val="000062E7"/>
    <w:rsid w:val="0000684E"/>
    <w:rsid w:val="000150DA"/>
    <w:rsid w:val="0002572F"/>
    <w:rsid w:val="00034838"/>
    <w:rsid w:val="00043954"/>
    <w:rsid w:val="000453DC"/>
    <w:rsid w:val="00045D78"/>
    <w:rsid w:val="00064246"/>
    <w:rsid w:val="0006503B"/>
    <w:rsid w:val="00066D6F"/>
    <w:rsid w:val="00075831"/>
    <w:rsid w:val="00083C73"/>
    <w:rsid w:val="000866FC"/>
    <w:rsid w:val="000909C0"/>
    <w:rsid w:val="00096B57"/>
    <w:rsid w:val="000A2AC1"/>
    <w:rsid w:val="000E0E62"/>
    <w:rsid w:val="000E5E31"/>
    <w:rsid w:val="000F0594"/>
    <w:rsid w:val="000F29CF"/>
    <w:rsid w:val="000F67FE"/>
    <w:rsid w:val="001006BE"/>
    <w:rsid w:val="0010473A"/>
    <w:rsid w:val="0010598C"/>
    <w:rsid w:val="00111A4B"/>
    <w:rsid w:val="0011367B"/>
    <w:rsid w:val="00114CD2"/>
    <w:rsid w:val="001162F9"/>
    <w:rsid w:val="0013512C"/>
    <w:rsid w:val="001447DE"/>
    <w:rsid w:val="00145829"/>
    <w:rsid w:val="00161C82"/>
    <w:rsid w:val="00165547"/>
    <w:rsid w:val="00170708"/>
    <w:rsid w:val="00183C0F"/>
    <w:rsid w:val="001857AE"/>
    <w:rsid w:val="00192740"/>
    <w:rsid w:val="00195BFD"/>
    <w:rsid w:val="001A179B"/>
    <w:rsid w:val="001A6276"/>
    <w:rsid w:val="001A6AD4"/>
    <w:rsid w:val="001B0361"/>
    <w:rsid w:val="001B0658"/>
    <w:rsid w:val="001B686F"/>
    <w:rsid w:val="001C2623"/>
    <w:rsid w:val="001C3713"/>
    <w:rsid w:val="001C4C40"/>
    <w:rsid w:val="001C7C88"/>
    <w:rsid w:val="001E7F0C"/>
    <w:rsid w:val="002150C3"/>
    <w:rsid w:val="00225FFB"/>
    <w:rsid w:val="00261C77"/>
    <w:rsid w:val="0027037F"/>
    <w:rsid w:val="002710B2"/>
    <w:rsid w:val="00273CE3"/>
    <w:rsid w:val="002A5AFA"/>
    <w:rsid w:val="002B1E7B"/>
    <w:rsid w:val="002C20B0"/>
    <w:rsid w:val="002D27F0"/>
    <w:rsid w:val="002D4863"/>
    <w:rsid w:val="002E0566"/>
    <w:rsid w:val="002E0AAE"/>
    <w:rsid w:val="002E23B8"/>
    <w:rsid w:val="002E2F98"/>
    <w:rsid w:val="002E5180"/>
    <w:rsid w:val="002F2A52"/>
    <w:rsid w:val="002F651B"/>
    <w:rsid w:val="00316070"/>
    <w:rsid w:val="00317BFE"/>
    <w:rsid w:val="00321BD6"/>
    <w:rsid w:val="00327AD1"/>
    <w:rsid w:val="00327D7F"/>
    <w:rsid w:val="0033034E"/>
    <w:rsid w:val="00332975"/>
    <w:rsid w:val="0033488F"/>
    <w:rsid w:val="003407E1"/>
    <w:rsid w:val="003412A6"/>
    <w:rsid w:val="00347E4D"/>
    <w:rsid w:val="00350CFB"/>
    <w:rsid w:val="0035661B"/>
    <w:rsid w:val="003634AF"/>
    <w:rsid w:val="00364142"/>
    <w:rsid w:val="003877E7"/>
    <w:rsid w:val="00392CEB"/>
    <w:rsid w:val="0039476B"/>
    <w:rsid w:val="003A04E4"/>
    <w:rsid w:val="003A1D8C"/>
    <w:rsid w:val="003A5667"/>
    <w:rsid w:val="003C2BBE"/>
    <w:rsid w:val="003D4DA5"/>
    <w:rsid w:val="003F0284"/>
    <w:rsid w:val="003F799E"/>
    <w:rsid w:val="00403479"/>
    <w:rsid w:val="00425E0C"/>
    <w:rsid w:val="004267F3"/>
    <w:rsid w:val="00436020"/>
    <w:rsid w:val="00446BED"/>
    <w:rsid w:val="00461A9D"/>
    <w:rsid w:val="004630B7"/>
    <w:rsid w:val="00465741"/>
    <w:rsid w:val="00471FE5"/>
    <w:rsid w:val="004808C9"/>
    <w:rsid w:val="00483E54"/>
    <w:rsid w:val="00486DA3"/>
    <w:rsid w:val="004873C9"/>
    <w:rsid w:val="0049363A"/>
    <w:rsid w:val="00496A2F"/>
    <w:rsid w:val="004A105D"/>
    <w:rsid w:val="004B36D2"/>
    <w:rsid w:val="004B77B5"/>
    <w:rsid w:val="004C0EE7"/>
    <w:rsid w:val="004C4047"/>
    <w:rsid w:val="004D1B2C"/>
    <w:rsid w:val="004D5CCA"/>
    <w:rsid w:val="004D76CA"/>
    <w:rsid w:val="004E16E5"/>
    <w:rsid w:val="004E3457"/>
    <w:rsid w:val="004F20E4"/>
    <w:rsid w:val="004F6AB7"/>
    <w:rsid w:val="00501BE1"/>
    <w:rsid w:val="0050342E"/>
    <w:rsid w:val="00507056"/>
    <w:rsid w:val="005125CE"/>
    <w:rsid w:val="00513626"/>
    <w:rsid w:val="005150F1"/>
    <w:rsid w:val="00515D49"/>
    <w:rsid w:val="0051627C"/>
    <w:rsid w:val="0052568E"/>
    <w:rsid w:val="00525CF4"/>
    <w:rsid w:val="00530F3B"/>
    <w:rsid w:val="0053417A"/>
    <w:rsid w:val="00547333"/>
    <w:rsid w:val="005506B0"/>
    <w:rsid w:val="00550C16"/>
    <w:rsid w:val="0055138A"/>
    <w:rsid w:val="00552D36"/>
    <w:rsid w:val="005562F6"/>
    <w:rsid w:val="005568C7"/>
    <w:rsid w:val="0055713A"/>
    <w:rsid w:val="005623E8"/>
    <w:rsid w:val="00563DFC"/>
    <w:rsid w:val="005660D3"/>
    <w:rsid w:val="005720BD"/>
    <w:rsid w:val="0058523C"/>
    <w:rsid w:val="005A2C11"/>
    <w:rsid w:val="005A2E0D"/>
    <w:rsid w:val="005B79B6"/>
    <w:rsid w:val="005C2ABC"/>
    <w:rsid w:val="005E1B53"/>
    <w:rsid w:val="005F2323"/>
    <w:rsid w:val="005F6928"/>
    <w:rsid w:val="006010E2"/>
    <w:rsid w:val="0060416A"/>
    <w:rsid w:val="00607D42"/>
    <w:rsid w:val="00614184"/>
    <w:rsid w:val="00614982"/>
    <w:rsid w:val="006153AC"/>
    <w:rsid w:val="0061695B"/>
    <w:rsid w:val="006200D3"/>
    <w:rsid w:val="00626E6A"/>
    <w:rsid w:val="00627529"/>
    <w:rsid w:val="00637A8F"/>
    <w:rsid w:val="00652411"/>
    <w:rsid w:val="00655FA6"/>
    <w:rsid w:val="00656079"/>
    <w:rsid w:val="00660212"/>
    <w:rsid w:val="00662554"/>
    <w:rsid w:val="006641F7"/>
    <w:rsid w:val="006669E8"/>
    <w:rsid w:val="0067670C"/>
    <w:rsid w:val="00686B1F"/>
    <w:rsid w:val="00686E1B"/>
    <w:rsid w:val="00687220"/>
    <w:rsid w:val="006A253C"/>
    <w:rsid w:val="006A4A21"/>
    <w:rsid w:val="006C2D16"/>
    <w:rsid w:val="006C6EC9"/>
    <w:rsid w:val="006E3235"/>
    <w:rsid w:val="006E700F"/>
    <w:rsid w:val="0071157C"/>
    <w:rsid w:val="0071267B"/>
    <w:rsid w:val="00712C83"/>
    <w:rsid w:val="0071380B"/>
    <w:rsid w:val="0071442C"/>
    <w:rsid w:val="00716E19"/>
    <w:rsid w:val="00725BBC"/>
    <w:rsid w:val="00734938"/>
    <w:rsid w:val="00750D56"/>
    <w:rsid w:val="00751122"/>
    <w:rsid w:val="0075299D"/>
    <w:rsid w:val="00754B69"/>
    <w:rsid w:val="007602C7"/>
    <w:rsid w:val="00762CBD"/>
    <w:rsid w:val="00766B48"/>
    <w:rsid w:val="00766CE0"/>
    <w:rsid w:val="0077241E"/>
    <w:rsid w:val="007742DD"/>
    <w:rsid w:val="007753FB"/>
    <w:rsid w:val="0078087D"/>
    <w:rsid w:val="00785AC1"/>
    <w:rsid w:val="007934FC"/>
    <w:rsid w:val="007B1F8A"/>
    <w:rsid w:val="007B4131"/>
    <w:rsid w:val="007D1ED3"/>
    <w:rsid w:val="007D2981"/>
    <w:rsid w:val="007D5645"/>
    <w:rsid w:val="007E0A6E"/>
    <w:rsid w:val="007E6C75"/>
    <w:rsid w:val="00814BF3"/>
    <w:rsid w:val="00822888"/>
    <w:rsid w:val="00833426"/>
    <w:rsid w:val="00834131"/>
    <w:rsid w:val="008347FF"/>
    <w:rsid w:val="00843522"/>
    <w:rsid w:val="008456A3"/>
    <w:rsid w:val="00852707"/>
    <w:rsid w:val="00865672"/>
    <w:rsid w:val="00865859"/>
    <w:rsid w:val="0088003D"/>
    <w:rsid w:val="00881FF5"/>
    <w:rsid w:val="00884A02"/>
    <w:rsid w:val="008964E7"/>
    <w:rsid w:val="008A2C4F"/>
    <w:rsid w:val="008A31DD"/>
    <w:rsid w:val="008B0B7D"/>
    <w:rsid w:val="008C5E4E"/>
    <w:rsid w:val="008D62F6"/>
    <w:rsid w:val="008D65E8"/>
    <w:rsid w:val="008E3E21"/>
    <w:rsid w:val="00907477"/>
    <w:rsid w:val="00913143"/>
    <w:rsid w:val="009139DA"/>
    <w:rsid w:val="0092182D"/>
    <w:rsid w:val="009218D1"/>
    <w:rsid w:val="009269BE"/>
    <w:rsid w:val="009269C7"/>
    <w:rsid w:val="009317DD"/>
    <w:rsid w:val="00941894"/>
    <w:rsid w:val="0094190A"/>
    <w:rsid w:val="0094739F"/>
    <w:rsid w:val="00962556"/>
    <w:rsid w:val="00963209"/>
    <w:rsid w:val="0096325B"/>
    <w:rsid w:val="00963F76"/>
    <w:rsid w:val="00970E88"/>
    <w:rsid w:val="00977366"/>
    <w:rsid w:val="00986BA3"/>
    <w:rsid w:val="00992566"/>
    <w:rsid w:val="009926BC"/>
    <w:rsid w:val="00992B4E"/>
    <w:rsid w:val="009A3171"/>
    <w:rsid w:val="009A3610"/>
    <w:rsid w:val="009A7593"/>
    <w:rsid w:val="009A79DB"/>
    <w:rsid w:val="009A7FA7"/>
    <w:rsid w:val="009B106C"/>
    <w:rsid w:val="009B562A"/>
    <w:rsid w:val="009C1FBA"/>
    <w:rsid w:val="009C5015"/>
    <w:rsid w:val="009C63C4"/>
    <w:rsid w:val="009C7DC8"/>
    <w:rsid w:val="009D1818"/>
    <w:rsid w:val="009D4705"/>
    <w:rsid w:val="009D58F6"/>
    <w:rsid w:val="009E7E2C"/>
    <w:rsid w:val="009F1511"/>
    <w:rsid w:val="009F4F54"/>
    <w:rsid w:val="009F6A1B"/>
    <w:rsid w:val="00A02EA8"/>
    <w:rsid w:val="00A034C3"/>
    <w:rsid w:val="00A35DF9"/>
    <w:rsid w:val="00A47BA5"/>
    <w:rsid w:val="00A64F62"/>
    <w:rsid w:val="00A65448"/>
    <w:rsid w:val="00A745FE"/>
    <w:rsid w:val="00A80547"/>
    <w:rsid w:val="00A859E1"/>
    <w:rsid w:val="00A8659B"/>
    <w:rsid w:val="00A87FCA"/>
    <w:rsid w:val="00A978F5"/>
    <w:rsid w:val="00AA467F"/>
    <w:rsid w:val="00AA6544"/>
    <w:rsid w:val="00AB11B7"/>
    <w:rsid w:val="00AB31E6"/>
    <w:rsid w:val="00AB69FE"/>
    <w:rsid w:val="00AB7C7A"/>
    <w:rsid w:val="00AC669A"/>
    <w:rsid w:val="00AD4EAC"/>
    <w:rsid w:val="00AF0E93"/>
    <w:rsid w:val="00AF1484"/>
    <w:rsid w:val="00AF489C"/>
    <w:rsid w:val="00AF617C"/>
    <w:rsid w:val="00B00CB9"/>
    <w:rsid w:val="00B05F6D"/>
    <w:rsid w:val="00B1269D"/>
    <w:rsid w:val="00B14332"/>
    <w:rsid w:val="00B2237E"/>
    <w:rsid w:val="00B32728"/>
    <w:rsid w:val="00B3769F"/>
    <w:rsid w:val="00B50157"/>
    <w:rsid w:val="00B54020"/>
    <w:rsid w:val="00B55310"/>
    <w:rsid w:val="00B56193"/>
    <w:rsid w:val="00B63541"/>
    <w:rsid w:val="00BB2A2F"/>
    <w:rsid w:val="00BB4B3F"/>
    <w:rsid w:val="00BC28E9"/>
    <w:rsid w:val="00BC3AC9"/>
    <w:rsid w:val="00BC74C2"/>
    <w:rsid w:val="00BD1FEE"/>
    <w:rsid w:val="00BD3CE5"/>
    <w:rsid w:val="00C00FCF"/>
    <w:rsid w:val="00C05010"/>
    <w:rsid w:val="00C06050"/>
    <w:rsid w:val="00C25B25"/>
    <w:rsid w:val="00C358F0"/>
    <w:rsid w:val="00C36C3D"/>
    <w:rsid w:val="00C42076"/>
    <w:rsid w:val="00C53CF3"/>
    <w:rsid w:val="00C5544B"/>
    <w:rsid w:val="00C62EDB"/>
    <w:rsid w:val="00C715D3"/>
    <w:rsid w:val="00C77503"/>
    <w:rsid w:val="00C90BB5"/>
    <w:rsid w:val="00C944F8"/>
    <w:rsid w:val="00C94564"/>
    <w:rsid w:val="00C9486B"/>
    <w:rsid w:val="00C94E13"/>
    <w:rsid w:val="00C96184"/>
    <w:rsid w:val="00CA68F6"/>
    <w:rsid w:val="00CA6B21"/>
    <w:rsid w:val="00CB1593"/>
    <w:rsid w:val="00CB4D7F"/>
    <w:rsid w:val="00CC58D0"/>
    <w:rsid w:val="00CC6A26"/>
    <w:rsid w:val="00CD05DF"/>
    <w:rsid w:val="00CD5E72"/>
    <w:rsid w:val="00CE09B3"/>
    <w:rsid w:val="00CE2A80"/>
    <w:rsid w:val="00CE5016"/>
    <w:rsid w:val="00CF4C66"/>
    <w:rsid w:val="00CF7806"/>
    <w:rsid w:val="00D0297F"/>
    <w:rsid w:val="00D07A15"/>
    <w:rsid w:val="00D12868"/>
    <w:rsid w:val="00D33BE8"/>
    <w:rsid w:val="00D36960"/>
    <w:rsid w:val="00D424D5"/>
    <w:rsid w:val="00D456AA"/>
    <w:rsid w:val="00D516C7"/>
    <w:rsid w:val="00D5219B"/>
    <w:rsid w:val="00D52E47"/>
    <w:rsid w:val="00D60C21"/>
    <w:rsid w:val="00D66853"/>
    <w:rsid w:val="00D70217"/>
    <w:rsid w:val="00D73447"/>
    <w:rsid w:val="00D8799E"/>
    <w:rsid w:val="00D90026"/>
    <w:rsid w:val="00D966FE"/>
    <w:rsid w:val="00DA0A13"/>
    <w:rsid w:val="00DA5658"/>
    <w:rsid w:val="00DA6D09"/>
    <w:rsid w:val="00DB15B2"/>
    <w:rsid w:val="00DB228E"/>
    <w:rsid w:val="00DC64A4"/>
    <w:rsid w:val="00DC6A00"/>
    <w:rsid w:val="00DC7241"/>
    <w:rsid w:val="00DD13DC"/>
    <w:rsid w:val="00DD41F7"/>
    <w:rsid w:val="00DD6C8B"/>
    <w:rsid w:val="00DF0A9B"/>
    <w:rsid w:val="00DF5EA8"/>
    <w:rsid w:val="00E03F4D"/>
    <w:rsid w:val="00E074ED"/>
    <w:rsid w:val="00E16EE5"/>
    <w:rsid w:val="00E20083"/>
    <w:rsid w:val="00E2546B"/>
    <w:rsid w:val="00E46AE6"/>
    <w:rsid w:val="00E52E2E"/>
    <w:rsid w:val="00E618F8"/>
    <w:rsid w:val="00E643C0"/>
    <w:rsid w:val="00E718FF"/>
    <w:rsid w:val="00E811F9"/>
    <w:rsid w:val="00E9034E"/>
    <w:rsid w:val="00E90C9B"/>
    <w:rsid w:val="00EA0CCA"/>
    <w:rsid w:val="00EA130F"/>
    <w:rsid w:val="00EA597B"/>
    <w:rsid w:val="00EA5A74"/>
    <w:rsid w:val="00EB20A5"/>
    <w:rsid w:val="00EB259A"/>
    <w:rsid w:val="00EC3548"/>
    <w:rsid w:val="00EC3651"/>
    <w:rsid w:val="00EC48D2"/>
    <w:rsid w:val="00EC6184"/>
    <w:rsid w:val="00ED0688"/>
    <w:rsid w:val="00ED0750"/>
    <w:rsid w:val="00ED1ABA"/>
    <w:rsid w:val="00EE44D0"/>
    <w:rsid w:val="00EE4E88"/>
    <w:rsid w:val="00EE7938"/>
    <w:rsid w:val="00EE7AAD"/>
    <w:rsid w:val="00EF28C8"/>
    <w:rsid w:val="00EF6CD0"/>
    <w:rsid w:val="00F0006E"/>
    <w:rsid w:val="00F004B7"/>
    <w:rsid w:val="00F10199"/>
    <w:rsid w:val="00F20695"/>
    <w:rsid w:val="00F2154D"/>
    <w:rsid w:val="00F24F37"/>
    <w:rsid w:val="00F279AA"/>
    <w:rsid w:val="00F304EB"/>
    <w:rsid w:val="00F362CD"/>
    <w:rsid w:val="00F4077F"/>
    <w:rsid w:val="00F41F91"/>
    <w:rsid w:val="00F435FA"/>
    <w:rsid w:val="00F4551F"/>
    <w:rsid w:val="00F4791B"/>
    <w:rsid w:val="00F63967"/>
    <w:rsid w:val="00F644B5"/>
    <w:rsid w:val="00F70D78"/>
    <w:rsid w:val="00F73465"/>
    <w:rsid w:val="00F77490"/>
    <w:rsid w:val="00F8065D"/>
    <w:rsid w:val="00F808DA"/>
    <w:rsid w:val="00F81BBD"/>
    <w:rsid w:val="00FB3BD6"/>
    <w:rsid w:val="00FC124E"/>
    <w:rsid w:val="00FC3740"/>
    <w:rsid w:val="00FC72E0"/>
    <w:rsid w:val="00FD1B91"/>
    <w:rsid w:val="00FE1BED"/>
    <w:rsid w:val="00FF46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4097" fillcolor="white" stroke="f">
      <v:fill color="white"/>
      <v:stroke on="f"/>
    </o:shapedefaults>
    <o:shapelayout v:ext="edit">
      <o:idmap v:ext="edit" data="1"/>
    </o:shapelayout>
  </w:shapeDefaults>
  <w:decimalSymbol w:val="."/>
  <w:listSeparator w:val=","/>
  <w15:docId w15:val="{057013C2-97CA-4889-9611-B1613B105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7477"/>
    <w:rPr>
      <w:rFonts w:asciiTheme="minorHAnsi" w:hAnsiTheme="minorHAnsi"/>
      <w:sz w:val="22"/>
      <w:szCs w:val="24"/>
    </w:rPr>
  </w:style>
  <w:style w:type="paragraph" w:styleId="Heading1">
    <w:name w:val="heading 1"/>
    <w:basedOn w:val="Normal"/>
    <w:next w:val="Normal"/>
    <w:qFormat/>
    <w:rsid w:val="00515D49"/>
    <w:pPr>
      <w:keepNext/>
      <w:numPr>
        <w:numId w:val="16"/>
      </w:numPr>
      <w:spacing w:before="240" w:after="120"/>
      <w:outlineLvl w:val="0"/>
    </w:pPr>
    <w:rPr>
      <w:rFonts w:ascii="Trebuchet MS" w:hAnsi="Trebuchet MS" w:cs="Arial"/>
      <w:b/>
      <w:bCs/>
      <w:kern w:val="32"/>
      <w:sz w:val="24"/>
      <w:szCs w:val="32"/>
      <w:lang w:eastAsia="en-US"/>
    </w:rPr>
  </w:style>
  <w:style w:type="paragraph" w:styleId="Heading2">
    <w:name w:val="heading 2"/>
    <w:basedOn w:val="Normal"/>
    <w:next w:val="Normal"/>
    <w:link w:val="Heading2Char"/>
    <w:qFormat/>
    <w:rsid w:val="00515D49"/>
    <w:pPr>
      <w:keepNext/>
      <w:numPr>
        <w:ilvl w:val="1"/>
        <w:numId w:val="16"/>
      </w:numPr>
      <w:spacing w:before="240" w:after="60"/>
      <w:outlineLvl w:val="1"/>
    </w:pPr>
    <w:rPr>
      <w:rFonts w:ascii="Trebuchet MS" w:hAnsi="Trebuchet MS" w:cs="Arial"/>
      <w:b/>
      <w:bCs/>
      <w:iCs/>
      <w:szCs w:val="28"/>
      <w:lang w:eastAsia="en-US"/>
    </w:rPr>
  </w:style>
  <w:style w:type="paragraph" w:styleId="Heading3">
    <w:name w:val="heading 3"/>
    <w:aliases w:val="H3"/>
    <w:basedOn w:val="Normal"/>
    <w:next w:val="Normal"/>
    <w:qFormat/>
    <w:rsid w:val="00515D49"/>
    <w:pPr>
      <w:keepNext/>
      <w:numPr>
        <w:ilvl w:val="2"/>
        <w:numId w:val="16"/>
      </w:numPr>
      <w:spacing w:before="120" w:after="60"/>
      <w:outlineLvl w:val="2"/>
    </w:pPr>
    <w:rPr>
      <w:rFonts w:ascii="Trebuchet MS" w:hAnsi="Trebuchet MS" w:cs="Arial"/>
      <w:b/>
      <w:bCs/>
      <w:sz w:val="20"/>
      <w:szCs w:val="26"/>
      <w:lang w:eastAsia="en-US"/>
    </w:rPr>
  </w:style>
  <w:style w:type="paragraph" w:styleId="Heading4">
    <w:name w:val="heading 4"/>
    <w:basedOn w:val="Normal"/>
    <w:next w:val="Normal"/>
    <w:qFormat/>
    <w:rsid w:val="00043954"/>
    <w:pPr>
      <w:keepNext/>
      <w:numPr>
        <w:ilvl w:val="3"/>
        <w:numId w:val="1"/>
      </w:numPr>
      <w:spacing w:before="60" w:after="60"/>
      <w:ind w:left="0" w:firstLine="0"/>
      <w:outlineLvl w:val="3"/>
    </w:pPr>
    <w:rPr>
      <w:rFonts w:ascii="Trebuchet MS" w:hAnsi="Trebuchet MS"/>
      <w:b/>
      <w:bCs/>
      <w:sz w:val="20"/>
      <w:szCs w:val="28"/>
      <w:lang w:eastAsia="en-US"/>
    </w:rPr>
  </w:style>
  <w:style w:type="paragraph" w:styleId="Heading5">
    <w:name w:val="heading 5"/>
    <w:basedOn w:val="Normal"/>
    <w:next w:val="Normal"/>
    <w:qFormat/>
    <w:rsid w:val="00043954"/>
    <w:pPr>
      <w:numPr>
        <w:ilvl w:val="4"/>
        <w:numId w:val="1"/>
      </w:numPr>
      <w:spacing w:before="240" w:after="60"/>
      <w:outlineLvl w:val="4"/>
    </w:pPr>
    <w:rPr>
      <w:rFonts w:ascii="Trebuchet MS" w:hAnsi="Trebuchet MS"/>
      <w:b/>
      <w:bCs/>
      <w:iCs/>
      <w:sz w:val="20"/>
      <w:szCs w:val="26"/>
      <w:lang w:eastAsia="en-US"/>
    </w:rPr>
  </w:style>
  <w:style w:type="paragraph" w:styleId="Heading6">
    <w:name w:val="heading 6"/>
    <w:basedOn w:val="Normal"/>
    <w:next w:val="Normal"/>
    <w:qFormat/>
    <w:rsid w:val="006E3235"/>
    <w:pPr>
      <w:numPr>
        <w:ilvl w:val="5"/>
        <w:numId w:val="1"/>
      </w:numPr>
      <w:spacing w:before="240" w:after="60"/>
      <w:outlineLvl w:val="5"/>
    </w:pPr>
    <w:rPr>
      <w:bCs/>
      <w:szCs w:val="22"/>
      <w:lang w:eastAsia="en-US"/>
    </w:rPr>
  </w:style>
  <w:style w:type="paragraph" w:styleId="Heading7">
    <w:name w:val="heading 7"/>
    <w:basedOn w:val="Normal"/>
    <w:next w:val="Normal"/>
    <w:qFormat/>
    <w:rsid w:val="00D0297F"/>
    <w:pPr>
      <w:numPr>
        <w:numId w:val="15"/>
      </w:numPr>
      <w:spacing w:before="240" w:after="60"/>
      <w:outlineLvl w:val="6"/>
    </w:pPr>
    <w:rPr>
      <w:rFonts w:ascii="Trebuchet MS" w:hAnsi="Trebuchet MS"/>
      <w:b/>
      <w:sz w:val="20"/>
      <w:lang w:eastAsia="en-US"/>
    </w:rPr>
  </w:style>
  <w:style w:type="paragraph" w:styleId="Heading8">
    <w:name w:val="heading 8"/>
    <w:basedOn w:val="Normal"/>
    <w:next w:val="Normal"/>
    <w:qFormat/>
    <w:rsid w:val="00D0297F"/>
    <w:pPr>
      <w:numPr>
        <w:numId w:val="14"/>
      </w:numPr>
      <w:spacing w:before="240" w:after="60"/>
      <w:outlineLvl w:val="7"/>
    </w:pPr>
    <w:rPr>
      <w:rFonts w:ascii="Trebuchet MS" w:hAnsi="Trebuchet MS"/>
      <w:b/>
      <w:iCs/>
      <w:sz w:val="20"/>
      <w:lang w:eastAsia="en-US"/>
    </w:rPr>
  </w:style>
  <w:style w:type="paragraph" w:styleId="Heading9">
    <w:name w:val="heading 9"/>
    <w:basedOn w:val="Normal"/>
    <w:next w:val="Normal"/>
    <w:qFormat/>
    <w:rsid w:val="00D0297F"/>
    <w:pPr>
      <w:numPr>
        <w:numId w:val="1"/>
      </w:numPr>
      <w:spacing w:before="240" w:after="60"/>
      <w:outlineLvl w:val="8"/>
    </w:pPr>
    <w:rPr>
      <w:rFonts w:ascii="Trebuchet MS" w:hAnsi="Trebuchet MS" w:cs="Arial"/>
      <w:b/>
      <w:sz w:val="20"/>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E3235"/>
    <w:pPr>
      <w:tabs>
        <w:tab w:val="center" w:pos="4153"/>
        <w:tab w:val="right" w:pos="8306"/>
      </w:tabs>
    </w:pPr>
    <w:rPr>
      <w:rFonts w:ascii="Lucida Sans Unicode" w:hAnsi="Lucida Sans Unicode"/>
      <w:sz w:val="18"/>
    </w:rPr>
  </w:style>
  <w:style w:type="paragraph" w:styleId="Footer">
    <w:name w:val="footer"/>
    <w:basedOn w:val="Normal"/>
    <w:rsid w:val="006E3235"/>
    <w:pPr>
      <w:tabs>
        <w:tab w:val="center" w:pos="4153"/>
        <w:tab w:val="right" w:pos="8306"/>
      </w:tabs>
    </w:pPr>
    <w:rPr>
      <w:rFonts w:ascii="Lucida Sans Unicode" w:hAnsi="Lucida Sans Unicode"/>
      <w:sz w:val="18"/>
    </w:rPr>
  </w:style>
  <w:style w:type="character" w:styleId="Hyperlink">
    <w:name w:val="Hyperlink"/>
    <w:basedOn w:val="DefaultParagraphFont"/>
    <w:uiPriority w:val="99"/>
    <w:rsid w:val="00814BF3"/>
    <w:rPr>
      <w:color w:val="0000FF"/>
      <w:u w:val="single"/>
    </w:rPr>
  </w:style>
  <w:style w:type="table" w:styleId="TableList6">
    <w:name w:val="Table List 6"/>
    <w:basedOn w:val="TableNormal"/>
    <w:semiHidden/>
    <w:rsid w:val="00D90026"/>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D90026"/>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D90026"/>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D9002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D90026"/>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D90026"/>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D90026"/>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D90026"/>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D90026"/>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D900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D90026"/>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D90026"/>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D90026"/>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styleId="111111">
    <w:name w:val="Outline List 2"/>
    <w:basedOn w:val="NoList"/>
    <w:semiHidden/>
    <w:rsid w:val="007B1F8A"/>
    <w:pPr>
      <w:numPr>
        <w:numId w:val="2"/>
      </w:numPr>
    </w:pPr>
  </w:style>
  <w:style w:type="numbering" w:styleId="1ai">
    <w:name w:val="Outline List 1"/>
    <w:basedOn w:val="NoList"/>
    <w:semiHidden/>
    <w:rsid w:val="007B1F8A"/>
    <w:pPr>
      <w:numPr>
        <w:numId w:val="3"/>
      </w:numPr>
    </w:pPr>
  </w:style>
  <w:style w:type="numbering" w:styleId="ArticleSection">
    <w:name w:val="Outline List 3"/>
    <w:basedOn w:val="NoList"/>
    <w:semiHidden/>
    <w:rsid w:val="007B1F8A"/>
    <w:pPr>
      <w:numPr>
        <w:numId w:val="4"/>
      </w:numPr>
    </w:pPr>
  </w:style>
  <w:style w:type="paragraph" w:styleId="BlockText">
    <w:name w:val="Block Text"/>
    <w:basedOn w:val="Normal"/>
    <w:semiHidden/>
    <w:rsid w:val="007B1F8A"/>
    <w:pPr>
      <w:spacing w:after="120"/>
      <w:ind w:left="1440" w:right="1440"/>
    </w:pPr>
  </w:style>
  <w:style w:type="paragraph" w:styleId="BodyText2">
    <w:name w:val="Body Text 2"/>
    <w:basedOn w:val="Normal"/>
    <w:semiHidden/>
    <w:rsid w:val="007B1F8A"/>
    <w:pPr>
      <w:spacing w:after="120" w:line="480" w:lineRule="auto"/>
    </w:pPr>
  </w:style>
  <w:style w:type="paragraph" w:styleId="BodyText3">
    <w:name w:val="Body Text 3"/>
    <w:basedOn w:val="Normal"/>
    <w:semiHidden/>
    <w:rsid w:val="007B1F8A"/>
    <w:pPr>
      <w:spacing w:after="120"/>
    </w:pPr>
    <w:rPr>
      <w:sz w:val="16"/>
      <w:szCs w:val="16"/>
    </w:rPr>
  </w:style>
  <w:style w:type="paragraph" w:styleId="BodyText">
    <w:name w:val="Body Text"/>
    <w:basedOn w:val="Normal"/>
    <w:rsid w:val="008964E7"/>
  </w:style>
  <w:style w:type="paragraph" w:styleId="BodyTextFirstIndent">
    <w:name w:val="Body Text First Indent"/>
    <w:basedOn w:val="BodyText"/>
    <w:semiHidden/>
    <w:rsid w:val="007B1F8A"/>
    <w:pPr>
      <w:ind w:firstLine="210"/>
    </w:pPr>
  </w:style>
  <w:style w:type="paragraph" w:styleId="BodyTextIndent">
    <w:name w:val="Body Text Indent"/>
    <w:basedOn w:val="Normal"/>
    <w:semiHidden/>
    <w:rsid w:val="007B1F8A"/>
    <w:pPr>
      <w:spacing w:after="120"/>
      <w:ind w:left="283"/>
    </w:pPr>
  </w:style>
  <w:style w:type="paragraph" w:styleId="BodyTextFirstIndent2">
    <w:name w:val="Body Text First Indent 2"/>
    <w:basedOn w:val="BodyTextIndent"/>
    <w:semiHidden/>
    <w:rsid w:val="007B1F8A"/>
    <w:pPr>
      <w:ind w:firstLine="210"/>
    </w:pPr>
  </w:style>
  <w:style w:type="paragraph" w:styleId="BodyTextIndent2">
    <w:name w:val="Body Text Indent 2"/>
    <w:basedOn w:val="Normal"/>
    <w:semiHidden/>
    <w:rsid w:val="007B1F8A"/>
    <w:pPr>
      <w:spacing w:after="120" w:line="480" w:lineRule="auto"/>
      <w:ind w:left="283"/>
    </w:pPr>
  </w:style>
  <w:style w:type="paragraph" w:styleId="BodyTextIndent3">
    <w:name w:val="Body Text Indent 3"/>
    <w:basedOn w:val="Normal"/>
    <w:semiHidden/>
    <w:rsid w:val="007B1F8A"/>
    <w:pPr>
      <w:spacing w:after="120"/>
      <w:ind w:left="283"/>
    </w:pPr>
    <w:rPr>
      <w:sz w:val="16"/>
      <w:szCs w:val="16"/>
    </w:rPr>
  </w:style>
  <w:style w:type="paragraph" w:styleId="Closing">
    <w:name w:val="Closing"/>
    <w:basedOn w:val="Normal"/>
    <w:semiHidden/>
    <w:rsid w:val="007B1F8A"/>
    <w:pPr>
      <w:ind w:left="4252"/>
    </w:pPr>
  </w:style>
  <w:style w:type="paragraph" w:styleId="Date">
    <w:name w:val="Date"/>
    <w:basedOn w:val="Normal"/>
    <w:next w:val="Normal"/>
    <w:semiHidden/>
    <w:rsid w:val="007B1F8A"/>
  </w:style>
  <w:style w:type="paragraph" w:styleId="E-mailSignature">
    <w:name w:val="E-mail Signature"/>
    <w:basedOn w:val="Normal"/>
    <w:semiHidden/>
    <w:rsid w:val="007B1F8A"/>
  </w:style>
  <w:style w:type="character" w:styleId="Emphasis">
    <w:name w:val="Emphasis"/>
    <w:basedOn w:val="DefaultParagraphFont"/>
    <w:uiPriority w:val="20"/>
    <w:qFormat/>
    <w:rsid w:val="007B1F8A"/>
    <w:rPr>
      <w:i/>
      <w:iCs/>
    </w:rPr>
  </w:style>
  <w:style w:type="paragraph" w:styleId="EndnoteText">
    <w:name w:val="endnote text"/>
    <w:aliases w:val="Endnote Text Char,Endnote Text Char1 Char,Endnote Text Char Char Char Char1 Char,Endnote Text Char Char Char Char Char Char,Endnote Text Char Char Char Char Char Char Char Char Char,Endnote Text Char1,Endnote Text Char Char Char Char1"/>
    <w:basedOn w:val="Normal"/>
    <w:link w:val="EndnoteTextChar2"/>
    <w:rsid w:val="007B1F8A"/>
    <w:rPr>
      <w:sz w:val="20"/>
      <w:szCs w:val="20"/>
    </w:rPr>
  </w:style>
  <w:style w:type="paragraph" w:styleId="EnvelopeAddress">
    <w:name w:val="envelope address"/>
    <w:basedOn w:val="Normal"/>
    <w:semiHidden/>
    <w:rsid w:val="007B1F8A"/>
    <w:pPr>
      <w:framePr w:w="7920" w:h="1980" w:hRule="exact" w:hSpace="180" w:wrap="auto" w:hAnchor="page" w:xAlign="center" w:yAlign="bottom"/>
      <w:ind w:left="2880"/>
    </w:pPr>
    <w:rPr>
      <w:rFonts w:ascii="Arial" w:hAnsi="Arial" w:cs="Arial"/>
      <w:sz w:val="24"/>
    </w:rPr>
  </w:style>
  <w:style w:type="paragraph" w:styleId="EnvelopeReturn">
    <w:name w:val="envelope return"/>
    <w:basedOn w:val="Normal"/>
    <w:semiHidden/>
    <w:rsid w:val="007B1F8A"/>
    <w:rPr>
      <w:rFonts w:ascii="Arial" w:hAnsi="Arial" w:cs="Arial"/>
      <w:sz w:val="20"/>
      <w:szCs w:val="20"/>
    </w:rPr>
  </w:style>
  <w:style w:type="character" w:styleId="FollowedHyperlink">
    <w:name w:val="FollowedHyperlink"/>
    <w:basedOn w:val="DefaultParagraphFont"/>
    <w:semiHidden/>
    <w:rsid w:val="007B1F8A"/>
    <w:rPr>
      <w:color w:val="800080"/>
      <w:u w:val="single"/>
    </w:rPr>
  </w:style>
  <w:style w:type="character" w:styleId="HTMLAcronym">
    <w:name w:val="HTML Acronym"/>
    <w:basedOn w:val="DefaultParagraphFont"/>
    <w:semiHidden/>
    <w:rsid w:val="007B1F8A"/>
  </w:style>
  <w:style w:type="paragraph" w:styleId="HTMLAddress">
    <w:name w:val="HTML Address"/>
    <w:basedOn w:val="Normal"/>
    <w:semiHidden/>
    <w:rsid w:val="007B1F8A"/>
    <w:rPr>
      <w:i/>
      <w:iCs/>
    </w:rPr>
  </w:style>
  <w:style w:type="character" w:styleId="HTMLCite">
    <w:name w:val="HTML Cite"/>
    <w:basedOn w:val="DefaultParagraphFont"/>
    <w:semiHidden/>
    <w:rsid w:val="007B1F8A"/>
    <w:rPr>
      <w:i/>
      <w:iCs/>
    </w:rPr>
  </w:style>
  <w:style w:type="character" w:styleId="HTMLCode">
    <w:name w:val="HTML Code"/>
    <w:basedOn w:val="DefaultParagraphFont"/>
    <w:semiHidden/>
    <w:rsid w:val="007B1F8A"/>
    <w:rPr>
      <w:rFonts w:ascii="Courier New" w:hAnsi="Courier New" w:cs="Courier New"/>
      <w:sz w:val="20"/>
      <w:szCs w:val="20"/>
    </w:rPr>
  </w:style>
  <w:style w:type="character" w:styleId="HTMLDefinition">
    <w:name w:val="HTML Definition"/>
    <w:basedOn w:val="DefaultParagraphFont"/>
    <w:semiHidden/>
    <w:rsid w:val="007B1F8A"/>
    <w:rPr>
      <w:i/>
      <w:iCs/>
    </w:rPr>
  </w:style>
  <w:style w:type="character" w:styleId="HTMLKeyboard">
    <w:name w:val="HTML Keyboard"/>
    <w:basedOn w:val="DefaultParagraphFont"/>
    <w:semiHidden/>
    <w:rsid w:val="007B1F8A"/>
    <w:rPr>
      <w:rFonts w:ascii="Courier New" w:hAnsi="Courier New" w:cs="Courier New"/>
      <w:sz w:val="20"/>
      <w:szCs w:val="20"/>
    </w:rPr>
  </w:style>
  <w:style w:type="paragraph" w:styleId="HTMLPreformatted">
    <w:name w:val="HTML Preformatted"/>
    <w:basedOn w:val="Normal"/>
    <w:semiHidden/>
    <w:rsid w:val="007B1F8A"/>
    <w:rPr>
      <w:rFonts w:ascii="Courier New" w:hAnsi="Courier New" w:cs="Courier New"/>
      <w:sz w:val="20"/>
      <w:szCs w:val="20"/>
    </w:rPr>
  </w:style>
  <w:style w:type="character" w:styleId="HTMLSample">
    <w:name w:val="HTML Sample"/>
    <w:basedOn w:val="DefaultParagraphFont"/>
    <w:semiHidden/>
    <w:rsid w:val="007B1F8A"/>
    <w:rPr>
      <w:rFonts w:ascii="Courier New" w:hAnsi="Courier New" w:cs="Courier New"/>
    </w:rPr>
  </w:style>
  <w:style w:type="character" w:styleId="HTMLTypewriter">
    <w:name w:val="HTML Typewriter"/>
    <w:basedOn w:val="DefaultParagraphFont"/>
    <w:semiHidden/>
    <w:rsid w:val="007B1F8A"/>
    <w:rPr>
      <w:rFonts w:ascii="Courier New" w:hAnsi="Courier New" w:cs="Courier New"/>
      <w:sz w:val="20"/>
      <w:szCs w:val="20"/>
    </w:rPr>
  </w:style>
  <w:style w:type="character" w:styleId="HTMLVariable">
    <w:name w:val="HTML Variable"/>
    <w:basedOn w:val="DefaultParagraphFont"/>
    <w:semiHidden/>
    <w:rsid w:val="007B1F8A"/>
    <w:rPr>
      <w:i/>
      <w:iCs/>
    </w:rPr>
  </w:style>
  <w:style w:type="character" w:styleId="LineNumber">
    <w:name w:val="line number"/>
    <w:basedOn w:val="DefaultParagraphFont"/>
    <w:semiHidden/>
    <w:rsid w:val="007B1F8A"/>
  </w:style>
  <w:style w:type="paragraph" w:styleId="List">
    <w:name w:val="List"/>
    <w:basedOn w:val="Normal"/>
    <w:semiHidden/>
    <w:rsid w:val="007B1F8A"/>
    <w:pPr>
      <w:ind w:left="283" w:hanging="283"/>
    </w:pPr>
  </w:style>
  <w:style w:type="paragraph" w:styleId="List2">
    <w:name w:val="List 2"/>
    <w:basedOn w:val="Normal"/>
    <w:semiHidden/>
    <w:rsid w:val="007B1F8A"/>
    <w:pPr>
      <w:ind w:left="566" w:hanging="283"/>
    </w:pPr>
  </w:style>
  <w:style w:type="paragraph" w:styleId="List3">
    <w:name w:val="List 3"/>
    <w:basedOn w:val="Normal"/>
    <w:semiHidden/>
    <w:rsid w:val="007B1F8A"/>
    <w:pPr>
      <w:ind w:left="849" w:hanging="283"/>
    </w:pPr>
  </w:style>
  <w:style w:type="paragraph" w:styleId="List4">
    <w:name w:val="List 4"/>
    <w:basedOn w:val="Normal"/>
    <w:semiHidden/>
    <w:rsid w:val="007B1F8A"/>
    <w:pPr>
      <w:ind w:left="1132" w:hanging="283"/>
    </w:pPr>
  </w:style>
  <w:style w:type="paragraph" w:styleId="List5">
    <w:name w:val="List 5"/>
    <w:basedOn w:val="Normal"/>
    <w:semiHidden/>
    <w:rsid w:val="007B1F8A"/>
    <w:pPr>
      <w:ind w:left="1415" w:hanging="283"/>
    </w:pPr>
  </w:style>
  <w:style w:type="paragraph" w:styleId="ListBullet2">
    <w:name w:val="List Bullet 2"/>
    <w:basedOn w:val="Normal"/>
    <w:autoRedefine/>
    <w:semiHidden/>
    <w:rsid w:val="007B1F8A"/>
    <w:pPr>
      <w:numPr>
        <w:numId w:val="5"/>
      </w:numPr>
    </w:pPr>
  </w:style>
  <w:style w:type="paragraph" w:styleId="ListBullet3">
    <w:name w:val="List Bullet 3"/>
    <w:basedOn w:val="Normal"/>
    <w:autoRedefine/>
    <w:semiHidden/>
    <w:rsid w:val="007B1F8A"/>
    <w:pPr>
      <w:numPr>
        <w:numId w:val="6"/>
      </w:numPr>
    </w:pPr>
  </w:style>
  <w:style w:type="paragraph" w:styleId="ListBullet4">
    <w:name w:val="List Bullet 4"/>
    <w:basedOn w:val="Normal"/>
    <w:autoRedefine/>
    <w:semiHidden/>
    <w:rsid w:val="007B1F8A"/>
    <w:pPr>
      <w:numPr>
        <w:numId w:val="7"/>
      </w:numPr>
    </w:pPr>
  </w:style>
  <w:style w:type="paragraph" w:styleId="ListBullet5">
    <w:name w:val="List Bullet 5"/>
    <w:basedOn w:val="Normal"/>
    <w:autoRedefine/>
    <w:semiHidden/>
    <w:rsid w:val="007B1F8A"/>
    <w:pPr>
      <w:numPr>
        <w:numId w:val="8"/>
      </w:numPr>
    </w:pPr>
  </w:style>
  <w:style w:type="paragraph" w:styleId="ListContinue">
    <w:name w:val="List Continue"/>
    <w:basedOn w:val="Normal"/>
    <w:semiHidden/>
    <w:rsid w:val="007B1F8A"/>
    <w:pPr>
      <w:spacing w:after="120"/>
      <w:ind w:left="283"/>
    </w:pPr>
  </w:style>
  <w:style w:type="paragraph" w:styleId="ListContinue2">
    <w:name w:val="List Continue 2"/>
    <w:basedOn w:val="Normal"/>
    <w:semiHidden/>
    <w:rsid w:val="007B1F8A"/>
    <w:pPr>
      <w:spacing w:after="120"/>
      <w:ind w:left="566"/>
    </w:pPr>
  </w:style>
  <w:style w:type="paragraph" w:styleId="ListContinue3">
    <w:name w:val="List Continue 3"/>
    <w:basedOn w:val="Normal"/>
    <w:semiHidden/>
    <w:rsid w:val="007B1F8A"/>
    <w:pPr>
      <w:spacing w:after="120"/>
      <w:ind w:left="849"/>
    </w:pPr>
  </w:style>
  <w:style w:type="paragraph" w:styleId="ListContinue4">
    <w:name w:val="List Continue 4"/>
    <w:basedOn w:val="Normal"/>
    <w:semiHidden/>
    <w:rsid w:val="007B1F8A"/>
    <w:pPr>
      <w:spacing w:after="120"/>
      <w:ind w:left="1132"/>
    </w:pPr>
  </w:style>
  <w:style w:type="paragraph" w:styleId="ListContinue5">
    <w:name w:val="List Continue 5"/>
    <w:basedOn w:val="Normal"/>
    <w:semiHidden/>
    <w:rsid w:val="007B1F8A"/>
    <w:pPr>
      <w:spacing w:after="120"/>
      <w:ind w:left="1415"/>
    </w:pPr>
  </w:style>
  <w:style w:type="paragraph" w:styleId="ListNumber">
    <w:name w:val="List Number"/>
    <w:basedOn w:val="Normal"/>
    <w:semiHidden/>
    <w:rsid w:val="007B1F8A"/>
    <w:pPr>
      <w:numPr>
        <w:numId w:val="9"/>
      </w:numPr>
    </w:pPr>
  </w:style>
  <w:style w:type="paragraph" w:styleId="ListNumber2">
    <w:name w:val="List Number 2"/>
    <w:basedOn w:val="Normal"/>
    <w:semiHidden/>
    <w:rsid w:val="007B1F8A"/>
    <w:pPr>
      <w:numPr>
        <w:numId w:val="10"/>
      </w:numPr>
    </w:pPr>
  </w:style>
  <w:style w:type="paragraph" w:styleId="ListNumber3">
    <w:name w:val="List Number 3"/>
    <w:basedOn w:val="Normal"/>
    <w:semiHidden/>
    <w:rsid w:val="007B1F8A"/>
    <w:pPr>
      <w:numPr>
        <w:numId w:val="11"/>
      </w:numPr>
    </w:pPr>
  </w:style>
  <w:style w:type="paragraph" w:styleId="ListNumber4">
    <w:name w:val="List Number 4"/>
    <w:basedOn w:val="Normal"/>
    <w:semiHidden/>
    <w:rsid w:val="007B1F8A"/>
    <w:pPr>
      <w:numPr>
        <w:numId w:val="12"/>
      </w:numPr>
    </w:pPr>
  </w:style>
  <w:style w:type="paragraph" w:styleId="ListNumber5">
    <w:name w:val="List Number 5"/>
    <w:basedOn w:val="Normal"/>
    <w:semiHidden/>
    <w:rsid w:val="007B1F8A"/>
    <w:pPr>
      <w:numPr>
        <w:numId w:val="13"/>
      </w:numPr>
    </w:pPr>
  </w:style>
  <w:style w:type="paragraph" w:styleId="MessageHeader">
    <w:name w:val="Message Header"/>
    <w:basedOn w:val="Normal"/>
    <w:semiHidden/>
    <w:rsid w:val="007B1F8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paragraph" w:styleId="NormalWeb">
    <w:name w:val="Normal (Web)"/>
    <w:basedOn w:val="Normal"/>
    <w:uiPriority w:val="99"/>
    <w:semiHidden/>
    <w:rsid w:val="007B1F8A"/>
    <w:rPr>
      <w:sz w:val="24"/>
    </w:rPr>
  </w:style>
  <w:style w:type="paragraph" w:styleId="NormalIndent">
    <w:name w:val="Normal Indent"/>
    <w:basedOn w:val="Normal"/>
    <w:semiHidden/>
    <w:rsid w:val="007B1F8A"/>
    <w:pPr>
      <w:ind w:left="720"/>
    </w:pPr>
  </w:style>
  <w:style w:type="paragraph" w:styleId="NoteHeading">
    <w:name w:val="Note Heading"/>
    <w:basedOn w:val="Normal"/>
    <w:next w:val="Normal"/>
    <w:semiHidden/>
    <w:rsid w:val="007B1F8A"/>
  </w:style>
  <w:style w:type="character" w:styleId="PageNumber">
    <w:name w:val="page number"/>
    <w:basedOn w:val="DefaultParagraphFont"/>
    <w:semiHidden/>
    <w:rsid w:val="007B1F8A"/>
  </w:style>
  <w:style w:type="paragraph" w:styleId="PlainText">
    <w:name w:val="Plain Text"/>
    <w:basedOn w:val="Normal"/>
    <w:semiHidden/>
    <w:rsid w:val="007B1F8A"/>
    <w:rPr>
      <w:rFonts w:ascii="Courier New" w:hAnsi="Courier New" w:cs="Courier New"/>
      <w:sz w:val="20"/>
      <w:szCs w:val="20"/>
    </w:rPr>
  </w:style>
  <w:style w:type="paragraph" w:styleId="Salutation">
    <w:name w:val="Salutation"/>
    <w:basedOn w:val="Normal"/>
    <w:next w:val="Normal"/>
    <w:semiHidden/>
    <w:rsid w:val="007B1F8A"/>
  </w:style>
  <w:style w:type="paragraph" w:styleId="Signature">
    <w:name w:val="Signature"/>
    <w:basedOn w:val="Normal"/>
    <w:semiHidden/>
    <w:rsid w:val="007B1F8A"/>
    <w:pPr>
      <w:ind w:left="4252"/>
    </w:pPr>
  </w:style>
  <w:style w:type="character" w:styleId="Strong">
    <w:name w:val="Strong"/>
    <w:basedOn w:val="DefaultParagraphFont"/>
    <w:uiPriority w:val="22"/>
    <w:qFormat/>
    <w:rsid w:val="007B1F8A"/>
    <w:rPr>
      <w:b/>
      <w:bCs/>
    </w:rPr>
  </w:style>
  <w:style w:type="paragraph" w:styleId="Subtitle">
    <w:name w:val="Subtitle"/>
    <w:basedOn w:val="Normal"/>
    <w:qFormat/>
    <w:rsid w:val="00515D49"/>
    <w:pPr>
      <w:spacing w:after="60"/>
      <w:jc w:val="center"/>
      <w:outlineLvl w:val="1"/>
    </w:pPr>
    <w:rPr>
      <w:rFonts w:ascii="Lucida Sans Unicode" w:hAnsi="Lucida Sans Unicode" w:cs="Arial"/>
      <w:b/>
      <w:color w:val="FF0000"/>
      <w:sz w:val="24"/>
    </w:rPr>
  </w:style>
  <w:style w:type="table" w:styleId="Table3Deffects1">
    <w:name w:val="Table 3D effects 1"/>
    <w:basedOn w:val="TableNormal"/>
    <w:semiHidden/>
    <w:rsid w:val="007B1F8A"/>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7B1F8A"/>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7B1F8A"/>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7B1F8A"/>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7B1F8A"/>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7B1F8A"/>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2">
    <w:name w:val="Table Colorful 2"/>
    <w:basedOn w:val="TableNormal"/>
    <w:semiHidden/>
    <w:rsid w:val="007B1F8A"/>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7B1F8A"/>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2">
    <w:name w:val="Table Columns 2"/>
    <w:basedOn w:val="TableNormal"/>
    <w:semiHidden/>
    <w:rsid w:val="007B1F8A"/>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7B1F8A"/>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7B1F8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7B1F8A"/>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7B1F8A"/>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7B1F8A"/>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7B1F8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7B1F8A"/>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7B1F8A"/>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7B1F8A"/>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7B1F8A"/>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7B1F8A"/>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7B1F8A"/>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7B1F8A"/>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7B1F8A"/>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7B1F8A"/>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7B1F8A"/>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7B1F8A"/>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7B1F8A"/>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styleId="TOC1">
    <w:name w:val="toc 1"/>
    <w:basedOn w:val="Normal"/>
    <w:next w:val="Normal"/>
    <w:autoRedefine/>
    <w:uiPriority w:val="39"/>
    <w:rsid w:val="007B1F8A"/>
    <w:pPr>
      <w:spacing w:before="120" w:after="120"/>
    </w:pPr>
    <w:rPr>
      <w:b/>
      <w:bCs/>
      <w:caps/>
      <w:sz w:val="20"/>
      <w:szCs w:val="20"/>
    </w:rPr>
  </w:style>
  <w:style w:type="paragraph" w:styleId="Title">
    <w:name w:val="Title"/>
    <w:basedOn w:val="Normal"/>
    <w:qFormat/>
    <w:rsid w:val="007B1F8A"/>
    <w:pPr>
      <w:spacing w:before="240" w:after="60"/>
      <w:jc w:val="center"/>
      <w:outlineLvl w:val="0"/>
    </w:pPr>
    <w:rPr>
      <w:rFonts w:ascii="Lucida Sans Unicode" w:hAnsi="Lucida Sans Unicode" w:cs="Arial"/>
      <w:b/>
      <w:bCs/>
      <w:color w:val="FF0000"/>
      <w:kern w:val="28"/>
      <w:sz w:val="36"/>
      <w:szCs w:val="32"/>
    </w:rPr>
  </w:style>
  <w:style w:type="paragraph" w:styleId="TOC2">
    <w:name w:val="toc 2"/>
    <w:basedOn w:val="Normal"/>
    <w:next w:val="Normal"/>
    <w:autoRedefine/>
    <w:uiPriority w:val="39"/>
    <w:rsid w:val="007B1F8A"/>
    <w:pPr>
      <w:ind w:left="220"/>
    </w:pPr>
    <w:rPr>
      <w:smallCaps/>
      <w:sz w:val="20"/>
      <w:szCs w:val="20"/>
    </w:rPr>
  </w:style>
  <w:style w:type="paragraph" w:styleId="TOC3">
    <w:name w:val="toc 3"/>
    <w:basedOn w:val="Normal"/>
    <w:next w:val="Normal"/>
    <w:autoRedefine/>
    <w:uiPriority w:val="39"/>
    <w:rsid w:val="00A87FCA"/>
    <w:pPr>
      <w:ind w:left="440"/>
    </w:pPr>
    <w:rPr>
      <w:iCs/>
      <w:sz w:val="20"/>
      <w:szCs w:val="20"/>
    </w:rPr>
  </w:style>
  <w:style w:type="paragraph" w:styleId="TOC4">
    <w:name w:val="toc 4"/>
    <w:basedOn w:val="Normal"/>
    <w:next w:val="Normal"/>
    <w:autoRedefine/>
    <w:uiPriority w:val="39"/>
    <w:rsid w:val="007B1F8A"/>
    <w:pPr>
      <w:ind w:left="660"/>
    </w:pPr>
    <w:rPr>
      <w:sz w:val="18"/>
      <w:szCs w:val="18"/>
    </w:rPr>
  </w:style>
  <w:style w:type="paragraph" w:styleId="TOC5">
    <w:name w:val="toc 5"/>
    <w:basedOn w:val="Normal"/>
    <w:next w:val="Normal"/>
    <w:autoRedefine/>
    <w:semiHidden/>
    <w:rsid w:val="007B1F8A"/>
    <w:pPr>
      <w:ind w:left="880"/>
    </w:pPr>
    <w:rPr>
      <w:sz w:val="18"/>
      <w:szCs w:val="18"/>
    </w:rPr>
  </w:style>
  <w:style w:type="paragraph" w:styleId="TOC6">
    <w:name w:val="toc 6"/>
    <w:basedOn w:val="Normal"/>
    <w:next w:val="Normal"/>
    <w:autoRedefine/>
    <w:semiHidden/>
    <w:rsid w:val="007B1F8A"/>
    <w:pPr>
      <w:ind w:left="1100"/>
    </w:pPr>
    <w:rPr>
      <w:sz w:val="18"/>
      <w:szCs w:val="18"/>
    </w:rPr>
  </w:style>
  <w:style w:type="paragraph" w:styleId="TOC7">
    <w:name w:val="toc 7"/>
    <w:basedOn w:val="Normal"/>
    <w:next w:val="Normal"/>
    <w:autoRedefine/>
    <w:semiHidden/>
    <w:rsid w:val="007B1F8A"/>
    <w:pPr>
      <w:ind w:left="1320"/>
    </w:pPr>
    <w:rPr>
      <w:sz w:val="18"/>
      <w:szCs w:val="18"/>
    </w:rPr>
  </w:style>
  <w:style w:type="paragraph" w:styleId="TOC8">
    <w:name w:val="toc 8"/>
    <w:basedOn w:val="Normal"/>
    <w:next w:val="Normal"/>
    <w:autoRedefine/>
    <w:semiHidden/>
    <w:rsid w:val="007B1F8A"/>
    <w:pPr>
      <w:ind w:left="1540"/>
    </w:pPr>
    <w:rPr>
      <w:sz w:val="18"/>
      <w:szCs w:val="18"/>
    </w:rPr>
  </w:style>
  <w:style w:type="paragraph" w:styleId="TOC9">
    <w:name w:val="toc 9"/>
    <w:basedOn w:val="Normal"/>
    <w:next w:val="Normal"/>
    <w:autoRedefine/>
    <w:semiHidden/>
    <w:rsid w:val="007B1F8A"/>
    <w:pPr>
      <w:ind w:left="1760"/>
    </w:pPr>
    <w:rPr>
      <w:sz w:val="18"/>
      <w:szCs w:val="18"/>
    </w:rPr>
  </w:style>
  <w:style w:type="paragraph" w:styleId="DocumentMap">
    <w:name w:val="Document Map"/>
    <w:basedOn w:val="Normal"/>
    <w:rsid w:val="00515D49"/>
    <w:pPr>
      <w:shd w:val="clear" w:color="auto" w:fill="000080"/>
    </w:pPr>
    <w:rPr>
      <w:rFonts w:ascii="Browallia New" w:hAnsi="Browallia New" w:cs="Tahoma"/>
      <w:sz w:val="16"/>
    </w:rPr>
  </w:style>
  <w:style w:type="paragraph" w:styleId="BalloonText">
    <w:name w:val="Balloon Text"/>
    <w:basedOn w:val="Normal"/>
    <w:link w:val="BalloonTextChar"/>
    <w:uiPriority w:val="99"/>
    <w:semiHidden/>
    <w:unhideWhenUsed/>
    <w:rsid w:val="00ED0688"/>
    <w:rPr>
      <w:rFonts w:ascii="Tahoma" w:hAnsi="Tahoma" w:cs="Tahoma"/>
      <w:sz w:val="16"/>
      <w:szCs w:val="16"/>
    </w:rPr>
  </w:style>
  <w:style w:type="character" w:customStyle="1" w:styleId="BalloonTextChar">
    <w:name w:val="Balloon Text Char"/>
    <w:basedOn w:val="DefaultParagraphFont"/>
    <w:link w:val="BalloonText"/>
    <w:uiPriority w:val="99"/>
    <w:semiHidden/>
    <w:rsid w:val="00ED0688"/>
    <w:rPr>
      <w:rFonts w:ascii="Tahoma" w:hAnsi="Tahoma" w:cs="Tahoma"/>
      <w:sz w:val="16"/>
      <w:szCs w:val="16"/>
    </w:rPr>
  </w:style>
  <w:style w:type="paragraph" w:customStyle="1" w:styleId="post-meta">
    <w:name w:val="post-meta"/>
    <w:basedOn w:val="Normal"/>
    <w:rsid w:val="004267F3"/>
    <w:pPr>
      <w:spacing w:before="100" w:beforeAutospacing="1" w:after="100" w:afterAutospacing="1"/>
    </w:pPr>
    <w:rPr>
      <w:sz w:val="24"/>
    </w:rPr>
  </w:style>
  <w:style w:type="character" w:customStyle="1" w:styleId="post-author">
    <w:name w:val="post-author"/>
    <w:basedOn w:val="DefaultParagraphFont"/>
    <w:rsid w:val="004267F3"/>
  </w:style>
  <w:style w:type="character" w:customStyle="1" w:styleId="post-category">
    <w:name w:val="post-category"/>
    <w:basedOn w:val="DefaultParagraphFont"/>
    <w:rsid w:val="004267F3"/>
  </w:style>
  <w:style w:type="character" w:customStyle="1" w:styleId="post-comment">
    <w:name w:val="post-comment"/>
    <w:basedOn w:val="DefaultParagraphFont"/>
    <w:rsid w:val="004267F3"/>
  </w:style>
  <w:style w:type="character" w:customStyle="1" w:styleId="post-tag">
    <w:name w:val="post-tag"/>
    <w:basedOn w:val="DefaultParagraphFont"/>
    <w:rsid w:val="004267F3"/>
  </w:style>
  <w:style w:type="paragraph" w:styleId="ListParagraph">
    <w:name w:val="List Paragraph"/>
    <w:basedOn w:val="Normal"/>
    <w:uiPriority w:val="34"/>
    <w:qFormat/>
    <w:rsid w:val="004267F3"/>
    <w:pPr>
      <w:ind w:left="720"/>
      <w:contextualSpacing/>
    </w:pPr>
  </w:style>
  <w:style w:type="character" w:styleId="EndnoteReference">
    <w:name w:val="endnote reference"/>
    <w:basedOn w:val="DefaultParagraphFont"/>
    <w:unhideWhenUsed/>
    <w:rsid w:val="009B106C"/>
    <w:rPr>
      <w:vertAlign w:val="superscript"/>
    </w:rPr>
  </w:style>
  <w:style w:type="character" w:customStyle="1" w:styleId="Heading2Char">
    <w:name w:val="Heading 2 Char"/>
    <w:basedOn w:val="DefaultParagraphFont"/>
    <w:link w:val="Heading2"/>
    <w:rsid w:val="009B106C"/>
    <w:rPr>
      <w:rFonts w:ascii="Trebuchet MS" w:hAnsi="Trebuchet MS" w:cs="Arial"/>
      <w:b/>
      <w:bCs/>
      <w:iCs/>
      <w:sz w:val="22"/>
      <w:szCs w:val="28"/>
      <w:lang w:eastAsia="en-US"/>
    </w:rPr>
  </w:style>
  <w:style w:type="character" w:customStyle="1" w:styleId="posted-on">
    <w:name w:val="posted-on"/>
    <w:basedOn w:val="DefaultParagraphFont"/>
    <w:rsid w:val="009B106C"/>
  </w:style>
  <w:style w:type="character" w:customStyle="1" w:styleId="EndnoteCharacters">
    <w:name w:val="Endnote Characters"/>
    <w:rsid w:val="00525CF4"/>
    <w:rPr>
      <w:vertAlign w:val="superscript"/>
    </w:rPr>
  </w:style>
  <w:style w:type="table" w:styleId="TableGrid">
    <w:name w:val="Table Grid"/>
    <w:basedOn w:val="TableNormal"/>
    <w:uiPriority w:val="59"/>
    <w:rsid w:val="00AF61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dnoteTextChar2">
    <w:name w:val="Endnote Text Char2"/>
    <w:aliases w:val="Endnote Text Char Char,Endnote Text Char1 Char Char,Endnote Text Char Char Char Char1 Char Char,Endnote Text Char Char Char Char Char Char Char,Endnote Text Char Char Char Char Char Char Char Char Char Char,Endnote Text Char1 Char1"/>
    <w:basedOn w:val="DefaultParagraphFont"/>
    <w:link w:val="EndnoteText"/>
    <w:rsid w:val="002B1E7B"/>
  </w:style>
  <w:style w:type="paragraph" w:customStyle="1" w:styleId="Default">
    <w:name w:val="Default"/>
    <w:rsid w:val="00941894"/>
    <w:pPr>
      <w:autoSpaceDE w:val="0"/>
      <w:autoSpaceDN w:val="0"/>
      <w:adjustRightInd w:val="0"/>
    </w:pPr>
    <w:rPr>
      <w:color w:val="000000"/>
      <w:sz w:val="24"/>
      <w:szCs w:val="24"/>
    </w:rPr>
  </w:style>
  <w:style w:type="paragraph" w:styleId="FootnoteText">
    <w:name w:val="footnote text"/>
    <w:basedOn w:val="Normal"/>
    <w:link w:val="FootnoteTextChar"/>
    <w:uiPriority w:val="99"/>
    <w:semiHidden/>
    <w:unhideWhenUsed/>
    <w:rsid w:val="003412A6"/>
    <w:rPr>
      <w:sz w:val="20"/>
      <w:szCs w:val="20"/>
    </w:rPr>
  </w:style>
  <w:style w:type="character" w:customStyle="1" w:styleId="FootnoteTextChar">
    <w:name w:val="Footnote Text Char"/>
    <w:basedOn w:val="DefaultParagraphFont"/>
    <w:link w:val="FootnoteText"/>
    <w:uiPriority w:val="99"/>
    <w:semiHidden/>
    <w:rsid w:val="003412A6"/>
    <w:rPr>
      <w:rFonts w:asciiTheme="minorHAnsi" w:hAnsiTheme="minorHAnsi"/>
    </w:rPr>
  </w:style>
  <w:style w:type="character" w:styleId="FootnoteReference">
    <w:name w:val="footnote reference"/>
    <w:basedOn w:val="DefaultParagraphFont"/>
    <w:uiPriority w:val="99"/>
    <w:semiHidden/>
    <w:unhideWhenUsed/>
    <w:rsid w:val="003412A6"/>
    <w:rPr>
      <w:vertAlign w:val="superscript"/>
    </w:rPr>
  </w:style>
  <w:style w:type="character" w:customStyle="1" w:styleId="a-size-large">
    <w:name w:val="a-size-large"/>
    <w:basedOn w:val="DefaultParagraphFont"/>
    <w:rsid w:val="00712C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31575">
      <w:bodyDiv w:val="1"/>
      <w:marLeft w:val="0"/>
      <w:marRight w:val="0"/>
      <w:marTop w:val="0"/>
      <w:marBottom w:val="0"/>
      <w:divBdr>
        <w:top w:val="none" w:sz="0" w:space="0" w:color="auto"/>
        <w:left w:val="none" w:sz="0" w:space="0" w:color="auto"/>
        <w:bottom w:val="none" w:sz="0" w:space="0" w:color="auto"/>
        <w:right w:val="none" w:sz="0" w:space="0" w:color="auto"/>
      </w:divBdr>
      <w:divsChild>
        <w:div w:id="1246844212">
          <w:marLeft w:val="0"/>
          <w:marRight w:val="0"/>
          <w:marTop w:val="0"/>
          <w:marBottom w:val="0"/>
          <w:divBdr>
            <w:top w:val="none" w:sz="0" w:space="0" w:color="auto"/>
            <w:left w:val="none" w:sz="0" w:space="0" w:color="auto"/>
            <w:bottom w:val="none" w:sz="0" w:space="0" w:color="auto"/>
            <w:right w:val="none" w:sz="0" w:space="0" w:color="auto"/>
          </w:divBdr>
        </w:div>
        <w:div w:id="1080910430">
          <w:marLeft w:val="0"/>
          <w:marRight w:val="0"/>
          <w:marTop w:val="0"/>
          <w:marBottom w:val="0"/>
          <w:divBdr>
            <w:top w:val="none" w:sz="0" w:space="0" w:color="auto"/>
            <w:left w:val="none" w:sz="0" w:space="0" w:color="auto"/>
            <w:bottom w:val="none" w:sz="0" w:space="0" w:color="auto"/>
            <w:right w:val="none" w:sz="0" w:space="0" w:color="auto"/>
          </w:divBdr>
        </w:div>
        <w:div w:id="1477915401">
          <w:marLeft w:val="0"/>
          <w:marRight w:val="0"/>
          <w:marTop w:val="0"/>
          <w:marBottom w:val="0"/>
          <w:divBdr>
            <w:top w:val="none" w:sz="0" w:space="0" w:color="auto"/>
            <w:left w:val="none" w:sz="0" w:space="0" w:color="auto"/>
            <w:bottom w:val="none" w:sz="0" w:space="0" w:color="auto"/>
            <w:right w:val="none" w:sz="0" w:space="0" w:color="auto"/>
          </w:divBdr>
        </w:div>
        <w:div w:id="1763528812">
          <w:marLeft w:val="0"/>
          <w:marRight w:val="0"/>
          <w:marTop w:val="0"/>
          <w:marBottom w:val="0"/>
          <w:divBdr>
            <w:top w:val="none" w:sz="0" w:space="0" w:color="auto"/>
            <w:left w:val="none" w:sz="0" w:space="0" w:color="auto"/>
            <w:bottom w:val="none" w:sz="0" w:space="0" w:color="auto"/>
            <w:right w:val="none" w:sz="0" w:space="0" w:color="auto"/>
          </w:divBdr>
        </w:div>
        <w:div w:id="1813867359">
          <w:marLeft w:val="0"/>
          <w:marRight w:val="0"/>
          <w:marTop w:val="0"/>
          <w:marBottom w:val="0"/>
          <w:divBdr>
            <w:top w:val="none" w:sz="0" w:space="0" w:color="auto"/>
            <w:left w:val="none" w:sz="0" w:space="0" w:color="auto"/>
            <w:bottom w:val="none" w:sz="0" w:space="0" w:color="auto"/>
            <w:right w:val="none" w:sz="0" w:space="0" w:color="auto"/>
          </w:divBdr>
        </w:div>
        <w:div w:id="1385444391">
          <w:marLeft w:val="0"/>
          <w:marRight w:val="0"/>
          <w:marTop w:val="0"/>
          <w:marBottom w:val="0"/>
          <w:divBdr>
            <w:top w:val="none" w:sz="0" w:space="0" w:color="auto"/>
            <w:left w:val="none" w:sz="0" w:space="0" w:color="auto"/>
            <w:bottom w:val="none" w:sz="0" w:space="0" w:color="auto"/>
            <w:right w:val="none" w:sz="0" w:space="0" w:color="auto"/>
          </w:divBdr>
        </w:div>
        <w:div w:id="1640183562">
          <w:marLeft w:val="0"/>
          <w:marRight w:val="0"/>
          <w:marTop w:val="0"/>
          <w:marBottom w:val="0"/>
          <w:divBdr>
            <w:top w:val="none" w:sz="0" w:space="0" w:color="auto"/>
            <w:left w:val="none" w:sz="0" w:space="0" w:color="auto"/>
            <w:bottom w:val="none" w:sz="0" w:space="0" w:color="auto"/>
            <w:right w:val="none" w:sz="0" w:space="0" w:color="auto"/>
          </w:divBdr>
        </w:div>
        <w:div w:id="80760774">
          <w:marLeft w:val="0"/>
          <w:marRight w:val="0"/>
          <w:marTop w:val="0"/>
          <w:marBottom w:val="0"/>
          <w:divBdr>
            <w:top w:val="none" w:sz="0" w:space="0" w:color="auto"/>
            <w:left w:val="none" w:sz="0" w:space="0" w:color="auto"/>
            <w:bottom w:val="none" w:sz="0" w:space="0" w:color="auto"/>
            <w:right w:val="none" w:sz="0" w:space="0" w:color="auto"/>
          </w:divBdr>
        </w:div>
        <w:div w:id="2116945728">
          <w:marLeft w:val="0"/>
          <w:marRight w:val="0"/>
          <w:marTop w:val="0"/>
          <w:marBottom w:val="0"/>
          <w:divBdr>
            <w:top w:val="none" w:sz="0" w:space="0" w:color="auto"/>
            <w:left w:val="none" w:sz="0" w:space="0" w:color="auto"/>
            <w:bottom w:val="none" w:sz="0" w:space="0" w:color="auto"/>
            <w:right w:val="none" w:sz="0" w:space="0" w:color="auto"/>
          </w:divBdr>
        </w:div>
        <w:div w:id="929629364">
          <w:marLeft w:val="0"/>
          <w:marRight w:val="0"/>
          <w:marTop w:val="0"/>
          <w:marBottom w:val="0"/>
          <w:divBdr>
            <w:top w:val="none" w:sz="0" w:space="0" w:color="auto"/>
            <w:left w:val="none" w:sz="0" w:space="0" w:color="auto"/>
            <w:bottom w:val="none" w:sz="0" w:space="0" w:color="auto"/>
            <w:right w:val="none" w:sz="0" w:space="0" w:color="auto"/>
          </w:divBdr>
        </w:div>
        <w:div w:id="1897428785">
          <w:marLeft w:val="0"/>
          <w:marRight w:val="0"/>
          <w:marTop w:val="0"/>
          <w:marBottom w:val="0"/>
          <w:divBdr>
            <w:top w:val="none" w:sz="0" w:space="0" w:color="auto"/>
            <w:left w:val="none" w:sz="0" w:space="0" w:color="auto"/>
            <w:bottom w:val="none" w:sz="0" w:space="0" w:color="auto"/>
            <w:right w:val="none" w:sz="0" w:space="0" w:color="auto"/>
          </w:divBdr>
        </w:div>
        <w:div w:id="1051344357">
          <w:marLeft w:val="0"/>
          <w:marRight w:val="0"/>
          <w:marTop w:val="0"/>
          <w:marBottom w:val="0"/>
          <w:divBdr>
            <w:top w:val="none" w:sz="0" w:space="0" w:color="auto"/>
            <w:left w:val="none" w:sz="0" w:space="0" w:color="auto"/>
            <w:bottom w:val="none" w:sz="0" w:space="0" w:color="auto"/>
            <w:right w:val="none" w:sz="0" w:space="0" w:color="auto"/>
          </w:divBdr>
        </w:div>
        <w:div w:id="421223043">
          <w:marLeft w:val="0"/>
          <w:marRight w:val="0"/>
          <w:marTop w:val="0"/>
          <w:marBottom w:val="0"/>
          <w:divBdr>
            <w:top w:val="none" w:sz="0" w:space="0" w:color="auto"/>
            <w:left w:val="none" w:sz="0" w:space="0" w:color="auto"/>
            <w:bottom w:val="none" w:sz="0" w:space="0" w:color="auto"/>
            <w:right w:val="none" w:sz="0" w:space="0" w:color="auto"/>
          </w:divBdr>
        </w:div>
        <w:div w:id="1920171141">
          <w:marLeft w:val="0"/>
          <w:marRight w:val="0"/>
          <w:marTop w:val="0"/>
          <w:marBottom w:val="0"/>
          <w:divBdr>
            <w:top w:val="none" w:sz="0" w:space="0" w:color="auto"/>
            <w:left w:val="none" w:sz="0" w:space="0" w:color="auto"/>
            <w:bottom w:val="none" w:sz="0" w:space="0" w:color="auto"/>
            <w:right w:val="none" w:sz="0" w:space="0" w:color="auto"/>
          </w:divBdr>
        </w:div>
        <w:div w:id="813302208">
          <w:marLeft w:val="0"/>
          <w:marRight w:val="0"/>
          <w:marTop w:val="0"/>
          <w:marBottom w:val="0"/>
          <w:divBdr>
            <w:top w:val="none" w:sz="0" w:space="0" w:color="auto"/>
            <w:left w:val="none" w:sz="0" w:space="0" w:color="auto"/>
            <w:bottom w:val="none" w:sz="0" w:space="0" w:color="auto"/>
            <w:right w:val="none" w:sz="0" w:space="0" w:color="auto"/>
          </w:divBdr>
        </w:div>
        <w:div w:id="630789336">
          <w:marLeft w:val="0"/>
          <w:marRight w:val="0"/>
          <w:marTop w:val="0"/>
          <w:marBottom w:val="0"/>
          <w:divBdr>
            <w:top w:val="none" w:sz="0" w:space="0" w:color="auto"/>
            <w:left w:val="none" w:sz="0" w:space="0" w:color="auto"/>
            <w:bottom w:val="none" w:sz="0" w:space="0" w:color="auto"/>
            <w:right w:val="none" w:sz="0" w:space="0" w:color="auto"/>
          </w:divBdr>
        </w:div>
        <w:div w:id="1051805848">
          <w:marLeft w:val="0"/>
          <w:marRight w:val="0"/>
          <w:marTop w:val="0"/>
          <w:marBottom w:val="0"/>
          <w:divBdr>
            <w:top w:val="none" w:sz="0" w:space="0" w:color="auto"/>
            <w:left w:val="none" w:sz="0" w:space="0" w:color="auto"/>
            <w:bottom w:val="none" w:sz="0" w:space="0" w:color="auto"/>
            <w:right w:val="none" w:sz="0" w:space="0" w:color="auto"/>
          </w:divBdr>
        </w:div>
        <w:div w:id="216477152">
          <w:marLeft w:val="0"/>
          <w:marRight w:val="0"/>
          <w:marTop w:val="0"/>
          <w:marBottom w:val="0"/>
          <w:divBdr>
            <w:top w:val="none" w:sz="0" w:space="0" w:color="auto"/>
            <w:left w:val="none" w:sz="0" w:space="0" w:color="auto"/>
            <w:bottom w:val="none" w:sz="0" w:space="0" w:color="auto"/>
            <w:right w:val="none" w:sz="0" w:space="0" w:color="auto"/>
          </w:divBdr>
        </w:div>
        <w:div w:id="2027052918">
          <w:marLeft w:val="0"/>
          <w:marRight w:val="0"/>
          <w:marTop w:val="0"/>
          <w:marBottom w:val="0"/>
          <w:divBdr>
            <w:top w:val="none" w:sz="0" w:space="0" w:color="auto"/>
            <w:left w:val="none" w:sz="0" w:space="0" w:color="auto"/>
            <w:bottom w:val="none" w:sz="0" w:space="0" w:color="auto"/>
            <w:right w:val="none" w:sz="0" w:space="0" w:color="auto"/>
          </w:divBdr>
        </w:div>
        <w:div w:id="1486582775">
          <w:marLeft w:val="0"/>
          <w:marRight w:val="0"/>
          <w:marTop w:val="0"/>
          <w:marBottom w:val="0"/>
          <w:divBdr>
            <w:top w:val="none" w:sz="0" w:space="0" w:color="auto"/>
            <w:left w:val="none" w:sz="0" w:space="0" w:color="auto"/>
            <w:bottom w:val="none" w:sz="0" w:space="0" w:color="auto"/>
            <w:right w:val="none" w:sz="0" w:space="0" w:color="auto"/>
          </w:divBdr>
        </w:div>
      </w:divsChild>
    </w:div>
    <w:div w:id="15156265">
      <w:bodyDiv w:val="1"/>
      <w:marLeft w:val="0"/>
      <w:marRight w:val="0"/>
      <w:marTop w:val="0"/>
      <w:marBottom w:val="0"/>
      <w:divBdr>
        <w:top w:val="none" w:sz="0" w:space="0" w:color="auto"/>
        <w:left w:val="none" w:sz="0" w:space="0" w:color="auto"/>
        <w:bottom w:val="none" w:sz="0" w:space="0" w:color="auto"/>
        <w:right w:val="none" w:sz="0" w:space="0" w:color="auto"/>
      </w:divBdr>
      <w:divsChild>
        <w:div w:id="1000936331">
          <w:marLeft w:val="0"/>
          <w:marRight w:val="0"/>
          <w:marTop w:val="0"/>
          <w:marBottom w:val="0"/>
          <w:divBdr>
            <w:top w:val="none" w:sz="0" w:space="0" w:color="auto"/>
            <w:left w:val="none" w:sz="0" w:space="0" w:color="auto"/>
            <w:bottom w:val="none" w:sz="0" w:space="0" w:color="auto"/>
            <w:right w:val="none" w:sz="0" w:space="0" w:color="auto"/>
          </w:divBdr>
        </w:div>
        <w:div w:id="1277984708">
          <w:marLeft w:val="0"/>
          <w:marRight w:val="0"/>
          <w:marTop w:val="0"/>
          <w:marBottom w:val="0"/>
          <w:divBdr>
            <w:top w:val="none" w:sz="0" w:space="0" w:color="auto"/>
            <w:left w:val="none" w:sz="0" w:space="0" w:color="auto"/>
            <w:bottom w:val="none" w:sz="0" w:space="0" w:color="auto"/>
            <w:right w:val="none" w:sz="0" w:space="0" w:color="auto"/>
          </w:divBdr>
        </w:div>
        <w:div w:id="998534459">
          <w:marLeft w:val="0"/>
          <w:marRight w:val="0"/>
          <w:marTop w:val="0"/>
          <w:marBottom w:val="0"/>
          <w:divBdr>
            <w:top w:val="none" w:sz="0" w:space="0" w:color="auto"/>
            <w:left w:val="none" w:sz="0" w:space="0" w:color="auto"/>
            <w:bottom w:val="none" w:sz="0" w:space="0" w:color="auto"/>
            <w:right w:val="none" w:sz="0" w:space="0" w:color="auto"/>
          </w:divBdr>
        </w:div>
        <w:div w:id="178007950">
          <w:marLeft w:val="0"/>
          <w:marRight w:val="0"/>
          <w:marTop w:val="0"/>
          <w:marBottom w:val="0"/>
          <w:divBdr>
            <w:top w:val="none" w:sz="0" w:space="0" w:color="auto"/>
            <w:left w:val="none" w:sz="0" w:space="0" w:color="auto"/>
            <w:bottom w:val="none" w:sz="0" w:space="0" w:color="auto"/>
            <w:right w:val="none" w:sz="0" w:space="0" w:color="auto"/>
          </w:divBdr>
        </w:div>
        <w:div w:id="2011248570">
          <w:marLeft w:val="0"/>
          <w:marRight w:val="0"/>
          <w:marTop w:val="0"/>
          <w:marBottom w:val="0"/>
          <w:divBdr>
            <w:top w:val="none" w:sz="0" w:space="0" w:color="auto"/>
            <w:left w:val="none" w:sz="0" w:space="0" w:color="auto"/>
            <w:bottom w:val="none" w:sz="0" w:space="0" w:color="auto"/>
            <w:right w:val="none" w:sz="0" w:space="0" w:color="auto"/>
          </w:divBdr>
        </w:div>
        <w:div w:id="70272791">
          <w:marLeft w:val="0"/>
          <w:marRight w:val="0"/>
          <w:marTop w:val="0"/>
          <w:marBottom w:val="0"/>
          <w:divBdr>
            <w:top w:val="none" w:sz="0" w:space="0" w:color="auto"/>
            <w:left w:val="none" w:sz="0" w:space="0" w:color="auto"/>
            <w:bottom w:val="none" w:sz="0" w:space="0" w:color="auto"/>
            <w:right w:val="none" w:sz="0" w:space="0" w:color="auto"/>
          </w:divBdr>
        </w:div>
        <w:div w:id="1534225486">
          <w:marLeft w:val="0"/>
          <w:marRight w:val="0"/>
          <w:marTop w:val="0"/>
          <w:marBottom w:val="0"/>
          <w:divBdr>
            <w:top w:val="none" w:sz="0" w:space="0" w:color="auto"/>
            <w:left w:val="none" w:sz="0" w:space="0" w:color="auto"/>
            <w:bottom w:val="none" w:sz="0" w:space="0" w:color="auto"/>
            <w:right w:val="none" w:sz="0" w:space="0" w:color="auto"/>
          </w:divBdr>
        </w:div>
        <w:div w:id="459299794">
          <w:marLeft w:val="0"/>
          <w:marRight w:val="0"/>
          <w:marTop w:val="0"/>
          <w:marBottom w:val="0"/>
          <w:divBdr>
            <w:top w:val="none" w:sz="0" w:space="0" w:color="auto"/>
            <w:left w:val="none" w:sz="0" w:space="0" w:color="auto"/>
            <w:bottom w:val="none" w:sz="0" w:space="0" w:color="auto"/>
            <w:right w:val="none" w:sz="0" w:space="0" w:color="auto"/>
          </w:divBdr>
        </w:div>
        <w:div w:id="913970187">
          <w:marLeft w:val="0"/>
          <w:marRight w:val="0"/>
          <w:marTop w:val="0"/>
          <w:marBottom w:val="0"/>
          <w:divBdr>
            <w:top w:val="none" w:sz="0" w:space="0" w:color="auto"/>
            <w:left w:val="none" w:sz="0" w:space="0" w:color="auto"/>
            <w:bottom w:val="none" w:sz="0" w:space="0" w:color="auto"/>
            <w:right w:val="none" w:sz="0" w:space="0" w:color="auto"/>
          </w:divBdr>
        </w:div>
      </w:divsChild>
    </w:div>
    <w:div w:id="40204805">
      <w:bodyDiv w:val="1"/>
      <w:marLeft w:val="0"/>
      <w:marRight w:val="0"/>
      <w:marTop w:val="0"/>
      <w:marBottom w:val="0"/>
      <w:divBdr>
        <w:top w:val="none" w:sz="0" w:space="0" w:color="auto"/>
        <w:left w:val="none" w:sz="0" w:space="0" w:color="auto"/>
        <w:bottom w:val="none" w:sz="0" w:space="0" w:color="auto"/>
        <w:right w:val="none" w:sz="0" w:space="0" w:color="auto"/>
      </w:divBdr>
      <w:divsChild>
        <w:div w:id="231158150">
          <w:marLeft w:val="0"/>
          <w:marRight w:val="0"/>
          <w:marTop w:val="0"/>
          <w:marBottom w:val="0"/>
          <w:divBdr>
            <w:top w:val="none" w:sz="0" w:space="0" w:color="auto"/>
            <w:left w:val="none" w:sz="0" w:space="0" w:color="auto"/>
            <w:bottom w:val="none" w:sz="0" w:space="0" w:color="auto"/>
            <w:right w:val="none" w:sz="0" w:space="0" w:color="auto"/>
          </w:divBdr>
          <w:divsChild>
            <w:div w:id="909851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55393">
      <w:bodyDiv w:val="1"/>
      <w:marLeft w:val="0"/>
      <w:marRight w:val="0"/>
      <w:marTop w:val="0"/>
      <w:marBottom w:val="0"/>
      <w:divBdr>
        <w:top w:val="none" w:sz="0" w:space="0" w:color="auto"/>
        <w:left w:val="none" w:sz="0" w:space="0" w:color="auto"/>
        <w:bottom w:val="none" w:sz="0" w:space="0" w:color="auto"/>
        <w:right w:val="none" w:sz="0" w:space="0" w:color="auto"/>
      </w:divBdr>
      <w:divsChild>
        <w:div w:id="1384983580">
          <w:marLeft w:val="0"/>
          <w:marRight w:val="0"/>
          <w:marTop w:val="0"/>
          <w:marBottom w:val="0"/>
          <w:divBdr>
            <w:top w:val="none" w:sz="0" w:space="0" w:color="auto"/>
            <w:left w:val="none" w:sz="0" w:space="0" w:color="auto"/>
            <w:bottom w:val="none" w:sz="0" w:space="0" w:color="auto"/>
            <w:right w:val="none" w:sz="0" w:space="0" w:color="auto"/>
          </w:divBdr>
        </w:div>
        <w:div w:id="857815568">
          <w:marLeft w:val="0"/>
          <w:marRight w:val="0"/>
          <w:marTop w:val="0"/>
          <w:marBottom w:val="0"/>
          <w:divBdr>
            <w:top w:val="none" w:sz="0" w:space="0" w:color="auto"/>
            <w:left w:val="none" w:sz="0" w:space="0" w:color="auto"/>
            <w:bottom w:val="none" w:sz="0" w:space="0" w:color="auto"/>
            <w:right w:val="none" w:sz="0" w:space="0" w:color="auto"/>
          </w:divBdr>
        </w:div>
        <w:div w:id="79450080">
          <w:marLeft w:val="0"/>
          <w:marRight w:val="0"/>
          <w:marTop w:val="0"/>
          <w:marBottom w:val="0"/>
          <w:divBdr>
            <w:top w:val="none" w:sz="0" w:space="0" w:color="auto"/>
            <w:left w:val="none" w:sz="0" w:space="0" w:color="auto"/>
            <w:bottom w:val="none" w:sz="0" w:space="0" w:color="auto"/>
            <w:right w:val="none" w:sz="0" w:space="0" w:color="auto"/>
          </w:divBdr>
        </w:div>
        <w:div w:id="1513647976">
          <w:marLeft w:val="0"/>
          <w:marRight w:val="0"/>
          <w:marTop w:val="0"/>
          <w:marBottom w:val="0"/>
          <w:divBdr>
            <w:top w:val="none" w:sz="0" w:space="0" w:color="auto"/>
            <w:left w:val="none" w:sz="0" w:space="0" w:color="auto"/>
            <w:bottom w:val="none" w:sz="0" w:space="0" w:color="auto"/>
            <w:right w:val="none" w:sz="0" w:space="0" w:color="auto"/>
          </w:divBdr>
        </w:div>
        <w:div w:id="434062369">
          <w:marLeft w:val="0"/>
          <w:marRight w:val="0"/>
          <w:marTop w:val="0"/>
          <w:marBottom w:val="0"/>
          <w:divBdr>
            <w:top w:val="none" w:sz="0" w:space="0" w:color="auto"/>
            <w:left w:val="none" w:sz="0" w:space="0" w:color="auto"/>
            <w:bottom w:val="none" w:sz="0" w:space="0" w:color="auto"/>
            <w:right w:val="none" w:sz="0" w:space="0" w:color="auto"/>
          </w:divBdr>
        </w:div>
        <w:div w:id="1380737900">
          <w:marLeft w:val="0"/>
          <w:marRight w:val="0"/>
          <w:marTop w:val="0"/>
          <w:marBottom w:val="0"/>
          <w:divBdr>
            <w:top w:val="none" w:sz="0" w:space="0" w:color="auto"/>
            <w:left w:val="none" w:sz="0" w:space="0" w:color="auto"/>
            <w:bottom w:val="none" w:sz="0" w:space="0" w:color="auto"/>
            <w:right w:val="none" w:sz="0" w:space="0" w:color="auto"/>
          </w:divBdr>
        </w:div>
        <w:div w:id="990062433">
          <w:marLeft w:val="0"/>
          <w:marRight w:val="0"/>
          <w:marTop w:val="0"/>
          <w:marBottom w:val="0"/>
          <w:divBdr>
            <w:top w:val="none" w:sz="0" w:space="0" w:color="auto"/>
            <w:left w:val="none" w:sz="0" w:space="0" w:color="auto"/>
            <w:bottom w:val="none" w:sz="0" w:space="0" w:color="auto"/>
            <w:right w:val="none" w:sz="0" w:space="0" w:color="auto"/>
          </w:divBdr>
        </w:div>
        <w:div w:id="1514228528">
          <w:marLeft w:val="0"/>
          <w:marRight w:val="0"/>
          <w:marTop w:val="0"/>
          <w:marBottom w:val="0"/>
          <w:divBdr>
            <w:top w:val="none" w:sz="0" w:space="0" w:color="auto"/>
            <w:left w:val="none" w:sz="0" w:space="0" w:color="auto"/>
            <w:bottom w:val="none" w:sz="0" w:space="0" w:color="auto"/>
            <w:right w:val="none" w:sz="0" w:space="0" w:color="auto"/>
          </w:divBdr>
        </w:div>
        <w:div w:id="331762363">
          <w:marLeft w:val="0"/>
          <w:marRight w:val="0"/>
          <w:marTop w:val="0"/>
          <w:marBottom w:val="0"/>
          <w:divBdr>
            <w:top w:val="none" w:sz="0" w:space="0" w:color="auto"/>
            <w:left w:val="none" w:sz="0" w:space="0" w:color="auto"/>
            <w:bottom w:val="none" w:sz="0" w:space="0" w:color="auto"/>
            <w:right w:val="none" w:sz="0" w:space="0" w:color="auto"/>
          </w:divBdr>
        </w:div>
        <w:div w:id="1945454489">
          <w:marLeft w:val="0"/>
          <w:marRight w:val="0"/>
          <w:marTop w:val="0"/>
          <w:marBottom w:val="0"/>
          <w:divBdr>
            <w:top w:val="none" w:sz="0" w:space="0" w:color="auto"/>
            <w:left w:val="none" w:sz="0" w:space="0" w:color="auto"/>
            <w:bottom w:val="none" w:sz="0" w:space="0" w:color="auto"/>
            <w:right w:val="none" w:sz="0" w:space="0" w:color="auto"/>
          </w:divBdr>
        </w:div>
        <w:div w:id="1594775634">
          <w:marLeft w:val="0"/>
          <w:marRight w:val="0"/>
          <w:marTop w:val="0"/>
          <w:marBottom w:val="0"/>
          <w:divBdr>
            <w:top w:val="none" w:sz="0" w:space="0" w:color="auto"/>
            <w:left w:val="none" w:sz="0" w:space="0" w:color="auto"/>
            <w:bottom w:val="none" w:sz="0" w:space="0" w:color="auto"/>
            <w:right w:val="none" w:sz="0" w:space="0" w:color="auto"/>
          </w:divBdr>
        </w:div>
        <w:div w:id="1435050000">
          <w:marLeft w:val="0"/>
          <w:marRight w:val="0"/>
          <w:marTop w:val="0"/>
          <w:marBottom w:val="0"/>
          <w:divBdr>
            <w:top w:val="none" w:sz="0" w:space="0" w:color="auto"/>
            <w:left w:val="none" w:sz="0" w:space="0" w:color="auto"/>
            <w:bottom w:val="none" w:sz="0" w:space="0" w:color="auto"/>
            <w:right w:val="none" w:sz="0" w:space="0" w:color="auto"/>
          </w:divBdr>
        </w:div>
        <w:div w:id="682248828">
          <w:marLeft w:val="0"/>
          <w:marRight w:val="0"/>
          <w:marTop w:val="0"/>
          <w:marBottom w:val="0"/>
          <w:divBdr>
            <w:top w:val="none" w:sz="0" w:space="0" w:color="auto"/>
            <w:left w:val="none" w:sz="0" w:space="0" w:color="auto"/>
            <w:bottom w:val="none" w:sz="0" w:space="0" w:color="auto"/>
            <w:right w:val="none" w:sz="0" w:space="0" w:color="auto"/>
          </w:divBdr>
        </w:div>
        <w:div w:id="139659973">
          <w:marLeft w:val="0"/>
          <w:marRight w:val="0"/>
          <w:marTop w:val="0"/>
          <w:marBottom w:val="0"/>
          <w:divBdr>
            <w:top w:val="none" w:sz="0" w:space="0" w:color="auto"/>
            <w:left w:val="none" w:sz="0" w:space="0" w:color="auto"/>
            <w:bottom w:val="none" w:sz="0" w:space="0" w:color="auto"/>
            <w:right w:val="none" w:sz="0" w:space="0" w:color="auto"/>
          </w:divBdr>
        </w:div>
        <w:div w:id="952201834">
          <w:marLeft w:val="0"/>
          <w:marRight w:val="0"/>
          <w:marTop w:val="0"/>
          <w:marBottom w:val="0"/>
          <w:divBdr>
            <w:top w:val="none" w:sz="0" w:space="0" w:color="auto"/>
            <w:left w:val="none" w:sz="0" w:space="0" w:color="auto"/>
            <w:bottom w:val="none" w:sz="0" w:space="0" w:color="auto"/>
            <w:right w:val="none" w:sz="0" w:space="0" w:color="auto"/>
          </w:divBdr>
        </w:div>
        <w:div w:id="1985115992">
          <w:marLeft w:val="0"/>
          <w:marRight w:val="0"/>
          <w:marTop w:val="0"/>
          <w:marBottom w:val="0"/>
          <w:divBdr>
            <w:top w:val="none" w:sz="0" w:space="0" w:color="auto"/>
            <w:left w:val="none" w:sz="0" w:space="0" w:color="auto"/>
            <w:bottom w:val="none" w:sz="0" w:space="0" w:color="auto"/>
            <w:right w:val="none" w:sz="0" w:space="0" w:color="auto"/>
          </w:divBdr>
        </w:div>
      </w:divsChild>
    </w:div>
    <w:div w:id="78597097">
      <w:bodyDiv w:val="1"/>
      <w:marLeft w:val="0"/>
      <w:marRight w:val="0"/>
      <w:marTop w:val="0"/>
      <w:marBottom w:val="0"/>
      <w:divBdr>
        <w:top w:val="none" w:sz="0" w:space="0" w:color="auto"/>
        <w:left w:val="none" w:sz="0" w:space="0" w:color="auto"/>
        <w:bottom w:val="none" w:sz="0" w:space="0" w:color="auto"/>
        <w:right w:val="none" w:sz="0" w:space="0" w:color="auto"/>
      </w:divBdr>
      <w:divsChild>
        <w:div w:id="772021057">
          <w:marLeft w:val="0"/>
          <w:marRight w:val="0"/>
          <w:marTop w:val="0"/>
          <w:marBottom w:val="0"/>
          <w:divBdr>
            <w:top w:val="none" w:sz="0" w:space="0" w:color="auto"/>
            <w:left w:val="none" w:sz="0" w:space="0" w:color="auto"/>
            <w:bottom w:val="none" w:sz="0" w:space="0" w:color="auto"/>
            <w:right w:val="none" w:sz="0" w:space="0" w:color="auto"/>
          </w:divBdr>
        </w:div>
        <w:div w:id="538737870">
          <w:marLeft w:val="0"/>
          <w:marRight w:val="0"/>
          <w:marTop w:val="0"/>
          <w:marBottom w:val="0"/>
          <w:divBdr>
            <w:top w:val="none" w:sz="0" w:space="0" w:color="auto"/>
            <w:left w:val="none" w:sz="0" w:space="0" w:color="auto"/>
            <w:bottom w:val="none" w:sz="0" w:space="0" w:color="auto"/>
            <w:right w:val="none" w:sz="0" w:space="0" w:color="auto"/>
          </w:divBdr>
        </w:div>
        <w:div w:id="90275704">
          <w:marLeft w:val="0"/>
          <w:marRight w:val="0"/>
          <w:marTop w:val="0"/>
          <w:marBottom w:val="0"/>
          <w:divBdr>
            <w:top w:val="none" w:sz="0" w:space="0" w:color="auto"/>
            <w:left w:val="none" w:sz="0" w:space="0" w:color="auto"/>
            <w:bottom w:val="none" w:sz="0" w:space="0" w:color="auto"/>
            <w:right w:val="none" w:sz="0" w:space="0" w:color="auto"/>
          </w:divBdr>
        </w:div>
        <w:div w:id="1150176619">
          <w:marLeft w:val="0"/>
          <w:marRight w:val="0"/>
          <w:marTop w:val="0"/>
          <w:marBottom w:val="0"/>
          <w:divBdr>
            <w:top w:val="none" w:sz="0" w:space="0" w:color="auto"/>
            <w:left w:val="none" w:sz="0" w:space="0" w:color="auto"/>
            <w:bottom w:val="none" w:sz="0" w:space="0" w:color="auto"/>
            <w:right w:val="none" w:sz="0" w:space="0" w:color="auto"/>
          </w:divBdr>
        </w:div>
        <w:div w:id="690031897">
          <w:marLeft w:val="0"/>
          <w:marRight w:val="0"/>
          <w:marTop w:val="0"/>
          <w:marBottom w:val="0"/>
          <w:divBdr>
            <w:top w:val="none" w:sz="0" w:space="0" w:color="auto"/>
            <w:left w:val="none" w:sz="0" w:space="0" w:color="auto"/>
            <w:bottom w:val="none" w:sz="0" w:space="0" w:color="auto"/>
            <w:right w:val="none" w:sz="0" w:space="0" w:color="auto"/>
          </w:divBdr>
        </w:div>
        <w:div w:id="2008364088">
          <w:marLeft w:val="0"/>
          <w:marRight w:val="0"/>
          <w:marTop w:val="0"/>
          <w:marBottom w:val="0"/>
          <w:divBdr>
            <w:top w:val="none" w:sz="0" w:space="0" w:color="auto"/>
            <w:left w:val="none" w:sz="0" w:space="0" w:color="auto"/>
            <w:bottom w:val="none" w:sz="0" w:space="0" w:color="auto"/>
            <w:right w:val="none" w:sz="0" w:space="0" w:color="auto"/>
          </w:divBdr>
        </w:div>
        <w:div w:id="1920363717">
          <w:marLeft w:val="0"/>
          <w:marRight w:val="0"/>
          <w:marTop w:val="0"/>
          <w:marBottom w:val="0"/>
          <w:divBdr>
            <w:top w:val="none" w:sz="0" w:space="0" w:color="auto"/>
            <w:left w:val="none" w:sz="0" w:space="0" w:color="auto"/>
            <w:bottom w:val="none" w:sz="0" w:space="0" w:color="auto"/>
            <w:right w:val="none" w:sz="0" w:space="0" w:color="auto"/>
          </w:divBdr>
        </w:div>
        <w:div w:id="1483738425">
          <w:marLeft w:val="0"/>
          <w:marRight w:val="0"/>
          <w:marTop w:val="0"/>
          <w:marBottom w:val="0"/>
          <w:divBdr>
            <w:top w:val="none" w:sz="0" w:space="0" w:color="auto"/>
            <w:left w:val="none" w:sz="0" w:space="0" w:color="auto"/>
            <w:bottom w:val="none" w:sz="0" w:space="0" w:color="auto"/>
            <w:right w:val="none" w:sz="0" w:space="0" w:color="auto"/>
          </w:divBdr>
        </w:div>
        <w:div w:id="1558737696">
          <w:marLeft w:val="0"/>
          <w:marRight w:val="0"/>
          <w:marTop w:val="0"/>
          <w:marBottom w:val="0"/>
          <w:divBdr>
            <w:top w:val="none" w:sz="0" w:space="0" w:color="auto"/>
            <w:left w:val="none" w:sz="0" w:space="0" w:color="auto"/>
            <w:bottom w:val="none" w:sz="0" w:space="0" w:color="auto"/>
            <w:right w:val="none" w:sz="0" w:space="0" w:color="auto"/>
          </w:divBdr>
        </w:div>
        <w:div w:id="1293487127">
          <w:marLeft w:val="0"/>
          <w:marRight w:val="0"/>
          <w:marTop w:val="0"/>
          <w:marBottom w:val="0"/>
          <w:divBdr>
            <w:top w:val="none" w:sz="0" w:space="0" w:color="auto"/>
            <w:left w:val="none" w:sz="0" w:space="0" w:color="auto"/>
            <w:bottom w:val="none" w:sz="0" w:space="0" w:color="auto"/>
            <w:right w:val="none" w:sz="0" w:space="0" w:color="auto"/>
          </w:divBdr>
        </w:div>
        <w:div w:id="1619752658">
          <w:marLeft w:val="0"/>
          <w:marRight w:val="0"/>
          <w:marTop w:val="0"/>
          <w:marBottom w:val="0"/>
          <w:divBdr>
            <w:top w:val="none" w:sz="0" w:space="0" w:color="auto"/>
            <w:left w:val="none" w:sz="0" w:space="0" w:color="auto"/>
            <w:bottom w:val="none" w:sz="0" w:space="0" w:color="auto"/>
            <w:right w:val="none" w:sz="0" w:space="0" w:color="auto"/>
          </w:divBdr>
        </w:div>
      </w:divsChild>
    </w:div>
    <w:div w:id="101269687">
      <w:bodyDiv w:val="1"/>
      <w:marLeft w:val="0"/>
      <w:marRight w:val="0"/>
      <w:marTop w:val="0"/>
      <w:marBottom w:val="0"/>
      <w:divBdr>
        <w:top w:val="none" w:sz="0" w:space="0" w:color="auto"/>
        <w:left w:val="none" w:sz="0" w:space="0" w:color="auto"/>
        <w:bottom w:val="none" w:sz="0" w:space="0" w:color="auto"/>
        <w:right w:val="none" w:sz="0" w:space="0" w:color="auto"/>
      </w:divBdr>
      <w:divsChild>
        <w:div w:id="11881586">
          <w:marLeft w:val="0"/>
          <w:marRight w:val="0"/>
          <w:marTop w:val="0"/>
          <w:marBottom w:val="0"/>
          <w:divBdr>
            <w:top w:val="none" w:sz="0" w:space="0" w:color="auto"/>
            <w:left w:val="none" w:sz="0" w:space="0" w:color="auto"/>
            <w:bottom w:val="none" w:sz="0" w:space="0" w:color="auto"/>
            <w:right w:val="none" w:sz="0" w:space="0" w:color="auto"/>
          </w:divBdr>
        </w:div>
        <w:div w:id="1200971793">
          <w:marLeft w:val="0"/>
          <w:marRight w:val="0"/>
          <w:marTop w:val="0"/>
          <w:marBottom w:val="0"/>
          <w:divBdr>
            <w:top w:val="none" w:sz="0" w:space="0" w:color="auto"/>
            <w:left w:val="none" w:sz="0" w:space="0" w:color="auto"/>
            <w:bottom w:val="none" w:sz="0" w:space="0" w:color="auto"/>
            <w:right w:val="none" w:sz="0" w:space="0" w:color="auto"/>
          </w:divBdr>
        </w:div>
        <w:div w:id="6836750">
          <w:marLeft w:val="0"/>
          <w:marRight w:val="0"/>
          <w:marTop w:val="0"/>
          <w:marBottom w:val="0"/>
          <w:divBdr>
            <w:top w:val="none" w:sz="0" w:space="0" w:color="auto"/>
            <w:left w:val="none" w:sz="0" w:space="0" w:color="auto"/>
            <w:bottom w:val="none" w:sz="0" w:space="0" w:color="auto"/>
            <w:right w:val="none" w:sz="0" w:space="0" w:color="auto"/>
          </w:divBdr>
        </w:div>
      </w:divsChild>
    </w:div>
    <w:div w:id="120196416">
      <w:bodyDiv w:val="1"/>
      <w:marLeft w:val="0"/>
      <w:marRight w:val="0"/>
      <w:marTop w:val="0"/>
      <w:marBottom w:val="0"/>
      <w:divBdr>
        <w:top w:val="none" w:sz="0" w:space="0" w:color="auto"/>
        <w:left w:val="none" w:sz="0" w:space="0" w:color="auto"/>
        <w:bottom w:val="none" w:sz="0" w:space="0" w:color="auto"/>
        <w:right w:val="none" w:sz="0" w:space="0" w:color="auto"/>
      </w:divBdr>
      <w:divsChild>
        <w:div w:id="45570234">
          <w:marLeft w:val="0"/>
          <w:marRight w:val="0"/>
          <w:marTop w:val="0"/>
          <w:marBottom w:val="0"/>
          <w:divBdr>
            <w:top w:val="none" w:sz="0" w:space="0" w:color="auto"/>
            <w:left w:val="none" w:sz="0" w:space="0" w:color="auto"/>
            <w:bottom w:val="none" w:sz="0" w:space="0" w:color="auto"/>
            <w:right w:val="none" w:sz="0" w:space="0" w:color="auto"/>
          </w:divBdr>
          <w:divsChild>
            <w:div w:id="17434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77187">
      <w:bodyDiv w:val="1"/>
      <w:marLeft w:val="0"/>
      <w:marRight w:val="0"/>
      <w:marTop w:val="0"/>
      <w:marBottom w:val="0"/>
      <w:divBdr>
        <w:top w:val="none" w:sz="0" w:space="0" w:color="auto"/>
        <w:left w:val="none" w:sz="0" w:space="0" w:color="auto"/>
        <w:bottom w:val="none" w:sz="0" w:space="0" w:color="auto"/>
        <w:right w:val="none" w:sz="0" w:space="0" w:color="auto"/>
      </w:divBdr>
    </w:div>
    <w:div w:id="133640937">
      <w:bodyDiv w:val="1"/>
      <w:marLeft w:val="0"/>
      <w:marRight w:val="0"/>
      <w:marTop w:val="0"/>
      <w:marBottom w:val="0"/>
      <w:divBdr>
        <w:top w:val="none" w:sz="0" w:space="0" w:color="auto"/>
        <w:left w:val="none" w:sz="0" w:space="0" w:color="auto"/>
        <w:bottom w:val="none" w:sz="0" w:space="0" w:color="auto"/>
        <w:right w:val="none" w:sz="0" w:space="0" w:color="auto"/>
      </w:divBdr>
      <w:divsChild>
        <w:div w:id="1889805005">
          <w:marLeft w:val="0"/>
          <w:marRight w:val="0"/>
          <w:marTop w:val="0"/>
          <w:marBottom w:val="0"/>
          <w:divBdr>
            <w:top w:val="none" w:sz="0" w:space="0" w:color="auto"/>
            <w:left w:val="none" w:sz="0" w:space="0" w:color="auto"/>
            <w:bottom w:val="none" w:sz="0" w:space="0" w:color="auto"/>
            <w:right w:val="none" w:sz="0" w:space="0" w:color="auto"/>
          </w:divBdr>
        </w:div>
        <w:div w:id="460149281">
          <w:marLeft w:val="0"/>
          <w:marRight w:val="0"/>
          <w:marTop w:val="0"/>
          <w:marBottom w:val="0"/>
          <w:divBdr>
            <w:top w:val="none" w:sz="0" w:space="0" w:color="auto"/>
            <w:left w:val="none" w:sz="0" w:space="0" w:color="auto"/>
            <w:bottom w:val="none" w:sz="0" w:space="0" w:color="auto"/>
            <w:right w:val="none" w:sz="0" w:space="0" w:color="auto"/>
          </w:divBdr>
        </w:div>
        <w:div w:id="1825514045">
          <w:marLeft w:val="0"/>
          <w:marRight w:val="0"/>
          <w:marTop w:val="0"/>
          <w:marBottom w:val="0"/>
          <w:divBdr>
            <w:top w:val="none" w:sz="0" w:space="0" w:color="auto"/>
            <w:left w:val="none" w:sz="0" w:space="0" w:color="auto"/>
            <w:bottom w:val="none" w:sz="0" w:space="0" w:color="auto"/>
            <w:right w:val="none" w:sz="0" w:space="0" w:color="auto"/>
          </w:divBdr>
        </w:div>
        <w:div w:id="96142205">
          <w:marLeft w:val="0"/>
          <w:marRight w:val="0"/>
          <w:marTop w:val="0"/>
          <w:marBottom w:val="0"/>
          <w:divBdr>
            <w:top w:val="none" w:sz="0" w:space="0" w:color="auto"/>
            <w:left w:val="none" w:sz="0" w:space="0" w:color="auto"/>
            <w:bottom w:val="none" w:sz="0" w:space="0" w:color="auto"/>
            <w:right w:val="none" w:sz="0" w:space="0" w:color="auto"/>
          </w:divBdr>
        </w:div>
        <w:div w:id="1266233114">
          <w:marLeft w:val="0"/>
          <w:marRight w:val="0"/>
          <w:marTop w:val="0"/>
          <w:marBottom w:val="0"/>
          <w:divBdr>
            <w:top w:val="none" w:sz="0" w:space="0" w:color="auto"/>
            <w:left w:val="none" w:sz="0" w:space="0" w:color="auto"/>
            <w:bottom w:val="none" w:sz="0" w:space="0" w:color="auto"/>
            <w:right w:val="none" w:sz="0" w:space="0" w:color="auto"/>
          </w:divBdr>
        </w:div>
      </w:divsChild>
    </w:div>
    <w:div w:id="142502770">
      <w:bodyDiv w:val="1"/>
      <w:marLeft w:val="0"/>
      <w:marRight w:val="0"/>
      <w:marTop w:val="0"/>
      <w:marBottom w:val="0"/>
      <w:divBdr>
        <w:top w:val="none" w:sz="0" w:space="0" w:color="auto"/>
        <w:left w:val="none" w:sz="0" w:space="0" w:color="auto"/>
        <w:bottom w:val="none" w:sz="0" w:space="0" w:color="auto"/>
        <w:right w:val="none" w:sz="0" w:space="0" w:color="auto"/>
      </w:divBdr>
      <w:divsChild>
        <w:div w:id="2036927717">
          <w:marLeft w:val="0"/>
          <w:marRight w:val="0"/>
          <w:marTop w:val="0"/>
          <w:marBottom w:val="0"/>
          <w:divBdr>
            <w:top w:val="none" w:sz="0" w:space="0" w:color="auto"/>
            <w:left w:val="none" w:sz="0" w:space="0" w:color="auto"/>
            <w:bottom w:val="none" w:sz="0" w:space="0" w:color="auto"/>
            <w:right w:val="none" w:sz="0" w:space="0" w:color="auto"/>
          </w:divBdr>
        </w:div>
        <w:div w:id="672299038">
          <w:marLeft w:val="0"/>
          <w:marRight w:val="0"/>
          <w:marTop w:val="0"/>
          <w:marBottom w:val="0"/>
          <w:divBdr>
            <w:top w:val="none" w:sz="0" w:space="0" w:color="auto"/>
            <w:left w:val="none" w:sz="0" w:space="0" w:color="auto"/>
            <w:bottom w:val="none" w:sz="0" w:space="0" w:color="auto"/>
            <w:right w:val="none" w:sz="0" w:space="0" w:color="auto"/>
          </w:divBdr>
        </w:div>
        <w:div w:id="1067647064">
          <w:marLeft w:val="0"/>
          <w:marRight w:val="0"/>
          <w:marTop w:val="0"/>
          <w:marBottom w:val="0"/>
          <w:divBdr>
            <w:top w:val="none" w:sz="0" w:space="0" w:color="auto"/>
            <w:left w:val="none" w:sz="0" w:space="0" w:color="auto"/>
            <w:bottom w:val="none" w:sz="0" w:space="0" w:color="auto"/>
            <w:right w:val="none" w:sz="0" w:space="0" w:color="auto"/>
          </w:divBdr>
        </w:div>
        <w:div w:id="954367870">
          <w:marLeft w:val="0"/>
          <w:marRight w:val="0"/>
          <w:marTop w:val="0"/>
          <w:marBottom w:val="0"/>
          <w:divBdr>
            <w:top w:val="none" w:sz="0" w:space="0" w:color="auto"/>
            <w:left w:val="none" w:sz="0" w:space="0" w:color="auto"/>
            <w:bottom w:val="none" w:sz="0" w:space="0" w:color="auto"/>
            <w:right w:val="none" w:sz="0" w:space="0" w:color="auto"/>
          </w:divBdr>
        </w:div>
        <w:div w:id="662125469">
          <w:marLeft w:val="0"/>
          <w:marRight w:val="0"/>
          <w:marTop w:val="0"/>
          <w:marBottom w:val="0"/>
          <w:divBdr>
            <w:top w:val="none" w:sz="0" w:space="0" w:color="auto"/>
            <w:left w:val="none" w:sz="0" w:space="0" w:color="auto"/>
            <w:bottom w:val="none" w:sz="0" w:space="0" w:color="auto"/>
            <w:right w:val="none" w:sz="0" w:space="0" w:color="auto"/>
          </w:divBdr>
        </w:div>
        <w:div w:id="116995700">
          <w:marLeft w:val="0"/>
          <w:marRight w:val="0"/>
          <w:marTop w:val="0"/>
          <w:marBottom w:val="0"/>
          <w:divBdr>
            <w:top w:val="none" w:sz="0" w:space="0" w:color="auto"/>
            <w:left w:val="none" w:sz="0" w:space="0" w:color="auto"/>
            <w:bottom w:val="none" w:sz="0" w:space="0" w:color="auto"/>
            <w:right w:val="none" w:sz="0" w:space="0" w:color="auto"/>
          </w:divBdr>
        </w:div>
        <w:div w:id="641158417">
          <w:marLeft w:val="0"/>
          <w:marRight w:val="0"/>
          <w:marTop w:val="0"/>
          <w:marBottom w:val="0"/>
          <w:divBdr>
            <w:top w:val="none" w:sz="0" w:space="0" w:color="auto"/>
            <w:left w:val="none" w:sz="0" w:space="0" w:color="auto"/>
            <w:bottom w:val="none" w:sz="0" w:space="0" w:color="auto"/>
            <w:right w:val="none" w:sz="0" w:space="0" w:color="auto"/>
          </w:divBdr>
        </w:div>
        <w:div w:id="713038411">
          <w:marLeft w:val="0"/>
          <w:marRight w:val="0"/>
          <w:marTop w:val="0"/>
          <w:marBottom w:val="0"/>
          <w:divBdr>
            <w:top w:val="none" w:sz="0" w:space="0" w:color="auto"/>
            <w:left w:val="none" w:sz="0" w:space="0" w:color="auto"/>
            <w:bottom w:val="none" w:sz="0" w:space="0" w:color="auto"/>
            <w:right w:val="none" w:sz="0" w:space="0" w:color="auto"/>
          </w:divBdr>
        </w:div>
        <w:div w:id="897010170">
          <w:marLeft w:val="0"/>
          <w:marRight w:val="0"/>
          <w:marTop w:val="0"/>
          <w:marBottom w:val="0"/>
          <w:divBdr>
            <w:top w:val="none" w:sz="0" w:space="0" w:color="auto"/>
            <w:left w:val="none" w:sz="0" w:space="0" w:color="auto"/>
            <w:bottom w:val="none" w:sz="0" w:space="0" w:color="auto"/>
            <w:right w:val="none" w:sz="0" w:space="0" w:color="auto"/>
          </w:divBdr>
        </w:div>
        <w:div w:id="293489384">
          <w:marLeft w:val="0"/>
          <w:marRight w:val="0"/>
          <w:marTop w:val="0"/>
          <w:marBottom w:val="0"/>
          <w:divBdr>
            <w:top w:val="none" w:sz="0" w:space="0" w:color="auto"/>
            <w:left w:val="none" w:sz="0" w:space="0" w:color="auto"/>
            <w:bottom w:val="none" w:sz="0" w:space="0" w:color="auto"/>
            <w:right w:val="none" w:sz="0" w:space="0" w:color="auto"/>
          </w:divBdr>
        </w:div>
        <w:div w:id="1221556982">
          <w:marLeft w:val="0"/>
          <w:marRight w:val="0"/>
          <w:marTop w:val="0"/>
          <w:marBottom w:val="0"/>
          <w:divBdr>
            <w:top w:val="none" w:sz="0" w:space="0" w:color="auto"/>
            <w:left w:val="none" w:sz="0" w:space="0" w:color="auto"/>
            <w:bottom w:val="none" w:sz="0" w:space="0" w:color="auto"/>
            <w:right w:val="none" w:sz="0" w:space="0" w:color="auto"/>
          </w:divBdr>
        </w:div>
        <w:div w:id="1828475315">
          <w:marLeft w:val="0"/>
          <w:marRight w:val="0"/>
          <w:marTop w:val="0"/>
          <w:marBottom w:val="0"/>
          <w:divBdr>
            <w:top w:val="none" w:sz="0" w:space="0" w:color="auto"/>
            <w:left w:val="none" w:sz="0" w:space="0" w:color="auto"/>
            <w:bottom w:val="none" w:sz="0" w:space="0" w:color="auto"/>
            <w:right w:val="none" w:sz="0" w:space="0" w:color="auto"/>
          </w:divBdr>
        </w:div>
        <w:div w:id="1319653186">
          <w:marLeft w:val="0"/>
          <w:marRight w:val="0"/>
          <w:marTop w:val="0"/>
          <w:marBottom w:val="0"/>
          <w:divBdr>
            <w:top w:val="none" w:sz="0" w:space="0" w:color="auto"/>
            <w:left w:val="none" w:sz="0" w:space="0" w:color="auto"/>
            <w:bottom w:val="none" w:sz="0" w:space="0" w:color="auto"/>
            <w:right w:val="none" w:sz="0" w:space="0" w:color="auto"/>
          </w:divBdr>
        </w:div>
        <w:div w:id="1203175638">
          <w:marLeft w:val="0"/>
          <w:marRight w:val="0"/>
          <w:marTop w:val="0"/>
          <w:marBottom w:val="0"/>
          <w:divBdr>
            <w:top w:val="none" w:sz="0" w:space="0" w:color="auto"/>
            <w:left w:val="none" w:sz="0" w:space="0" w:color="auto"/>
            <w:bottom w:val="none" w:sz="0" w:space="0" w:color="auto"/>
            <w:right w:val="none" w:sz="0" w:space="0" w:color="auto"/>
          </w:divBdr>
        </w:div>
      </w:divsChild>
    </w:div>
    <w:div w:id="148522588">
      <w:bodyDiv w:val="1"/>
      <w:marLeft w:val="0"/>
      <w:marRight w:val="0"/>
      <w:marTop w:val="0"/>
      <w:marBottom w:val="0"/>
      <w:divBdr>
        <w:top w:val="none" w:sz="0" w:space="0" w:color="auto"/>
        <w:left w:val="none" w:sz="0" w:space="0" w:color="auto"/>
        <w:bottom w:val="none" w:sz="0" w:space="0" w:color="auto"/>
        <w:right w:val="none" w:sz="0" w:space="0" w:color="auto"/>
      </w:divBdr>
    </w:div>
    <w:div w:id="157234056">
      <w:bodyDiv w:val="1"/>
      <w:marLeft w:val="0"/>
      <w:marRight w:val="0"/>
      <w:marTop w:val="0"/>
      <w:marBottom w:val="0"/>
      <w:divBdr>
        <w:top w:val="none" w:sz="0" w:space="0" w:color="auto"/>
        <w:left w:val="none" w:sz="0" w:space="0" w:color="auto"/>
        <w:bottom w:val="none" w:sz="0" w:space="0" w:color="auto"/>
        <w:right w:val="none" w:sz="0" w:space="0" w:color="auto"/>
      </w:divBdr>
    </w:div>
    <w:div w:id="170334324">
      <w:bodyDiv w:val="1"/>
      <w:marLeft w:val="0"/>
      <w:marRight w:val="0"/>
      <w:marTop w:val="0"/>
      <w:marBottom w:val="0"/>
      <w:divBdr>
        <w:top w:val="none" w:sz="0" w:space="0" w:color="auto"/>
        <w:left w:val="none" w:sz="0" w:space="0" w:color="auto"/>
        <w:bottom w:val="none" w:sz="0" w:space="0" w:color="auto"/>
        <w:right w:val="none" w:sz="0" w:space="0" w:color="auto"/>
      </w:divBdr>
      <w:divsChild>
        <w:div w:id="700594230">
          <w:marLeft w:val="0"/>
          <w:marRight w:val="0"/>
          <w:marTop w:val="0"/>
          <w:marBottom w:val="0"/>
          <w:divBdr>
            <w:top w:val="none" w:sz="0" w:space="0" w:color="auto"/>
            <w:left w:val="none" w:sz="0" w:space="0" w:color="auto"/>
            <w:bottom w:val="none" w:sz="0" w:space="0" w:color="auto"/>
            <w:right w:val="none" w:sz="0" w:space="0" w:color="auto"/>
          </w:divBdr>
          <w:divsChild>
            <w:div w:id="54572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6885">
      <w:bodyDiv w:val="1"/>
      <w:marLeft w:val="0"/>
      <w:marRight w:val="0"/>
      <w:marTop w:val="0"/>
      <w:marBottom w:val="0"/>
      <w:divBdr>
        <w:top w:val="none" w:sz="0" w:space="0" w:color="auto"/>
        <w:left w:val="none" w:sz="0" w:space="0" w:color="auto"/>
        <w:bottom w:val="none" w:sz="0" w:space="0" w:color="auto"/>
        <w:right w:val="none" w:sz="0" w:space="0" w:color="auto"/>
      </w:divBdr>
    </w:div>
    <w:div w:id="194117734">
      <w:bodyDiv w:val="1"/>
      <w:marLeft w:val="0"/>
      <w:marRight w:val="0"/>
      <w:marTop w:val="0"/>
      <w:marBottom w:val="0"/>
      <w:divBdr>
        <w:top w:val="none" w:sz="0" w:space="0" w:color="auto"/>
        <w:left w:val="none" w:sz="0" w:space="0" w:color="auto"/>
        <w:bottom w:val="none" w:sz="0" w:space="0" w:color="auto"/>
        <w:right w:val="none" w:sz="0" w:space="0" w:color="auto"/>
      </w:divBdr>
      <w:divsChild>
        <w:div w:id="1811820682">
          <w:marLeft w:val="0"/>
          <w:marRight w:val="0"/>
          <w:marTop w:val="0"/>
          <w:marBottom w:val="0"/>
          <w:divBdr>
            <w:top w:val="none" w:sz="0" w:space="0" w:color="auto"/>
            <w:left w:val="none" w:sz="0" w:space="0" w:color="auto"/>
            <w:bottom w:val="none" w:sz="0" w:space="0" w:color="auto"/>
            <w:right w:val="none" w:sz="0" w:space="0" w:color="auto"/>
          </w:divBdr>
        </w:div>
        <w:div w:id="1155145156">
          <w:marLeft w:val="0"/>
          <w:marRight w:val="0"/>
          <w:marTop w:val="0"/>
          <w:marBottom w:val="0"/>
          <w:divBdr>
            <w:top w:val="none" w:sz="0" w:space="0" w:color="auto"/>
            <w:left w:val="none" w:sz="0" w:space="0" w:color="auto"/>
            <w:bottom w:val="none" w:sz="0" w:space="0" w:color="auto"/>
            <w:right w:val="none" w:sz="0" w:space="0" w:color="auto"/>
          </w:divBdr>
        </w:div>
      </w:divsChild>
    </w:div>
    <w:div w:id="211188852">
      <w:bodyDiv w:val="1"/>
      <w:marLeft w:val="0"/>
      <w:marRight w:val="0"/>
      <w:marTop w:val="0"/>
      <w:marBottom w:val="0"/>
      <w:divBdr>
        <w:top w:val="none" w:sz="0" w:space="0" w:color="auto"/>
        <w:left w:val="none" w:sz="0" w:space="0" w:color="auto"/>
        <w:bottom w:val="none" w:sz="0" w:space="0" w:color="auto"/>
        <w:right w:val="none" w:sz="0" w:space="0" w:color="auto"/>
      </w:divBdr>
      <w:divsChild>
        <w:div w:id="2103337816">
          <w:marLeft w:val="0"/>
          <w:marRight w:val="0"/>
          <w:marTop w:val="0"/>
          <w:marBottom w:val="0"/>
          <w:divBdr>
            <w:top w:val="none" w:sz="0" w:space="0" w:color="auto"/>
            <w:left w:val="none" w:sz="0" w:space="0" w:color="auto"/>
            <w:bottom w:val="none" w:sz="0" w:space="0" w:color="auto"/>
            <w:right w:val="none" w:sz="0" w:space="0" w:color="auto"/>
          </w:divBdr>
        </w:div>
        <w:div w:id="1629359938">
          <w:marLeft w:val="0"/>
          <w:marRight w:val="0"/>
          <w:marTop w:val="0"/>
          <w:marBottom w:val="0"/>
          <w:divBdr>
            <w:top w:val="none" w:sz="0" w:space="0" w:color="auto"/>
            <w:left w:val="none" w:sz="0" w:space="0" w:color="auto"/>
            <w:bottom w:val="none" w:sz="0" w:space="0" w:color="auto"/>
            <w:right w:val="none" w:sz="0" w:space="0" w:color="auto"/>
          </w:divBdr>
        </w:div>
        <w:div w:id="1459908691">
          <w:marLeft w:val="0"/>
          <w:marRight w:val="0"/>
          <w:marTop w:val="0"/>
          <w:marBottom w:val="0"/>
          <w:divBdr>
            <w:top w:val="none" w:sz="0" w:space="0" w:color="auto"/>
            <w:left w:val="none" w:sz="0" w:space="0" w:color="auto"/>
            <w:bottom w:val="none" w:sz="0" w:space="0" w:color="auto"/>
            <w:right w:val="none" w:sz="0" w:space="0" w:color="auto"/>
          </w:divBdr>
        </w:div>
        <w:div w:id="1166213352">
          <w:marLeft w:val="0"/>
          <w:marRight w:val="0"/>
          <w:marTop w:val="0"/>
          <w:marBottom w:val="0"/>
          <w:divBdr>
            <w:top w:val="none" w:sz="0" w:space="0" w:color="auto"/>
            <w:left w:val="none" w:sz="0" w:space="0" w:color="auto"/>
            <w:bottom w:val="none" w:sz="0" w:space="0" w:color="auto"/>
            <w:right w:val="none" w:sz="0" w:space="0" w:color="auto"/>
          </w:divBdr>
        </w:div>
        <w:div w:id="974991057">
          <w:marLeft w:val="0"/>
          <w:marRight w:val="0"/>
          <w:marTop w:val="0"/>
          <w:marBottom w:val="0"/>
          <w:divBdr>
            <w:top w:val="none" w:sz="0" w:space="0" w:color="auto"/>
            <w:left w:val="none" w:sz="0" w:space="0" w:color="auto"/>
            <w:bottom w:val="none" w:sz="0" w:space="0" w:color="auto"/>
            <w:right w:val="none" w:sz="0" w:space="0" w:color="auto"/>
          </w:divBdr>
        </w:div>
      </w:divsChild>
    </w:div>
    <w:div w:id="217858016">
      <w:bodyDiv w:val="1"/>
      <w:marLeft w:val="0"/>
      <w:marRight w:val="0"/>
      <w:marTop w:val="0"/>
      <w:marBottom w:val="0"/>
      <w:divBdr>
        <w:top w:val="none" w:sz="0" w:space="0" w:color="auto"/>
        <w:left w:val="none" w:sz="0" w:space="0" w:color="auto"/>
        <w:bottom w:val="none" w:sz="0" w:space="0" w:color="auto"/>
        <w:right w:val="none" w:sz="0" w:space="0" w:color="auto"/>
      </w:divBdr>
      <w:divsChild>
        <w:div w:id="220749164">
          <w:marLeft w:val="0"/>
          <w:marRight w:val="0"/>
          <w:marTop w:val="0"/>
          <w:marBottom w:val="0"/>
          <w:divBdr>
            <w:top w:val="none" w:sz="0" w:space="0" w:color="auto"/>
            <w:left w:val="none" w:sz="0" w:space="0" w:color="auto"/>
            <w:bottom w:val="none" w:sz="0" w:space="0" w:color="auto"/>
            <w:right w:val="none" w:sz="0" w:space="0" w:color="auto"/>
          </w:divBdr>
        </w:div>
        <w:div w:id="660693102">
          <w:marLeft w:val="0"/>
          <w:marRight w:val="0"/>
          <w:marTop w:val="0"/>
          <w:marBottom w:val="0"/>
          <w:divBdr>
            <w:top w:val="none" w:sz="0" w:space="0" w:color="auto"/>
            <w:left w:val="none" w:sz="0" w:space="0" w:color="auto"/>
            <w:bottom w:val="none" w:sz="0" w:space="0" w:color="auto"/>
            <w:right w:val="none" w:sz="0" w:space="0" w:color="auto"/>
          </w:divBdr>
        </w:div>
        <w:div w:id="1881937894">
          <w:marLeft w:val="0"/>
          <w:marRight w:val="0"/>
          <w:marTop w:val="0"/>
          <w:marBottom w:val="0"/>
          <w:divBdr>
            <w:top w:val="none" w:sz="0" w:space="0" w:color="auto"/>
            <w:left w:val="none" w:sz="0" w:space="0" w:color="auto"/>
            <w:bottom w:val="none" w:sz="0" w:space="0" w:color="auto"/>
            <w:right w:val="none" w:sz="0" w:space="0" w:color="auto"/>
          </w:divBdr>
        </w:div>
        <w:div w:id="1647274647">
          <w:marLeft w:val="0"/>
          <w:marRight w:val="0"/>
          <w:marTop w:val="0"/>
          <w:marBottom w:val="0"/>
          <w:divBdr>
            <w:top w:val="none" w:sz="0" w:space="0" w:color="auto"/>
            <w:left w:val="none" w:sz="0" w:space="0" w:color="auto"/>
            <w:bottom w:val="none" w:sz="0" w:space="0" w:color="auto"/>
            <w:right w:val="none" w:sz="0" w:space="0" w:color="auto"/>
          </w:divBdr>
        </w:div>
        <w:div w:id="1368484689">
          <w:marLeft w:val="0"/>
          <w:marRight w:val="0"/>
          <w:marTop w:val="0"/>
          <w:marBottom w:val="0"/>
          <w:divBdr>
            <w:top w:val="none" w:sz="0" w:space="0" w:color="auto"/>
            <w:left w:val="none" w:sz="0" w:space="0" w:color="auto"/>
            <w:bottom w:val="none" w:sz="0" w:space="0" w:color="auto"/>
            <w:right w:val="none" w:sz="0" w:space="0" w:color="auto"/>
          </w:divBdr>
        </w:div>
        <w:div w:id="882061785">
          <w:marLeft w:val="0"/>
          <w:marRight w:val="0"/>
          <w:marTop w:val="0"/>
          <w:marBottom w:val="0"/>
          <w:divBdr>
            <w:top w:val="none" w:sz="0" w:space="0" w:color="auto"/>
            <w:left w:val="none" w:sz="0" w:space="0" w:color="auto"/>
            <w:bottom w:val="none" w:sz="0" w:space="0" w:color="auto"/>
            <w:right w:val="none" w:sz="0" w:space="0" w:color="auto"/>
          </w:divBdr>
        </w:div>
        <w:div w:id="2052194491">
          <w:marLeft w:val="0"/>
          <w:marRight w:val="0"/>
          <w:marTop w:val="0"/>
          <w:marBottom w:val="0"/>
          <w:divBdr>
            <w:top w:val="none" w:sz="0" w:space="0" w:color="auto"/>
            <w:left w:val="none" w:sz="0" w:space="0" w:color="auto"/>
            <w:bottom w:val="none" w:sz="0" w:space="0" w:color="auto"/>
            <w:right w:val="none" w:sz="0" w:space="0" w:color="auto"/>
          </w:divBdr>
        </w:div>
        <w:div w:id="224949754">
          <w:marLeft w:val="0"/>
          <w:marRight w:val="0"/>
          <w:marTop w:val="0"/>
          <w:marBottom w:val="0"/>
          <w:divBdr>
            <w:top w:val="none" w:sz="0" w:space="0" w:color="auto"/>
            <w:left w:val="none" w:sz="0" w:space="0" w:color="auto"/>
            <w:bottom w:val="none" w:sz="0" w:space="0" w:color="auto"/>
            <w:right w:val="none" w:sz="0" w:space="0" w:color="auto"/>
          </w:divBdr>
        </w:div>
        <w:div w:id="319846243">
          <w:marLeft w:val="0"/>
          <w:marRight w:val="0"/>
          <w:marTop w:val="0"/>
          <w:marBottom w:val="0"/>
          <w:divBdr>
            <w:top w:val="none" w:sz="0" w:space="0" w:color="auto"/>
            <w:left w:val="none" w:sz="0" w:space="0" w:color="auto"/>
            <w:bottom w:val="none" w:sz="0" w:space="0" w:color="auto"/>
            <w:right w:val="none" w:sz="0" w:space="0" w:color="auto"/>
          </w:divBdr>
        </w:div>
        <w:div w:id="1158687245">
          <w:marLeft w:val="0"/>
          <w:marRight w:val="0"/>
          <w:marTop w:val="0"/>
          <w:marBottom w:val="0"/>
          <w:divBdr>
            <w:top w:val="none" w:sz="0" w:space="0" w:color="auto"/>
            <w:left w:val="none" w:sz="0" w:space="0" w:color="auto"/>
            <w:bottom w:val="none" w:sz="0" w:space="0" w:color="auto"/>
            <w:right w:val="none" w:sz="0" w:space="0" w:color="auto"/>
          </w:divBdr>
        </w:div>
        <w:div w:id="1542749176">
          <w:marLeft w:val="0"/>
          <w:marRight w:val="0"/>
          <w:marTop w:val="0"/>
          <w:marBottom w:val="0"/>
          <w:divBdr>
            <w:top w:val="none" w:sz="0" w:space="0" w:color="auto"/>
            <w:left w:val="none" w:sz="0" w:space="0" w:color="auto"/>
            <w:bottom w:val="none" w:sz="0" w:space="0" w:color="auto"/>
            <w:right w:val="none" w:sz="0" w:space="0" w:color="auto"/>
          </w:divBdr>
        </w:div>
      </w:divsChild>
    </w:div>
    <w:div w:id="241261810">
      <w:bodyDiv w:val="1"/>
      <w:marLeft w:val="0"/>
      <w:marRight w:val="0"/>
      <w:marTop w:val="0"/>
      <w:marBottom w:val="0"/>
      <w:divBdr>
        <w:top w:val="none" w:sz="0" w:space="0" w:color="auto"/>
        <w:left w:val="none" w:sz="0" w:space="0" w:color="auto"/>
        <w:bottom w:val="none" w:sz="0" w:space="0" w:color="auto"/>
        <w:right w:val="none" w:sz="0" w:space="0" w:color="auto"/>
      </w:divBdr>
      <w:divsChild>
        <w:div w:id="899444611">
          <w:marLeft w:val="0"/>
          <w:marRight w:val="0"/>
          <w:marTop w:val="0"/>
          <w:marBottom w:val="0"/>
          <w:divBdr>
            <w:top w:val="none" w:sz="0" w:space="0" w:color="auto"/>
            <w:left w:val="none" w:sz="0" w:space="0" w:color="auto"/>
            <w:bottom w:val="none" w:sz="0" w:space="0" w:color="auto"/>
            <w:right w:val="none" w:sz="0" w:space="0" w:color="auto"/>
          </w:divBdr>
          <w:divsChild>
            <w:div w:id="171534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9046793">
      <w:bodyDiv w:val="1"/>
      <w:marLeft w:val="0"/>
      <w:marRight w:val="0"/>
      <w:marTop w:val="0"/>
      <w:marBottom w:val="0"/>
      <w:divBdr>
        <w:top w:val="none" w:sz="0" w:space="0" w:color="auto"/>
        <w:left w:val="none" w:sz="0" w:space="0" w:color="auto"/>
        <w:bottom w:val="none" w:sz="0" w:space="0" w:color="auto"/>
        <w:right w:val="none" w:sz="0" w:space="0" w:color="auto"/>
      </w:divBdr>
      <w:divsChild>
        <w:div w:id="1474905830">
          <w:marLeft w:val="0"/>
          <w:marRight w:val="0"/>
          <w:marTop w:val="0"/>
          <w:marBottom w:val="0"/>
          <w:divBdr>
            <w:top w:val="none" w:sz="0" w:space="0" w:color="auto"/>
            <w:left w:val="none" w:sz="0" w:space="0" w:color="auto"/>
            <w:bottom w:val="none" w:sz="0" w:space="0" w:color="auto"/>
            <w:right w:val="none" w:sz="0" w:space="0" w:color="auto"/>
          </w:divBdr>
          <w:divsChild>
            <w:div w:id="417748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495196">
      <w:bodyDiv w:val="1"/>
      <w:marLeft w:val="0"/>
      <w:marRight w:val="0"/>
      <w:marTop w:val="0"/>
      <w:marBottom w:val="0"/>
      <w:divBdr>
        <w:top w:val="none" w:sz="0" w:space="0" w:color="auto"/>
        <w:left w:val="none" w:sz="0" w:space="0" w:color="auto"/>
        <w:bottom w:val="none" w:sz="0" w:space="0" w:color="auto"/>
        <w:right w:val="none" w:sz="0" w:space="0" w:color="auto"/>
      </w:divBdr>
      <w:divsChild>
        <w:div w:id="698167556">
          <w:marLeft w:val="0"/>
          <w:marRight w:val="0"/>
          <w:marTop w:val="0"/>
          <w:marBottom w:val="0"/>
          <w:divBdr>
            <w:top w:val="none" w:sz="0" w:space="0" w:color="auto"/>
            <w:left w:val="none" w:sz="0" w:space="0" w:color="auto"/>
            <w:bottom w:val="none" w:sz="0" w:space="0" w:color="auto"/>
            <w:right w:val="none" w:sz="0" w:space="0" w:color="auto"/>
          </w:divBdr>
          <w:divsChild>
            <w:div w:id="114912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14563">
      <w:bodyDiv w:val="1"/>
      <w:marLeft w:val="0"/>
      <w:marRight w:val="0"/>
      <w:marTop w:val="0"/>
      <w:marBottom w:val="0"/>
      <w:divBdr>
        <w:top w:val="none" w:sz="0" w:space="0" w:color="auto"/>
        <w:left w:val="none" w:sz="0" w:space="0" w:color="auto"/>
        <w:bottom w:val="none" w:sz="0" w:space="0" w:color="auto"/>
        <w:right w:val="none" w:sz="0" w:space="0" w:color="auto"/>
      </w:divBdr>
      <w:divsChild>
        <w:div w:id="1546478004">
          <w:marLeft w:val="0"/>
          <w:marRight w:val="0"/>
          <w:marTop w:val="0"/>
          <w:marBottom w:val="0"/>
          <w:divBdr>
            <w:top w:val="none" w:sz="0" w:space="0" w:color="auto"/>
            <w:left w:val="none" w:sz="0" w:space="0" w:color="auto"/>
            <w:bottom w:val="none" w:sz="0" w:space="0" w:color="auto"/>
            <w:right w:val="none" w:sz="0" w:space="0" w:color="auto"/>
          </w:divBdr>
        </w:div>
        <w:div w:id="1557429629">
          <w:marLeft w:val="0"/>
          <w:marRight w:val="0"/>
          <w:marTop w:val="0"/>
          <w:marBottom w:val="0"/>
          <w:divBdr>
            <w:top w:val="none" w:sz="0" w:space="0" w:color="auto"/>
            <w:left w:val="none" w:sz="0" w:space="0" w:color="auto"/>
            <w:bottom w:val="none" w:sz="0" w:space="0" w:color="auto"/>
            <w:right w:val="none" w:sz="0" w:space="0" w:color="auto"/>
          </w:divBdr>
        </w:div>
        <w:div w:id="1378699499">
          <w:marLeft w:val="0"/>
          <w:marRight w:val="0"/>
          <w:marTop w:val="0"/>
          <w:marBottom w:val="0"/>
          <w:divBdr>
            <w:top w:val="none" w:sz="0" w:space="0" w:color="auto"/>
            <w:left w:val="none" w:sz="0" w:space="0" w:color="auto"/>
            <w:bottom w:val="none" w:sz="0" w:space="0" w:color="auto"/>
            <w:right w:val="none" w:sz="0" w:space="0" w:color="auto"/>
          </w:divBdr>
        </w:div>
        <w:div w:id="1929188811">
          <w:marLeft w:val="0"/>
          <w:marRight w:val="0"/>
          <w:marTop w:val="0"/>
          <w:marBottom w:val="0"/>
          <w:divBdr>
            <w:top w:val="none" w:sz="0" w:space="0" w:color="auto"/>
            <w:left w:val="none" w:sz="0" w:space="0" w:color="auto"/>
            <w:bottom w:val="none" w:sz="0" w:space="0" w:color="auto"/>
            <w:right w:val="none" w:sz="0" w:space="0" w:color="auto"/>
          </w:divBdr>
        </w:div>
        <w:div w:id="223567480">
          <w:marLeft w:val="0"/>
          <w:marRight w:val="0"/>
          <w:marTop w:val="0"/>
          <w:marBottom w:val="0"/>
          <w:divBdr>
            <w:top w:val="none" w:sz="0" w:space="0" w:color="auto"/>
            <w:left w:val="none" w:sz="0" w:space="0" w:color="auto"/>
            <w:bottom w:val="none" w:sz="0" w:space="0" w:color="auto"/>
            <w:right w:val="none" w:sz="0" w:space="0" w:color="auto"/>
          </w:divBdr>
        </w:div>
        <w:div w:id="1018314639">
          <w:marLeft w:val="0"/>
          <w:marRight w:val="0"/>
          <w:marTop w:val="0"/>
          <w:marBottom w:val="0"/>
          <w:divBdr>
            <w:top w:val="none" w:sz="0" w:space="0" w:color="auto"/>
            <w:left w:val="none" w:sz="0" w:space="0" w:color="auto"/>
            <w:bottom w:val="none" w:sz="0" w:space="0" w:color="auto"/>
            <w:right w:val="none" w:sz="0" w:space="0" w:color="auto"/>
          </w:divBdr>
        </w:div>
        <w:div w:id="2102986229">
          <w:marLeft w:val="0"/>
          <w:marRight w:val="0"/>
          <w:marTop w:val="0"/>
          <w:marBottom w:val="0"/>
          <w:divBdr>
            <w:top w:val="none" w:sz="0" w:space="0" w:color="auto"/>
            <w:left w:val="none" w:sz="0" w:space="0" w:color="auto"/>
            <w:bottom w:val="none" w:sz="0" w:space="0" w:color="auto"/>
            <w:right w:val="none" w:sz="0" w:space="0" w:color="auto"/>
          </w:divBdr>
        </w:div>
      </w:divsChild>
    </w:div>
    <w:div w:id="272716527">
      <w:bodyDiv w:val="1"/>
      <w:marLeft w:val="0"/>
      <w:marRight w:val="0"/>
      <w:marTop w:val="0"/>
      <w:marBottom w:val="0"/>
      <w:divBdr>
        <w:top w:val="none" w:sz="0" w:space="0" w:color="auto"/>
        <w:left w:val="none" w:sz="0" w:space="0" w:color="auto"/>
        <w:bottom w:val="none" w:sz="0" w:space="0" w:color="auto"/>
        <w:right w:val="none" w:sz="0" w:space="0" w:color="auto"/>
      </w:divBdr>
      <w:divsChild>
        <w:div w:id="292561564">
          <w:marLeft w:val="0"/>
          <w:marRight w:val="0"/>
          <w:marTop w:val="0"/>
          <w:marBottom w:val="0"/>
          <w:divBdr>
            <w:top w:val="none" w:sz="0" w:space="0" w:color="auto"/>
            <w:left w:val="none" w:sz="0" w:space="0" w:color="auto"/>
            <w:bottom w:val="none" w:sz="0" w:space="0" w:color="auto"/>
            <w:right w:val="none" w:sz="0" w:space="0" w:color="auto"/>
          </w:divBdr>
        </w:div>
        <w:div w:id="1549104213">
          <w:marLeft w:val="0"/>
          <w:marRight w:val="0"/>
          <w:marTop w:val="0"/>
          <w:marBottom w:val="0"/>
          <w:divBdr>
            <w:top w:val="none" w:sz="0" w:space="0" w:color="auto"/>
            <w:left w:val="none" w:sz="0" w:space="0" w:color="auto"/>
            <w:bottom w:val="none" w:sz="0" w:space="0" w:color="auto"/>
            <w:right w:val="none" w:sz="0" w:space="0" w:color="auto"/>
          </w:divBdr>
        </w:div>
        <w:div w:id="286357958">
          <w:marLeft w:val="0"/>
          <w:marRight w:val="0"/>
          <w:marTop w:val="0"/>
          <w:marBottom w:val="0"/>
          <w:divBdr>
            <w:top w:val="none" w:sz="0" w:space="0" w:color="auto"/>
            <w:left w:val="none" w:sz="0" w:space="0" w:color="auto"/>
            <w:bottom w:val="none" w:sz="0" w:space="0" w:color="auto"/>
            <w:right w:val="none" w:sz="0" w:space="0" w:color="auto"/>
          </w:divBdr>
        </w:div>
        <w:div w:id="1529568409">
          <w:marLeft w:val="0"/>
          <w:marRight w:val="0"/>
          <w:marTop w:val="0"/>
          <w:marBottom w:val="0"/>
          <w:divBdr>
            <w:top w:val="none" w:sz="0" w:space="0" w:color="auto"/>
            <w:left w:val="none" w:sz="0" w:space="0" w:color="auto"/>
            <w:bottom w:val="none" w:sz="0" w:space="0" w:color="auto"/>
            <w:right w:val="none" w:sz="0" w:space="0" w:color="auto"/>
          </w:divBdr>
        </w:div>
      </w:divsChild>
    </w:div>
    <w:div w:id="281041816">
      <w:bodyDiv w:val="1"/>
      <w:marLeft w:val="0"/>
      <w:marRight w:val="0"/>
      <w:marTop w:val="0"/>
      <w:marBottom w:val="0"/>
      <w:divBdr>
        <w:top w:val="none" w:sz="0" w:space="0" w:color="auto"/>
        <w:left w:val="none" w:sz="0" w:space="0" w:color="auto"/>
        <w:bottom w:val="none" w:sz="0" w:space="0" w:color="auto"/>
        <w:right w:val="none" w:sz="0" w:space="0" w:color="auto"/>
      </w:divBdr>
      <w:divsChild>
        <w:div w:id="586889287">
          <w:marLeft w:val="0"/>
          <w:marRight w:val="0"/>
          <w:marTop w:val="0"/>
          <w:marBottom w:val="0"/>
          <w:divBdr>
            <w:top w:val="none" w:sz="0" w:space="0" w:color="auto"/>
            <w:left w:val="none" w:sz="0" w:space="0" w:color="auto"/>
            <w:bottom w:val="none" w:sz="0" w:space="0" w:color="auto"/>
            <w:right w:val="none" w:sz="0" w:space="0" w:color="auto"/>
          </w:divBdr>
        </w:div>
        <w:div w:id="564031983">
          <w:marLeft w:val="0"/>
          <w:marRight w:val="0"/>
          <w:marTop w:val="0"/>
          <w:marBottom w:val="0"/>
          <w:divBdr>
            <w:top w:val="none" w:sz="0" w:space="0" w:color="auto"/>
            <w:left w:val="none" w:sz="0" w:space="0" w:color="auto"/>
            <w:bottom w:val="none" w:sz="0" w:space="0" w:color="auto"/>
            <w:right w:val="none" w:sz="0" w:space="0" w:color="auto"/>
          </w:divBdr>
        </w:div>
        <w:div w:id="164516040">
          <w:marLeft w:val="0"/>
          <w:marRight w:val="0"/>
          <w:marTop w:val="0"/>
          <w:marBottom w:val="0"/>
          <w:divBdr>
            <w:top w:val="none" w:sz="0" w:space="0" w:color="auto"/>
            <w:left w:val="none" w:sz="0" w:space="0" w:color="auto"/>
            <w:bottom w:val="none" w:sz="0" w:space="0" w:color="auto"/>
            <w:right w:val="none" w:sz="0" w:space="0" w:color="auto"/>
          </w:divBdr>
        </w:div>
        <w:div w:id="740055679">
          <w:marLeft w:val="0"/>
          <w:marRight w:val="0"/>
          <w:marTop w:val="0"/>
          <w:marBottom w:val="0"/>
          <w:divBdr>
            <w:top w:val="none" w:sz="0" w:space="0" w:color="auto"/>
            <w:left w:val="none" w:sz="0" w:space="0" w:color="auto"/>
            <w:bottom w:val="none" w:sz="0" w:space="0" w:color="auto"/>
            <w:right w:val="none" w:sz="0" w:space="0" w:color="auto"/>
          </w:divBdr>
        </w:div>
        <w:div w:id="1329288849">
          <w:marLeft w:val="0"/>
          <w:marRight w:val="0"/>
          <w:marTop w:val="0"/>
          <w:marBottom w:val="0"/>
          <w:divBdr>
            <w:top w:val="none" w:sz="0" w:space="0" w:color="auto"/>
            <w:left w:val="none" w:sz="0" w:space="0" w:color="auto"/>
            <w:bottom w:val="none" w:sz="0" w:space="0" w:color="auto"/>
            <w:right w:val="none" w:sz="0" w:space="0" w:color="auto"/>
          </w:divBdr>
        </w:div>
      </w:divsChild>
    </w:div>
    <w:div w:id="298220420">
      <w:bodyDiv w:val="1"/>
      <w:marLeft w:val="0"/>
      <w:marRight w:val="0"/>
      <w:marTop w:val="0"/>
      <w:marBottom w:val="0"/>
      <w:divBdr>
        <w:top w:val="none" w:sz="0" w:space="0" w:color="auto"/>
        <w:left w:val="none" w:sz="0" w:space="0" w:color="auto"/>
        <w:bottom w:val="none" w:sz="0" w:space="0" w:color="auto"/>
        <w:right w:val="none" w:sz="0" w:space="0" w:color="auto"/>
      </w:divBdr>
    </w:div>
    <w:div w:id="306713074">
      <w:bodyDiv w:val="1"/>
      <w:marLeft w:val="0"/>
      <w:marRight w:val="0"/>
      <w:marTop w:val="0"/>
      <w:marBottom w:val="0"/>
      <w:divBdr>
        <w:top w:val="none" w:sz="0" w:space="0" w:color="auto"/>
        <w:left w:val="none" w:sz="0" w:space="0" w:color="auto"/>
        <w:bottom w:val="none" w:sz="0" w:space="0" w:color="auto"/>
        <w:right w:val="none" w:sz="0" w:space="0" w:color="auto"/>
      </w:divBdr>
    </w:div>
    <w:div w:id="315183440">
      <w:bodyDiv w:val="1"/>
      <w:marLeft w:val="0"/>
      <w:marRight w:val="0"/>
      <w:marTop w:val="0"/>
      <w:marBottom w:val="0"/>
      <w:divBdr>
        <w:top w:val="none" w:sz="0" w:space="0" w:color="auto"/>
        <w:left w:val="none" w:sz="0" w:space="0" w:color="auto"/>
        <w:bottom w:val="none" w:sz="0" w:space="0" w:color="auto"/>
        <w:right w:val="none" w:sz="0" w:space="0" w:color="auto"/>
      </w:divBdr>
      <w:divsChild>
        <w:div w:id="870188574">
          <w:marLeft w:val="0"/>
          <w:marRight w:val="0"/>
          <w:marTop w:val="0"/>
          <w:marBottom w:val="0"/>
          <w:divBdr>
            <w:top w:val="none" w:sz="0" w:space="0" w:color="auto"/>
            <w:left w:val="none" w:sz="0" w:space="0" w:color="auto"/>
            <w:bottom w:val="none" w:sz="0" w:space="0" w:color="auto"/>
            <w:right w:val="none" w:sz="0" w:space="0" w:color="auto"/>
          </w:divBdr>
        </w:div>
        <w:div w:id="598637288">
          <w:marLeft w:val="0"/>
          <w:marRight w:val="0"/>
          <w:marTop w:val="0"/>
          <w:marBottom w:val="0"/>
          <w:divBdr>
            <w:top w:val="none" w:sz="0" w:space="0" w:color="auto"/>
            <w:left w:val="none" w:sz="0" w:space="0" w:color="auto"/>
            <w:bottom w:val="none" w:sz="0" w:space="0" w:color="auto"/>
            <w:right w:val="none" w:sz="0" w:space="0" w:color="auto"/>
          </w:divBdr>
        </w:div>
        <w:div w:id="1233391538">
          <w:marLeft w:val="0"/>
          <w:marRight w:val="0"/>
          <w:marTop w:val="0"/>
          <w:marBottom w:val="0"/>
          <w:divBdr>
            <w:top w:val="none" w:sz="0" w:space="0" w:color="auto"/>
            <w:left w:val="none" w:sz="0" w:space="0" w:color="auto"/>
            <w:bottom w:val="none" w:sz="0" w:space="0" w:color="auto"/>
            <w:right w:val="none" w:sz="0" w:space="0" w:color="auto"/>
          </w:divBdr>
        </w:div>
        <w:div w:id="1026979089">
          <w:marLeft w:val="0"/>
          <w:marRight w:val="0"/>
          <w:marTop w:val="0"/>
          <w:marBottom w:val="0"/>
          <w:divBdr>
            <w:top w:val="none" w:sz="0" w:space="0" w:color="auto"/>
            <w:left w:val="none" w:sz="0" w:space="0" w:color="auto"/>
            <w:bottom w:val="none" w:sz="0" w:space="0" w:color="auto"/>
            <w:right w:val="none" w:sz="0" w:space="0" w:color="auto"/>
          </w:divBdr>
        </w:div>
        <w:div w:id="793402586">
          <w:marLeft w:val="0"/>
          <w:marRight w:val="0"/>
          <w:marTop w:val="0"/>
          <w:marBottom w:val="0"/>
          <w:divBdr>
            <w:top w:val="none" w:sz="0" w:space="0" w:color="auto"/>
            <w:left w:val="none" w:sz="0" w:space="0" w:color="auto"/>
            <w:bottom w:val="none" w:sz="0" w:space="0" w:color="auto"/>
            <w:right w:val="none" w:sz="0" w:space="0" w:color="auto"/>
          </w:divBdr>
        </w:div>
        <w:div w:id="1043871602">
          <w:marLeft w:val="0"/>
          <w:marRight w:val="0"/>
          <w:marTop w:val="0"/>
          <w:marBottom w:val="0"/>
          <w:divBdr>
            <w:top w:val="none" w:sz="0" w:space="0" w:color="auto"/>
            <w:left w:val="none" w:sz="0" w:space="0" w:color="auto"/>
            <w:bottom w:val="none" w:sz="0" w:space="0" w:color="auto"/>
            <w:right w:val="none" w:sz="0" w:space="0" w:color="auto"/>
          </w:divBdr>
        </w:div>
        <w:div w:id="928929865">
          <w:marLeft w:val="0"/>
          <w:marRight w:val="0"/>
          <w:marTop w:val="0"/>
          <w:marBottom w:val="0"/>
          <w:divBdr>
            <w:top w:val="none" w:sz="0" w:space="0" w:color="auto"/>
            <w:left w:val="none" w:sz="0" w:space="0" w:color="auto"/>
            <w:bottom w:val="none" w:sz="0" w:space="0" w:color="auto"/>
            <w:right w:val="none" w:sz="0" w:space="0" w:color="auto"/>
          </w:divBdr>
        </w:div>
      </w:divsChild>
    </w:div>
    <w:div w:id="319433702">
      <w:bodyDiv w:val="1"/>
      <w:marLeft w:val="0"/>
      <w:marRight w:val="0"/>
      <w:marTop w:val="0"/>
      <w:marBottom w:val="0"/>
      <w:divBdr>
        <w:top w:val="none" w:sz="0" w:space="0" w:color="auto"/>
        <w:left w:val="none" w:sz="0" w:space="0" w:color="auto"/>
        <w:bottom w:val="none" w:sz="0" w:space="0" w:color="auto"/>
        <w:right w:val="none" w:sz="0" w:space="0" w:color="auto"/>
      </w:divBdr>
      <w:divsChild>
        <w:div w:id="1183477489">
          <w:marLeft w:val="0"/>
          <w:marRight w:val="0"/>
          <w:marTop w:val="0"/>
          <w:marBottom w:val="0"/>
          <w:divBdr>
            <w:top w:val="none" w:sz="0" w:space="0" w:color="auto"/>
            <w:left w:val="none" w:sz="0" w:space="0" w:color="auto"/>
            <w:bottom w:val="none" w:sz="0" w:space="0" w:color="auto"/>
            <w:right w:val="none" w:sz="0" w:space="0" w:color="auto"/>
          </w:divBdr>
        </w:div>
        <w:div w:id="1297099021">
          <w:marLeft w:val="0"/>
          <w:marRight w:val="0"/>
          <w:marTop w:val="0"/>
          <w:marBottom w:val="0"/>
          <w:divBdr>
            <w:top w:val="none" w:sz="0" w:space="0" w:color="auto"/>
            <w:left w:val="none" w:sz="0" w:space="0" w:color="auto"/>
            <w:bottom w:val="none" w:sz="0" w:space="0" w:color="auto"/>
            <w:right w:val="none" w:sz="0" w:space="0" w:color="auto"/>
          </w:divBdr>
        </w:div>
        <w:div w:id="1691104423">
          <w:marLeft w:val="0"/>
          <w:marRight w:val="0"/>
          <w:marTop w:val="0"/>
          <w:marBottom w:val="0"/>
          <w:divBdr>
            <w:top w:val="none" w:sz="0" w:space="0" w:color="auto"/>
            <w:left w:val="none" w:sz="0" w:space="0" w:color="auto"/>
            <w:bottom w:val="none" w:sz="0" w:space="0" w:color="auto"/>
            <w:right w:val="none" w:sz="0" w:space="0" w:color="auto"/>
          </w:divBdr>
        </w:div>
        <w:div w:id="1942488291">
          <w:marLeft w:val="0"/>
          <w:marRight w:val="0"/>
          <w:marTop w:val="0"/>
          <w:marBottom w:val="0"/>
          <w:divBdr>
            <w:top w:val="none" w:sz="0" w:space="0" w:color="auto"/>
            <w:left w:val="none" w:sz="0" w:space="0" w:color="auto"/>
            <w:bottom w:val="none" w:sz="0" w:space="0" w:color="auto"/>
            <w:right w:val="none" w:sz="0" w:space="0" w:color="auto"/>
          </w:divBdr>
        </w:div>
        <w:div w:id="237718321">
          <w:marLeft w:val="0"/>
          <w:marRight w:val="0"/>
          <w:marTop w:val="0"/>
          <w:marBottom w:val="0"/>
          <w:divBdr>
            <w:top w:val="none" w:sz="0" w:space="0" w:color="auto"/>
            <w:left w:val="none" w:sz="0" w:space="0" w:color="auto"/>
            <w:bottom w:val="none" w:sz="0" w:space="0" w:color="auto"/>
            <w:right w:val="none" w:sz="0" w:space="0" w:color="auto"/>
          </w:divBdr>
        </w:div>
        <w:div w:id="628784246">
          <w:marLeft w:val="0"/>
          <w:marRight w:val="0"/>
          <w:marTop w:val="0"/>
          <w:marBottom w:val="0"/>
          <w:divBdr>
            <w:top w:val="none" w:sz="0" w:space="0" w:color="auto"/>
            <w:left w:val="none" w:sz="0" w:space="0" w:color="auto"/>
            <w:bottom w:val="none" w:sz="0" w:space="0" w:color="auto"/>
            <w:right w:val="none" w:sz="0" w:space="0" w:color="auto"/>
          </w:divBdr>
        </w:div>
        <w:div w:id="1771120970">
          <w:marLeft w:val="0"/>
          <w:marRight w:val="0"/>
          <w:marTop w:val="0"/>
          <w:marBottom w:val="0"/>
          <w:divBdr>
            <w:top w:val="none" w:sz="0" w:space="0" w:color="auto"/>
            <w:left w:val="none" w:sz="0" w:space="0" w:color="auto"/>
            <w:bottom w:val="none" w:sz="0" w:space="0" w:color="auto"/>
            <w:right w:val="none" w:sz="0" w:space="0" w:color="auto"/>
          </w:divBdr>
        </w:div>
        <w:div w:id="553270594">
          <w:marLeft w:val="0"/>
          <w:marRight w:val="0"/>
          <w:marTop w:val="0"/>
          <w:marBottom w:val="0"/>
          <w:divBdr>
            <w:top w:val="none" w:sz="0" w:space="0" w:color="auto"/>
            <w:left w:val="none" w:sz="0" w:space="0" w:color="auto"/>
            <w:bottom w:val="none" w:sz="0" w:space="0" w:color="auto"/>
            <w:right w:val="none" w:sz="0" w:space="0" w:color="auto"/>
          </w:divBdr>
        </w:div>
        <w:div w:id="794832364">
          <w:marLeft w:val="0"/>
          <w:marRight w:val="0"/>
          <w:marTop w:val="0"/>
          <w:marBottom w:val="0"/>
          <w:divBdr>
            <w:top w:val="none" w:sz="0" w:space="0" w:color="auto"/>
            <w:left w:val="none" w:sz="0" w:space="0" w:color="auto"/>
            <w:bottom w:val="none" w:sz="0" w:space="0" w:color="auto"/>
            <w:right w:val="none" w:sz="0" w:space="0" w:color="auto"/>
          </w:divBdr>
        </w:div>
        <w:div w:id="1427532443">
          <w:marLeft w:val="0"/>
          <w:marRight w:val="0"/>
          <w:marTop w:val="0"/>
          <w:marBottom w:val="0"/>
          <w:divBdr>
            <w:top w:val="none" w:sz="0" w:space="0" w:color="auto"/>
            <w:left w:val="none" w:sz="0" w:space="0" w:color="auto"/>
            <w:bottom w:val="none" w:sz="0" w:space="0" w:color="auto"/>
            <w:right w:val="none" w:sz="0" w:space="0" w:color="auto"/>
          </w:divBdr>
        </w:div>
        <w:div w:id="1926911833">
          <w:marLeft w:val="0"/>
          <w:marRight w:val="0"/>
          <w:marTop w:val="0"/>
          <w:marBottom w:val="0"/>
          <w:divBdr>
            <w:top w:val="none" w:sz="0" w:space="0" w:color="auto"/>
            <w:left w:val="none" w:sz="0" w:space="0" w:color="auto"/>
            <w:bottom w:val="none" w:sz="0" w:space="0" w:color="auto"/>
            <w:right w:val="none" w:sz="0" w:space="0" w:color="auto"/>
          </w:divBdr>
        </w:div>
      </w:divsChild>
    </w:div>
    <w:div w:id="322784692">
      <w:bodyDiv w:val="1"/>
      <w:marLeft w:val="0"/>
      <w:marRight w:val="0"/>
      <w:marTop w:val="0"/>
      <w:marBottom w:val="0"/>
      <w:divBdr>
        <w:top w:val="none" w:sz="0" w:space="0" w:color="auto"/>
        <w:left w:val="none" w:sz="0" w:space="0" w:color="auto"/>
        <w:bottom w:val="none" w:sz="0" w:space="0" w:color="auto"/>
        <w:right w:val="none" w:sz="0" w:space="0" w:color="auto"/>
      </w:divBdr>
    </w:div>
    <w:div w:id="323437973">
      <w:bodyDiv w:val="1"/>
      <w:marLeft w:val="0"/>
      <w:marRight w:val="0"/>
      <w:marTop w:val="0"/>
      <w:marBottom w:val="0"/>
      <w:divBdr>
        <w:top w:val="none" w:sz="0" w:space="0" w:color="auto"/>
        <w:left w:val="none" w:sz="0" w:space="0" w:color="auto"/>
        <w:bottom w:val="none" w:sz="0" w:space="0" w:color="auto"/>
        <w:right w:val="none" w:sz="0" w:space="0" w:color="auto"/>
      </w:divBdr>
    </w:div>
    <w:div w:id="354430725">
      <w:bodyDiv w:val="1"/>
      <w:marLeft w:val="0"/>
      <w:marRight w:val="0"/>
      <w:marTop w:val="0"/>
      <w:marBottom w:val="0"/>
      <w:divBdr>
        <w:top w:val="none" w:sz="0" w:space="0" w:color="auto"/>
        <w:left w:val="none" w:sz="0" w:space="0" w:color="auto"/>
        <w:bottom w:val="none" w:sz="0" w:space="0" w:color="auto"/>
        <w:right w:val="none" w:sz="0" w:space="0" w:color="auto"/>
      </w:divBdr>
      <w:divsChild>
        <w:div w:id="1996687524">
          <w:marLeft w:val="0"/>
          <w:marRight w:val="0"/>
          <w:marTop w:val="0"/>
          <w:marBottom w:val="0"/>
          <w:divBdr>
            <w:top w:val="none" w:sz="0" w:space="0" w:color="auto"/>
            <w:left w:val="none" w:sz="0" w:space="0" w:color="auto"/>
            <w:bottom w:val="none" w:sz="0" w:space="0" w:color="auto"/>
            <w:right w:val="none" w:sz="0" w:space="0" w:color="auto"/>
          </w:divBdr>
          <w:divsChild>
            <w:div w:id="1968462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286444">
      <w:bodyDiv w:val="1"/>
      <w:marLeft w:val="0"/>
      <w:marRight w:val="0"/>
      <w:marTop w:val="0"/>
      <w:marBottom w:val="0"/>
      <w:divBdr>
        <w:top w:val="none" w:sz="0" w:space="0" w:color="auto"/>
        <w:left w:val="none" w:sz="0" w:space="0" w:color="auto"/>
        <w:bottom w:val="none" w:sz="0" w:space="0" w:color="auto"/>
        <w:right w:val="none" w:sz="0" w:space="0" w:color="auto"/>
      </w:divBdr>
      <w:divsChild>
        <w:div w:id="1496415259">
          <w:marLeft w:val="0"/>
          <w:marRight w:val="0"/>
          <w:marTop w:val="0"/>
          <w:marBottom w:val="0"/>
          <w:divBdr>
            <w:top w:val="none" w:sz="0" w:space="0" w:color="auto"/>
            <w:left w:val="none" w:sz="0" w:space="0" w:color="auto"/>
            <w:bottom w:val="none" w:sz="0" w:space="0" w:color="auto"/>
            <w:right w:val="none" w:sz="0" w:space="0" w:color="auto"/>
          </w:divBdr>
        </w:div>
        <w:div w:id="1145582506">
          <w:marLeft w:val="0"/>
          <w:marRight w:val="0"/>
          <w:marTop w:val="0"/>
          <w:marBottom w:val="0"/>
          <w:divBdr>
            <w:top w:val="none" w:sz="0" w:space="0" w:color="auto"/>
            <w:left w:val="none" w:sz="0" w:space="0" w:color="auto"/>
            <w:bottom w:val="none" w:sz="0" w:space="0" w:color="auto"/>
            <w:right w:val="none" w:sz="0" w:space="0" w:color="auto"/>
          </w:divBdr>
        </w:div>
        <w:div w:id="214583991">
          <w:marLeft w:val="0"/>
          <w:marRight w:val="0"/>
          <w:marTop w:val="0"/>
          <w:marBottom w:val="0"/>
          <w:divBdr>
            <w:top w:val="none" w:sz="0" w:space="0" w:color="auto"/>
            <w:left w:val="none" w:sz="0" w:space="0" w:color="auto"/>
            <w:bottom w:val="none" w:sz="0" w:space="0" w:color="auto"/>
            <w:right w:val="none" w:sz="0" w:space="0" w:color="auto"/>
          </w:divBdr>
        </w:div>
        <w:div w:id="1961767143">
          <w:marLeft w:val="0"/>
          <w:marRight w:val="0"/>
          <w:marTop w:val="0"/>
          <w:marBottom w:val="0"/>
          <w:divBdr>
            <w:top w:val="none" w:sz="0" w:space="0" w:color="auto"/>
            <w:left w:val="none" w:sz="0" w:space="0" w:color="auto"/>
            <w:bottom w:val="none" w:sz="0" w:space="0" w:color="auto"/>
            <w:right w:val="none" w:sz="0" w:space="0" w:color="auto"/>
          </w:divBdr>
        </w:div>
        <w:div w:id="411662840">
          <w:marLeft w:val="0"/>
          <w:marRight w:val="0"/>
          <w:marTop w:val="0"/>
          <w:marBottom w:val="0"/>
          <w:divBdr>
            <w:top w:val="none" w:sz="0" w:space="0" w:color="auto"/>
            <w:left w:val="none" w:sz="0" w:space="0" w:color="auto"/>
            <w:bottom w:val="none" w:sz="0" w:space="0" w:color="auto"/>
            <w:right w:val="none" w:sz="0" w:space="0" w:color="auto"/>
          </w:divBdr>
        </w:div>
        <w:div w:id="1441220140">
          <w:marLeft w:val="0"/>
          <w:marRight w:val="0"/>
          <w:marTop w:val="0"/>
          <w:marBottom w:val="0"/>
          <w:divBdr>
            <w:top w:val="none" w:sz="0" w:space="0" w:color="auto"/>
            <w:left w:val="none" w:sz="0" w:space="0" w:color="auto"/>
            <w:bottom w:val="none" w:sz="0" w:space="0" w:color="auto"/>
            <w:right w:val="none" w:sz="0" w:space="0" w:color="auto"/>
          </w:divBdr>
        </w:div>
      </w:divsChild>
    </w:div>
    <w:div w:id="365327271">
      <w:bodyDiv w:val="1"/>
      <w:marLeft w:val="0"/>
      <w:marRight w:val="0"/>
      <w:marTop w:val="0"/>
      <w:marBottom w:val="0"/>
      <w:divBdr>
        <w:top w:val="none" w:sz="0" w:space="0" w:color="auto"/>
        <w:left w:val="none" w:sz="0" w:space="0" w:color="auto"/>
        <w:bottom w:val="none" w:sz="0" w:space="0" w:color="auto"/>
        <w:right w:val="none" w:sz="0" w:space="0" w:color="auto"/>
      </w:divBdr>
      <w:divsChild>
        <w:div w:id="1467317403">
          <w:marLeft w:val="0"/>
          <w:marRight w:val="0"/>
          <w:marTop w:val="0"/>
          <w:marBottom w:val="0"/>
          <w:divBdr>
            <w:top w:val="none" w:sz="0" w:space="0" w:color="auto"/>
            <w:left w:val="none" w:sz="0" w:space="0" w:color="auto"/>
            <w:bottom w:val="none" w:sz="0" w:space="0" w:color="auto"/>
            <w:right w:val="none" w:sz="0" w:space="0" w:color="auto"/>
          </w:divBdr>
        </w:div>
        <w:div w:id="1648629285">
          <w:marLeft w:val="0"/>
          <w:marRight w:val="0"/>
          <w:marTop w:val="0"/>
          <w:marBottom w:val="0"/>
          <w:divBdr>
            <w:top w:val="none" w:sz="0" w:space="0" w:color="auto"/>
            <w:left w:val="none" w:sz="0" w:space="0" w:color="auto"/>
            <w:bottom w:val="none" w:sz="0" w:space="0" w:color="auto"/>
            <w:right w:val="none" w:sz="0" w:space="0" w:color="auto"/>
          </w:divBdr>
        </w:div>
        <w:div w:id="132842621">
          <w:marLeft w:val="0"/>
          <w:marRight w:val="0"/>
          <w:marTop w:val="0"/>
          <w:marBottom w:val="0"/>
          <w:divBdr>
            <w:top w:val="none" w:sz="0" w:space="0" w:color="auto"/>
            <w:left w:val="none" w:sz="0" w:space="0" w:color="auto"/>
            <w:bottom w:val="none" w:sz="0" w:space="0" w:color="auto"/>
            <w:right w:val="none" w:sz="0" w:space="0" w:color="auto"/>
          </w:divBdr>
        </w:div>
        <w:div w:id="1175874874">
          <w:marLeft w:val="0"/>
          <w:marRight w:val="0"/>
          <w:marTop w:val="0"/>
          <w:marBottom w:val="0"/>
          <w:divBdr>
            <w:top w:val="none" w:sz="0" w:space="0" w:color="auto"/>
            <w:left w:val="none" w:sz="0" w:space="0" w:color="auto"/>
            <w:bottom w:val="none" w:sz="0" w:space="0" w:color="auto"/>
            <w:right w:val="none" w:sz="0" w:space="0" w:color="auto"/>
          </w:divBdr>
        </w:div>
        <w:div w:id="41028925">
          <w:marLeft w:val="0"/>
          <w:marRight w:val="0"/>
          <w:marTop w:val="0"/>
          <w:marBottom w:val="0"/>
          <w:divBdr>
            <w:top w:val="none" w:sz="0" w:space="0" w:color="auto"/>
            <w:left w:val="none" w:sz="0" w:space="0" w:color="auto"/>
            <w:bottom w:val="none" w:sz="0" w:space="0" w:color="auto"/>
            <w:right w:val="none" w:sz="0" w:space="0" w:color="auto"/>
          </w:divBdr>
        </w:div>
        <w:div w:id="1937320696">
          <w:marLeft w:val="0"/>
          <w:marRight w:val="0"/>
          <w:marTop w:val="0"/>
          <w:marBottom w:val="0"/>
          <w:divBdr>
            <w:top w:val="none" w:sz="0" w:space="0" w:color="auto"/>
            <w:left w:val="none" w:sz="0" w:space="0" w:color="auto"/>
            <w:bottom w:val="none" w:sz="0" w:space="0" w:color="auto"/>
            <w:right w:val="none" w:sz="0" w:space="0" w:color="auto"/>
          </w:divBdr>
        </w:div>
        <w:div w:id="253167574">
          <w:marLeft w:val="0"/>
          <w:marRight w:val="0"/>
          <w:marTop w:val="0"/>
          <w:marBottom w:val="0"/>
          <w:divBdr>
            <w:top w:val="none" w:sz="0" w:space="0" w:color="auto"/>
            <w:left w:val="none" w:sz="0" w:space="0" w:color="auto"/>
            <w:bottom w:val="none" w:sz="0" w:space="0" w:color="auto"/>
            <w:right w:val="none" w:sz="0" w:space="0" w:color="auto"/>
          </w:divBdr>
        </w:div>
        <w:div w:id="681248439">
          <w:marLeft w:val="0"/>
          <w:marRight w:val="0"/>
          <w:marTop w:val="0"/>
          <w:marBottom w:val="0"/>
          <w:divBdr>
            <w:top w:val="none" w:sz="0" w:space="0" w:color="auto"/>
            <w:left w:val="none" w:sz="0" w:space="0" w:color="auto"/>
            <w:bottom w:val="none" w:sz="0" w:space="0" w:color="auto"/>
            <w:right w:val="none" w:sz="0" w:space="0" w:color="auto"/>
          </w:divBdr>
        </w:div>
      </w:divsChild>
    </w:div>
    <w:div w:id="373576146">
      <w:bodyDiv w:val="1"/>
      <w:marLeft w:val="0"/>
      <w:marRight w:val="0"/>
      <w:marTop w:val="0"/>
      <w:marBottom w:val="0"/>
      <w:divBdr>
        <w:top w:val="none" w:sz="0" w:space="0" w:color="auto"/>
        <w:left w:val="none" w:sz="0" w:space="0" w:color="auto"/>
        <w:bottom w:val="none" w:sz="0" w:space="0" w:color="auto"/>
        <w:right w:val="none" w:sz="0" w:space="0" w:color="auto"/>
      </w:divBdr>
      <w:divsChild>
        <w:div w:id="1779912920">
          <w:marLeft w:val="0"/>
          <w:marRight w:val="0"/>
          <w:marTop w:val="0"/>
          <w:marBottom w:val="0"/>
          <w:divBdr>
            <w:top w:val="none" w:sz="0" w:space="0" w:color="auto"/>
            <w:left w:val="none" w:sz="0" w:space="0" w:color="auto"/>
            <w:bottom w:val="none" w:sz="0" w:space="0" w:color="auto"/>
            <w:right w:val="none" w:sz="0" w:space="0" w:color="auto"/>
          </w:divBdr>
        </w:div>
        <w:div w:id="389811128">
          <w:marLeft w:val="0"/>
          <w:marRight w:val="0"/>
          <w:marTop w:val="0"/>
          <w:marBottom w:val="0"/>
          <w:divBdr>
            <w:top w:val="none" w:sz="0" w:space="0" w:color="auto"/>
            <w:left w:val="none" w:sz="0" w:space="0" w:color="auto"/>
            <w:bottom w:val="none" w:sz="0" w:space="0" w:color="auto"/>
            <w:right w:val="none" w:sz="0" w:space="0" w:color="auto"/>
          </w:divBdr>
        </w:div>
        <w:div w:id="556476833">
          <w:marLeft w:val="0"/>
          <w:marRight w:val="0"/>
          <w:marTop w:val="0"/>
          <w:marBottom w:val="0"/>
          <w:divBdr>
            <w:top w:val="none" w:sz="0" w:space="0" w:color="auto"/>
            <w:left w:val="none" w:sz="0" w:space="0" w:color="auto"/>
            <w:bottom w:val="none" w:sz="0" w:space="0" w:color="auto"/>
            <w:right w:val="none" w:sz="0" w:space="0" w:color="auto"/>
          </w:divBdr>
        </w:div>
        <w:div w:id="216472040">
          <w:marLeft w:val="0"/>
          <w:marRight w:val="0"/>
          <w:marTop w:val="0"/>
          <w:marBottom w:val="0"/>
          <w:divBdr>
            <w:top w:val="none" w:sz="0" w:space="0" w:color="auto"/>
            <w:left w:val="none" w:sz="0" w:space="0" w:color="auto"/>
            <w:bottom w:val="none" w:sz="0" w:space="0" w:color="auto"/>
            <w:right w:val="none" w:sz="0" w:space="0" w:color="auto"/>
          </w:divBdr>
        </w:div>
        <w:div w:id="1690525131">
          <w:marLeft w:val="0"/>
          <w:marRight w:val="0"/>
          <w:marTop w:val="0"/>
          <w:marBottom w:val="0"/>
          <w:divBdr>
            <w:top w:val="none" w:sz="0" w:space="0" w:color="auto"/>
            <w:left w:val="none" w:sz="0" w:space="0" w:color="auto"/>
            <w:bottom w:val="none" w:sz="0" w:space="0" w:color="auto"/>
            <w:right w:val="none" w:sz="0" w:space="0" w:color="auto"/>
          </w:divBdr>
        </w:div>
        <w:div w:id="1583297817">
          <w:marLeft w:val="0"/>
          <w:marRight w:val="0"/>
          <w:marTop w:val="0"/>
          <w:marBottom w:val="0"/>
          <w:divBdr>
            <w:top w:val="none" w:sz="0" w:space="0" w:color="auto"/>
            <w:left w:val="none" w:sz="0" w:space="0" w:color="auto"/>
            <w:bottom w:val="none" w:sz="0" w:space="0" w:color="auto"/>
            <w:right w:val="none" w:sz="0" w:space="0" w:color="auto"/>
          </w:divBdr>
        </w:div>
        <w:div w:id="166134838">
          <w:marLeft w:val="0"/>
          <w:marRight w:val="0"/>
          <w:marTop w:val="0"/>
          <w:marBottom w:val="0"/>
          <w:divBdr>
            <w:top w:val="none" w:sz="0" w:space="0" w:color="auto"/>
            <w:left w:val="none" w:sz="0" w:space="0" w:color="auto"/>
            <w:bottom w:val="none" w:sz="0" w:space="0" w:color="auto"/>
            <w:right w:val="none" w:sz="0" w:space="0" w:color="auto"/>
          </w:divBdr>
        </w:div>
      </w:divsChild>
    </w:div>
    <w:div w:id="374080990">
      <w:bodyDiv w:val="1"/>
      <w:marLeft w:val="0"/>
      <w:marRight w:val="0"/>
      <w:marTop w:val="0"/>
      <w:marBottom w:val="0"/>
      <w:divBdr>
        <w:top w:val="none" w:sz="0" w:space="0" w:color="auto"/>
        <w:left w:val="none" w:sz="0" w:space="0" w:color="auto"/>
        <w:bottom w:val="none" w:sz="0" w:space="0" w:color="auto"/>
        <w:right w:val="none" w:sz="0" w:space="0" w:color="auto"/>
      </w:divBdr>
    </w:div>
    <w:div w:id="380439833">
      <w:bodyDiv w:val="1"/>
      <w:marLeft w:val="0"/>
      <w:marRight w:val="0"/>
      <w:marTop w:val="0"/>
      <w:marBottom w:val="0"/>
      <w:divBdr>
        <w:top w:val="none" w:sz="0" w:space="0" w:color="auto"/>
        <w:left w:val="none" w:sz="0" w:space="0" w:color="auto"/>
        <w:bottom w:val="none" w:sz="0" w:space="0" w:color="auto"/>
        <w:right w:val="none" w:sz="0" w:space="0" w:color="auto"/>
      </w:divBdr>
      <w:divsChild>
        <w:div w:id="480537246">
          <w:marLeft w:val="0"/>
          <w:marRight w:val="0"/>
          <w:marTop w:val="0"/>
          <w:marBottom w:val="0"/>
          <w:divBdr>
            <w:top w:val="none" w:sz="0" w:space="0" w:color="auto"/>
            <w:left w:val="none" w:sz="0" w:space="0" w:color="auto"/>
            <w:bottom w:val="none" w:sz="0" w:space="0" w:color="auto"/>
            <w:right w:val="none" w:sz="0" w:space="0" w:color="auto"/>
          </w:divBdr>
        </w:div>
        <w:div w:id="1738283179">
          <w:marLeft w:val="0"/>
          <w:marRight w:val="0"/>
          <w:marTop w:val="0"/>
          <w:marBottom w:val="0"/>
          <w:divBdr>
            <w:top w:val="none" w:sz="0" w:space="0" w:color="auto"/>
            <w:left w:val="none" w:sz="0" w:space="0" w:color="auto"/>
            <w:bottom w:val="none" w:sz="0" w:space="0" w:color="auto"/>
            <w:right w:val="none" w:sz="0" w:space="0" w:color="auto"/>
          </w:divBdr>
        </w:div>
        <w:div w:id="1890875918">
          <w:marLeft w:val="0"/>
          <w:marRight w:val="0"/>
          <w:marTop w:val="0"/>
          <w:marBottom w:val="0"/>
          <w:divBdr>
            <w:top w:val="none" w:sz="0" w:space="0" w:color="auto"/>
            <w:left w:val="none" w:sz="0" w:space="0" w:color="auto"/>
            <w:bottom w:val="none" w:sz="0" w:space="0" w:color="auto"/>
            <w:right w:val="none" w:sz="0" w:space="0" w:color="auto"/>
          </w:divBdr>
        </w:div>
        <w:div w:id="685209739">
          <w:marLeft w:val="0"/>
          <w:marRight w:val="0"/>
          <w:marTop w:val="0"/>
          <w:marBottom w:val="0"/>
          <w:divBdr>
            <w:top w:val="none" w:sz="0" w:space="0" w:color="auto"/>
            <w:left w:val="none" w:sz="0" w:space="0" w:color="auto"/>
            <w:bottom w:val="none" w:sz="0" w:space="0" w:color="auto"/>
            <w:right w:val="none" w:sz="0" w:space="0" w:color="auto"/>
          </w:divBdr>
        </w:div>
        <w:div w:id="157891948">
          <w:marLeft w:val="0"/>
          <w:marRight w:val="0"/>
          <w:marTop w:val="0"/>
          <w:marBottom w:val="0"/>
          <w:divBdr>
            <w:top w:val="none" w:sz="0" w:space="0" w:color="auto"/>
            <w:left w:val="none" w:sz="0" w:space="0" w:color="auto"/>
            <w:bottom w:val="none" w:sz="0" w:space="0" w:color="auto"/>
            <w:right w:val="none" w:sz="0" w:space="0" w:color="auto"/>
          </w:divBdr>
        </w:div>
        <w:div w:id="71895650">
          <w:marLeft w:val="0"/>
          <w:marRight w:val="0"/>
          <w:marTop w:val="0"/>
          <w:marBottom w:val="0"/>
          <w:divBdr>
            <w:top w:val="none" w:sz="0" w:space="0" w:color="auto"/>
            <w:left w:val="none" w:sz="0" w:space="0" w:color="auto"/>
            <w:bottom w:val="none" w:sz="0" w:space="0" w:color="auto"/>
            <w:right w:val="none" w:sz="0" w:space="0" w:color="auto"/>
          </w:divBdr>
        </w:div>
        <w:div w:id="1803383609">
          <w:marLeft w:val="0"/>
          <w:marRight w:val="0"/>
          <w:marTop w:val="0"/>
          <w:marBottom w:val="0"/>
          <w:divBdr>
            <w:top w:val="none" w:sz="0" w:space="0" w:color="auto"/>
            <w:left w:val="none" w:sz="0" w:space="0" w:color="auto"/>
            <w:bottom w:val="none" w:sz="0" w:space="0" w:color="auto"/>
            <w:right w:val="none" w:sz="0" w:space="0" w:color="auto"/>
          </w:divBdr>
        </w:div>
        <w:div w:id="2021351429">
          <w:marLeft w:val="0"/>
          <w:marRight w:val="0"/>
          <w:marTop w:val="0"/>
          <w:marBottom w:val="0"/>
          <w:divBdr>
            <w:top w:val="none" w:sz="0" w:space="0" w:color="auto"/>
            <w:left w:val="none" w:sz="0" w:space="0" w:color="auto"/>
            <w:bottom w:val="none" w:sz="0" w:space="0" w:color="auto"/>
            <w:right w:val="none" w:sz="0" w:space="0" w:color="auto"/>
          </w:divBdr>
        </w:div>
        <w:div w:id="890386914">
          <w:marLeft w:val="0"/>
          <w:marRight w:val="0"/>
          <w:marTop w:val="0"/>
          <w:marBottom w:val="0"/>
          <w:divBdr>
            <w:top w:val="none" w:sz="0" w:space="0" w:color="auto"/>
            <w:left w:val="none" w:sz="0" w:space="0" w:color="auto"/>
            <w:bottom w:val="none" w:sz="0" w:space="0" w:color="auto"/>
            <w:right w:val="none" w:sz="0" w:space="0" w:color="auto"/>
          </w:divBdr>
        </w:div>
        <w:div w:id="640504614">
          <w:marLeft w:val="0"/>
          <w:marRight w:val="0"/>
          <w:marTop w:val="0"/>
          <w:marBottom w:val="0"/>
          <w:divBdr>
            <w:top w:val="none" w:sz="0" w:space="0" w:color="auto"/>
            <w:left w:val="none" w:sz="0" w:space="0" w:color="auto"/>
            <w:bottom w:val="none" w:sz="0" w:space="0" w:color="auto"/>
            <w:right w:val="none" w:sz="0" w:space="0" w:color="auto"/>
          </w:divBdr>
        </w:div>
        <w:div w:id="199707513">
          <w:marLeft w:val="0"/>
          <w:marRight w:val="0"/>
          <w:marTop w:val="0"/>
          <w:marBottom w:val="0"/>
          <w:divBdr>
            <w:top w:val="none" w:sz="0" w:space="0" w:color="auto"/>
            <w:left w:val="none" w:sz="0" w:space="0" w:color="auto"/>
            <w:bottom w:val="none" w:sz="0" w:space="0" w:color="auto"/>
            <w:right w:val="none" w:sz="0" w:space="0" w:color="auto"/>
          </w:divBdr>
        </w:div>
        <w:div w:id="1924870592">
          <w:marLeft w:val="0"/>
          <w:marRight w:val="0"/>
          <w:marTop w:val="0"/>
          <w:marBottom w:val="0"/>
          <w:divBdr>
            <w:top w:val="none" w:sz="0" w:space="0" w:color="auto"/>
            <w:left w:val="none" w:sz="0" w:space="0" w:color="auto"/>
            <w:bottom w:val="none" w:sz="0" w:space="0" w:color="auto"/>
            <w:right w:val="none" w:sz="0" w:space="0" w:color="auto"/>
          </w:divBdr>
        </w:div>
        <w:div w:id="837623052">
          <w:marLeft w:val="0"/>
          <w:marRight w:val="0"/>
          <w:marTop w:val="0"/>
          <w:marBottom w:val="0"/>
          <w:divBdr>
            <w:top w:val="none" w:sz="0" w:space="0" w:color="auto"/>
            <w:left w:val="none" w:sz="0" w:space="0" w:color="auto"/>
            <w:bottom w:val="none" w:sz="0" w:space="0" w:color="auto"/>
            <w:right w:val="none" w:sz="0" w:space="0" w:color="auto"/>
          </w:divBdr>
        </w:div>
        <w:div w:id="1571765534">
          <w:marLeft w:val="0"/>
          <w:marRight w:val="0"/>
          <w:marTop w:val="0"/>
          <w:marBottom w:val="0"/>
          <w:divBdr>
            <w:top w:val="none" w:sz="0" w:space="0" w:color="auto"/>
            <w:left w:val="none" w:sz="0" w:space="0" w:color="auto"/>
            <w:bottom w:val="none" w:sz="0" w:space="0" w:color="auto"/>
            <w:right w:val="none" w:sz="0" w:space="0" w:color="auto"/>
          </w:divBdr>
        </w:div>
        <w:div w:id="1198851090">
          <w:marLeft w:val="0"/>
          <w:marRight w:val="0"/>
          <w:marTop w:val="0"/>
          <w:marBottom w:val="0"/>
          <w:divBdr>
            <w:top w:val="none" w:sz="0" w:space="0" w:color="auto"/>
            <w:left w:val="none" w:sz="0" w:space="0" w:color="auto"/>
            <w:bottom w:val="none" w:sz="0" w:space="0" w:color="auto"/>
            <w:right w:val="none" w:sz="0" w:space="0" w:color="auto"/>
          </w:divBdr>
        </w:div>
        <w:div w:id="518852435">
          <w:marLeft w:val="0"/>
          <w:marRight w:val="0"/>
          <w:marTop w:val="0"/>
          <w:marBottom w:val="0"/>
          <w:divBdr>
            <w:top w:val="none" w:sz="0" w:space="0" w:color="auto"/>
            <w:left w:val="none" w:sz="0" w:space="0" w:color="auto"/>
            <w:bottom w:val="none" w:sz="0" w:space="0" w:color="auto"/>
            <w:right w:val="none" w:sz="0" w:space="0" w:color="auto"/>
          </w:divBdr>
        </w:div>
        <w:div w:id="1883981678">
          <w:marLeft w:val="0"/>
          <w:marRight w:val="0"/>
          <w:marTop w:val="0"/>
          <w:marBottom w:val="0"/>
          <w:divBdr>
            <w:top w:val="none" w:sz="0" w:space="0" w:color="auto"/>
            <w:left w:val="none" w:sz="0" w:space="0" w:color="auto"/>
            <w:bottom w:val="none" w:sz="0" w:space="0" w:color="auto"/>
            <w:right w:val="none" w:sz="0" w:space="0" w:color="auto"/>
          </w:divBdr>
        </w:div>
        <w:div w:id="1510363734">
          <w:marLeft w:val="0"/>
          <w:marRight w:val="0"/>
          <w:marTop w:val="0"/>
          <w:marBottom w:val="0"/>
          <w:divBdr>
            <w:top w:val="none" w:sz="0" w:space="0" w:color="auto"/>
            <w:left w:val="none" w:sz="0" w:space="0" w:color="auto"/>
            <w:bottom w:val="none" w:sz="0" w:space="0" w:color="auto"/>
            <w:right w:val="none" w:sz="0" w:space="0" w:color="auto"/>
          </w:divBdr>
        </w:div>
        <w:div w:id="1453399961">
          <w:marLeft w:val="0"/>
          <w:marRight w:val="0"/>
          <w:marTop w:val="0"/>
          <w:marBottom w:val="0"/>
          <w:divBdr>
            <w:top w:val="none" w:sz="0" w:space="0" w:color="auto"/>
            <w:left w:val="none" w:sz="0" w:space="0" w:color="auto"/>
            <w:bottom w:val="none" w:sz="0" w:space="0" w:color="auto"/>
            <w:right w:val="none" w:sz="0" w:space="0" w:color="auto"/>
          </w:divBdr>
        </w:div>
        <w:div w:id="1106576431">
          <w:marLeft w:val="0"/>
          <w:marRight w:val="0"/>
          <w:marTop w:val="0"/>
          <w:marBottom w:val="0"/>
          <w:divBdr>
            <w:top w:val="none" w:sz="0" w:space="0" w:color="auto"/>
            <w:left w:val="none" w:sz="0" w:space="0" w:color="auto"/>
            <w:bottom w:val="none" w:sz="0" w:space="0" w:color="auto"/>
            <w:right w:val="none" w:sz="0" w:space="0" w:color="auto"/>
          </w:divBdr>
        </w:div>
        <w:div w:id="407845251">
          <w:marLeft w:val="0"/>
          <w:marRight w:val="0"/>
          <w:marTop w:val="0"/>
          <w:marBottom w:val="0"/>
          <w:divBdr>
            <w:top w:val="none" w:sz="0" w:space="0" w:color="auto"/>
            <w:left w:val="none" w:sz="0" w:space="0" w:color="auto"/>
            <w:bottom w:val="none" w:sz="0" w:space="0" w:color="auto"/>
            <w:right w:val="none" w:sz="0" w:space="0" w:color="auto"/>
          </w:divBdr>
        </w:div>
        <w:div w:id="2061973564">
          <w:marLeft w:val="0"/>
          <w:marRight w:val="0"/>
          <w:marTop w:val="0"/>
          <w:marBottom w:val="0"/>
          <w:divBdr>
            <w:top w:val="none" w:sz="0" w:space="0" w:color="auto"/>
            <w:left w:val="none" w:sz="0" w:space="0" w:color="auto"/>
            <w:bottom w:val="none" w:sz="0" w:space="0" w:color="auto"/>
            <w:right w:val="none" w:sz="0" w:space="0" w:color="auto"/>
          </w:divBdr>
        </w:div>
        <w:div w:id="1726832883">
          <w:marLeft w:val="0"/>
          <w:marRight w:val="0"/>
          <w:marTop w:val="0"/>
          <w:marBottom w:val="0"/>
          <w:divBdr>
            <w:top w:val="none" w:sz="0" w:space="0" w:color="auto"/>
            <w:left w:val="none" w:sz="0" w:space="0" w:color="auto"/>
            <w:bottom w:val="none" w:sz="0" w:space="0" w:color="auto"/>
            <w:right w:val="none" w:sz="0" w:space="0" w:color="auto"/>
          </w:divBdr>
        </w:div>
        <w:div w:id="2060586860">
          <w:marLeft w:val="0"/>
          <w:marRight w:val="0"/>
          <w:marTop w:val="0"/>
          <w:marBottom w:val="0"/>
          <w:divBdr>
            <w:top w:val="none" w:sz="0" w:space="0" w:color="auto"/>
            <w:left w:val="none" w:sz="0" w:space="0" w:color="auto"/>
            <w:bottom w:val="none" w:sz="0" w:space="0" w:color="auto"/>
            <w:right w:val="none" w:sz="0" w:space="0" w:color="auto"/>
          </w:divBdr>
        </w:div>
        <w:div w:id="573466021">
          <w:marLeft w:val="0"/>
          <w:marRight w:val="0"/>
          <w:marTop w:val="0"/>
          <w:marBottom w:val="0"/>
          <w:divBdr>
            <w:top w:val="none" w:sz="0" w:space="0" w:color="auto"/>
            <w:left w:val="none" w:sz="0" w:space="0" w:color="auto"/>
            <w:bottom w:val="none" w:sz="0" w:space="0" w:color="auto"/>
            <w:right w:val="none" w:sz="0" w:space="0" w:color="auto"/>
          </w:divBdr>
        </w:div>
        <w:div w:id="428547260">
          <w:marLeft w:val="0"/>
          <w:marRight w:val="0"/>
          <w:marTop w:val="0"/>
          <w:marBottom w:val="0"/>
          <w:divBdr>
            <w:top w:val="none" w:sz="0" w:space="0" w:color="auto"/>
            <w:left w:val="none" w:sz="0" w:space="0" w:color="auto"/>
            <w:bottom w:val="none" w:sz="0" w:space="0" w:color="auto"/>
            <w:right w:val="none" w:sz="0" w:space="0" w:color="auto"/>
          </w:divBdr>
        </w:div>
        <w:div w:id="1560706850">
          <w:marLeft w:val="0"/>
          <w:marRight w:val="0"/>
          <w:marTop w:val="0"/>
          <w:marBottom w:val="0"/>
          <w:divBdr>
            <w:top w:val="none" w:sz="0" w:space="0" w:color="auto"/>
            <w:left w:val="none" w:sz="0" w:space="0" w:color="auto"/>
            <w:bottom w:val="none" w:sz="0" w:space="0" w:color="auto"/>
            <w:right w:val="none" w:sz="0" w:space="0" w:color="auto"/>
          </w:divBdr>
        </w:div>
        <w:div w:id="1800878342">
          <w:marLeft w:val="0"/>
          <w:marRight w:val="0"/>
          <w:marTop w:val="0"/>
          <w:marBottom w:val="0"/>
          <w:divBdr>
            <w:top w:val="none" w:sz="0" w:space="0" w:color="auto"/>
            <w:left w:val="none" w:sz="0" w:space="0" w:color="auto"/>
            <w:bottom w:val="none" w:sz="0" w:space="0" w:color="auto"/>
            <w:right w:val="none" w:sz="0" w:space="0" w:color="auto"/>
          </w:divBdr>
        </w:div>
        <w:div w:id="830829612">
          <w:marLeft w:val="0"/>
          <w:marRight w:val="0"/>
          <w:marTop w:val="0"/>
          <w:marBottom w:val="0"/>
          <w:divBdr>
            <w:top w:val="none" w:sz="0" w:space="0" w:color="auto"/>
            <w:left w:val="none" w:sz="0" w:space="0" w:color="auto"/>
            <w:bottom w:val="none" w:sz="0" w:space="0" w:color="auto"/>
            <w:right w:val="none" w:sz="0" w:space="0" w:color="auto"/>
          </w:divBdr>
        </w:div>
        <w:div w:id="1989284521">
          <w:marLeft w:val="0"/>
          <w:marRight w:val="0"/>
          <w:marTop w:val="0"/>
          <w:marBottom w:val="0"/>
          <w:divBdr>
            <w:top w:val="none" w:sz="0" w:space="0" w:color="auto"/>
            <w:left w:val="none" w:sz="0" w:space="0" w:color="auto"/>
            <w:bottom w:val="none" w:sz="0" w:space="0" w:color="auto"/>
            <w:right w:val="none" w:sz="0" w:space="0" w:color="auto"/>
          </w:divBdr>
        </w:div>
        <w:div w:id="1929191091">
          <w:marLeft w:val="0"/>
          <w:marRight w:val="0"/>
          <w:marTop w:val="0"/>
          <w:marBottom w:val="0"/>
          <w:divBdr>
            <w:top w:val="none" w:sz="0" w:space="0" w:color="auto"/>
            <w:left w:val="none" w:sz="0" w:space="0" w:color="auto"/>
            <w:bottom w:val="none" w:sz="0" w:space="0" w:color="auto"/>
            <w:right w:val="none" w:sz="0" w:space="0" w:color="auto"/>
          </w:divBdr>
        </w:div>
        <w:div w:id="1044133163">
          <w:marLeft w:val="0"/>
          <w:marRight w:val="0"/>
          <w:marTop w:val="0"/>
          <w:marBottom w:val="0"/>
          <w:divBdr>
            <w:top w:val="none" w:sz="0" w:space="0" w:color="auto"/>
            <w:left w:val="none" w:sz="0" w:space="0" w:color="auto"/>
            <w:bottom w:val="none" w:sz="0" w:space="0" w:color="auto"/>
            <w:right w:val="none" w:sz="0" w:space="0" w:color="auto"/>
          </w:divBdr>
        </w:div>
        <w:div w:id="1222323274">
          <w:marLeft w:val="0"/>
          <w:marRight w:val="0"/>
          <w:marTop w:val="0"/>
          <w:marBottom w:val="0"/>
          <w:divBdr>
            <w:top w:val="none" w:sz="0" w:space="0" w:color="auto"/>
            <w:left w:val="none" w:sz="0" w:space="0" w:color="auto"/>
            <w:bottom w:val="none" w:sz="0" w:space="0" w:color="auto"/>
            <w:right w:val="none" w:sz="0" w:space="0" w:color="auto"/>
          </w:divBdr>
        </w:div>
        <w:div w:id="738284566">
          <w:marLeft w:val="0"/>
          <w:marRight w:val="0"/>
          <w:marTop w:val="0"/>
          <w:marBottom w:val="0"/>
          <w:divBdr>
            <w:top w:val="none" w:sz="0" w:space="0" w:color="auto"/>
            <w:left w:val="none" w:sz="0" w:space="0" w:color="auto"/>
            <w:bottom w:val="none" w:sz="0" w:space="0" w:color="auto"/>
            <w:right w:val="none" w:sz="0" w:space="0" w:color="auto"/>
          </w:divBdr>
        </w:div>
        <w:div w:id="1946764462">
          <w:marLeft w:val="0"/>
          <w:marRight w:val="0"/>
          <w:marTop w:val="0"/>
          <w:marBottom w:val="0"/>
          <w:divBdr>
            <w:top w:val="none" w:sz="0" w:space="0" w:color="auto"/>
            <w:left w:val="none" w:sz="0" w:space="0" w:color="auto"/>
            <w:bottom w:val="none" w:sz="0" w:space="0" w:color="auto"/>
            <w:right w:val="none" w:sz="0" w:space="0" w:color="auto"/>
          </w:divBdr>
        </w:div>
        <w:div w:id="1729496709">
          <w:marLeft w:val="0"/>
          <w:marRight w:val="0"/>
          <w:marTop w:val="0"/>
          <w:marBottom w:val="0"/>
          <w:divBdr>
            <w:top w:val="none" w:sz="0" w:space="0" w:color="auto"/>
            <w:left w:val="none" w:sz="0" w:space="0" w:color="auto"/>
            <w:bottom w:val="none" w:sz="0" w:space="0" w:color="auto"/>
            <w:right w:val="none" w:sz="0" w:space="0" w:color="auto"/>
          </w:divBdr>
        </w:div>
      </w:divsChild>
    </w:div>
    <w:div w:id="390932605">
      <w:bodyDiv w:val="1"/>
      <w:marLeft w:val="0"/>
      <w:marRight w:val="0"/>
      <w:marTop w:val="0"/>
      <w:marBottom w:val="0"/>
      <w:divBdr>
        <w:top w:val="none" w:sz="0" w:space="0" w:color="auto"/>
        <w:left w:val="none" w:sz="0" w:space="0" w:color="auto"/>
        <w:bottom w:val="none" w:sz="0" w:space="0" w:color="auto"/>
        <w:right w:val="none" w:sz="0" w:space="0" w:color="auto"/>
      </w:divBdr>
      <w:divsChild>
        <w:div w:id="364253726">
          <w:marLeft w:val="0"/>
          <w:marRight w:val="0"/>
          <w:marTop w:val="0"/>
          <w:marBottom w:val="0"/>
          <w:divBdr>
            <w:top w:val="none" w:sz="0" w:space="0" w:color="auto"/>
            <w:left w:val="none" w:sz="0" w:space="0" w:color="auto"/>
            <w:bottom w:val="none" w:sz="0" w:space="0" w:color="auto"/>
            <w:right w:val="none" w:sz="0" w:space="0" w:color="auto"/>
          </w:divBdr>
        </w:div>
        <w:div w:id="193814667">
          <w:marLeft w:val="0"/>
          <w:marRight w:val="0"/>
          <w:marTop w:val="0"/>
          <w:marBottom w:val="0"/>
          <w:divBdr>
            <w:top w:val="none" w:sz="0" w:space="0" w:color="auto"/>
            <w:left w:val="none" w:sz="0" w:space="0" w:color="auto"/>
            <w:bottom w:val="none" w:sz="0" w:space="0" w:color="auto"/>
            <w:right w:val="none" w:sz="0" w:space="0" w:color="auto"/>
          </w:divBdr>
        </w:div>
        <w:div w:id="1738549445">
          <w:marLeft w:val="0"/>
          <w:marRight w:val="0"/>
          <w:marTop w:val="0"/>
          <w:marBottom w:val="0"/>
          <w:divBdr>
            <w:top w:val="none" w:sz="0" w:space="0" w:color="auto"/>
            <w:left w:val="none" w:sz="0" w:space="0" w:color="auto"/>
            <w:bottom w:val="none" w:sz="0" w:space="0" w:color="auto"/>
            <w:right w:val="none" w:sz="0" w:space="0" w:color="auto"/>
          </w:divBdr>
        </w:div>
        <w:div w:id="440998137">
          <w:marLeft w:val="0"/>
          <w:marRight w:val="0"/>
          <w:marTop w:val="0"/>
          <w:marBottom w:val="0"/>
          <w:divBdr>
            <w:top w:val="none" w:sz="0" w:space="0" w:color="auto"/>
            <w:left w:val="none" w:sz="0" w:space="0" w:color="auto"/>
            <w:bottom w:val="none" w:sz="0" w:space="0" w:color="auto"/>
            <w:right w:val="none" w:sz="0" w:space="0" w:color="auto"/>
          </w:divBdr>
        </w:div>
      </w:divsChild>
    </w:div>
    <w:div w:id="394162110">
      <w:bodyDiv w:val="1"/>
      <w:marLeft w:val="0"/>
      <w:marRight w:val="0"/>
      <w:marTop w:val="0"/>
      <w:marBottom w:val="0"/>
      <w:divBdr>
        <w:top w:val="none" w:sz="0" w:space="0" w:color="auto"/>
        <w:left w:val="none" w:sz="0" w:space="0" w:color="auto"/>
        <w:bottom w:val="none" w:sz="0" w:space="0" w:color="auto"/>
        <w:right w:val="none" w:sz="0" w:space="0" w:color="auto"/>
      </w:divBdr>
      <w:divsChild>
        <w:div w:id="214970154">
          <w:marLeft w:val="0"/>
          <w:marRight w:val="0"/>
          <w:marTop w:val="0"/>
          <w:marBottom w:val="0"/>
          <w:divBdr>
            <w:top w:val="none" w:sz="0" w:space="0" w:color="auto"/>
            <w:left w:val="none" w:sz="0" w:space="0" w:color="auto"/>
            <w:bottom w:val="none" w:sz="0" w:space="0" w:color="auto"/>
            <w:right w:val="none" w:sz="0" w:space="0" w:color="auto"/>
          </w:divBdr>
        </w:div>
        <w:div w:id="1663268516">
          <w:marLeft w:val="0"/>
          <w:marRight w:val="0"/>
          <w:marTop w:val="0"/>
          <w:marBottom w:val="0"/>
          <w:divBdr>
            <w:top w:val="none" w:sz="0" w:space="0" w:color="auto"/>
            <w:left w:val="none" w:sz="0" w:space="0" w:color="auto"/>
            <w:bottom w:val="none" w:sz="0" w:space="0" w:color="auto"/>
            <w:right w:val="none" w:sz="0" w:space="0" w:color="auto"/>
          </w:divBdr>
        </w:div>
      </w:divsChild>
    </w:div>
    <w:div w:id="402411795">
      <w:bodyDiv w:val="1"/>
      <w:marLeft w:val="0"/>
      <w:marRight w:val="0"/>
      <w:marTop w:val="0"/>
      <w:marBottom w:val="0"/>
      <w:divBdr>
        <w:top w:val="none" w:sz="0" w:space="0" w:color="auto"/>
        <w:left w:val="none" w:sz="0" w:space="0" w:color="auto"/>
        <w:bottom w:val="none" w:sz="0" w:space="0" w:color="auto"/>
        <w:right w:val="none" w:sz="0" w:space="0" w:color="auto"/>
      </w:divBdr>
      <w:divsChild>
        <w:div w:id="675958887">
          <w:marLeft w:val="0"/>
          <w:marRight w:val="0"/>
          <w:marTop w:val="0"/>
          <w:marBottom w:val="0"/>
          <w:divBdr>
            <w:top w:val="none" w:sz="0" w:space="0" w:color="auto"/>
            <w:left w:val="none" w:sz="0" w:space="0" w:color="auto"/>
            <w:bottom w:val="none" w:sz="0" w:space="0" w:color="auto"/>
            <w:right w:val="none" w:sz="0" w:space="0" w:color="auto"/>
          </w:divBdr>
          <w:divsChild>
            <w:div w:id="15665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651555">
      <w:bodyDiv w:val="1"/>
      <w:marLeft w:val="0"/>
      <w:marRight w:val="0"/>
      <w:marTop w:val="0"/>
      <w:marBottom w:val="0"/>
      <w:divBdr>
        <w:top w:val="none" w:sz="0" w:space="0" w:color="auto"/>
        <w:left w:val="none" w:sz="0" w:space="0" w:color="auto"/>
        <w:bottom w:val="none" w:sz="0" w:space="0" w:color="auto"/>
        <w:right w:val="none" w:sz="0" w:space="0" w:color="auto"/>
      </w:divBdr>
      <w:divsChild>
        <w:div w:id="173149532">
          <w:marLeft w:val="0"/>
          <w:marRight w:val="0"/>
          <w:marTop w:val="0"/>
          <w:marBottom w:val="0"/>
          <w:divBdr>
            <w:top w:val="none" w:sz="0" w:space="0" w:color="auto"/>
            <w:left w:val="none" w:sz="0" w:space="0" w:color="auto"/>
            <w:bottom w:val="none" w:sz="0" w:space="0" w:color="auto"/>
            <w:right w:val="none" w:sz="0" w:space="0" w:color="auto"/>
          </w:divBdr>
          <w:divsChild>
            <w:div w:id="237252782">
              <w:marLeft w:val="0"/>
              <w:marRight w:val="0"/>
              <w:marTop w:val="0"/>
              <w:marBottom w:val="0"/>
              <w:divBdr>
                <w:top w:val="none" w:sz="0" w:space="0" w:color="auto"/>
                <w:left w:val="none" w:sz="0" w:space="0" w:color="auto"/>
                <w:bottom w:val="none" w:sz="0" w:space="0" w:color="auto"/>
                <w:right w:val="none" w:sz="0" w:space="0" w:color="auto"/>
              </w:divBdr>
              <w:divsChild>
                <w:div w:id="1331368185">
                  <w:marLeft w:val="0"/>
                  <w:marRight w:val="0"/>
                  <w:marTop w:val="0"/>
                  <w:marBottom w:val="0"/>
                  <w:divBdr>
                    <w:top w:val="none" w:sz="0" w:space="0" w:color="auto"/>
                    <w:left w:val="none" w:sz="0" w:space="0" w:color="auto"/>
                    <w:bottom w:val="none" w:sz="0" w:space="0" w:color="auto"/>
                    <w:right w:val="none" w:sz="0" w:space="0" w:color="auto"/>
                  </w:divBdr>
                </w:div>
                <w:div w:id="728306603">
                  <w:marLeft w:val="0"/>
                  <w:marRight w:val="0"/>
                  <w:marTop w:val="0"/>
                  <w:marBottom w:val="0"/>
                  <w:divBdr>
                    <w:top w:val="none" w:sz="0" w:space="0" w:color="auto"/>
                    <w:left w:val="none" w:sz="0" w:space="0" w:color="auto"/>
                    <w:bottom w:val="none" w:sz="0" w:space="0" w:color="auto"/>
                    <w:right w:val="none" w:sz="0" w:space="0" w:color="auto"/>
                  </w:divBdr>
                </w:div>
                <w:div w:id="324629996">
                  <w:marLeft w:val="0"/>
                  <w:marRight w:val="0"/>
                  <w:marTop w:val="0"/>
                  <w:marBottom w:val="0"/>
                  <w:divBdr>
                    <w:top w:val="none" w:sz="0" w:space="0" w:color="auto"/>
                    <w:left w:val="none" w:sz="0" w:space="0" w:color="auto"/>
                    <w:bottom w:val="none" w:sz="0" w:space="0" w:color="auto"/>
                    <w:right w:val="none" w:sz="0" w:space="0" w:color="auto"/>
                  </w:divBdr>
                </w:div>
                <w:div w:id="337269005">
                  <w:marLeft w:val="0"/>
                  <w:marRight w:val="0"/>
                  <w:marTop w:val="0"/>
                  <w:marBottom w:val="0"/>
                  <w:divBdr>
                    <w:top w:val="none" w:sz="0" w:space="0" w:color="auto"/>
                    <w:left w:val="none" w:sz="0" w:space="0" w:color="auto"/>
                    <w:bottom w:val="none" w:sz="0" w:space="0" w:color="auto"/>
                    <w:right w:val="none" w:sz="0" w:space="0" w:color="auto"/>
                  </w:divBdr>
                </w:div>
                <w:div w:id="2071228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3203946">
          <w:marLeft w:val="0"/>
          <w:marRight w:val="0"/>
          <w:marTop w:val="0"/>
          <w:marBottom w:val="0"/>
          <w:divBdr>
            <w:top w:val="none" w:sz="0" w:space="0" w:color="auto"/>
            <w:left w:val="none" w:sz="0" w:space="0" w:color="auto"/>
            <w:bottom w:val="none" w:sz="0" w:space="0" w:color="auto"/>
            <w:right w:val="none" w:sz="0" w:space="0" w:color="auto"/>
          </w:divBdr>
          <w:divsChild>
            <w:div w:id="235940365">
              <w:marLeft w:val="0"/>
              <w:marRight w:val="0"/>
              <w:marTop w:val="0"/>
              <w:marBottom w:val="0"/>
              <w:divBdr>
                <w:top w:val="none" w:sz="0" w:space="0" w:color="auto"/>
                <w:left w:val="none" w:sz="0" w:space="0" w:color="auto"/>
                <w:bottom w:val="none" w:sz="0" w:space="0" w:color="auto"/>
                <w:right w:val="none" w:sz="0" w:space="0" w:color="auto"/>
              </w:divBdr>
              <w:divsChild>
                <w:div w:id="108747930">
                  <w:marLeft w:val="0"/>
                  <w:marRight w:val="0"/>
                  <w:marTop w:val="0"/>
                  <w:marBottom w:val="0"/>
                  <w:divBdr>
                    <w:top w:val="none" w:sz="0" w:space="0" w:color="auto"/>
                    <w:left w:val="none" w:sz="0" w:space="0" w:color="auto"/>
                    <w:bottom w:val="none" w:sz="0" w:space="0" w:color="auto"/>
                    <w:right w:val="none" w:sz="0" w:space="0" w:color="auto"/>
                  </w:divBdr>
                </w:div>
                <w:div w:id="316229637">
                  <w:marLeft w:val="0"/>
                  <w:marRight w:val="0"/>
                  <w:marTop w:val="0"/>
                  <w:marBottom w:val="0"/>
                  <w:divBdr>
                    <w:top w:val="none" w:sz="0" w:space="0" w:color="auto"/>
                    <w:left w:val="none" w:sz="0" w:space="0" w:color="auto"/>
                    <w:bottom w:val="none" w:sz="0" w:space="0" w:color="auto"/>
                    <w:right w:val="none" w:sz="0" w:space="0" w:color="auto"/>
                  </w:divBdr>
                </w:div>
                <w:div w:id="85544935">
                  <w:marLeft w:val="0"/>
                  <w:marRight w:val="0"/>
                  <w:marTop w:val="0"/>
                  <w:marBottom w:val="0"/>
                  <w:divBdr>
                    <w:top w:val="none" w:sz="0" w:space="0" w:color="auto"/>
                    <w:left w:val="none" w:sz="0" w:space="0" w:color="auto"/>
                    <w:bottom w:val="none" w:sz="0" w:space="0" w:color="auto"/>
                    <w:right w:val="none" w:sz="0" w:space="0" w:color="auto"/>
                  </w:divBdr>
                </w:div>
                <w:div w:id="11609752">
                  <w:marLeft w:val="0"/>
                  <w:marRight w:val="0"/>
                  <w:marTop w:val="0"/>
                  <w:marBottom w:val="0"/>
                  <w:divBdr>
                    <w:top w:val="none" w:sz="0" w:space="0" w:color="auto"/>
                    <w:left w:val="none" w:sz="0" w:space="0" w:color="auto"/>
                    <w:bottom w:val="none" w:sz="0" w:space="0" w:color="auto"/>
                    <w:right w:val="none" w:sz="0" w:space="0" w:color="auto"/>
                  </w:divBdr>
                </w:div>
                <w:div w:id="711267950">
                  <w:marLeft w:val="0"/>
                  <w:marRight w:val="0"/>
                  <w:marTop w:val="0"/>
                  <w:marBottom w:val="0"/>
                  <w:divBdr>
                    <w:top w:val="none" w:sz="0" w:space="0" w:color="auto"/>
                    <w:left w:val="none" w:sz="0" w:space="0" w:color="auto"/>
                    <w:bottom w:val="none" w:sz="0" w:space="0" w:color="auto"/>
                    <w:right w:val="none" w:sz="0" w:space="0" w:color="auto"/>
                  </w:divBdr>
                </w:div>
                <w:div w:id="454835119">
                  <w:marLeft w:val="0"/>
                  <w:marRight w:val="0"/>
                  <w:marTop w:val="0"/>
                  <w:marBottom w:val="0"/>
                  <w:divBdr>
                    <w:top w:val="none" w:sz="0" w:space="0" w:color="auto"/>
                    <w:left w:val="none" w:sz="0" w:space="0" w:color="auto"/>
                    <w:bottom w:val="none" w:sz="0" w:space="0" w:color="auto"/>
                    <w:right w:val="none" w:sz="0" w:space="0" w:color="auto"/>
                  </w:divBdr>
                </w:div>
                <w:div w:id="1363747961">
                  <w:marLeft w:val="0"/>
                  <w:marRight w:val="0"/>
                  <w:marTop w:val="0"/>
                  <w:marBottom w:val="0"/>
                  <w:divBdr>
                    <w:top w:val="none" w:sz="0" w:space="0" w:color="auto"/>
                    <w:left w:val="none" w:sz="0" w:space="0" w:color="auto"/>
                    <w:bottom w:val="none" w:sz="0" w:space="0" w:color="auto"/>
                    <w:right w:val="none" w:sz="0" w:space="0" w:color="auto"/>
                  </w:divBdr>
                </w:div>
                <w:div w:id="1049959114">
                  <w:marLeft w:val="0"/>
                  <w:marRight w:val="0"/>
                  <w:marTop w:val="0"/>
                  <w:marBottom w:val="0"/>
                  <w:divBdr>
                    <w:top w:val="none" w:sz="0" w:space="0" w:color="auto"/>
                    <w:left w:val="none" w:sz="0" w:space="0" w:color="auto"/>
                    <w:bottom w:val="none" w:sz="0" w:space="0" w:color="auto"/>
                    <w:right w:val="none" w:sz="0" w:space="0" w:color="auto"/>
                  </w:divBdr>
                </w:div>
                <w:div w:id="1425227201">
                  <w:marLeft w:val="0"/>
                  <w:marRight w:val="0"/>
                  <w:marTop w:val="0"/>
                  <w:marBottom w:val="0"/>
                  <w:divBdr>
                    <w:top w:val="none" w:sz="0" w:space="0" w:color="auto"/>
                    <w:left w:val="none" w:sz="0" w:space="0" w:color="auto"/>
                    <w:bottom w:val="none" w:sz="0" w:space="0" w:color="auto"/>
                    <w:right w:val="none" w:sz="0" w:space="0" w:color="auto"/>
                  </w:divBdr>
                </w:div>
                <w:div w:id="864758629">
                  <w:marLeft w:val="0"/>
                  <w:marRight w:val="0"/>
                  <w:marTop w:val="0"/>
                  <w:marBottom w:val="0"/>
                  <w:divBdr>
                    <w:top w:val="none" w:sz="0" w:space="0" w:color="auto"/>
                    <w:left w:val="none" w:sz="0" w:space="0" w:color="auto"/>
                    <w:bottom w:val="none" w:sz="0" w:space="0" w:color="auto"/>
                    <w:right w:val="none" w:sz="0" w:space="0" w:color="auto"/>
                  </w:divBdr>
                </w:div>
                <w:div w:id="1153254972">
                  <w:marLeft w:val="0"/>
                  <w:marRight w:val="0"/>
                  <w:marTop w:val="0"/>
                  <w:marBottom w:val="0"/>
                  <w:divBdr>
                    <w:top w:val="none" w:sz="0" w:space="0" w:color="auto"/>
                    <w:left w:val="none" w:sz="0" w:space="0" w:color="auto"/>
                    <w:bottom w:val="none" w:sz="0" w:space="0" w:color="auto"/>
                    <w:right w:val="none" w:sz="0" w:space="0" w:color="auto"/>
                  </w:divBdr>
                </w:div>
                <w:div w:id="170144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4231352">
      <w:bodyDiv w:val="1"/>
      <w:marLeft w:val="0"/>
      <w:marRight w:val="0"/>
      <w:marTop w:val="0"/>
      <w:marBottom w:val="0"/>
      <w:divBdr>
        <w:top w:val="none" w:sz="0" w:space="0" w:color="auto"/>
        <w:left w:val="none" w:sz="0" w:space="0" w:color="auto"/>
        <w:bottom w:val="none" w:sz="0" w:space="0" w:color="auto"/>
        <w:right w:val="none" w:sz="0" w:space="0" w:color="auto"/>
      </w:divBdr>
      <w:divsChild>
        <w:div w:id="1028216075">
          <w:marLeft w:val="0"/>
          <w:marRight w:val="0"/>
          <w:marTop w:val="0"/>
          <w:marBottom w:val="0"/>
          <w:divBdr>
            <w:top w:val="none" w:sz="0" w:space="0" w:color="auto"/>
            <w:left w:val="none" w:sz="0" w:space="0" w:color="auto"/>
            <w:bottom w:val="none" w:sz="0" w:space="0" w:color="auto"/>
            <w:right w:val="none" w:sz="0" w:space="0" w:color="auto"/>
          </w:divBdr>
          <w:divsChild>
            <w:div w:id="144939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394325">
      <w:bodyDiv w:val="1"/>
      <w:marLeft w:val="0"/>
      <w:marRight w:val="0"/>
      <w:marTop w:val="0"/>
      <w:marBottom w:val="0"/>
      <w:divBdr>
        <w:top w:val="none" w:sz="0" w:space="0" w:color="auto"/>
        <w:left w:val="none" w:sz="0" w:space="0" w:color="auto"/>
        <w:bottom w:val="none" w:sz="0" w:space="0" w:color="auto"/>
        <w:right w:val="none" w:sz="0" w:space="0" w:color="auto"/>
      </w:divBdr>
      <w:divsChild>
        <w:div w:id="322322030">
          <w:marLeft w:val="0"/>
          <w:marRight w:val="0"/>
          <w:marTop w:val="0"/>
          <w:marBottom w:val="0"/>
          <w:divBdr>
            <w:top w:val="none" w:sz="0" w:space="0" w:color="auto"/>
            <w:left w:val="none" w:sz="0" w:space="0" w:color="auto"/>
            <w:bottom w:val="none" w:sz="0" w:space="0" w:color="auto"/>
            <w:right w:val="none" w:sz="0" w:space="0" w:color="auto"/>
          </w:divBdr>
          <w:divsChild>
            <w:div w:id="75668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438177">
      <w:bodyDiv w:val="1"/>
      <w:marLeft w:val="0"/>
      <w:marRight w:val="0"/>
      <w:marTop w:val="0"/>
      <w:marBottom w:val="0"/>
      <w:divBdr>
        <w:top w:val="none" w:sz="0" w:space="0" w:color="auto"/>
        <w:left w:val="none" w:sz="0" w:space="0" w:color="auto"/>
        <w:bottom w:val="none" w:sz="0" w:space="0" w:color="auto"/>
        <w:right w:val="none" w:sz="0" w:space="0" w:color="auto"/>
      </w:divBdr>
    </w:div>
    <w:div w:id="457844900">
      <w:bodyDiv w:val="1"/>
      <w:marLeft w:val="0"/>
      <w:marRight w:val="0"/>
      <w:marTop w:val="0"/>
      <w:marBottom w:val="0"/>
      <w:divBdr>
        <w:top w:val="none" w:sz="0" w:space="0" w:color="auto"/>
        <w:left w:val="none" w:sz="0" w:space="0" w:color="auto"/>
        <w:bottom w:val="none" w:sz="0" w:space="0" w:color="auto"/>
        <w:right w:val="none" w:sz="0" w:space="0" w:color="auto"/>
      </w:divBdr>
      <w:divsChild>
        <w:div w:id="1187601989">
          <w:marLeft w:val="547"/>
          <w:marRight w:val="0"/>
          <w:marTop w:val="106"/>
          <w:marBottom w:val="0"/>
          <w:divBdr>
            <w:top w:val="none" w:sz="0" w:space="0" w:color="auto"/>
            <w:left w:val="none" w:sz="0" w:space="0" w:color="auto"/>
            <w:bottom w:val="none" w:sz="0" w:space="0" w:color="auto"/>
            <w:right w:val="none" w:sz="0" w:space="0" w:color="auto"/>
          </w:divBdr>
        </w:div>
      </w:divsChild>
    </w:div>
    <w:div w:id="475420352">
      <w:bodyDiv w:val="1"/>
      <w:marLeft w:val="0"/>
      <w:marRight w:val="0"/>
      <w:marTop w:val="0"/>
      <w:marBottom w:val="0"/>
      <w:divBdr>
        <w:top w:val="none" w:sz="0" w:space="0" w:color="auto"/>
        <w:left w:val="none" w:sz="0" w:space="0" w:color="auto"/>
        <w:bottom w:val="none" w:sz="0" w:space="0" w:color="auto"/>
        <w:right w:val="none" w:sz="0" w:space="0" w:color="auto"/>
      </w:divBdr>
    </w:div>
    <w:div w:id="516651840">
      <w:bodyDiv w:val="1"/>
      <w:marLeft w:val="0"/>
      <w:marRight w:val="0"/>
      <w:marTop w:val="0"/>
      <w:marBottom w:val="0"/>
      <w:divBdr>
        <w:top w:val="none" w:sz="0" w:space="0" w:color="auto"/>
        <w:left w:val="none" w:sz="0" w:space="0" w:color="auto"/>
        <w:bottom w:val="none" w:sz="0" w:space="0" w:color="auto"/>
        <w:right w:val="none" w:sz="0" w:space="0" w:color="auto"/>
      </w:divBdr>
    </w:div>
    <w:div w:id="535704334">
      <w:bodyDiv w:val="1"/>
      <w:marLeft w:val="0"/>
      <w:marRight w:val="0"/>
      <w:marTop w:val="0"/>
      <w:marBottom w:val="0"/>
      <w:divBdr>
        <w:top w:val="none" w:sz="0" w:space="0" w:color="auto"/>
        <w:left w:val="none" w:sz="0" w:space="0" w:color="auto"/>
        <w:bottom w:val="none" w:sz="0" w:space="0" w:color="auto"/>
        <w:right w:val="none" w:sz="0" w:space="0" w:color="auto"/>
      </w:divBdr>
      <w:divsChild>
        <w:div w:id="1225290943">
          <w:marLeft w:val="0"/>
          <w:marRight w:val="0"/>
          <w:marTop w:val="0"/>
          <w:marBottom w:val="0"/>
          <w:divBdr>
            <w:top w:val="none" w:sz="0" w:space="0" w:color="auto"/>
            <w:left w:val="none" w:sz="0" w:space="0" w:color="auto"/>
            <w:bottom w:val="none" w:sz="0" w:space="0" w:color="auto"/>
            <w:right w:val="none" w:sz="0" w:space="0" w:color="auto"/>
          </w:divBdr>
        </w:div>
        <w:div w:id="1721592326">
          <w:marLeft w:val="0"/>
          <w:marRight w:val="0"/>
          <w:marTop w:val="0"/>
          <w:marBottom w:val="0"/>
          <w:divBdr>
            <w:top w:val="none" w:sz="0" w:space="0" w:color="auto"/>
            <w:left w:val="none" w:sz="0" w:space="0" w:color="auto"/>
            <w:bottom w:val="none" w:sz="0" w:space="0" w:color="auto"/>
            <w:right w:val="none" w:sz="0" w:space="0" w:color="auto"/>
          </w:divBdr>
        </w:div>
      </w:divsChild>
    </w:div>
    <w:div w:id="541747512">
      <w:bodyDiv w:val="1"/>
      <w:marLeft w:val="0"/>
      <w:marRight w:val="0"/>
      <w:marTop w:val="0"/>
      <w:marBottom w:val="0"/>
      <w:divBdr>
        <w:top w:val="none" w:sz="0" w:space="0" w:color="auto"/>
        <w:left w:val="none" w:sz="0" w:space="0" w:color="auto"/>
        <w:bottom w:val="none" w:sz="0" w:space="0" w:color="auto"/>
        <w:right w:val="none" w:sz="0" w:space="0" w:color="auto"/>
      </w:divBdr>
    </w:div>
    <w:div w:id="551965354">
      <w:bodyDiv w:val="1"/>
      <w:marLeft w:val="0"/>
      <w:marRight w:val="0"/>
      <w:marTop w:val="0"/>
      <w:marBottom w:val="0"/>
      <w:divBdr>
        <w:top w:val="none" w:sz="0" w:space="0" w:color="auto"/>
        <w:left w:val="none" w:sz="0" w:space="0" w:color="auto"/>
        <w:bottom w:val="none" w:sz="0" w:space="0" w:color="auto"/>
        <w:right w:val="none" w:sz="0" w:space="0" w:color="auto"/>
      </w:divBdr>
      <w:divsChild>
        <w:div w:id="929585322">
          <w:marLeft w:val="0"/>
          <w:marRight w:val="0"/>
          <w:marTop w:val="0"/>
          <w:marBottom w:val="0"/>
          <w:divBdr>
            <w:top w:val="none" w:sz="0" w:space="0" w:color="auto"/>
            <w:left w:val="none" w:sz="0" w:space="0" w:color="auto"/>
            <w:bottom w:val="none" w:sz="0" w:space="0" w:color="auto"/>
            <w:right w:val="none" w:sz="0" w:space="0" w:color="auto"/>
          </w:divBdr>
          <w:divsChild>
            <w:div w:id="633557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311935">
      <w:bodyDiv w:val="1"/>
      <w:marLeft w:val="0"/>
      <w:marRight w:val="0"/>
      <w:marTop w:val="0"/>
      <w:marBottom w:val="0"/>
      <w:divBdr>
        <w:top w:val="none" w:sz="0" w:space="0" w:color="auto"/>
        <w:left w:val="none" w:sz="0" w:space="0" w:color="auto"/>
        <w:bottom w:val="none" w:sz="0" w:space="0" w:color="auto"/>
        <w:right w:val="none" w:sz="0" w:space="0" w:color="auto"/>
      </w:divBdr>
      <w:divsChild>
        <w:div w:id="660347987">
          <w:marLeft w:val="0"/>
          <w:marRight w:val="0"/>
          <w:marTop w:val="0"/>
          <w:marBottom w:val="0"/>
          <w:divBdr>
            <w:top w:val="none" w:sz="0" w:space="0" w:color="auto"/>
            <w:left w:val="none" w:sz="0" w:space="0" w:color="auto"/>
            <w:bottom w:val="none" w:sz="0" w:space="0" w:color="auto"/>
            <w:right w:val="none" w:sz="0" w:space="0" w:color="auto"/>
          </w:divBdr>
        </w:div>
        <w:div w:id="990252695">
          <w:marLeft w:val="0"/>
          <w:marRight w:val="0"/>
          <w:marTop w:val="0"/>
          <w:marBottom w:val="0"/>
          <w:divBdr>
            <w:top w:val="none" w:sz="0" w:space="0" w:color="auto"/>
            <w:left w:val="none" w:sz="0" w:space="0" w:color="auto"/>
            <w:bottom w:val="none" w:sz="0" w:space="0" w:color="auto"/>
            <w:right w:val="none" w:sz="0" w:space="0" w:color="auto"/>
          </w:divBdr>
        </w:div>
        <w:div w:id="874467361">
          <w:marLeft w:val="0"/>
          <w:marRight w:val="0"/>
          <w:marTop w:val="0"/>
          <w:marBottom w:val="0"/>
          <w:divBdr>
            <w:top w:val="none" w:sz="0" w:space="0" w:color="auto"/>
            <w:left w:val="none" w:sz="0" w:space="0" w:color="auto"/>
            <w:bottom w:val="none" w:sz="0" w:space="0" w:color="auto"/>
            <w:right w:val="none" w:sz="0" w:space="0" w:color="auto"/>
          </w:divBdr>
        </w:div>
      </w:divsChild>
    </w:div>
    <w:div w:id="572811383">
      <w:bodyDiv w:val="1"/>
      <w:marLeft w:val="0"/>
      <w:marRight w:val="0"/>
      <w:marTop w:val="0"/>
      <w:marBottom w:val="0"/>
      <w:divBdr>
        <w:top w:val="none" w:sz="0" w:space="0" w:color="auto"/>
        <w:left w:val="none" w:sz="0" w:space="0" w:color="auto"/>
        <w:bottom w:val="none" w:sz="0" w:space="0" w:color="auto"/>
        <w:right w:val="none" w:sz="0" w:space="0" w:color="auto"/>
      </w:divBdr>
    </w:div>
    <w:div w:id="574247035">
      <w:bodyDiv w:val="1"/>
      <w:marLeft w:val="0"/>
      <w:marRight w:val="0"/>
      <w:marTop w:val="0"/>
      <w:marBottom w:val="0"/>
      <w:divBdr>
        <w:top w:val="none" w:sz="0" w:space="0" w:color="auto"/>
        <w:left w:val="none" w:sz="0" w:space="0" w:color="auto"/>
        <w:bottom w:val="none" w:sz="0" w:space="0" w:color="auto"/>
        <w:right w:val="none" w:sz="0" w:space="0" w:color="auto"/>
      </w:divBdr>
      <w:divsChild>
        <w:div w:id="1221097353">
          <w:marLeft w:val="0"/>
          <w:marRight w:val="0"/>
          <w:marTop w:val="0"/>
          <w:marBottom w:val="0"/>
          <w:divBdr>
            <w:top w:val="none" w:sz="0" w:space="0" w:color="auto"/>
            <w:left w:val="none" w:sz="0" w:space="0" w:color="auto"/>
            <w:bottom w:val="none" w:sz="0" w:space="0" w:color="auto"/>
            <w:right w:val="none" w:sz="0" w:space="0" w:color="auto"/>
          </w:divBdr>
        </w:div>
        <w:div w:id="1577865091">
          <w:marLeft w:val="0"/>
          <w:marRight w:val="0"/>
          <w:marTop w:val="0"/>
          <w:marBottom w:val="0"/>
          <w:divBdr>
            <w:top w:val="none" w:sz="0" w:space="0" w:color="auto"/>
            <w:left w:val="none" w:sz="0" w:space="0" w:color="auto"/>
            <w:bottom w:val="none" w:sz="0" w:space="0" w:color="auto"/>
            <w:right w:val="none" w:sz="0" w:space="0" w:color="auto"/>
          </w:divBdr>
        </w:div>
        <w:div w:id="1651711350">
          <w:marLeft w:val="0"/>
          <w:marRight w:val="0"/>
          <w:marTop w:val="0"/>
          <w:marBottom w:val="0"/>
          <w:divBdr>
            <w:top w:val="none" w:sz="0" w:space="0" w:color="auto"/>
            <w:left w:val="none" w:sz="0" w:space="0" w:color="auto"/>
            <w:bottom w:val="none" w:sz="0" w:space="0" w:color="auto"/>
            <w:right w:val="none" w:sz="0" w:space="0" w:color="auto"/>
          </w:divBdr>
        </w:div>
        <w:div w:id="1497916558">
          <w:marLeft w:val="0"/>
          <w:marRight w:val="0"/>
          <w:marTop w:val="0"/>
          <w:marBottom w:val="0"/>
          <w:divBdr>
            <w:top w:val="none" w:sz="0" w:space="0" w:color="auto"/>
            <w:left w:val="none" w:sz="0" w:space="0" w:color="auto"/>
            <w:bottom w:val="none" w:sz="0" w:space="0" w:color="auto"/>
            <w:right w:val="none" w:sz="0" w:space="0" w:color="auto"/>
          </w:divBdr>
        </w:div>
        <w:div w:id="1358265217">
          <w:marLeft w:val="0"/>
          <w:marRight w:val="0"/>
          <w:marTop w:val="0"/>
          <w:marBottom w:val="0"/>
          <w:divBdr>
            <w:top w:val="none" w:sz="0" w:space="0" w:color="auto"/>
            <w:left w:val="none" w:sz="0" w:space="0" w:color="auto"/>
            <w:bottom w:val="none" w:sz="0" w:space="0" w:color="auto"/>
            <w:right w:val="none" w:sz="0" w:space="0" w:color="auto"/>
          </w:divBdr>
        </w:div>
      </w:divsChild>
    </w:div>
    <w:div w:id="599342128">
      <w:bodyDiv w:val="1"/>
      <w:marLeft w:val="0"/>
      <w:marRight w:val="0"/>
      <w:marTop w:val="0"/>
      <w:marBottom w:val="0"/>
      <w:divBdr>
        <w:top w:val="none" w:sz="0" w:space="0" w:color="auto"/>
        <w:left w:val="none" w:sz="0" w:space="0" w:color="auto"/>
        <w:bottom w:val="none" w:sz="0" w:space="0" w:color="auto"/>
        <w:right w:val="none" w:sz="0" w:space="0" w:color="auto"/>
      </w:divBdr>
    </w:div>
    <w:div w:id="607273217">
      <w:bodyDiv w:val="1"/>
      <w:marLeft w:val="0"/>
      <w:marRight w:val="0"/>
      <w:marTop w:val="0"/>
      <w:marBottom w:val="0"/>
      <w:divBdr>
        <w:top w:val="none" w:sz="0" w:space="0" w:color="auto"/>
        <w:left w:val="none" w:sz="0" w:space="0" w:color="auto"/>
        <w:bottom w:val="none" w:sz="0" w:space="0" w:color="auto"/>
        <w:right w:val="none" w:sz="0" w:space="0" w:color="auto"/>
      </w:divBdr>
      <w:divsChild>
        <w:div w:id="1062484108">
          <w:marLeft w:val="0"/>
          <w:marRight w:val="0"/>
          <w:marTop w:val="0"/>
          <w:marBottom w:val="0"/>
          <w:divBdr>
            <w:top w:val="none" w:sz="0" w:space="0" w:color="auto"/>
            <w:left w:val="none" w:sz="0" w:space="0" w:color="auto"/>
            <w:bottom w:val="none" w:sz="0" w:space="0" w:color="auto"/>
            <w:right w:val="none" w:sz="0" w:space="0" w:color="auto"/>
          </w:divBdr>
        </w:div>
        <w:div w:id="1701856198">
          <w:marLeft w:val="0"/>
          <w:marRight w:val="0"/>
          <w:marTop w:val="0"/>
          <w:marBottom w:val="0"/>
          <w:divBdr>
            <w:top w:val="none" w:sz="0" w:space="0" w:color="auto"/>
            <w:left w:val="none" w:sz="0" w:space="0" w:color="auto"/>
            <w:bottom w:val="none" w:sz="0" w:space="0" w:color="auto"/>
            <w:right w:val="none" w:sz="0" w:space="0" w:color="auto"/>
          </w:divBdr>
        </w:div>
        <w:div w:id="297418202">
          <w:marLeft w:val="0"/>
          <w:marRight w:val="0"/>
          <w:marTop w:val="0"/>
          <w:marBottom w:val="0"/>
          <w:divBdr>
            <w:top w:val="none" w:sz="0" w:space="0" w:color="auto"/>
            <w:left w:val="none" w:sz="0" w:space="0" w:color="auto"/>
            <w:bottom w:val="none" w:sz="0" w:space="0" w:color="auto"/>
            <w:right w:val="none" w:sz="0" w:space="0" w:color="auto"/>
          </w:divBdr>
        </w:div>
        <w:div w:id="2065831115">
          <w:marLeft w:val="0"/>
          <w:marRight w:val="0"/>
          <w:marTop w:val="0"/>
          <w:marBottom w:val="0"/>
          <w:divBdr>
            <w:top w:val="none" w:sz="0" w:space="0" w:color="auto"/>
            <w:left w:val="none" w:sz="0" w:space="0" w:color="auto"/>
            <w:bottom w:val="none" w:sz="0" w:space="0" w:color="auto"/>
            <w:right w:val="none" w:sz="0" w:space="0" w:color="auto"/>
          </w:divBdr>
        </w:div>
        <w:div w:id="1346244259">
          <w:marLeft w:val="0"/>
          <w:marRight w:val="0"/>
          <w:marTop w:val="0"/>
          <w:marBottom w:val="0"/>
          <w:divBdr>
            <w:top w:val="none" w:sz="0" w:space="0" w:color="auto"/>
            <w:left w:val="none" w:sz="0" w:space="0" w:color="auto"/>
            <w:bottom w:val="none" w:sz="0" w:space="0" w:color="auto"/>
            <w:right w:val="none" w:sz="0" w:space="0" w:color="auto"/>
          </w:divBdr>
        </w:div>
        <w:div w:id="2138985729">
          <w:marLeft w:val="0"/>
          <w:marRight w:val="0"/>
          <w:marTop w:val="0"/>
          <w:marBottom w:val="0"/>
          <w:divBdr>
            <w:top w:val="none" w:sz="0" w:space="0" w:color="auto"/>
            <w:left w:val="none" w:sz="0" w:space="0" w:color="auto"/>
            <w:bottom w:val="none" w:sz="0" w:space="0" w:color="auto"/>
            <w:right w:val="none" w:sz="0" w:space="0" w:color="auto"/>
          </w:divBdr>
        </w:div>
        <w:div w:id="649020175">
          <w:marLeft w:val="0"/>
          <w:marRight w:val="0"/>
          <w:marTop w:val="0"/>
          <w:marBottom w:val="0"/>
          <w:divBdr>
            <w:top w:val="none" w:sz="0" w:space="0" w:color="auto"/>
            <w:left w:val="none" w:sz="0" w:space="0" w:color="auto"/>
            <w:bottom w:val="none" w:sz="0" w:space="0" w:color="auto"/>
            <w:right w:val="none" w:sz="0" w:space="0" w:color="auto"/>
          </w:divBdr>
        </w:div>
        <w:div w:id="760178440">
          <w:marLeft w:val="0"/>
          <w:marRight w:val="0"/>
          <w:marTop w:val="0"/>
          <w:marBottom w:val="0"/>
          <w:divBdr>
            <w:top w:val="none" w:sz="0" w:space="0" w:color="auto"/>
            <w:left w:val="none" w:sz="0" w:space="0" w:color="auto"/>
            <w:bottom w:val="none" w:sz="0" w:space="0" w:color="auto"/>
            <w:right w:val="none" w:sz="0" w:space="0" w:color="auto"/>
          </w:divBdr>
        </w:div>
        <w:div w:id="1170103537">
          <w:marLeft w:val="0"/>
          <w:marRight w:val="0"/>
          <w:marTop w:val="0"/>
          <w:marBottom w:val="0"/>
          <w:divBdr>
            <w:top w:val="none" w:sz="0" w:space="0" w:color="auto"/>
            <w:left w:val="none" w:sz="0" w:space="0" w:color="auto"/>
            <w:bottom w:val="none" w:sz="0" w:space="0" w:color="auto"/>
            <w:right w:val="none" w:sz="0" w:space="0" w:color="auto"/>
          </w:divBdr>
        </w:div>
        <w:div w:id="1043091983">
          <w:marLeft w:val="0"/>
          <w:marRight w:val="0"/>
          <w:marTop w:val="0"/>
          <w:marBottom w:val="0"/>
          <w:divBdr>
            <w:top w:val="none" w:sz="0" w:space="0" w:color="auto"/>
            <w:left w:val="none" w:sz="0" w:space="0" w:color="auto"/>
            <w:bottom w:val="none" w:sz="0" w:space="0" w:color="auto"/>
            <w:right w:val="none" w:sz="0" w:space="0" w:color="auto"/>
          </w:divBdr>
        </w:div>
        <w:div w:id="1012415243">
          <w:marLeft w:val="0"/>
          <w:marRight w:val="0"/>
          <w:marTop w:val="0"/>
          <w:marBottom w:val="0"/>
          <w:divBdr>
            <w:top w:val="none" w:sz="0" w:space="0" w:color="auto"/>
            <w:left w:val="none" w:sz="0" w:space="0" w:color="auto"/>
            <w:bottom w:val="none" w:sz="0" w:space="0" w:color="auto"/>
            <w:right w:val="none" w:sz="0" w:space="0" w:color="auto"/>
          </w:divBdr>
        </w:div>
        <w:div w:id="655958618">
          <w:marLeft w:val="0"/>
          <w:marRight w:val="0"/>
          <w:marTop w:val="0"/>
          <w:marBottom w:val="0"/>
          <w:divBdr>
            <w:top w:val="none" w:sz="0" w:space="0" w:color="auto"/>
            <w:left w:val="none" w:sz="0" w:space="0" w:color="auto"/>
            <w:bottom w:val="none" w:sz="0" w:space="0" w:color="auto"/>
            <w:right w:val="none" w:sz="0" w:space="0" w:color="auto"/>
          </w:divBdr>
        </w:div>
        <w:div w:id="1620993132">
          <w:marLeft w:val="0"/>
          <w:marRight w:val="0"/>
          <w:marTop w:val="0"/>
          <w:marBottom w:val="0"/>
          <w:divBdr>
            <w:top w:val="none" w:sz="0" w:space="0" w:color="auto"/>
            <w:left w:val="none" w:sz="0" w:space="0" w:color="auto"/>
            <w:bottom w:val="none" w:sz="0" w:space="0" w:color="auto"/>
            <w:right w:val="none" w:sz="0" w:space="0" w:color="auto"/>
          </w:divBdr>
        </w:div>
      </w:divsChild>
    </w:div>
    <w:div w:id="617419545">
      <w:bodyDiv w:val="1"/>
      <w:marLeft w:val="0"/>
      <w:marRight w:val="0"/>
      <w:marTop w:val="0"/>
      <w:marBottom w:val="0"/>
      <w:divBdr>
        <w:top w:val="none" w:sz="0" w:space="0" w:color="auto"/>
        <w:left w:val="none" w:sz="0" w:space="0" w:color="auto"/>
        <w:bottom w:val="none" w:sz="0" w:space="0" w:color="auto"/>
        <w:right w:val="none" w:sz="0" w:space="0" w:color="auto"/>
      </w:divBdr>
      <w:divsChild>
        <w:div w:id="1583835948">
          <w:marLeft w:val="0"/>
          <w:marRight w:val="0"/>
          <w:marTop w:val="0"/>
          <w:marBottom w:val="0"/>
          <w:divBdr>
            <w:top w:val="none" w:sz="0" w:space="0" w:color="auto"/>
            <w:left w:val="none" w:sz="0" w:space="0" w:color="auto"/>
            <w:bottom w:val="none" w:sz="0" w:space="0" w:color="auto"/>
            <w:right w:val="none" w:sz="0" w:space="0" w:color="auto"/>
          </w:divBdr>
          <w:divsChild>
            <w:div w:id="88875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046703">
      <w:bodyDiv w:val="1"/>
      <w:marLeft w:val="0"/>
      <w:marRight w:val="0"/>
      <w:marTop w:val="0"/>
      <w:marBottom w:val="0"/>
      <w:divBdr>
        <w:top w:val="none" w:sz="0" w:space="0" w:color="auto"/>
        <w:left w:val="none" w:sz="0" w:space="0" w:color="auto"/>
        <w:bottom w:val="none" w:sz="0" w:space="0" w:color="auto"/>
        <w:right w:val="none" w:sz="0" w:space="0" w:color="auto"/>
      </w:divBdr>
      <w:divsChild>
        <w:div w:id="2017026906">
          <w:marLeft w:val="0"/>
          <w:marRight w:val="0"/>
          <w:marTop w:val="0"/>
          <w:marBottom w:val="0"/>
          <w:divBdr>
            <w:top w:val="none" w:sz="0" w:space="0" w:color="auto"/>
            <w:left w:val="none" w:sz="0" w:space="0" w:color="auto"/>
            <w:bottom w:val="none" w:sz="0" w:space="0" w:color="auto"/>
            <w:right w:val="none" w:sz="0" w:space="0" w:color="auto"/>
          </w:divBdr>
          <w:divsChild>
            <w:div w:id="1637563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700394">
      <w:bodyDiv w:val="1"/>
      <w:marLeft w:val="0"/>
      <w:marRight w:val="0"/>
      <w:marTop w:val="0"/>
      <w:marBottom w:val="0"/>
      <w:divBdr>
        <w:top w:val="none" w:sz="0" w:space="0" w:color="auto"/>
        <w:left w:val="none" w:sz="0" w:space="0" w:color="auto"/>
        <w:bottom w:val="none" w:sz="0" w:space="0" w:color="auto"/>
        <w:right w:val="none" w:sz="0" w:space="0" w:color="auto"/>
      </w:divBdr>
      <w:divsChild>
        <w:div w:id="1648630759">
          <w:marLeft w:val="0"/>
          <w:marRight w:val="0"/>
          <w:marTop w:val="0"/>
          <w:marBottom w:val="0"/>
          <w:divBdr>
            <w:top w:val="none" w:sz="0" w:space="0" w:color="auto"/>
            <w:left w:val="none" w:sz="0" w:space="0" w:color="auto"/>
            <w:bottom w:val="none" w:sz="0" w:space="0" w:color="auto"/>
            <w:right w:val="none" w:sz="0" w:space="0" w:color="auto"/>
          </w:divBdr>
        </w:div>
        <w:div w:id="1811943566">
          <w:marLeft w:val="0"/>
          <w:marRight w:val="0"/>
          <w:marTop w:val="0"/>
          <w:marBottom w:val="0"/>
          <w:divBdr>
            <w:top w:val="none" w:sz="0" w:space="0" w:color="auto"/>
            <w:left w:val="none" w:sz="0" w:space="0" w:color="auto"/>
            <w:bottom w:val="none" w:sz="0" w:space="0" w:color="auto"/>
            <w:right w:val="none" w:sz="0" w:space="0" w:color="auto"/>
          </w:divBdr>
        </w:div>
      </w:divsChild>
    </w:div>
    <w:div w:id="630593770">
      <w:bodyDiv w:val="1"/>
      <w:marLeft w:val="0"/>
      <w:marRight w:val="0"/>
      <w:marTop w:val="0"/>
      <w:marBottom w:val="0"/>
      <w:divBdr>
        <w:top w:val="none" w:sz="0" w:space="0" w:color="auto"/>
        <w:left w:val="none" w:sz="0" w:space="0" w:color="auto"/>
        <w:bottom w:val="none" w:sz="0" w:space="0" w:color="auto"/>
        <w:right w:val="none" w:sz="0" w:space="0" w:color="auto"/>
      </w:divBdr>
    </w:div>
    <w:div w:id="636422722">
      <w:bodyDiv w:val="1"/>
      <w:marLeft w:val="0"/>
      <w:marRight w:val="0"/>
      <w:marTop w:val="0"/>
      <w:marBottom w:val="0"/>
      <w:divBdr>
        <w:top w:val="none" w:sz="0" w:space="0" w:color="auto"/>
        <w:left w:val="none" w:sz="0" w:space="0" w:color="auto"/>
        <w:bottom w:val="none" w:sz="0" w:space="0" w:color="auto"/>
        <w:right w:val="none" w:sz="0" w:space="0" w:color="auto"/>
      </w:divBdr>
      <w:divsChild>
        <w:div w:id="605192147">
          <w:marLeft w:val="0"/>
          <w:marRight w:val="0"/>
          <w:marTop w:val="0"/>
          <w:marBottom w:val="0"/>
          <w:divBdr>
            <w:top w:val="none" w:sz="0" w:space="0" w:color="auto"/>
            <w:left w:val="none" w:sz="0" w:space="0" w:color="auto"/>
            <w:bottom w:val="none" w:sz="0" w:space="0" w:color="auto"/>
            <w:right w:val="none" w:sz="0" w:space="0" w:color="auto"/>
          </w:divBdr>
        </w:div>
        <w:div w:id="1618875885">
          <w:marLeft w:val="0"/>
          <w:marRight w:val="0"/>
          <w:marTop w:val="0"/>
          <w:marBottom w:val="0"/>
          <w:divBdr>
            <w:top w:val="none" w:sz="0" w:space="0" w:color="auto"/>
            <w:left w:val="none" w:sz="0" w:space="0" w:color="auto"/>
            <w:bottom w:val="none" w:sz="0" w:space="0" w:color="auto"/>
            <w:right w:val="none" w:sz="0" w:space="0" w:color="auto"/>
          </w:divBdr>
        </w:div>
        <w:div w:id="885332164">
          <w:marLeft w:val="0"/>
          <w:marRight w:val="0"/>
          <w:marTop w:val="0"/>
          <w:marBottom w:val="0"/>
          <w:divBdr>
            <w:top w:val="none" w:sz="0" w:space="0" w:color="auto"/>
            <w:left w:val="none" w:sz="0" w:space="0" w:color="auto"/>
            <w:bottom w:val="none" w:sz="0" w:space="0" w:color="auto"/>
            <w:right w:val="none" w:sz="0" w:space="0" w:color="auto"/>
          </w:divBdr>
        </w:div>
        <w:div w:id="943272924">
          <w:marLeft w:val="0"/>
          <w:marRight w:val="0"/>
          <w:marTop w:val="0"/>
          <w:marBottom w:val="0"/>
          <w:divBdr>
            <w:top w:val="none" w:sz="0" w:space="0" w:color="auto"/>
            <w:left w:val="none" w:sz="0" w:space="0" w:color="auto"/>
            <w:bottom w:val="none" w:sz="0" w:space="0" w:color="auto"/>
            <w:right w:val="none" w:sz="0" w:space="0" w:color="auto"/>
          </w:divBdr>
        </w:div>
        <w:div w:id="585651009">
          <w:marLeft w:val="0"/>
          <w:marRight w:val="0"/>
          <w:marTop w:val="0"/>
          <w:marBottom w:val="0"/>
          <w:divBdr>
            <w:top w:val="none" w:sz="0" w:space="0" w:color="auto"/>
            <w:left w:val="none" w:sz="0" w:space="0" w:color="auto"/>
            <w:bottom w:val="none" w:sz="0" w:space="0" w:color="auto"/>
            <w:right w:val="none" w:sz="0" w:space="0" w:color="auto"/>
          </w:divBdr>
        </w:div>
        <w:div w:id="136149355">
          <w:marLeft w:val="0"/>
          <w:marRight w:val="0"/>
          <w:marTop w:val="0"/>
          <w:marBottom w:val="0"/>
          <w:divBdr>
            <w:top w:val="none" w:sz="0" w:space="0" w:color="auto"/>
            <w:left w:val="none" w:sz="0" w:space="0" w:color="auto"/>
            <w:bottom w:val="none" w:sz="0" w:space="0" w:color="auto"/>
            <w:right w:val="none" w:sz="0" w:space="0" w:color="auto"/>
          </w:divBdr>
        </w:div>
        <w:div w:id="944383917">
          <w:marLeft w:val="0"/>
          <w:marRight w:val="0"/>
          <w:marTop w:val="0"/>
          <w:marBottom w:val="0"/>
          <w:divBdr>
            <w:top w:val="none" w:sz="0" w:space="0" w:color="auto"/>
            <w:left w:val="none" w:sz="0" w:space="0" w:color="auto"/>
            <w:bottom w:val="none" w:sz="0" w:space="0" w:color="auto"/>
            <w:right w:val="none" w:sz="0" w:space="0" w:color="auto"/>
          </w:divBdr>
        </w:div>
        <w:div w:id="955142605">
          <w:marLeft w:val="0"/>
          <w:marRight w:val="0"/>
          <w:marTop w:val="0"/>
          <w:marBottom w:val="0"/>
          <w:divBdr>
            <w:top w:val="none" w:sz="0" w:space="0" w:color="auto"/>
            <w:left w:val="none" w:sz="0" w:space="0" w:color="auto"/>
            <w:bottom w:val="none" w:sz="0" w:space="0" w:color="auto"/>
            <w:right w:val="none" w:sz="0" w:space="0" w:color="auto"/>
          </w:divBdr>
        </w:div>
        <w:div w:id="888565262">
          <w:marLeft w:val="0"/>
          <w:marRight w:val="0"/>
          <w:marTop w:val="0"/>
          <w:marBottom w:val="0"/>
          <w:divBdr>
            <w:top w:val="none" w:sz="0" w:space="0" w:color="auto"/>
            <w:left w:val="none" w:sz="0" w:space="0" w:color="auto"/>
            <w:bottom w:val="none" w:sz="0" w:space="0" w:color="auto"/>
            <w:right w:val="none" w:sz="0" w:space="0" w:color="auto"/>
          </w:divBdr>
        </w:div>
      </w:divsChild>
    </w:div>
    <w:div w:id="661815164">
      <w:bodyDiv w:val="1"/>
      <w:marLeft w:val="0"/>
      <w:marRight w:val="0"/>
      <w:marTop w:val="0"/>
      <w:marBottom w:val="0"/>
      <w:divBdr>
        <w:top w:val="none" w:sz="0" w:space="0" w:color="auto"/>
        <w:left w:val="none" w:sz="0" w:space="0" w:color="auto"/>
        <w:bottom w:val="none" w:sz="0" w:space="0" w:color="auto"/>
        <w:right w:val="none" w:sz="0" w:space="0" w:color="auto"/>
      </w:divBdr>
      <w:divsChild>
        <w:div w:id="872768683">
          <w:marLeft w:val="0"/>
          <w:marRight w:val="0"/>
          <w:marTop w:val="0"/>
          <w:marBottom w:val="0"/>
          <w:divBdr>
            <w:top w:val="none" w:sz="0" w:space="0" w:color="auto"/>
            <w:left w:val="none" w:sz="0" w:space="0" w:color="auto"/>
            <w:bottom w:val="none" w:sz="0" w:space="0" w:color="auto"/>
            <w:right w:val="none" w:sz="0" w:space="0" w:color="auto"/>
          </w:divBdr>
          <w:divsChild>
            <w:div w:id="208005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039391">
      <w:bodyDiv w:val="1"/>
      <w:marLeft w:val="0"/>
      <w:marRight w:val="0"/>
      <w:marTop w:val="0"/>
      <w:marBottom w:val="0"/>
      <w:divBdr>
        <w:top w:val="none" w:sz="0" w:space="0" w:color="auto"/>
        <w:left w:val="none" w:sz="0" w:space="0" w:color="auto"/>
        <w:bottom w:val="none" w:sz="0" w:space="0" w:color="auto"/>
        <w:right w:val="none" w:sz="0" w:space="0" w:color="auto"/>
      </w:divBdr>
      <w:divsChild>
        <w:div w:id="58132678">
          <w:marLeft w:val="0"/>
          <w:marRight w:val="0"/>
          <w:marTop w:val="0"/>
          <w:marBottom w:val="0"/>
          <w:divBdr>
            <w:top w:val="none" w:sz="0" w:space="0" w:color="auto"/>
            <w:left w:val="none" w:sz="0" w:space="0" w:color="auto"/>
            <w:bottom w:val="none" w:sz="0" w:space="0" w:color="auto"/>
            <w:right w:val="none" w:sz="0" w:space="0" w:color="auto"/>
          </w:divBdr>
          <w:divsChild>
            <w:div w:id="182250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596893">
      <w:bodyDiv w:val="1"/>
      <w:marLeft w:val="0"/>
      <w:marRight w:val="0"/>
      <w:marTop w:val="0"/>
      <w:marBottom w:val="0"/>
      <w:divBdr>
        <w:top w:val="none" w:sz="0" w:space="0" w:color="auto"/>
        <w:left w:val="none" w:sz="0" w:space="0" w:color="auto"/>
        <w:bottom w:val="none" w:sz="0" w:space="0" w:color="auto"/>
        <w:right w:val="none" w:sz="0" w:space="0" w:color="auto"/>
      </w:divBdr>
      <w:divsChild>
        <w:div w:id="1033573929">
          <w:marLeft w:val="0"/>
          <w:marRight w:val="0"/>
          <w:marTop w:val="0"/>
          <w:marBottom w:val="0"/>
          <w:divBdr>
            <w:top w:val="none" w:sz="0" w:space="0" w:color="auto"/>
            <w:left w:val="none" w:sz="0" w:space="0" w:color="auto"/>
            <w:bottom w:val="none" w:sz="0" w:space="0" w:color="auto"/>
            <w:right w:val="none" w:sz="0" w:space="0" w:color="auto"/>
          </w:divBdr>
          <w:divsChild>
            <w:div w:id="13672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906859">
      <w:bodyDiv w:val="1"/>
      <w:marLeft w:val="0"/>
      <w:marRight w:val="0"/>
      <w:marTop w:val="0"/>
      <w:marBottom w:val="0"/>
      <w:divBdr>
        <w:top w:val="none" w:sz="0" w:space="0" w:color="auto"/>
        <w:left w:val="none" w:sz="0" w:space="0" w:color="auto"/>
        <w:bottom w:val="none" w:sz="0" w:space="0" w:color="auto"/>
        <w:right w:val="none" w:sz="0" w:space="0" w:color="auto"/>
      </w:divBdr>
    </w:div>
    <w:div w:id="696932413">
      <w:bodyDiv w:val="1"/>
      <w:marLeft w:val="0"/>
      <w:marRight w:val="0"/>
      <w:marTop w:val="0"/>
      <w:marBottom w:val="0"/>
      <w:divBdr>
        <w:top w:val="none" w:sz="0" w:space="0" w:color="auto"/>
        <w:left w:val="none" w:sz="0" w:space="0" w:color="auto"/>
        <w:bottom w:val="none" w:sz="0" w:space="0" w:color="auto"/>
        <w:right w:val="none" w:sz="0" w:space="0" w:color="auto"/>
      </w:divBdr>
    </w:div>
    <w:div w:id="698433118">
      <w:bodyDiv w:val="1"/>
      <w:marLeft w:val="0"/>
      <w:marRight w:val="0"/>
      <w:marTop w:val="0"/>
      <w:marBottom w:val="0"/>
      <w:divBdr>
        <w:top w:val="none" w:sz="0" w:space="0" w:color="auto"/>
        <w:left w:val="none" w:sz="0" w:space="0" w:color="auto"/>
        <w:bottom w:val="none" w:sz="0" w:space="0" w:color="auto"/>
        <w:right w:val="none" w:sz="0" w:space="0" w:color="auto"/>
      </w:divBdr>
      <w:divsChild>
        <w:div w:id="1112287976">
          <w:marLeft w:val="0"/>
          <w:marRight w:val="0"/>
          <w:marTop w:val="0"/>
          <w:marBottom w:val="0"/>
          <w:divBdr>
            <w:top w:val="none" w:sz="0" w:space="0" w:color="auto"/>
            <w:left w:val="none" w:sz="0" w:space="0" w:color="auto"/>
            <w:bottom w:val="none" w:sz="0" w:space="0" w:color="auto"/>
            <w:right w:val="none" w:sz="0" w:space="0" w:color="auto"/>
          </w:divBdr>
        </w:div>
        <w:div w:id="194195307">
          <w:marLeft w:val="0"/>
          <w:marRight w:val="0"/>
          <w:marTop w:val="0"/>
          <w:marBottom w:val="0"/>
          <w:divBdr>
            <w:top w:val="none" w:sz="0" w:space="0" w:color="auto"/>
            <w:left w:val="none" w:sz="0" w:space="0" w:color="auto"/>
            <w:bottom w:val="none" w:sz="0" w:space="0" w:color="auto"/>
            <w:right w:val="none" w:sz="0" w:space="0" w:color="auto"/>
          </w:divBdr>
        </w:div>
      </w:divsChild>
    </w:div>
    <w:div w:id="704983082">
      <w:bodyDiv w:val="1"/>
      <w:marLeft w:val="0"/>
      <w:marRight w:val="0"/>
      <w:marTop w:val="0"/>
      <w:marBottom w:val="0"/>
      <w:divBdr>
        <w:top w:val="none" w:sz="0" w:space="0" w:color="auto"/>
        <w:left w:val="none" w:sz="0" w:space="0" w:color="auto"/>
        <w:bottom w:val="none" w:sz="0" w:space="0" w:color="auto"/>
        <w:right w:val="none" w:sz="0" w:space="0" w:color="auto"/>
      </w:divBdr>
      <w:divsChild>
        <w:div w:id="1068458669">
          <w:marLeft w:val="0"/>
          <w:marRight w:val="0"/>
          <w:marTop w:val="0"/>
          <w:marBottom w:val="0"/>
          <w:divBdr>
            <w:top w:val="none" w:sz="0" w:space="0" w:color="auto"/>
            <w:left w:val="none" w:sz="0" w:space="0" w:color="auto"/>
            <w:bottom w:val="none" w:sz="0" w:space="0" w:color="auto"/>
            <w:right w:val="none" w:sz="0" w:space="0" w:color="auto"/>
          </w:divBdr>
        </w:div>
        <w:div w:id="761610983">
          <w:marLeft w:val="0"/>
          <w:marRight w:val="0"/>
          <w:marTop w:val="0"/>
          <w:marBottom w:val="0"/>
          <w:divBdr>
            <w:top w:val="none" w:sz="0" w:space="0" w:color="auto"/>
            <w:left w:val="none" w:sz="0" w:space="0" w:color="auto"/>
            <w:bottom w:val="none" w:sz="0" w:space="0" w:color="auto"/>
            <w:right w:val="none" w:sz="0" w:space="0" w:color="auto"/>
          </w:divBdr>
        </w:div>
        <w:div w:id="788738308">
          <w:marLeft w:val="0"/>
          <w:marRight w:val="0"/>
          <w:marTop w:val="0"/>
          <w:marBottom w:val="0"/>
          <w:divBdr>
            <w:top w:val="none" w:sz="0" w:space="0" w:color="auto"/>
            <w:left w:val="none" w:sz="0" w:space="0" w:color="auto"/>
            <w:bottom w:val="none" w:sz="0" w:space="0" w:color="auto"/>
            <w:right w:val="none" w:sz="0" w:space="0" w:color="auto"/>
          </w:divBdr>
        </w:div>
        <w:div w:id="2144889075">
          <w:marLeft w:val="0"/>
          <w:marRight w:val="0"/>
          <w:marTop w:val="0"/>
          <w:marBottom w:val="0"/>
          <w:divBdr>
            <w:top w:val="none" w:sz="0" w:space="0" w:color="auto"/>
            <w:left w:val="none" w:sz="0" w:space="0" w:color="auto"/>
            <w:bottom w:val="none" w:sz="0" w:space="0" w:color="auto"/>
            <w:right w:val="none" w:sz="0" w:space="0" w:color="auto"/>
          </w:divBdr>
        </w:div>
        <w:div w:id="1359891492">
          <w:marLeft w:val="0"/>
          <w:marRight w:val="0"/>
          <w:marTop w:val="0"/>
          <w:marBottom w:val="0"/>
          <w:divBdr>
            <w:top w:val="none" w:sz="0" w:space="0" w:color="auto"/>
            <w:left w:val="none" w:sz="0" w:space="0" w:color="auto"/>
            <w:bottom w:val="none" w:sz="0" w:space="0" w:color="auto"/>
            <w:right w:val="none" w:sz="0" w:space="0" w:color="auto"/>
          </w:divBdr>
        </w:div>
        <w:div w:id="522476264">
          <w:marLeft w:val="0"/>
          <w:marRight w:val="0"/>
          <w:marTop w:val="0"/>
          <w:marBottom w:val="0"/>
          <w:divBdr>
            <w:top w:val="none" w:sz="0" w:space="0" w:color="auto"/>
            <w:left w:val="none" w:sz="0" w:space="0" w:color="auto"/>
            <w:bottom w:val="none" w:sz="0" w:space="0" w:color="auto"/>
            <w:right w:val="none" w:sz="0" w:space="0" w:color="auto"/>
          </w:divBdr>
        </w:div>
        <w:div w:id="645164511">
          <w:marLeft w:val="0"/>
          <w:marRight w:val="0"/>
          <w:marTop w:val="0"/>
          <w:marBottom w:val="0"/>
          <w:divBdr>
            <w:top w:val="none" w:sz="0" w:space="0" w:color="auto"/>
            <w:left w:val="none" w:sz="0" w:space="0" w:color="auto"/>
            <w:bottom w:val="none" w:sz="0" w:space="0" w:color="auto"/>
            <w:right w:val="none" w:sz="0" w:space="0" w:color="auto"/>
          </w:divBdr>
        </w:div>
        <w:div w:id="582841652">
          <w:marLeft w:val="0"/>
          <w:marRight w:val="0"/>
          <w:marTop w:val="0"/>
          <w:marBottom w:val="0"/>
          <w:divBdr>
            <w:top w:val="none" w:sz="0" w:space="0" w:color="auto"/>
            <w:left w:val="none" w:sz="0" w:space="0" w:color="auto"/>
            <w:bottom w:val="none" w:sz="0" w:space="0" w:color="auto"/>
            <w:right w:val="none" w:sz="0" w:space="0" w:color="auto"/>
          </w:divBdr>
        </w:div>
        <w:div w:id="1009069">
          <w:marLeft w:val="0"/>
          <w:marRight w:val="0"/>
          <w:marTop w:val="0"/>
          <w:marBottom w:val="0"/>
          <w:divBdr>
            <w:top w:val="none" w:sz="0" w:space="0" w:color="auto"/>
            <w:left w:val="none" w:sz="0" w:space="0" w:color="auto"/>
            <w:bottom w:val="none" w:sz="0" w:space="0" w:color="auto"/>
            <w:right w:val="none" w:sz="0" w:space="0" w:color="auto"/>
          </w:divBdr>
        </w:div>
        <w:div w:id="1170221538">
          <w:marLeft w:val="0"/>
          <w:marRight w:val="0"/>
          <w:marTop w:val="0"/>
          <w:marBottom w:val="0"/>
          <w:divBdr>
            <w:top w:val="none" w:sz="0" w:space="0" w:color="auto"/>
            <w:left w:val="none" w:sz="0" w:space="0" w:color="auto"/>
            <w:bottom w:val="none" w:sz="0" w:space="0" w:color="auto"/>
            <w:right w:val="none" w:sz="0" w:space="0" w:color="auto"/>
          </w:divBdr>
        </w:div>
        <w:div w:id="1414399659">
          <w:marLeft w:val="0"/>
          <w:marRight w:val="0"/>
          <w:marTop w:val="0"/>
          <w:marBottom w:val="0"/>
          <w:divBdr>
            <w:top w:val="none" w:sz="0" w:space="0" w:color="auto"/>
            <w:left w:val="none" w:sz="0" w:space="0" w:color="auto"/>
            <w:bottom w:val="none" w:sz="0" w:space="0" w:color="auto"/>
            <w:right w:val="none" w:sz="0" w:space="0" w:color="auto"/>
          </w:divBdr>
        </w:div>
        <w:div w:id="1432973423">
          <w:marLeft w:val="0"/>
          <w:marRight w:val="0"/>
          <w:marTop w:val="0"/>
          <w:marBottom w:val="0"/>
          <w:divBdr>
            <w:top w:val="none" w:sz="0" w:space="0" w:color="auto"/>
            <w:left w:val="none" w:sz="0" w:space="0" w:color="auto"/>
            <w:bottom w:val="none" w:sz="0" w:space="0" w:color="auto"/>
            <w:right w:val="none" w:sz="0" w:space="0" w:color="auto"/>
          </w:divBdr>
        </w:div>
        <w:div w:id="181742984">
          <w:marLeft w:val="0"/>
          <w:marRight w:val="0"/>
          <w:marTop w:val="0"/>
          <w:marBottom w:val="0"/>
          <w:divBdr>
            <w:top w:val="none" w:sz="0" w:space="0" w:color="auto"/>
            <w:left w:val="none" w:sz="0" w:space="0" w:color="auto"/>
            <w:bottom w:val="none" w:sz="0" w:space="0" w:color="auto"/>
            <w:right w:val="none" w:sz="0" w:space="0" w:color="auto"/>
          </w:divBdr>
        </w:div>
        <w:div w:id="1612325635">
          <w:marLeft w:val="0"/>
          <w:marRight w:val="0"/>
          <w:marTop w:val="0"/>
          <w:marBottom w:val="0"/>
          <w:divBdr>
            <w:top w:val="none" w:sz="0" w:space="0" w:color="auto"/>
            <w:left w:val="none" w:sz="0" w:space="0" w:color="auto"/>
            <w:bottom w:val="none" w:sz="0" w:space="0" w:color="auto"/>
            <w:right w:val="none" w:sz="0" w:space="0" w:color="auto"/>
          </w:divBdr>
        </w:div>
        <w:div w:id="939944621">
          <w:marLeft w:val="0"/>
          <w:marRight w:val="0"/>
          <w:marTop w:val="0"/>
          <w:marBottom w:val="0"/>
          <w:divBdr>
            <w:top w:val="none" w:sz="0" w:space="0" w:color="auto"/>
            <w:left w:val="none" w:sz="0" w:space="0" w:color="auto"/>
            <w:bottom w:val="none" w:sz="0" w:space="0" w:color="auto"/>
            <w:right w:val="none" w:sz="0" w:space="0" w:color="auto"/>
          </w:divBdr>
        </w:div>
        <w:div w:id="66465650">
          <w:marLeft w:val="0"/>
          <w:marRight w:val="0"/>
          <w:marTop w:val="0"/>
          <w:marBottom w:val="0"/>
          <w:divBdr>
            <w:top w:val="none" w:sz="0" w:space="0" w:color="auto"/>
            <w:left w:val="none" w:sz="0" w:space="0" w:color="auto"/>
            <w:bottom w:val="none" w:sz="0" w:space="0" w:color="auto"/>
            <w:right w:val="none" w:sz="0" w:space="0" w:color="auto"/>
          </w:divBdr>
        </w:div>
        <w:div w:id="848565954">
          <w:marLeft w:val="0"/>
          <w:marRight w:val="0"/>
          <w:marTop w:val="0"/>
          <w:marBottom w:val="0"/>
          <w:divBdr>
            <w:top w:val="none" w:sz="0" w:space="0" w:color="auto"/>
            <w:left w:val="none" w:sz="0" w:space="0" w:color="auto"/>
            <w:bottom w:val="none" w:sz="0" w:space="0" w:color="auto"/>
            <w:right w:val="none" w:sz="0" w:space="0" w:color="auto"/>
          </w:divBdr>
        </w:div>
        <w:div w:id="793645219">
          <w:marLeft w:val="0"/>
          <w:marRight w:val="0"/>
          <w:marTop w:val="0"/>
          <w:marBottom w:val="0"/>
          <w:divBdr>
            <w:top w:val="none" w:sz="0" w:space="0" w:color="auto"/>
            <w:left w:val="none" w:sz="0" w:space="0" w:color="auto"/>
            <w:bottom w:val="none" w:sz="0" w:space="0" w:color="auto"/>
            <w:right w:val="none" w:sz="0" w:space="0" w:color="auto"/>
          </w:divBdr>
        </w:div>
        <w:div w:id="1281036681">
          <w:marLeft w:val="0"/>
          <w:marRight w:val="0"/>
          <w:marTop w:val="0"/>
          <w:marBottom w:val="0"/>
          <w:divBdr>
            <w:top w:val="none" w:sz="0" w:space="0" w:color="auto"/>
            <w:left w:val="none" w:sz="0" w:space="0" w:color="auto"/>
            <w:bottom w:val="none" w:sz="0" w:space="0" w:color="auto"/>
            <w:right w:val="none" w:sz="0" w:space="0" w:color="auto"/>
          </w:divBdr>
        </w:div>
        <w:div w:id="1212960533">
          <w:marLeft w:val="0"/>
          <w:marRight w:val="0"/>
          <w:marTop w:val="0"/>
          <w:marBottom w:val="0"/>
          <w:divBdr>
            <w:top w:val="none" w:sz="0" w:space="0" w:color="auto"/>
            <w:left w:val="none" w:sz="0" w:space="0" w:color="auto"/>
            <w:bottom w:val="none" w:sz="0" w:space="0" w:color="auto"/>
            <w:right w:val="none" w:sz="0" w:space="0" w:color="auto"/>
          </w:divBdr>
        </w:div>
        <w:div w:id="1899702933">
          <w:marLeft w:val="0"/>
          <w:marRight w:val="0"/>
          <w:marTop w:val="0"/>
          <w:marBottom w:val="0"/>
          <w:divBdr>
            <w:top w:val="none" w:sz="0" w:space="0" w:color="auto"/>
            <w:left w:val="none" w:sz="0" w:space="0" w:color="auto"/>
            <w:bottom w:val="none" w:sz="0" w:space="0" w:color="auto"/>
            <w:right w:val="none" w:sz="0" w:space="0" w:color="auto"/>
          </w:divBdr>
        </w:div>
        <w:div w:id="502009392">
          <w:marLeft w:val="0"/>
          <w:marRight w:val="0"/>
          <w:marTop w:val="0"/>
          <w:marBottom w:val="0"/>
          <w:divBdr>
            <w:top w:val="none" w:sz="0" w:space="0" w:color="auto"/>
            <w:left w:val="none" w:sz="0" w:space="0" w:color="auto"/>
            <w:bottom w:val="none" w:sz="0" w:space="0" w:color="auto"/>
            <w:right w:val="none" w:sz="0" w:space="0" w:color="auto"/>
          </w:divBdr>
        </w:div>
        <w:div w:id="1305936168">
          <w:marLeft w:val="0"/>
          <w:marRight w:val="0"/>
          <w:marTop w:val="0"/>
          <w:marBottom w:val="0"/>
          <w:divBdr>
            <w:top w:val="none" w:sz="0" w:space="0" w:color="auto"/>
            <w:left w:val="none" w:sz="0" w:space="0" w:color="auto"/>
            <w:bottom w:val="none" w:sz="0" w:space="0" w:color="auto"/>
            <w:right w:val="none" w:sz="0" w:space="0" w:color="auto"/>
          </w:divBdr>
        </w:div>
        <w:div w:id="1886211859">
          <w:marLeft w:val="0"/>
          <w:marRight w:val="0"/>
          <w:marTop w:val="0"/>
          <w:marBottom w:val="0"/>
          <w:divBdr>
            <w:top w:val="none" w:sz="0" w:space="0" w:color="auto"/>
            <w:left w:val="none" w:sz="0" w:space="0" w:color="auto"/>
            <w:bottom w:val="none" w:sz="0" w:space="0" w:color="auto"/>
            <w:right w:val="none" w:sz="0" w:space="0" w:color="auto"/>
          </w:divBdr>
        </w:div>
        <w:div w:id="938411552">
          <w:marLeft w:val="0"/>
          <w:marRight w:val="0"/>
          <w:marTop w:val="0"/>
          <w:marBottom w:val="0"/>
          <w:divBdr>
            <w:top w:val="none" w:sz="0" w:space="0" w:color="auto"/>
            <w:left w:val="none" w:sz="0" w:space="0" w:color="auto"/>
            <w:bottom w:val="none" w:sz="0" w:space="0" w:color="auto"/>
            <w:right w:val="none" w:sz="0" w:space="0" w:color="auto"/>
          </w:divBdr>
        </w:div>
        <w:div w:id="60713646">
          <w:marLeft w:val="0"/>
          <w:marRight w:val="0"/>
          <w:marTop w:val="0"/>
          <w:marBottom w:val="0"/>
          <w:divBdr>
            <w:top w:val="none" w:sz="0" w:space="0" w:color="auto"/>
            <w:left w:val="none" w:sz="0" w:space="0" w:color="auto"/>
            <w:bottom w:val="none" w:sz="0" w:space="0" w:color="auto"/>
            <w:right w:val="none" w:sz="0" w:space="0" w:color="auto"/>
          </w:divBdr>
        </w:div>
        <w:div w:id="1150173282">
          <w:marLeft w:val="0"/>
          <w:marRight w:val="0"/>
          <w:marTop w:val="0"/>
          <w:marBottom w:val="0"/>
          <w:divBdr>
            <w:top w:val="none" w:sz="0" w:space="0" w:color="auto"/>
            <w:left w:val="none" w:sz="0" w:space="0" w:color="auto"/>
            <w:bottom w:val="none" w:sz="0" w:space="0" w:color="auto"/>
            <w:right w:val="none" w:sz="0" w:space="0" w:color="auto"/>
          </w:divBdr>
        </w:div>
        <w:div w:id="139464381">
          <w:marLeft w:val="0"/>
          <w:marRight w:val="0"/>
          <w:marTop w:val="0"/>
          <w:marBottom w:val="0"/>
          <w:divBdr>
            <w:top w:val="none" w:sz="0" w:space="0" w:color="auto"/>
            <w:left w:val="none" w:sz="0" w:space="0" w:color="auto"/>
            <w:bottom w:val="none" w:sz="0" w:space="0" w:color="auto"/>
            <w:right w:val="none" w:sz="0" w:space="0" w:color="auto"/>
          </w:divBdr>
        </w:div>
        <w:div w:id="1775981998">
          <w:marLeft w:val="0"/>
          <w:marRight w:val="0"/>
          <w:marTop w:val="0"/>
          <w:marBottom w:val="0"/>
          <w:divBdr>
            <w:top w:val="none" w:sz="0" w:space="0" w:color="auto"/>
            <w:left w:val="none" w:sz="0" w:space="0" w:color="auto"/>
            <w:bottom w:val="none" w:sz="0" w:space="0" w:color="auto"/>
            <w:right w:val="none" w:sz="0" w:space="0" w:color="auto"/>
          </w:divBdr>
        </w:div>
        <w:div w:id="361133962">
          <w:marLeft w:val="0"/>
          <w:marRight w:val="0"/>
          <w:marTop w:val="0"/>
          <w:marBottom w:val="0"/>
          <w:divBdr>
            <w:top w:val="none" w:sz="0" w:space="0" w:color="auto"/>
            <w:left w:val="none" w:sz="0" w:space="0" w:color="auto"/>
            <w:bottom w:val="none" w:sz="0" w:space="0" w:color="auto"/>
            <w:right w:val="none" w:sz="0" w:space="0" w:color="auto"/>
          </w:divBdr>
        </w:div>
        <w:div w:id="132213148">
          <w:marLeft w:val="0"/>
          <w:marRight w:val="0"/>
          <w:marTop w:val="0"/>
          <w:marBottom w:val="0"/>
          <w:divBdr>
            <w:top w:val="none" w:sz="0" w:space="0" w:color="auto"/>
            <w:left w:val="none" w:sz="0" w:space="0" w:color="auto"/>
            <w:bottom w:val="none" w:sz="0" w:space="0" w:color="auto"/>
            <w:right w:val="none" w:sz="0" w:space="0" w:color="auto"/>
          </w:divBdr>
        </w:div>
        <w:div w:id="574556597">
          <w:marLeft w:val="0"/>
          <w:marRight w:val="0"/>
          <w:marTop w:val="0"/>
          <w:marBottom w:val="0"/>
          <w:divBdr>
            <w:top w:val="none" w:sz="0" w:space="0" w:color="auto"/>
            <w:left w:val="none" w:sz="0" w:space="0" w:color="auto"/>
            <w:bottom w:val="none" w:sz="0" w:space="0" w:color="auto"/>
            <w:right w:val="none" w:sz="0" w:space="0" w:color="auto"/>
          </w:divBdr>
        </w:div>
        <w:div w:id="1977099662">
          <w:marLeft w:val="0"/>
          <w:marRight w:val="0"/>
          <w:marTop w:val="0"/>
          <w:marBottom w:val="0"/>
          <w:divBdr>
            <w:top w:val="none" w:sz="0" w:space="0" w:color="auto"/>
            <w:left w:val="none" w:sz="0" w:space="0" w:color="auto"/>
            <w:bottom w:val="none" w:sz="0" w:space="0" w:color="auto"/>
            <w:right w:val="none" w:sz="0" w:space="0" w:color="auto"/>
          </w:divBdr>
        </w:div>
        <w:div w:id="1139148687">
          <w:marLeft w:val="0"/>
          <w:marRight w:val="0"/>
          <w:marTop w:val="0"/>
          <w:marBottom w:val="0"/>
          <w:divBdr>
            <w:top w:val="none" w:sz="0" w:space="0" w:color="auto"/>
            <w:left w:val="none" w:sz="0" w:space="0" w:color="auto"/>
            <w:bottom w:val="none" w:sz="0" w:space="0" w:color="auto"/>
            <w:right w:val="none" w:sz="0" w:space="0" w:color="auto"/>
          </w:divBdr>
        </w:div>
        <w:div w:id="46222819">
          <w:marLeft w:val="0"/>
          <w:marRight w:val="0"/>
          <w:marTop w:val="0"/>
          <w:marBottom w:val="0"/>
          <w:divBdr>
            <w:top w:val="none" w:sz="0" w:space="0" w:color="auto"/>
            <w:left w:val="none" w:sz="0" w:space="0" w:color="auto"/>
            <w:bottom w:val="none" w:sz="0" w:space="0" w:color="auto"/>
            <w:right w:val="none" w:sz="0" w:space="0" w:color="auto"/>
          </w:divBdr>
        </w:div>
        <w:div w:id="610630999">
          <w:marLeft w:val="0"/>
          <w:marRight w:val="0"/>
          <w:marTop w:val="0"/>
          <w:marBottom w:val="0"/>
          <w:divBdr>
            <w:top w:val="none" w:sz="0" w:space="0" w:color="auto"/>
            <w:left w:val="none" w:sz="0" w:space="0" w:color="auto"/>
            <w:bottom w:val="none" w:sz="0" w:space="0" w:color="auto"/>
            <w:right w:val="none" w:sz="0" w:space="0" w:color="auto"/>
          </w:divBdr>
        </w:div>
      </w:divsChild>
    </w:div>
    <w:div w:id="706831718">
      <w:bodyDiv w:val="1"/>
      <w:marLeft w:val="0"/>
      <w:marRight w:val="0"/>
      <w:marTop w:val="0"/>
      <w:marBottom w:val="0"/>
      <w:divBdr>
        <w:top w:val="none" w:sz="0" w:space="0" w:color="auto"/>
        <w:left w:val="none" w:sz="0" w:space="0" w:color="auto"/>
        <w:bottom w:val="none" w:sz="0" w:space="0" w:color="auto"/>
        <w:right w:val="none" w:sz="0" w:space="0" w:color="auto"/>
      </w:divBdr>
      <w:divsChild>
        <w:div w:id="1252933481">
          <w:marLeft w:val="0"/>
          <w:marRight w:val="0"/>
          <w:marTop w:val="0"/>
          <w:marBottom w:val="0"/>
          <w:divBdr>
            <w:top w:val="none" w:sz="0" w:space="0" w:color="auto"/>
            <w:left w:val="none" w:sz="0" w:space="0" w:color="auto"/>
            <w:bottom w:val="none" w:sz="0" w:space="0" w:color="auto"/>
            <w:right w:val="none" w:sz="0" w:space="0" w:color="auto"/>
          </w:divBdr>
        </w:div>
        <w:div w:id="560946408">
          <w:marLeft w:val="0"/>
          <w:marRight w:val="0"/>
          <w:marTop w:val="0"/>
          <w:marBottom w:val="0"/>
          <w:divBdr>
            <w:top w:val="none" w:sz="0" w:space="0" w:color="auto"/>
            <w:left w:val="none" w:sz="0" w:space="0" w:color="auto"/>
            <w:bottom w:val="none" w:sz="0" w:space="0" w:color="auto"/>
            <w:right w:val="none" w:sz="0" w:space="0" w:color="auto"/>
          </w:divBdr>
        </w:div>
        <w:div w:id="1198129596">
          <w:marLeft w:val="0"/>
          <w:marRight w:val="0"/>
          <w:marTop w:val="0"/>
          <w:marBottom w:val="0"/>
          <w:divBdr>
            <w:top w:val="none" w:sz="0" w:space="0" w:color="auto"/>
            <w:left w:val="none" w:sz="0" w:space="0" w:color="auto"/>
            <w:bottom w:val="none" w:sz="0" w:space="0" w:color="auto"/>
            <w:right w:val="none" w:sz="0" w:space="0" w:color="auto"/>
          </w:divBdr>
        </w:div>
        <w:div w:id="184293381">
          <w:marLeft w:val="0"/>
          <w:marRight w:val="0"/>
          <w:marTop w:val="0"/>
          <w:marBottom w:val="0"/>
          <w:divBdr>
            <w:top w:val="none" w:sz="0" w:space="0" w:color="auto"/>
            <w:left w:val="none" w:sz="0" w:space="0" w:color="auto"/>
            <w:bottom w:val="none" w:sz="0" w:space="0" w:color="auto"/>
            <w:right w:val="none" w:sz="0" w:space="0" w:color="auto"/>
          </w:divBdr>
        </w:div>
        <w:div w:id="2027443911">
          <w:marLeft w:val="0"/>
          <w:marRight w:val="0"/>
          <w:marTop w:val="0"/>
          <w:marBottom w:val="0"/>
          <w:divBdr>
            <w:top w:val="none" w:sz="0" w:space="0" w:color="auto"/>
            <w:left w:val="none" w:sz="0" w:space="0" w:color="auto"/>
            <w:bottom w:val="none" w:sz="0" w:space="0" w:color="auto"/>
            <w:right w:val="none" w:sz="0" w:space="0" w:color="auto"/>
          </w:divBdr>
        </w:div>
      </w:divsChild>
    </w:div>
    <w:div w:id="709771052">
      <w:bodyDiv w:val="1"/>
      <w:marLeft w:val="0"/>
      <w:marRight w:val="0"/>
      <w:marTop w:val="0"/>
      <w:marBottom w:val="0"/>
      <w:divBdr>
        <w:top w:val="none" w:sz="0" w:space="0" w:color="auto"/>
        <w:left w:val="none" w:sz="0" w:space="0" w:color="auto"/>
        <w:bottom w:val="none" w:sz="0" w:space="0" w:color="auto"/>
        <w:right w:val="none" w:sz="0" w:space="0" w:color="auto"/>
      </w:divBdr>
      <w:divsChild>
        <w:div w:id="725907473">
          <w:marLeft w:val="0"/>
          <w:marRight w:val="0"/>
          <w:marTop w:val="0"/>
          <w:marBottom w:val="0"/>
          <w:divBdr>
            <w:top w:val="none" w:sz="0" w:space="0" w:color="auto"/>
            <w:left w:val="none" w:sz="0" w:space="0" w:color="auto"/>
            <w:bottom w:val="none" w:sz="0" w:space="0" w:color="auto"/>
            <w:right w:val="none" w:sz="0" w:space="0" w:color="auto"/>
          </w:divBdr>
        </w:div>
        <w:div w:id="1457722966">
          <w:marLeft w:val="0"/>
          <w:marRight w:val="0"/>
          <w:marTop w:val="0"/>
          <w:marBottom w:val="0"/>
          <w:divBdr>
            <w:top w:val="none" w:sz="0" w:space="0" w:color="auto"/>
            <w:left w:val="none" w:sz="0" w:space="0" w:color="auto"/>
            <w:bottom w:val="none" w:sz="0" w:space="0" w:color="auto"/>
            <w:right w:val="none" w:sz="0" w:space="0" w:color="auto"/>
          </w:divBdr>
        </w:div>
        <w:div w:id="2055109025">
          <w:marLeft w:val="0"/>
          <w:marRight w:val="0"/>
          <w:marTop w:val="0"/>
          <w:marBottom w:val="0"/>
          <w:divBdr>
            <w:top w:val="none" w:sz="0" w:space="0" w:color="auto"/>
            <w:left w:val="none" w:sz="0" w:space="0" w:color="auto"/>
            <w:bottom w:val="none" w:sz="0" w:space="0" w:color="auto"/>
            <w:right w:val="none" w:sz="0" w:space="0" w:color="auto"/>
          </w:divBdr>
        </w:div>
        <w:div w:id="1294291974">
          <w:marLeft w:val="0"/>
          <w:marRight w:val="0"/>
          <w:marTop w:val="0"/>
          <w:marBottom w:val="0"/>
          <w:divBdr>
            <w:top w:val="none" w:sz="0" w:space="0" w:color="auto"/>
            <w:left w:val="none" w:sz="0" w:space="0" w:color="auto"/>
            <w:bottom w:val="none" w:sz="0" w:space="0" w:color="auto"/>
            <w:right w:val="none" w:sz="0" w:space="0" w:color="auto"/>
          </w:divBdr>
        </w:div>
        <w:div w:id="2097509792">
          <w:marLeft w:val="0"/>
          <w:marRight w:val="0"/>
          <w:marTop w:val="0"/>
          <w:marBottom w:val="0"/>
          <w:divBdr>
            <w:top w:val="none" w:sz="0" w:space="0" w:color="auto"/>
            <w:left w:val="none" w:sz="0" w:space="0" w:color="auto"/>
            <w:bottom w:val="none" w:sz="0" w:space="0" w:color="auto"/>
            <w:right w:val="none" w:sz="0" w:space="0" w:color="auto"/>
          </w:divBdr>
        </w:div>
        <w:div w:id="720372300">
          <w:marLeft w:val="0"/>
          <w:marRight w:val="0"/>
          <w:marTop w:val="0"/>
          <w:marBottom w:val="0"/>
          <w:divBdr>
            <w:top w:val="none" w:sz="0" w:space="0" w:color="auto"/>
            <w:left w:val="none" w:sz="0" w:space="0" w:color="auto"/>
            <w:bottom w:val="none" w:sz="0" w:space="0" w:color="auto"/>
            <w:right w:val="none" w:sz="0" w:space="0" w:color="auto"/>
          </w:divBdr>
        </w:div>
      </w:divsChild>
    </w:div>
    <w:div w:id="763722656">
      <w:bodyDiv w:val="1"/>
      <w:marLeft w:val="0"/>
      <w:marRight w:val="0"/>
      <w:marTop w:val="0"/>
      <w:marBottom w:val="0"/>
      <w:divBdr>
        <w:top w:val="none" w:sz="0" w:space="0" w:color="auto"/>
        <w:left w:val="none" w:sz="0" w:space="0" w:color="auto"/>
        <w:bottom w:val="none" w:sz="0" w:space="0" w:color="auto"/>
        <w:right w:val="none" w:sz="0" w:space="0" w:color="auto"/>
      </w:divBdr>
      <w:divsChild>
        <w:div w:id="1707172820">
          <w:marLeft w:val="0"/>
          <w:marRight w:val="0"/>
          <w:marTop w:val="0"/>
          <w:marBottom w:val="0"/>
          <w:divBdr>
            <w:top w:val="none" w:sz="0" w:space="0" w:color="auto"/>
            <w:left w:val="none" w:sz="0" w:space="0" w:color="auto"/>
            <w:bottom w:val="none" w:sz="0" w:space="0" w:color="auto"/>
            <w:right w:val="none" w:sz="0" w:space="0" w:color="auto"/>
          </w:divBdr>
        </w:div>
        <w:div w:id="1707220446">
          <w:marLeft w:val="0"/>
          <w:marRight w:val="0"/>
          <w:marTop w:val="0"/>
          <w:marBottom w:val="0"/>
          <w:divBdr>
            <w:top w:val="none" w:sz="0" w:space="0" w:color="auto"/>
            <w:left w:val="none" w:sz="0" w:space="0" w:color="auto"/>
            <w:bottom w:val="none" w:sz="0" w:space="0" w:color="auto"/>
            <w:right w:val="none" w:sz="0" w:space="0" w:color="auto"/>
          </w:divBdr>
        </w:div>
        <w:div w:id="1302660421">
          <w:marLeft w:val="0"/>
          <w:marRight w:val="0"/>
          <w:marTop w:val="0"/>
          <w:marBottom w:val="0"/>
          <w:divBdr>
            <w:top w:val="none" w:sz="0" w:space="0" w:color="auto"/>
            <w:left w:val="none" w:sz="0" w:space="0" w:color="auto"/>
            <w:bottom w:val="none" w:sz="0" w:space="0" w:color="auto"/>
            <w:right w:val="none" w:sz="0" w:space="0" w:color="auto"/>
          </w:divBdr>
        </w:div>
        <w:div w:id="559367683">
          <w:marLeft w:val="0"/>
          <w:marRight w:val="0"/>
          <w:marTop w:val="0"/>
          <w:marBottom w:val="0"/>
          <w:divBdr>
            <w:top w:val="none" w:sz="0" w:space="0" w:color="auto"/>
            <w:left w:val="none" w:sz="0" w:space="0" w:color="auto"/>
            <w:bottom w:val="none" w:sz="0" w:space="0" w:color="auto"/>
            <w:right w:val="none" w:sz="0" w:space="0" w:color="auto"/>
          </w:divBdr>
        </w:div>
        <w:div w:id="37363231">
          <w:marLeft w:val="0"/>
          <w:marRight w:val="0"/>
          <w:marTop w:val="0"/>
          <w:marBottom w:val="0"/>
          <w:divBdr>
            <w:top w:val="none" w:sz="0" w:space="0" w:color="auto"/>
            <w:left w:val="none" w:sz="0" w:space="0" w:color="auto"/>
            <w:bottom w:val="none" w:sz="0" w:space="0" w:color="auto"/>
            <w:right w:val="none" w:sz="0" w:space="0" w:color="auto"/>
          </w:divBdr>
        </w:div>
        <w:div w:id="438375173">
          <w:marLeft w:val="0"/>
          <w:marRight w:val="0"/>
          <w:marTop w:val="0"/>
          <w:marBottom w:val="0"/>
          <w:divBdr>
            <w:top w:val="none" w:sz="0" w:space="0" w:color="auto"/>
            <w:left w:val="none" w:sz="0" w:space="0" w:color="auto"/>
            <w:bottom w:val="none" w:sz="0" w:space="0" w:color="auto"/>
            <w:right w:val="none" w:sz="0" w:space="0" w:color="auto"/>
          </w:divBdr>
        </w:div>
        <w:div w:id="579410882">
          <w:marLeft w:val="0"/>
          <w:marRight w:val="0"/>
          <w:marTop w:val="0"/>
          <w:marBottom w:val="0"/>
          <w:divBdr>
            <w:top w:val="none" w:sz="0" w:space="0" w:color="auto"/>
            <w:left w:val="none" w:sz="0" w:space="0" w:color="auto"/>
            <w:bottom w:val="none" w:sz="0" w:space="0" w:color="auto"/>
            <w:right w:val="none" w:sz="0" w:space="0" w:color="auto"/>
          </w:divBdr>
        </w:div>
        <w:div w:id="1641568822">
          <w:marLeft w:val="0"/>
          <w:marRight w:val="0"/>
          <w:marTop w:val="0"/>
          <w:marBottom w:val="0"/>
          <w:divBdr>
            <w:top w:val="none" w:sz="0" w:space="0" w:color="auto"/>
            <w:left w:val="none" w:sz="0" w:space="0" w:color="auto"/>
            <w:bottom w:val="none" w:sz="0" w:space="0" w:color="auto"/>
            <w:right w:val="none" w:sz="0" w:space="0" w:color="auto"/>
          </w:divBdr>
        </w:div>
        <w:div w:id="1628465224">
          <w:marLeft w:val="0"/>
          <w:marRight w:val="0"/>
          <w:marTop w:val="0"/>
          <w:marBottom w:val="0"/>
          <w:divBdr>
            <w:top w:val="none" w:sz="0" w:space="0" w:color="auto"/>
            <w:left w:val="none" w:sz="0" w:space="0" w:color="auto"/>
            <w:bottom w:val="none" w:sz="0" w:space="0" w:color="auto"/>
            <w:right w:val="none" w:sz="0" w:space="0" w:color="auto"/>
          </w:divBdr>
        </w:div>
        <w:div w:id="869806014">
          <w:marLeft w:val="0"/>
          <w:marRight w:val="0"/>
          <w:marTop w:val="0"/>
          <w:marBottom w:val="0"/>
          <w:divBdr>
            <w:top w:val="none" w:sz="0" w:space="0" w:color="auto"/>
            <w:left w:val="none" w:sz="0" w:space="0" w:color="auto"/>
            <w:bottom w:val="none" w:sz="0" w:space="0" w:color="auto"/>
            <w:right w:val="none" w:sz="0" w:space="0" w:color="auto"/>
          </w:divBdr>
        </w:div>
        <w:div w:id="750277178">
          <w:marLeft w:val="0"/>
          <w:marRight w:val="0"/>
          <w:marTop w:val="0"/>
          <w:marBottom w:val="0"/>
          <w:divBdr>
            <w:top w:val="none" w:sz="0" w:space="0" w:color="auto"/>
            <w:left w:val="none" w:sz="0" w:space="0" w:color="auto"/>
            <w:bottom w:val="none" w:sz="0" w:space="0" w:color="auto"/>
            <w:right w:val="none" w:sz="0" w:space="0" w:color="auto"/>
          </w:divBdr>
        </w:div>
      </w:divsChild>
    </w:div>
    <w:div w:id="772896210">
      <w:bodyDiv w:val="1"/>
      <w:marLeft w:val="0"/>
      <w:marRight w:val="0"/>
      <w:marTop w:val="0"/>
      <w:marBottom w:val="0"/>
      <w:divBdr>
        <w:top w:val="none" w:sz="0" w:space="0" w:color="auto"/>
        <w:left w:val="none" w:sz="0" w:space="0" w:color="auto"/>
        <w:bottom w:val="none" w:sz="0" w:space="0" w:color="auto"/>
        <w:right w:val="none" w:sz="0" w:space="0" w:color="auto"/>
      </w:divBdr>
      <w:divsChild>
        <w:div w:id="1944607324">
          <w:marLeft w:val="0"/>
          <w:marRight w:val="0"/>
          <w:marTop w:val="0"/>
          <w:marBottom w:val="0"/>
          <w:divBdr>
            <w:top w:val="none" w:sz="0" w:space="0" w:color="auto"/>
            <w:left w:val="none" w:sz="0" w:space="0" w:color="auto"/>
            <w:bottom w:val="none" w:sz="0" w:space="0" w:color="auto"/>
            <w:right w:val="none" w:sz="0" w:space="0" w:color="auto"/>
          </w:divBdr>
        </w:div>
        <w:div w:id="446048750">
          <w:marLeft w:val="0"/>
          <w:marRight w:val="0"/>
          <w:marTop w:val="0"/>
          <w:marBottom w:val="0"/>
          <w:divBdr>
            <w:top w:val="none" w:sz="0" w:space="0" w:color="auto"/>
            <w:left w:val="none" w:sz="0" w:space="0" w:color="auto"/>
            <w:bottom w:val="none" w:sz="0" w:space="0" w:color="auto"/>
            <w:right w:val="none" w:sz="0" w:space="0" w:color="auto"/>
          </w:divBdr>
        </w:div>
      </w:divsChild>
    </w:div>
    <w:div w:id="799223405">
      <w:bodyDiv w:val="1"/>
      <w:marLeft w:val="0"/>
      <w:marRight w:val="0"/>
      <w:marTop w:val="0"/>
      <w:marBottom w:val="0"/>
      <w:divBdr>
        <w:top w:val="none" w:sz="0" w:space="0" w:color="auto"/>
        <w:left w:val="none" w:sz="0" w:space="0" w:color="auto"/>
        <w:bottom w:val="none" w:sz="0" w:space="0" w:color="auto"/>
        <w:right w:val="none" w:sz="0" w:space="0" w:color="auto"/>
      </w:divBdr>
      <w:divsChild>
        <w:div w:id="1662193695">
          <w:marLeft w:val="0"/>
          <w:marRight w:val="0"/>
          <w:marTop w:val="0"/>
          <w:marBottom w:val="0"/>
          <w:divBdr>
            <w:top w:val="none" w:sz="0" w:space="0" w:color="auto"/>
            <w:left w:val="none" w:sz="0" w:space="0" w:color="auto"/>
            <w:bottom w:val="none" w:sz="0" w:space="0" w:color="auto"/>
            <w:right w:val="none" w:sz="0" w:space="0" w:color="auto"/>
          </w:divBdr>
        </w:div>
        <w:div w:id="184443075">
          <w:marLeft w:val="0"/>
          <w:marRight w:val="0"/>
          <w:marTop w:val="0"/>
          <w:marBottom w:val="0"/>
          <w:divBdr>
            <w:top w:val="none" w:sz="0" w:space="0" w:color="auto"/>
            <w:left w:val="none" w:sz="0" w:space="0" w:color="auto"/>
            <w:bottom w:val="none" w:sz="0" w:space="0" w:color="auto"/>
            <w:right w:val="none" w:sz="0" w:space="0" w:color="auto"/>
          </w:divBdr>
        </w:div>
        <w:div w:id="1301035839">
          <w:marLeft w:val="0"/>
          <w:marRight w:val="0"/>
          <w:marTop w:val="0"/>
          <w:marBottom w:val="0"/>
          <w:divBdr>
            <w:top w:val="none" w:sz="0" w:space="0" w:color="auto"/>
            <w:left w:val="none" w:sz="0" w:space="0" w:color="auto"/>
            <w:bottom w:val="none" w:sz="0" w:space="0" w:color="auto"/>
            <w:right w:val="none" w:sz="0" w:space="0" w:color="auto"/>
          </w:divBdr>
        </w:div>
        <w:div w:id="15424976">
          <w:marLeft w:val="0"/>
          <w:marRight w:val="0"/>
          <w:marTop w:val="0"/>
          <w:marBottom w:val="0"/>
          <w:divBdr>
            <w:top w:val="none" w:sz="0" w:space="0" w:color="auto"/>
            <w:left w:val="none" w:sz="0" w:space="0" w:color="auto"/>
            <w:bottom w:val="none" w:sz="0" w:space="0" w:color="auto"/>
            <w:right w:val="none" w:sz="0" w:space="0" w:color="auto"/>
          </w:divBdr>
        </w:div>
        <w:div w:id="407700024">
          <w:marLeft w:val="0"/>
          <w:marRight w:val="0"/>
          <w:marTop w:val="0"/>
          <w:marBottom w:val="0"/>
          <w:divBdr>
            <w:top w:val="none" w:sz="0" w:space="0" w:color="auto"/>
            <w:left w:val="none" w:sz="0" w:space="0" w:color="auto"/>
            <w:bottom w:val="none" w:sz="0" w:space="0" w:color="auto"/>
            <w:right w:val="none" w:sz="0" w:space="0" w:color="auto"/>
          </w:divBdr>
        </w:div>
      </w:divsChild>
    </w:div>
    <w:div w:id="821505636">
      <w:bodyDiv w:val="1"/>
      <w:marLeft w:val="0"/>
      <w:marRight w:val="0"/>
      <w:marTop w:val="0"/>
      <w:marBottom w:val="0"/>
      <w:divBdr>
        <w:top w:val="none" w:sz="0" w:space="0" w:color="auto"/>
        <w:left w:val="none" w:sz="0" w:space="0" w:color="auto"/>
        <w:bottom w:val="none" w:sz="0" w:space="0" w:color="auto"/>
        <w:right w:val="none" w:sz="0" w:space="0" w:color="auto"/>
      </w:divBdr>
    </w:div>
    <w:div w:id="822048440">
      <w:bodyDiv w:val="1"/>
      <w:marLeft w:val="0"/>
      <w:marRight w:val="0"/>
      <w:marTop w:val="0"/>
      <w:marBottom w:val="0"/>
      <w:divBdr>
        <w:top w:val="none" w:sz="0" w:space="0" w:color="auto"/>
        <w:left w:val="none" w:sz="0" w:space="0" w:color="auto"/>
        <w:bottom w:val="none" w:sz="0" w:space="0" w:color="auto"/>
        <w:right w:val="none" w:sz="0" w:space="0" w:color="auto"/>
      </w:divBdr>
      <w:divsChild>
        <w:div w:id="477454301">
          <w:marLeft w:val="0"/>
          <w:marRight w:val="0"/>
          <w:marTop w:val="0"/>
          <w:marBottom w:val="0"/>
          <w:divBdr>
            <w:top w:val="none" w:sz="0" w:space="0" w:color="auto"/>
            <w:left w:val="none" w:sz="0" w:space="0" w:color="auto"/>
            <w:bottom w:val="none" w:sz="0" w:space="0" w:color="auto"/>
            <w:right w:val="none" w:sz="0" w:space="0" w:color="auto"/>
          </w:divBdr>
        </w:div>
        <w:div w:id="921837582">
          <w:marLeft w:val="0"/>
          <w:marRight w:val="0"/>
          <w:marTop w:val="0"/>
          <w:marBottom w:val="0"/>
          <w:divBdr>
            <w:top w:val="none" w:sz="0" w:space="0" w:color="auto"/>
            <w:left w:val="none" w:sz="0" w:space="0" w:color="auto"/>
            <w:bottom w:val="none" w:sz="0" w:space="0" w:color="auto"/>
            <w:right w:val="none" w:sz="0" w:space="0" w:color="auto"/>
          </w:divBdr>
        </w:div>
        <w:div w:id="1512992546">
          <w:marLeft w:val="0"/>
          <w:marRight w:val="0"/>
          <w:marTop w:val="0"/>
          <w:marBottom w:val="0"/>
          <w:divBdr>
            <w:top w:val="none" w:sz="0" w:space="0" w:color="auto"/>
            <w:left w:val="none" w:sz="0" w:space="0" w:color="auto"/>
            <w:bottom w:val="none" w:sz="0" w:space="0" w:color="auto"/>
            <w:right w:val="none" w:sz="0" w:space="0" w:color="auto"/>
          </w:divBdr>
        </w:div>
        <w:div w:id="581645804">
          <w:marLeft w:val="0"/>
          <w:marRight w:val="0"/>
          <w:marTop w:val="0"/>
          <w:marBottom w:val="0"/>
          <w:divBdr>
            <w:top w:val="none" w:sz="0" w:space="0" w:color="auto"/>
            <w:left w:val="none" w:sz="0" w:space="0" w:color="auto"/>
            <w:bottom w:val="none" w:sz="0" w:space="0" w:color="auto"/>
            <w:right w:val="none" w:sz="0" w:space="0" w:color="auto"/>
          </w:divBdr>
        </w:div>
        <w:div w:id="704062366">
          <w:marLeft w:val="0"/>
          <w:marRight w:val="0"/>
          <w:marTop w:val="0"/>
          <w:marBottom w:val="0"/>
          <w:divBdr>
            <w:top w:val="none" w:sz="0" w:space="0" w:color="auto"/>
            <w:left w:val="none" w:sz="0" w:space="0" w:color="auto"/>
            <w:bottom w:val="none" w:sz="0" w:space="0" w:color="auto"/>
            <w:right w:val="none" w:sz="0" w:space="0" w:color="auto"/>
          </w:divBdr>
        </w:div>
        <w:div w:id="1711295339">
          <w:marLeft w:val="0"/>
          <w:marRight w:val="0"/>
          <w:marTop w:val="0"/>
          <w:marBottom w:val="0"/>
          <w:divBdr>
            <w:top w:val="none" w:sz="0" w:space="0" w:color="auto"/>
            <w:left w:val="none" w:sz="0" w:space="0" w:color="auto"/>
            <w:bottom w:val="none" w:sz="0" w:space="0" w:color="auto"/>
            <w:right w:val="none" w:sz="0" w:space="0" w:color="auto"/>
          </w:divBdr>
        </w:div>
        <w:div w:id="2014256356">
          <w:marLeft w:val="0"/>
          <w:marRight w:val="0"/>
          <w:marTop w:val="0"/>
          <w:marBottom w:val="0"/>
          <w:divBdr>
            <w:top w:val="none" w:sz="0" w:space="0" w:color="auto"/>
            <w:left w:val="none" w:sz="0" w:space="0" w:color="auto"/>
            <w:bottom w:val="none" w:sz="0" w:space="0" w:color="auto"/>
            <w:right w:val="none" w:sz="0" w:space="0" w:color="auto"/>
          </w:divBdr>
        </w:div>
        <w:div w:id="1730375367">
          <w:marLeft w:val="0"/>
          <w:marRight w:val="0"/>
          <w:marTop w:val="0"/>
          <w:marBottom w:val="0"/>
          <w:divBdr>
            <w:top w:val="none" w:sz="0" w:space="0" w:color="auto"/>
            <w:left w:val="none" w:sz="0" w:space="0" w:color="auto"/>
            <w:bottom w:val="none" w:sz="0" w:space="0" w:color="auto"/>
            <w:right w:val="none" w:sz="0" w:space="0" w:color="auto"/>
          </w:divBdr>
        </w:div>
        <w:div w:id="1801655532">
          <w:marLeft w:val="0"/>
          <w:marRight w:val="0"/>
          <w:marTop w:val="0"/>
          <w:marBottom w:val="0"/>
          <w:divBdr>
            <w:top w:val="none" w:sz="0" w:space="0" w:color="auto"/>
            <w:left w:val="none" w:sz="0" w:space="0" w:color="auto"/>
            <w:bottom w:val="none" w:sz="0" w:space="0" w:color="auto"/>
            <w:right w:val="none" w:sz="0" w:space="0" w:color="auto"/>
          </w:divBdr>
        </w:div>
        <w:div w:id="658509362">
          <w:marLeft w:val="0"/>
          <w:marRight w:val="0"/>
          <w:marTop w:val="0"/>
          <w:marBottom w:val="0"/>
          <w:divBdr>
            <w:top w:val="none" w:sz="0" w:space="0" w:color="auto"/>
            <w:left w:val="none" w:sz="0" w:space="0" w:color="auto"/>
            <w:bottom w:val="none" w:sz="0" w:space="0" w:color="auto"/>
            <w:right w:val="none" w:sz="0" w:space="0" w:color="auto"/>
          </w:divBdr>
        </w:div>
        <w:div w:id="518811537">
          <w:marLeft w:val="0"/>
          <w:marRight w:val="0"/>
          <w:marTop w:val="0"/>
          <w:marBottom w:val="0"/>
          <w:divBdr>
            <w:top w:val="none" w:sz="0" w:space="0" w:color="auto"/>
            <w:left w:val="none" w:sz="0" w:space="0" w:color="auto"/>
            <w:bottom w:val="none" w:sz="0" w:space="0" w:color="auto"/>
            <w:right w:val="none" w:sz="0" w:space="0" w:color="auto"/>
          </w:divBdr>
        </w:div>
        <w:div w:id="994917220">
          <w:marLeft w:val="0"/>
          <w:marRight w:val="0"/>
          <w:marTop w:val="0"/>
          <w:marBottom w:val="0"/>
          <w:divBdr>
            <w:top w:val="none" w:sz="0" w:space="0" w:color="auto"/>
            <w:left w:val="none" w:sz="0" w:space="0" w:color="auto"/>
            <w:bottom w:val="none" w:sz="0" w:space="0" w:color="auto"/>
            <w:right w:val="none" w:sz="0" w:space="0" w:color="auto"/>
          </w:divBdr>
        </w:div>
        <w:div w:id="96876294">
          <w:marLeft w:val="0"/>
          <w:marRight w:val="0"/>
          <w:marTop w:val="0"/>
          <w:marBottom w:val="0"/>
          <w:divBdr>
            <w:top w:val="none" w:sz="0" w:space="0" w:color="auto"/>
            <w:left w:val="none" w:sz="0" w:space="0" w:color="auto"/>
            <w:bottom w:val="none" w:sz="0" w:space="0" w:color="auto"/>
            <w:right w:val="none" w:sz="0" w:space="0" w:color="auto"/>
          </w:divBdr>
        </w:div>
        <w:div w:id="14308957">
          <w:marLeft w:val="0"/>
          <w:marRight w:val="0"/>
          <w:marTop w:val="0"/>
          <w:marBottom w:val="0"/>
          <w:divBdr>
            <w:top w:val="none" w:sz="0" w:space="0" w:color="auto"/>
            <w:left w:val="none" w:sz="0" w:space="0" w:color="auto"/>
            <w:bottom w:val="none" w:sz="0" w:space="0" w:color="auto"/>
            <w:right w:val="none" w:sz="0" w:space="0" w:color="auto"/>
          </w:divBdr>
        </w:div>
        <w:div w:id="1325087122">
          <w:marLeft w:val="0"/>
          <w:marRight w:val="0"/>
          <w:marTop w:val="0"/>
          <w:marBottom w:val="0"/>
          <w:divBdr>
            <w:top w:val="none" w:sz="0" w:space="0" w:color="auto"/>
            <w:left w:val="none" w:sz="0" w:space="0" w:color="auto"/>
            <w:bottom w:val="none" w:sz="0" w:space="0" w:color="auto"/>
            <w:right w:val="none" w:sz="0" w:space="0" w:color="auto"/>
          </w:divBdr>
        </w:div>
        <w:div w:id="561216042">
          <w:marLeft w:val="0"/>
          <w:marRight w:val="0"/>
          <w:marTop w:val="0"/>
          <w:marBottom w:val="0"/>
          <w:divBdr>
            <w:top w:val="none" w:sz="0" w:space="0" w:color="auto"/>
            <w:left w:val="none" w:sz="0" w:space="0" w:color="auto"/>
            <w:bottom w:val="none" w:sz="0" w:space="0" w:color="auto"/>
            <w:right w:val="none" w:sz="0" w:space="0" w:color="auto"/>
          </w:divBdr>
        </w:div>
        <w:div w:id="1442335729">
          <w:marLeft w:val="0"/>
          <w:marRight w:val="0"/>
          <w:marTop w:val="0"/>
          <w:marBottom w:val="0"/>
          <w:divBdr>
            <w:top w:val="none" w:sz="0" w:space="0" w:color="auto"/>
            <w:left w:val="none" w:sz="0" w:space="0" w:color="auto"/>
            <w:bottom w:val="none" w:sz="0" w:space="0" w:color="auto"/>
            <w:right w:val="none" w:sz="0" w:space="0" w:color="auto"/>
          </w:divBdr>
        </w:div>
        <w:div w:id="2122457637">
          <w:marLeft w:val="0"/>
          <w:marRight w:val="0"/>
          <w:marTop w:val="0"/>
          <w:marBottom w:val="0"/>
          <w:divBdr>
            <w:top w:val="none" w:sz="0" w:space="0" w:color="auto"/>
            <w:left w:val="none" w:sz="0" w:space="0" w:color="auto"/>
            <w:bottom w:val="none" w:sz="0" w:space="0" w:color="auto"/>
            <w:right w:val="none" w:sz="0" w:space="0" w:color="auto"/>
          </w:divBdr>
        </w:div>
        <w:div w:id="2017153223">
          <w:marLeft w:val="0"/>
          <w:marRight w:val="0"/>
          <w:marTop w:val="0"/>
          <w:marBottom w:val="0"/>
          <w:divBdr>
            <w:top w:val="none" w:sz="0" w:space="0" w:color="auto"/>
            <w:left w:val="none" w:sz="0" w:space="0" w:color="auto"/>
            <w:bottom w:val="none" w:sz="0" w:space="0" w:color="auto"/>
            <w:right w:val="none" w:sz="0" w:space="0" w:color="auto"/>
          </w:divBdr>
        </w:div>
        <w:div w:id="232397430">
          <w:marLeft w:val="0"/>
          <w:marRight w:val="0"/>
          <w:marTop w:val="0"/>
          <w:marBottom w:val="0"/>
          <w:divBdr>
            <w:top w:val="none" w:sz="0" w:space="0" w:color="auto"/>
            <w:left w:val="none" w:sz="0" w:space="0" w:color="auto"/>
            <w:bottom w:val="none" w:sz="0" w:space="0" w:color="auto"/>
            <w:right w:val="none" w:sz="0" w:space="0" w:color="auto"/>
          </w:divBdr>
        </w:div>
        <w:div w:id="736367333">
          <w:marLeft w:val="0"/>
          <w:marRight w:val="0"/>
          <w:marTop w:val="0"/>
          <w:marBottom w:val="0"/>
          <w:divBdr>
            <w:top w:val="none" w:sz="0" w:space="0" w:color="auto"/>
            <w:left w:val="none" w:sz="0" w:space="0" w:color="auto"/>
            <w:bottom w:val="none" w:sz="0" w:space="0" w:color="auto"/>
            <w:right w:val="none" w:sz="0" w:space="0" w:color="auto"/>
          </w:divBdr>
        </w:div>
        <w:div w:id="1534150618">
          <w:marLeft w:val="0"/>
          <w:marRight w:val="0"/>
          <w:marTop w:val="0"/>
          <w:marBottom w:val="0"/>
          <w:divBdr>
            <w:top w:val="none" w:sz="0" w:space="0" w:color="auto"/>
            <w:left w:val="none" w:sz="0" w:space="0" w:color="auto"/>
            <w:bottom w:val="none" w:sz="0" w:space="0" w:color="auto"/>
            <w:right w:val="none" w:sz="0" w:space="0" w:color="auto"/>
          </w:divBdr>
        </w:div>
        <w:div w:id="491024628">
          <w:marLeft w:val="0"/>
          <w:marRight w:val="0"/>
          <w:marTop w:val="0"/>
          <w:marBottom w:val="0"/>
          <w:divBdr>
            <w:top w:val="none" w:sz="0" w:space="0" w:color="auto"/>
            <w:left w:val="none" w:sz="0" w:space="0" w:color="auto"/>
            <w:bottom w:val="none" w:sz="0" w:space="0" w:color="auto"/>
            <w:right w:val="none" w:sz="0" w:space="0" w:color="auto"/>
          </w:divBdr>
        </w:div>
        <w:div w:id="1510364144">
          <w:marLeft w:val="0"/>
          <w:marRight w:val="0"/>
          <w:marTop w:val="0"/>
          <w:marBottom w:val="0"/>
          <w:divBdr>
            <w:top w:val="none" w:sz="0" w:space="0" w:color="auto"/>
            <w:left w:val="none" w:sz="0" w:space="0" w:color="auto"/>
            <w:bottom w:val="none" w:sz="0" w:space="0" w:color="auto"/>
            <w:right w:val="none" w:sz="0" w:space="0" w:color="auto"/>
          </w:divBdr>
        </w:div>
        <w:div w:id="1212304035">
          <w:marLeft w:val="0"/>
          <w:marRight w:val="0"/>
          <w:marTop w:val="0"/>
          <w:marBottom w:val="0"/>
          <w:divBdr>
            <w:top w:val="none" w:sz="0" w:space="0" w:color="auto"/>
            <w:left w:val="none" w:sz="0" w:space="0" w:color="auto"/>
            <w:bottom w:val="none" w:sz="0" w:space="0" w:color="auto"/>
            <w:right w:val="none" w:sz="0" w:space="0" w:color="auto"/>
          </w:divBdr>
        </w:div>
        <w:div w:id="1740203951">
          <w:marLeft w:val="0"/>
          <w:marRight w:val="0"/>
          <w:marTop w:val="0"/>
          <w:marBottom w:val="0"/>
          <w:divBdr>
            <w:top w:val="none" w:sz="0" w:space="0" w:color="auto"/>
            <w:left w:val="none" w:sz="0" w:space="0" w:color="auto"/>
            <w:bottom w:val="none" w:sz="0" w:space="0" w:color="auto"/>
            <w:right w:val="none" w:sz="0" w:space="0" w:color="auto"/>
          </w:divBdr>
        </w:div>
        <w:div w:id="1416173735">
          <w:marLeft w:val="0"/>
          <w:marRight w:val="0"/>
          <w:marTop w:val="0"/>
          <w:marBottom w:val="0"/>
          <w:divBdr>
            <w:top w:val="none" w:sz="0" w:space="0" w:color="auto"/>
            <w:left w:val="none" w:sz="0" w:space="0" w:color="auto"/>
            <w:bottom w:val="none" w:sz="0" w:space="0" w:color="auto"/>
            <w:right w:val="none" w:sz="0" w:space="0" w:color="auto"/>
          </w:divBdr>
        </w:div>
        <w:div w:id="1313291485">
          <w:marLeft w:val="0"/>
          <w:marRight w:val="0"/>
          <w:marTop w:val="0"/>
          <w:marBottom w:val="0"/>
          <w:divBdr>
            <w:top w:val="none" w:sz="0" w:space="0" w:color="auto"/>
            <w:left w:val="none" w:sz="0" w:space="0" w:color="auto"/>
            <w:bottom w:val="none" w:sz="0" w:space="0" w:color="auto"/>
            <w:right w:val="none" w:sz="0" w:space="0" w:color="auto"/>
          </w:divBdr>
        </w:div>
        <w:div w:id="10767226">
          <w:marLeft w:val="0"/>
          <w:marRight w:val="0"/>
          <w:marTop w:val="0"/>
          <w:marBottom w:val="0"/>
          <w:divBdr>
            <w:top w:val="none" w:sz="0" w:space="0" w:color="auto"/>
            <w:left w:val="none" w:sz="0" w:space="0" w:color="auto"/>
            <w:bottom w:val="none" w:sz="0" w:space="0" w:color="auto"/>
            <w:right w:val="none" w:sz="0" w:space="0" w:color="auto"/>
          </w:divBdr>
        </w:div>
        <w:div w:id="793062827">
          <w:marLeft w:val="0"/>
          <w:marRight w:val="0"/>
          <w:marTop w:val="0"/>
          <w:marBottom w:val="0"/>
          <w:divBdr>
            <w:top w:val="none" w:sz="0" w:space="0" w:color="auto"/>
            <w:left w:val="none" w:sz="0" w:space="0" w:color="auto"/>
            <w:bottom w:val="none" w:sz="0" w:space="0" w:color="auto"/>
            <w:right w:val="none" w:sz="0" w:space="0" w:color="auto"/>
          </w:divBdr>
        </w:div>
        <w:div w:id="159318409">
          <w:marLeft w:val="0"/>
          <w:marRight w:val="0"/>
          <w:marTop w:val="0"/>
          <w:marBottom w:val="0"/>
          <w:divBdr>
            <w:top w:val="none" w:sz="0" w:space="0" w:color="auto"/>
            <w:left w:val="none" w:sz="0" w:space="0" w:color="auto"/>
            <w:bottom w:val="none" w:sz="0" w:space="0" w:color="auto"/>
            <w:right w:val="none" w:sz="0" w:space="0" w:color="auto"/>
          </w:divBdr>
        </w:div>
        <w:div w:id="2059207215">
          <w:marLeft w:val="0"/>
          <w:marRight w:val="0"/>
          <w:marTop w:val="0"/>
          <w:marBottom w:val="0"/>
          <w:divBdr>
            <w:top w:val="none" w:sz="0" w:space="0" w:color="auto"/>
            <w:left w:val="none" w:sz="0" w:space="0" w:color="auto"/>
            <w:bottom w:val="none" w:sz="0" w:space="0" w:color="auto"/>
            <w:right w:val="none" w:sz="0" w:space="0" w:color="auto"/>
          </w:divBdr>
        </w:div>
        <w:div w:id="1060664734">
          <w:marLeft w:val="0"/>
          <w:marRight w:val="0"/>
          <w:marTop w:val="0"/>
          <w:marBottom w:val="0"/>
          <w:divBdr>
            <w:top w:val="none" w:sz="0" w:space="0" w:color="auto"/>
            <w:left w:val="none" w:sz="0" w:space="0" w:color="auto"/>
            <w:bottom w:val="none" w:sz="0" w:space="0" w:color="auto"/>
            <w:right w:val="none" w:sz="0" w:space="0" w:color="auto"/>
          </w:divBdr>
        </w:div>
        <w:div w:id="1253201351">
          <w:marLeft w:val="0"/>
          <w:marRight w:val="0"/>
          <w:marTop w:val="0"/>
          <w:marBottom w:val="0"/>
          <w:divBdr>
            <w:top w:val="none" w:sz="0" w:space="0" w:color="auto"/>
            <w:left w:val="none" w:sz="0" w:space="0" w:color="auto"/>
            <w:bottom w:val="none" w:sz="0" w:space="0" w:color="auto"/>
            <w:right w:val="none" w:sz="0" w:space="0" w:color="auto"/>
          </w:divBdr>
        </w:div>
        <w:div w:id="1258296569">
          <w:marLeft w:val="0"/>
          <w:marRight w:val="0"/>
          <w:marTop w:val="0"/>
          <w:marBottom w:val="0"/>
          <w:divBdr>
            <w:top w:val="none" w:sz="0" w:space="0" w:color="auto"/>
            <w:left w:val="none" w:sz="0" w:space="0" w:color="auto"/>
            <w:bottom w:val="none" w:sz="0" w:space="0" w:color="auto"/>
            <w:right w:val="none" w:sz="0" w:space="0" w:color="auto"/>
          </w:divBdr>
        </w:div>
      </w:divsChild>
    </w:div>
    <w:div w:id="827014506">
      <w:bodyDiv w:val="1"/>
      <w:marLeft w:val="0"/>
      <w:marRight w:val="0"/>
      <w:marTop w:val="0"/>
      <w:marBottom w:val="0"/>
      <w:divBdr>
        <w:top w:val="none" w:sz="0" w:space="0" w:color="auto"/>
        <w:left w:val="none" w:sz="0" w:space="0" w:color="auto"/>
        <w:bottom w:val="none" w:sz="0" w:space="0" w:color="auto"/>
        <w:right w:val="none" w:sz="0" w:space="0" w:color="auto"/>
      </w:divBdr>
      <w:divsChild>
        <w:div w:id="1640332826">
          <w:marLeft w:val="0"/>
          <w:marRight w:val="0"/>
          <w:marTop w:val="0"/>
          <w:marBottom w:val="0"/>
          <w:divBdr>
            <w:top w:val="none" w:sz="0" w:space="0" w:color="auto"/>
            <w:left w:val="none" w:sz="0" w:space="0" w:color="auto"/>
            <w:bottom w:val="none" w:sz="0" w:space="0" w:color="auto"/>
            <w:right w:val="none" w:sz="0" w:space="0" w:color="auto"/>
          </w:divBdr>
        </w:div>
        <w:div w:id="1659336629">
          <w:marLeft w:val="0"/>
          <w:marRight w:val="0"/>
          <w:marTop w:val="0"/>
          <w:marBottom w:val="0"/>
          <w:divBdr>
            <w:top w:val="none" w:sz="0" w:space="0" w:color="auto"/>
            <w:left w:val="none" w:sz="0" w:space="0" w:color="auto"/>
            <w:bottom w:val="none" w:sz="0" w:space="0" w:color="auto"/>
            <w:right w:val="none" w:sz="0" w:space="0" w:color="auto"/>
          </w:divBdr>
        </w:div>
        <w:div w:id="2071028784">
          <w:marLeft w:val="0"/>
          <w:marRight w:val="0"/>
          <w:marTop w:val="0"/>
          <w:marBottom w:val="0"/>
          <w:divBdr>
            <w:top w:val="none" w:sz="0" w:space="0" w:color="auto"/>
            <w:left w:val="none" w:sz="0" w:space="0" w:color="auto"/>
            <w:bottom w:val="none" w:sz="0" w:space="0" w:color="auto"/>
            <w:right w:val="none" w:sz="0" w:space="0" w:color="auto"/>
          </w:divBdr>
        </w:div>
      </w:divsChild>
    </w:div>
    <w:div w:id="827288245">
      <w:bodyDiv w:val="1"/>
      <w:marLeft w:val="0"/>
      <w:marRight w:val="0"/>
      <w:marTop w:val="0"/>
      <w:marBottom w:val="0"/>
      <w:divBdr>
        <w:top w:val="none" w:sz="0" w:space="0" w:color="auto"/>
        <w:left w:val="none" w:sz="0" w:space="0" w:color="auto"/>
        <w:bottom w:val="none" w:sz="0" w:space="0" w:color="auto"/>
        <w:right w:val="none" w:sz="0" w:space="0" w:color="auto"/>
      </w:divBdr>
      <w:divsChild>
        <w:div w:id="1548446822">
          <w:marLeft w:val="0"/>
          <w:marRight w:val="0"/>
          <w:marTop w:val="0"/>
          <w:marBottom w:val="0"/>
          <w:divBdr>
            <w:top w:val="none" w:sz="0" w:space="0" w:color="auto"/>
            <w:left w:val="none" w:sz="0" w:space="0" w:color="auto"/>
            <w:bottom w:val="none" w:sz="0" w:space="0" w:color="auto"/>
            <w:right w:val="none" w:sz="0" w:space="0" w:color="auto"/>
          </w:divBdr>
          <w:divsChild>
            <w:div w:id="783620947">
              <w:marLeft w:val="0"/>
              <w:marRight w:val="0"/>
              <w:marTop w:val="0"/>
              <w:marBottom w:val="0"/>
              <w:divBdr>
                <w:top w:val="none" w:sz="0" w:space="0" w:color="auto"/>
                <w:left w:val="none" w:sz="0" w:space="0" w:color="auto"/>
                <w:bottom w:val="none" w:sz="0" w:space="0" w:color="auto"/>
                <w:right w:val="none" w:sz="0" w:space="0" w:color="auto"/>
              </w:divBdr>
            </w:div>
            <w:div w:id="1466578548">
              <w:marLeft w:val="0"/>
              <w:marRight w:val="0"/>
              <w:marTop w:val="0"/>
              <w:marBottom w:val="0"/>
              <w:divBdr>
                <w:top w:val="none" w:sz="0" w:space="0" w:color="auto"/>
                <w:left w:val="none" w:sz="0" w:space="0" w:color="auto"/>
                <w:bottom w:val="none" w:sz="0" w:space="0" w:color="auto"/>
                <w:right w:val="none" w:sz="0" w:space="0" w:color="auto"/>
              </w:divBdr>
            </w:div>
            <w:div w:id="297608230">
              <w:marLeft w:val="0"/>
              <w:marRight w:val="0"/>
              <w:marTop w:val="0"/>
              <w:marBottom w:val="0"/>
              <w:divBdr>
                <w:top w:val="none" w:sz="0" w:space="0" w:color="auto"/>
                <w:left w:val="none" w:sz="0" w:space="0" w:color="auto"/>
                <w:bottom w:val="none" w:sz="0" w:space="0" w:color="auto"/>
                <w:right w:val="none" w:sz="0" w:space="0" w:color="auto"/>
              </w:divBdr>
            </w:div>
            <w:div w:id="1606814089">
              <w:marLeft w:val="0"/>
              <w:marRight w:val="0"/>
              <w:marTop w:val="0"/>
              <w:marBottom w:val="0"/>
              <w:divBdr>
                <w:top w:val="none" w:sz="0" w:space="0" w:color="auto"/>
                <w:left w:val="none" w:sz="0" w:space="0" w:color="auto"/>
                <w:bottom w:val="none" w:sz="0" w:space="0" w:color="auto"/>
                <w:right w:val="none" w:sz="0" w:space="0" w:color="auto"/>
              </w:divBdr>
            </w:div>
            <w:div w:id="1406610614">
              <w:marLeft w:val="0"/>
              <w:marRight w:val="0"/>
              <w:marTop w:val="0"/>
              <w:marBottom w:val="0"/>
              <w:divBdr>
                <w:top w:val="none" w:sz="0" w:space="0" w:color="auto"/>
                <w:left w:val="none" w:sz="0" w:space="0" w:color="auto"/>
                <w:bottom w:val="none" w:sz="0" w:space="0" w:color="auto"/>
                <w:right w:val="none" w:sz="0" w:space="0" w:color="auto"/>
              </w:divBdr>
            </w:div>
            <w:div w:id="1678532785">
              <w:marLeft w:val="0"/>
              <w:marRight w:val="0"/>
              <w:marTop w:val="0"/>
              <w:marBottom w:val="0"/>
              <w:divBdr>
                <w:top w:val="none" w:sz="0" w:space="0" w:color="auto"/>
                <w:left w:val="none" w:sz="0" w:space="0" w:color="auto"/>
                <w:bottom w:val="none" w:sz="0" w:space="0" w:color="auto"/>
                <w:right w:val="none" w:sz="0" w:space="0" w:color="auto"/>
              </w:divBdr>
            </w:div>
            <w:div w:id="397677616">
              <w:marLeft w:val="0"/>
              <w:marRight w:val="0"/>
              <w:marTop w:val="0"/>
              <w:marBottom w:val="0"/>
              <w:divBdr>
                <w:top w:val="none" w:sz="0" w:space="0" w:color="auto"/>
                <w:left w:val="none" w:sz="0" w:space="0" w:color="auto"/>
                <w:bottom w:val="none" w:sz="0" w:space="0" w:color="auto"/>
                <w:right w:val="none" w:sz="0" w:space="0" w:color="auto"/>
              </w:divBdr>
            </w:div>
            <w:div w:id="76755385">
              <w:marLeft w:val="0"/>
              <w:marRight w:val="0"/>
              <w:marTop w:val="0"/>
              <w:marBottom w:val="0"/>
              <w:divBdr>
                <w:top w:val="none" w:sz="0" w:space="0" w:color="auto"/>
                <w:left w:val="none" w:sz="0" w:space="0" w:color="auto"/>
                <w:bottom w:val="none" w:sz="0" w:space="0" w:color="auto"/>
                <w:right w:val="none" w:sz="0" w:space="0" w:color="auto"/>
              </w:divBdr>
            </w:div>
            <w:div w:id="748887618">
              <w:marLeft w:val="0"/>
              <w:marRight w:val="0"/>
              <w:marTop w:val="0"/>
              <w:marBottom w:val="0"/>
              <w:divBdr>
                <w:top w:val="none" w:sz="0" w:space="0" w:color="auto"/>
                <w:left w:val="none" w:sz="0" w:space="0" w:color="auto"/>
                <w:bottom w:val="none" w:sz="0" w:space="0" w:color="auto"/>
                <w:right w:val="none" w:sz="0" w:space="0" w:color="auto"/>
              </w:divBdr>
            </w:div>
            <w:div w:id="1691104501">
              <w:marLeft w:val="0"/>
              <w:marRight w:val="0"/>
              <w:marTop w:val="0"/>
              <w:marBottom w:val="0"/>
              <w:divBdr>
                <w:top w:val="none" w:sz="0" w:space="0" w:color="auto"/>
                <w:left w:val="none" w:sz="0" w:space="0" w:color="auto"/>
                <w:bottom w:val="none" w:sz="0" w:space="0" w:color="auto"/>
                <w:right w:val="none" w:sz="0" w:space="0" w:color="auto"/>
              </w:divBdr>
            </w:div>
            <w:div w:id="1062095644">
              <w:marLeft w:val="0"/>
              <w:marRight w:val="0"/>
              <w:marTop w:val="0"/>
              <w:marBottom w:val="0"/>
              <w:divBdr>
                <w:top w:val="none" w:sz="0" w:space="0" w:color="auto"/>
                <w:left w:val="none" w:sz="0" w:space="0" w:color="auto"/>
                <w:bottom w:val="none" w:sz="0" w:space="0" w:color="auto"/>
                <w:right w:val="none" w:sz="0" w:space="0" w:color="auto"/>
              </w:divBdr>
            </w:div>
            <w:div w:id="229998440">
              <w:marLeft w:val="0"/>
              <w:marRight w:val="0"/>
              <w:marTop w:val="0"/>
              <w:marBottom w:val="0"/>
              <w:divBdr>
                <w:top w:val="none" w:sz="0" w:space="0" w:color="auto"/>
                <w:left w:val="none" w:sz="0" w:space="0" w:color="auto"/>
                <w:bottom w:val="none" w:sz="0" w:space="0" w:color="auto"/>
                <w:right w:val="none" w:sz="0" w:space="0" w:color="auto"/>
              </w:divBdr>
            </w:div>
            <w:div w:id="1945459379">
              <w:marLeft w:val="0"/>
              <w:marRight w:val="0"/>
              <w:marTop w:val="0"/>
              <w:marBottom w:val="0"/>
              <w:divBdr>
                <w:top w:val="none" w:sz="0" w:space="0" w:color="auto"/>
                <w:left w:val="none" w:sz="0" w:space="0" w:color="auto"/>
                <w:bottom w:val="none" w:sz="0" w:space="0" w:color="auto"/>
                <w:right w:val="none" w:sz="0" w:space="0" w:color="auto"/>
              </w:divBdr>
            </w:div>
            <w:div w:id="827093382">
              <w:marLeft w:val="0"/>
              <w:marRight w:val="0"/>
              <w:marTop w:val="0"/>
              <w:marBottom w:val="0"/>
              <w:divBdr>
                <w:top w:val="none" w:sz="0" w:space="0" w:color="auto"/>
                <w:left w:val="none" w:sz="0" w:space="0" w:color="auto"/>
                <w:bottom w:val="none" w:sz="0" w:space="0" w:color="auto"/>
                <w:right w:val="none" w:sz="0" w:space="0" w:color="auto"/>
              </w:divBdr>
            </w:div>
            <w:div w:id="1483498893">
              <w:marLeft w:val="0"/>
              <w:marRight w:val="0"/>
              <w:marTop w:val="0"/>
              <w:marBottom w:val="0"/>
              <w:divBdr>
                <w:top w:val="none" w:sz="0" w:space="0" w:color="auto"/>
                <w:left w:val="none" w:sz="0" w:space="0" w:color="auto"/>
                <w:bottom w:val="none" w:sz="0" w:space="0" w:color="auto"/>
                <w:right w:val="none" w:sz="0" w:space="0" w:color="auto"/>
              </w:divBdr>
            </w:div>
            <w:div w:id="1959215332">
              <w:marLeft w:val="0"/>
              <w:marRight w:val="0"/>
              <w:marTop w:val="0"/>
              <w:marBottom w:val="0"/>
              <w:divBdr>
                <w:top w:val="none" w:sz="0" w:space="0" w:color="auto"/>
                <w:left w:val="none" w:sz="0" w:space="0" w:color="auto"/>
                <w:bottom w:val="none" w:sz="0" w:space="0" w:color="auto"/>
                <w:right w:val="none" w:sz="0" w:space="0" w:color="auto"/>
              </w:divBdr>
            </w:div>
            <w:div w:id="2060546223">
              <w:marLeft w:val="0"/>
              <w:marRight w:val="0"/>
              <w:marTop w:val="0"/>
              <w:marBottom w:val="0"/>
              <w:divBdr>
                <w:top w:val="none" w:sz="0" w:space="0" w:color="auto"/>
                <w:left w:val="none" w:sz="0" w:space="0" w:color="auto"/>
                <w:bottom w:val="none" w:sz="0" w:space="0" w:color="auto"/>
                <w:right w:val="none" w:sz="0" w:space="0" w:color="auto"/>
              </w:divBdr>
            </w:div>
            <w:div w:id="10186101">
              <w:marLeft w:val="0"/>
              <w:marRight w:val="0"/>
              <w:marTop w:val="0"/>
              <w:marBottom w:val="0"/>
              <w:divBdr>
                <w:top w:val="none" w:sz="0" w:space="0" w:color="auto"/>
                <w:left w:val="none" w:sz="0" w:space="0" w:color="auto"/>
                <w:bottom w:val="none" w:sz="0" w:space="0" w:color="auto"/>
                <w:right w:val="none" w:sz="0" w:space="0" w:color="auto"/>
              </w:divBdr>
            </w:div>
            <w:div w:id="1548835621">
              <w:marLeft w:val="0"/>
              <w:marRight w:val="0"/>
              <w:marTop w:val="0"/>
              <w:marBottom w:val="0"/>
              <w:divBdr>
                <w:top w:val="none" w:sz="0" w:space="0" w:color="auto"/>
                <w:left w:val="none" w:sz="0" w:space="0" w:color="auto"/>
                <w:bottom w:val="none" w:sz="0" w:space="0" w:color="auto"/>
                <w:right w:val="none" w:sz="0" w:space="0" w:color="auto"/>
              </w:divBdr>
            </w:div>
            <w:div w:id="752898472">
              <w:marLeft w:val="0"/>
              <w:marRight w:val="0"/>
              <w:marTop w:val="0"/>
              <w:marBottom w:val="0"/>
              <w:divBdr>
                <w:top w:val="none" w:sz="0" w:space="0" w:color="auto"/>
                <w:left w:val="none" w:sz="0" w:space="0" w:color="auto"/>
                <w:bottom w:val="none" w:sz="0" w:space="0" w:color="auto"/>
                <w:right w:val="none" w:sz="0" w:space="0" w:color="auto"/>
              </w:divBdr>
            </w:div>
            <w:div w:id="1005405385">
              <w:marLeft w:val="0"/>
              <w:marRight w:val="0"/>
              <w:marTop w:val="0"/>
              <w:marBottom w:val="0"/>
              <w:divBdr>
                <w:top w:val="none" w:sz="0" w:space="0" w:color="auto"/>
                <w:left w:val="none" w:sz="0" w:space="0" w:color="auto"/>
                <w:bottom w:val="none" w:sz="0" w:space="0" w:color="auto"/>
                <w:right w:val="none" w:sz="0" w:space="0" w:color="auto"/>
              </w:divBdr>
            </w:div>
            <w:div w:id="1741053460">
              <w:marLeft w:val="0"/>
              <w:marRight w:val="0"/>
              <w:marTop w:val="0"/>
              <w:marBottom w:val="0"/>
              <w:divBdr>
                <w:top w:val="none" w:sz="0" w:space="0" w:color="auto"/>
                <w:left w:val="none" w:sz="0" w:space="0" w:color="auto"/>
                <w:bottom w:val="none" w:sz="0" w:space="0" w:color="auto"/>
                <w:right w:val="none" w:sz="0" w:space="0" w:color="auto"/>
              </w:divBdr>
            </w:div>
            <w:div w:id="1277442963">
              <w:marLeft w:val="0"/>
              <w:marRight w:val="0"/>
              <w:marTop w:val="0"/>
              <w:marBottom w:val="0"/>
              <w:divBdr>
                <w:top w:val="none" w:sz="0" w:space="0" w:color="auto"/>
                <w:left w:val="none" w:sz="0" w:space="0" w:color="auto"/>
                <w:bottom w:val="none" w:sz="0" w:space="0" w:color="auto"/>
                <w:right w:val="none" w:sz="0" w:space="0" w:color="auto"/>
              </w:divBdr>
            </w:div>
            <w:div w:id="122499641">
              <w:marLeft w:val="0"/>
              <w:marRight w:val="0"/>
              <w:marTop w:val="0"/>
              <w:marBottom w:val="0"/>
              <w:divBdr>
                <w:top w:val="none" w:sz="0" w:space="0" w:color="auto"/>
                <w:left w:val="none" w:sz="0" w:space="0" w:color="auto"/>
                <w:bottom w:val="none" w:sz="0" w:space="0" w:color="auto"/>
                <w:right w:val="none" w:sz="0" w:space="0" w:color="auto"/>
              </w:divBdr>
            </w:div>
            <w:div w:id="1499423741">
              <w:marLeft w:val="0"/>
              <w:marRight w:val="0"/>
              <w:marTop w:val="0"/>
              <w:marBottom w:val="0"/>
              <w:divBdr>
                <w:top w:val="none" w:sz="0" w:space="0" w:color="auto"/>
                <w:left w:val="none" w:sz="0" w:space="0" w:color="auto"/>
                <w:bottom w:val="none" w:sz="0" w:space="0" w:color="auto"/>
                <w:right w:val="none" w:sz="0" w:space="0" w:color="auto"/>
              </w:divBdr>
            </w:div>
            <w:div w:id="2124567016">
              <w:marLeft w:val="0"/>
              <w:marRight w:val="0"/>
              <w:marTop w:val="0"/>
              <w:marBottom w:val="0"/>
              <w:divBdr>
                <w:top w:val="none" w:sz="0" w:space="0" w:color="auto"/>
                <w:left w:val="none" w:sz="0" w:space="0" w:color="auto"/>
                <w:bottom w:val="none" w:sz="0" w:space="0" w:color="auto"/>
                <w:right w:val="none" w:sz="0" w:space="0" w:color="auto"/>
              </w:divBdr>
            </w:div>
            <w:div w:id="16134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260894">
      <w:bodyDiv w:val="1"/>
      <w:marLeft w:val="0"/>
      <w:marRight w:val="0"/>
      <w:marTop w:val="0"/>
      <w:marBottom w:val="0"/>
      <w:divBdr>
        <w:top w:val="none" w:sz="0" w:space="0" w:color="auto"/>
        <w:left w:val="none" w:sz="0" w:space="0" w:color="auto"/>
        <w:bottom w:val="none" w:sz="0" w:space="0" w:color="auto"/>
        <w:right w:val="none" w:sz="0" w:space="0" w:color="auto"/>
      </w:divBdr>
      <w:divsChild>
        <w:div w:id="1313369107">
          <w:marLeft w:val="0"/>
          <w:marRight w:val="0"/>
          <w:marTop w:val="0"/>
          <w:marBottom w:val="0"/>
          <w:divBdr>
            <w:top w:val="none" w:sz="0" w:space="0" w:color="auto"/>
            <w:left w:val="none" w:sz="0" w:space="0" w:color="auto"/>
            <w:bottom w:val="none" w:sz="0" w:space="0" w:color="auto"/>
            <w:right w:val="none" w:sz="0" w:space="0" w:color="auto"/>
          </w:divBdr>
          <w:divsChild>
            <w:div w:id="1235625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880167">
      <w:bodyDiv w:val="1"/>
      <w:marLeft w:val="0"/>
      <w:marRight w:val="0"/>
      <w:marTop w:val="0"/>
      <w:marBottom w:val="0"/>
      <w:divBdr>
        <w:top w:val="none" w:sz="0" w:space="0" w:color="auto"/>
        <w:left w:val="none" w:sz="0" w:space="0" w:color="auto"/>
        <w:bottom w:val="none" w:sz="0" w:space="0" w:color="auto"/>
        <w:right w:val="none" w:sz="0" w:space="0" w:color="auto"/>
      </w:divBdr>
      <w:divsChild>
        <w:div w:id="1738748878">
          <w:marLeft w:val="0"/>
          <w:marRight w:val="0"/>
          <w:marTop w:val="0"/>
          <w:marBottom w:val="0"/>
          <w:divBdr>
            <w:top w:val="none" w:sz="0" w:space="0" w:color="auto"/>
            <w:left w:val="none" w:sz="0" w:space="0" w:color="auto"/>
            <w:bottom w:val="none" w:sz="0" w:space="0" w:color="auto"/>
            <w:right w:val="none" w:sz="0" w:space="0" w:color="auto"/>
          </w:divBdr>
        </w:div>
        <w:div w:id="34426403">
          <w:marLeft w:val="0"/>
          <w:marRight w:val="0"/>
          <w:marTop w:val="0"/>
          <w:marBottom w:val="0"/>
          <w:divBdr>
            <w:top w:val="none" w:sz="0" w:space="0" w:color="auto"/>
            <w:left w:val="none" w:sz="0" w:space="0" w:color="auto"/>
            <w:bottom w:val="none" w:sz="0" w:space="0" w:color="auto"/>
            <w:right w:val="none" w:sz="0" w:space="0" w:color="auto"/>
          </w:divBdr>
        </w:div>
      </w:divsChild>
    </w:div>
    <w:div w:id="892548751">
      <w:bodyDiv w:val="1"/>
      <w:marLeft w:val="0"/>
      <w:marRight w:val="0"/>
      <w:marTop w:val="0"/>
      <w:marBottom w:val="0"/>
      <w:divBdr>
        <w:top w:val="none" w:sz="0" w:space="0" w:color="auto"/>
        <w:left w:val="none" w:sz="0" w:space="0" w:color="auto"/>
        <w:bottom w:val="none" w:sz="0" w:space="0" w:color="auto"/>
        <w:right w:val="none" w:sz="0" w:space="0" w:color="auto"/>
      </w:divBdr>
      <w:divsChild>
        <w:div w:id="826046310">
          <w:marLeft w:val="0"/>
          <w:marRight w:val="0"/>
          <w:marTop w:val="0"/>
          <w:marBottom w:val="0"/>
          <w:divBdr>
            <w:top w:val="none" w:sz="0" w:space="0" w:color="auto"/>
            <w:left w:val="none" w:sz="0" w:space="0" w:color="auto"/>
            <w:bottom w:val="none" w:sz="0" w:space="0" w:color="auto"/>
            <w:right w:val="none" w:sz="0" w:space="0" w:color="auto"/>
          </w:divBdr>
        </w:div>
        <w:div w:id="1028798537">
          <w:marLeft w:val="0"/>
          <w:marRight w:val="0"/>
          <w:marTop w:val="0"/>
          <w:marBottom w:val="0"/>
          <w:divBdr>
            <w:top w:val="none" w:sz="0" w:space="0" w:color="auto"/>
            <w:left w:val="none" w:sz="0" w:space="0" w:color="auto"/>
            <w:bottom w:val="none" w:sz="0" w:space="0" w:color="auto"/>
            <w:right w:val="none" w:sz="0" w:space="0" w:color="auto"/>
          </w:divBdr>
        </w:div>
        <w:div w:id="1351568124">
          <w:marLeft w:val="0"/>
          <w:marRight w:val="0"/>
          <w:marTop w:val="0"/>
          <w:marBottom w:val="0"/>
          <w:divBdr>
            <w:top w:val="none" w:sz="0" w:space="0" w:color="auto"/>
            <w:left w:val="none" w:sz="0" w:space="0" w:color="auto"/>
            <w:bottom w:val="none" w:sz="0" w:space="0" w:color="auto"/>
            <w:right w:val="none" w:sz="0" w:space="0" w:color="auto"/>
          </w:divBdr>
        </w:div>
        <w:div w:id="1024674411">
          <w:marLeft w:val="0"/>
          <w:marRight w:val="0"/>
          <w:marTop w:val="0"/>
          <w:marBottom w:val="0"/>
          <w:divBdr>
            <w:top w:val="none" w:sz="0" w:space="0" w:color="auto"/>
            <w:left w:val="none" w:sz="0" w:space="0" w:color="auto"/>
            <w:bottom w:val="none" w:sz="0" w:space="0" w:color="auto"/>
            <w:right w:val="none" w:sz="0" w:space="0" w:color="auto"/>
          </w:divBdr>
        </w:div>
        <w:div w:id="286082167">
          <w:marLeft w:val="0"/>
          <w:marRight w:val="0"/>
          <w:marTop w:val="0"/>
          <w:marBottom w:val="0"/>
          <w:divBdr>
            <w:top w:val="none" w:sz="0" w:space="0" w:color="auto"/>
            <w:left w:val="none" w:sz="0" w:space="0" w:color="auto"/>
            <w:bottom w:val="none" w:sz="0" w:space="0" w:color="auto"/>
            <w:right w:val="none" w:sz="0" w:space="0" w:color="auto"/>
          </w:divBdr>
        </w:div>
      </w:divsChild>
    </w:div>
    <w:div w:id="914514479">
      <w:bodyDiv w:val="1"/>
      <w:marLeft w:val="0"/>
      <w:marRight w:val="0"/>
      <w:marTop w:val="0"/>
      <w:marBottom w:val="0"/>
      <w:divBdr>
        <w:top w:val="none" w:sz="0" w:space="0" w:color="auto"/>
        <w:left w:val="none" w:sz="0" w:space="0" w:color="auto"/>
        <w:bottom w:val="none" w:sz="0" w:space="0" w:color="auto"/>
        <w:right w:val="none" w:sz="0" w:space="0" w:color="auto"/>
      </w:divBdr>
      <w:divsChild>
        <w:div w:id="922641085">
          <w:marLeft w:val="0"/>
          <w:marRight w:val="0"/>
          <w:marTop w:val="0"/>
          <w:marBottom w:val="0"/>
          <w:divBdr>
            <w:top w:val="none" w:sz="0" w:space="0" w:color="auto"/>
            <w:left w:val="none" w:sz="0" w:space="0" w:color="auto"/>
            <w:bottom w:val="none" w:sz="0" w:space="0" w:color="auto"/>
            <w:right w:val="none" w:sz="0" w:space="0" w:color="auto"/>
          </w:divBdr>
        </w:div>
        <w:div w:id="36979418">
          <w:marLeft w:val="0"/>
          <w:marRight w:val="0"/>
          <w:marTop w:val="0"/>
          <w:marBottom w:val="0"/>
          <w:divBdr>
            <w:top w:val="none" w:sz="0" w:space="0" w:color="auto"/>
            <w:left w:val="none" w:sz="0" w:space="0" w:color="auto"/>
            <w:bottom w:val="none" w:sz="0" w:space="0" w:color="auto"/>
            <w:right w:val="none" w:sz="0" w:space="0" w:color="auto"/>
          </w:divBdr>
        </w:div>
        <w:div w:id="1203712694">
          <w:marLeft w:val="0"/>
          <w:marRight w:val="0"/>
          <w:marTop w:val="0"/>
          <w:marBottom w:val="0"/>
          <w:divBdr>
            <w:top w:val="none" w:sz="0" w:space="0" w:color="auto"/>
            <w:left w:val="none" w:sz="0" w:space="0" w:color="auto"/>
            <w:bottom w:val="none" w:sz="0" w:space="0" w:color="auto"/>
            <w:right w:val="none" w:sz="0" w:space="0" w:color="auto"/>
          </w:divBdr>
        </w:div>
        <w:div w:id="190461480">
          <w:marLeft w:val="0"/>
          <w:marRight w:val="0"/>
          <w:marTop w:val="0"/>
          <w:marBottom w:val="0"/>
          <w:divBdr>
            <w:top w:val="none" w:sz="0" w:space="0" w:color="auto"/>
            <w:left w:val="none" w:sz="0" w:space="0" w:color="auto"/>
            <w:bottom w:val="none" w:sz="0" w:space="0" w:color="auto"/>
            <w:right w:val="none" w:sz="0" w:space="0" w:color="auto"/>
          </w:divBdr>
        </w:div>
        <w:div w:id="1063062509">
          <w:marLeft w:val="0"/>
          <w:marRight w:val="0"/>
          <w:marTop w:val="0"/>
          <w:marBottom w:val="0"/>
          <w:divBdr>
            <w:top w:val="none" w:sz="0" w:space="0" w:color="auto"/>
            <w:left w:val="none" w:sz="0" w:space="0" w:color="auto"/>
            <w:bottom w:val="none" w:sz="0" w:space="0" w:color="auto"/>
            <w:right w:val="none" w:sz="0" w:space="0" w:color="auto"/>
          </w:divBdr>
        </w:div>
        <w:div w:id="474563886">
          <w:marLeft w:val="0"/>
          <w:marRight w:val="0"/>
          <w:marTop w:val="0"/>
          <w:marBottom w:val="0"/>
          <w:divBdr>
            <w:top w:val="none" w:sz="0" w:space="0" w:color="auto"/>
            <w:left w:val="none" w:sz="0" w:space="0" w:color="auto"/>
            <w:bottom w:val="none" w:sz="0" w:space="0" w:color="auto"/>
            <w:right w:val="none" w:sz="0" w:space="0" w:color="auto"/>
          </w:divBdr>
        </w:div>
        <w:div w:id="233197661">
          <w:marLeft w:val="0"/>
          <w:marRight w:val="0"/>
          <w:marTop w:val="0"/>
          <w:marBottom w:val="0"/>
          <w:divBdr>
            <w:top w:val="none" w:sz="0" w:space="0" w:color="auto"/>
            <w:left w:val="none" w:sz="0" w:space="0" w:color="auto"/>
            <w:bottom w:val="none" w:sz="0" w:space="0" w:color="auto"/>
            <w:right w:val="none" w:sz="0" w:space="0" w:color="auto"/>
          </w:divBdr>
        </w:div>
        <w:div w:id="404112490">
          <w:marLeft w:val="0"/>
          <w:marRight w:val="0"/>
          <w:marTop w:val="0"/>
          <w:marBottom w:val="0"/>
          <w:divBdr>
            <w:top w:val="none" w:sz="0" w:space="0" w:color="auto"/>
            <w:left w:val="none" w:sz="0" w:space="0" w:color="auto"/>
            <w:bottom w:val="none" w:sz="0" w:space="0" w:color="auto"/>
            <w:right w:val="none" w:sz="0" w:space="0" w:color="auto"/>
          </w:divBdr>
        </w:div>
        <w:div w:id="932591281">
          <w:marLeft w:val="0"/>
          <w:marRight w:val="0"/>
          <w:marTop w:val="0"/>
          <w:marBottom w:val="0"/>
          <w:divBdr>
            <w:top w:val="none" w:sz="0" w:space="0" w:color="auto"/>
            <w:left w:val="none" w:sz="0" w:space="0" w:color="auto"/>
            <w:bottom w:val="none" w:sz="0" w:space="0" w:color="auto"/>
            <w:right w:val="none" w:sz="0" w:space="0" w:color="auto"/>
          </w:divBdr>
        </w:div>
        <w:div w:id="780153202">
          <w:marLeft w:val="0"/>
          <w:marRight w:val="0"/>
          <w:marTop w:val="0"/>
          <w:marBottom w:val="0"/>
          <w:divBdr>
            <w:top w:val="none" w:sz="0" w:space="0" w:color="auto"/>
            <w:left w:val="none" w:sz="0" w:space="0" w:color="auto"/>
            <w:bottom w:val="none" w:sz="0" w:space="0" w:color="auto"/>
            <w:right w:val="none" w:sz="0" w:space="0" w:color="auto"/>
          </w:divBdr>
        </w:div>
        <w:div w:id="2064284888">
          <w:marLeft w:val="0"/>
          <w:marRight w:val="0"/>
          <w:marTop w:val="0"/>
          <w:marBottom w:val="0"/>
          <w:divBdr>
            <w:top w:val="none" w:sz="0" w:space="0" w:color="auto"/>
            <w:left w:val="none" w:sz="0" w:space="0" w:color="auto"/>
            <w:bottom w:val="none" w:sz="0" w:space="0" w:color="auto"/>
            <w:right w:val="none" w:sz="0" w:space="0" w:color="auto"/>
          </w:divBdr>
        </w:div>
        <w:div w:id="433136172">
          <w:marLeft w:val="0"/>
          <w:marRight w:val="0"/>
          <w:marTop w:val="0"/>
          <w:marBottom w:val="0"/>
          <w:divBdr>
            <w:top w:val="none" w:sz="0" w:space="0" w:color="auto"/>
            <w:left w:val="none" w:sz="0" w:space="0" w:color="auto"/>
            <w:bottom w:val="none" w:sz="0" w:space="0" w:color="auto"/>
            <w:right w:val="none" w:sz="0" w:space="0" w:color="auto"/>
          </w:divBdr>
        </w:div>
        <w:div w:id="149833273">
          <w:marLeft w:val="0"/>
          <w:marRight w:val="0"/>
          <w:marTop w:val="0"/>
          <w:marBottom w:val="0"/>
          <w:divBdr>
            <w:top w:val="none" w:sz="0" w:space="0" w:color="auto"/>
            <w:left w:val="none" w:sz="0" w:space="0" w:color="auto"/>
            <w:bottom w:val="none" w:sz="0" w:space="0" w:color="auto"/>
            <w:right w:val="none" w:sz="0" w:space="0" w:color="auto"/>
          </w:divBdr>
        </w:div>
        <w:div w:id="104428395">
          <w:marLeft w:val="0"/>
          <w:marRight w:val="0"/>
          <w:marTop w:val="0"/>
          <w:marBottom w:val="0"/>
          <w:divBdr>
            <w:top w:val="none" w:sz="0" w:space="0" w:color="auto"/>
            <w:left w:val="none" w:sz="0" w:space="0" w:color="auto"/>
            <w:bottom w:val="none" w:sz="0" w:space="0" w:color="auto"/>
            <w:right w:val="none" w:sz="0" w:space="0" w:color="auto"/>
          </w:divBdr>
        </w:div>
        <w:div w:id="56438312">
          <w:marLeft w:val="0"/>
          <w:marRight w:val="0"/>
          <w:marTop w:val="0"/>
          <w:marBottom w:val="0"/>
          <w:divBdr>
            <w:top w:val="none" w:sz="0" w:space="0" w:color="auto"/>
            <w:left w:val="none" w:sz="0" w:space="0" w:color="auto"/>
            <w:bottom w:val="none" w:sz="0" w:space="0" w:color="auto"/>
            <w:right w:val="none" w:sz="0" w:space="0" w:color="auto"/>
          </w:divBdr>
        </w:div>
        <w:div w:id="1419329622">
          <w:marLeft w:val="0"/>
          <w:marRight w:val="0"/>
          <w:marTop w:val="0"/>
          <w:marBottom w:val="0"/>
          <w:divBdr>
            <w:top w:val="none" w:sz="0" w:space="0" w:color="auto"/>
            <w:left w:val="none" w:sz="0" w:space="0" w:color="auto"/>
            <w:bottom w:val="none" w:sz="0" w:space="0" w:color="auto"/>
            <w:right w:val="none" w:sz="0" w:space="0" w:color="auto"/>
          </w:divBdr>
        </w:div>
        <w:div w:id="1356345354">
          <w:marLeft w:val="0"/>
          <w:marRight w:val="0"/>
          <w:marTop w:val="0"/>
          <w:marBottom w:val="0"/>
          <w:divBdr>
            <w:top w:val="none" w:sz="0" w:space="0" w:color="auto"/>
            <w:left w:val="none" w:sz="0" w:space="0" w:color="auto"/>
            <w:bottom w:val="none" w:sz="0" w:space="0" w:color="auto"/>
            <w:right w:val="none" w:sz="0" w:space="0" w:color="auto"/>
          </w:divBdr>
        </w:div>
        <w:div w:id="342125106">
          <w:marLeft w:val="0"/>
          <w:marRight w:val="0"/>
          <w:marTop w:val="0"/>
          <w:marBottom w:val="0"/>
          <w:divBdr>
            <w:top w:val="none" w:sz="0" w:space="0" w:color="auto"/>
            <w:left w:val="none" w:sz="0" w:space="0" w:color="auto"/>
            <w:bottom w:val="none" w:sz="0" w:space="0" w:color="auto"/>
            <w:right w:val="none" w:sz="0" w:space="0" w:color="auto"/>
          </w:divBdr>
        </w:div>
        <w:div w:id="921792542">
          <w:marLeft w:val="0"/>
          <w:marRight w:val="0"/>
          <w:marTop w:val="0"/>
          <w:marBottom w:val="0"/>
          <w:divBdr>
            <w:top w:val="none" w:sz="0" w:space="0" w:color="auto"/>
            <w:left w:val="none" w:sz="0" w:space="0" w:color="auto"/>
            <w:bottom w:val="none" w:sz="0" w:space="0" w:color="auto"/>
            <w:right w:val="none" w:sz="0" w:space="0" w:color="auto"/>
          </w:divBdr>
        </w:div>
        <w:div w:id="1224606087">
          <w:marLeft w:val="0"/>
          <w:marRight w:val="0"/>
          <w:marTop w:val="0"/>
          <w:marBottom w:val="0"/>
          <w:divBdr>
            <w:top w:val="none" w:sz="0" w:space="0" w:color="auto"/>
            <w:left w:val="none" w:sz="0" w:space="0" w:color="auto"/>
            <w:bottom w:val="none" w:sz="0" w:space="0" w:color="auto"/>
            <w:right w:val="none" w:sz="0" w:space="0" w:color="auto"/>
          </w:divBdr>
        </w:div>
        <w:div w:id="714349327">
          <w:marLeft w:val="0"/>
          <w:marRight w:val="0"/>
          <w:marTop w:val="0"/>
          <w:marBottom w:val="0"/>
          <w:divBdr>
            <w:top w:val="none" w:sz="0" w:space="0" w:color="auto"/>
            <w:left w:val="none" w:sz="0" w:space="0" w:color="auto"/>
            <w:bottom w:val="none" w:sz="0" w:space="0" w:color="auto"/>
            <w:right w:val="none" w:sz="0" w:space="0" w:color="auto"/>
          </w:divBdr>
        </w:div>
        <w:div w:id="488328617">
          <w:marLeft w:val="0"/>
          <w:marRight w:val="0"/>
          <w:marTop w:val="0"/>
          <w:marBottom w:val="0"/>
          <w:divBdr>
            <w:top w:val="none" w:sz="0" w:space="0" w:color="auto"/>
            <w:left w:val="none" w:sz="0" w:space="0" w:color="auto"/>
            <w:bottom w:val="none" w:sz="0" w:space="0" w:color="auto"/>
            <w:right w:val="none" w:sz="0" w:space="0" w:color="auto"/>
          </w:divBdr>
        </w:div>
        <w:div w:id="1762986856">
          <w:marLeft w:val="0"/>
          <w:marRight w:val="0"/>
          <w:marTop w:val="0"/>
          <w:marBottom w:val="0"/>
          <w:divBdr>
            <w:top w:val="none" w:sz="0" w:space="0" w:color="auto"/>
            <w:left w:val="none" w:sz="0" w:space="0" w:color="auto"/>
            <w:bottom w:val="none" w:sz="0" w:space="0" w:color="auto"/>
            <w:right w:val="none" w:sz="0" w:space="0" w:color="auto"/>
          </w:divBdr>
        </w:div>
        <w:div w:id="262684864">
          <w:marLeft w:val="0"/>
          <w:marRight w:val="0"/>
          <w:marTop w:val="0"/>
          <w:marBottom w:val="0"/>
          <w:divBdr>
            <w:top w:val="none" w:sz="0" w:space="0" w:color="auto"/>
            <w:left w:val="none" w:sz="0" w:space="0" w:color="auto"/>
            <w:bottom w:val="none" w:sz="0" w:space="0" w:color="auto"/>
            <w:right w:val="none" w:sz="0" w:space="0" w:color="auto"/>
          </w:divBdr>
        </w:div>
        <w:div w:id="393436307">
          <w:marLeft w:val="0"/>
          <w:marRight w:val="0"/>
          <w:marTop w:val="0"/>
          <w:marBottom w:val="0"/>
          <w:divBdr>
            <w:top w:val="none" w:sz="0" w:space="0" w:color="auto"/>
            <w:left w:val="none" w:sz="0" w:space="0" w:color="auto"/>
            <w:bottom w:val="none" w:sz="0" w:space="0" w:color="auto"/>
            <w:right w:val="none" w:sz="0" w:space="0" w:color="auto"/>
          </w:divBdr>
        </w:div>
        <w:div w:id="144321652">
          <w:marLeft w:val="0"/>
          <w:marRight w:val="0"/>
          <w:marTop w:val="0"/>
          <w:marBottom w:val="0"/>
          <w:divBdr>
            <w:top w:val="none" w:sz="0" w:space="0" w:color="auto"/>
            <w:left w:val="none" w:sz="0" w:space="0" w:color="auto"/>
            <w:bottom w:val="none" w:sz="0" w:space="0" w:color="auto"/>
            <w:right w:val="none" w:sz="0" w:space="0" w:color="auto"/>
          </w:divBdr>
        </w:div>
        <w:div w:id="2074041246">
          <w:marLeft w:val="0"/>
          <w:marRight w:val="0"/>
          <w:marTop w:val="0"/>
          <w:marBottom w:val="0"/>
          <w:divBdr>
            <w:top w:val="none" w:sz="0" w:space="0" w:color="auto"/>
            <w:left w:val="none" w:sz="0" w:space="0" w:color="auto"/>
            <w:bottom w:val="none" w:sz="0" w:space="0" w:color="auto"/>
            <w:right w:val="none" w:sz="0" w:space="0" w:color="auto"/>
          </w:divBdr>
        </w:div>
        <w:div w:id="1395155330">
          <w:marLeft w:val="0"/>
          <w:marRight w:val="0"/>
          <w:marTop w:val="0"/>
          <w:marBottom w:val="0"/>
          <w:divBdr>
            <w:top w:val="none" w:sz="0" w:space="0" w:color="auto"/>
            <w:left w:val="none" w:sz="0" w:space="0" w:color="auto"/>
            <w:bottom w:val="none" w:sz="0" w:space="0" w:color="auto"/>
            <w:right w:val="none" w:sz="0" w:space="0" w:color="auto"/>
          </w:divBdr>
        </w:div>
        <w:div w:id="1558206308">
          <w:marLeft w:val="0"/>
          <w:marRight w:val="0"/>
          <w:marTop w:val="0"/>
          <w:marBottom w:val="0"/>
          <w:divBdr>
            <w:top w:val="none" w:sz="0" w:space="0" w:color="auto"/>
            <w:left w:val="none" w:sz="0" w:space="0" w:color="auto"/>
            <w:bottom w:val="none" w:sz="0" w:space="0" w:color="auto"/>
            <w:right w:val="none" w:sz="0" w:space="0" w:color="auto"/>
          </w:divBdr>
        </w:div>
        <w:div w:id="851337398">
          <w:marLeft w:val="0"/>
          <w:marRight w:val="0"/>
          <w:marTop w:val="0"/>
          <w:marBottom w:val="0"/>
          <w:divBdr>
            <w:top w:val="none" w:sz="0" w:space="0" w:color="auto"/>
            <w:left w:val="none" w:sz="0" w:space="0" w:color="auto"/>
            <w:bottom w:val="none" w:sz="0" w:space="0" w:color="auto"/>
            <w:right w:val="none" w:sz="0" w:space="0" w:color="auto"/>
          </w:divBdr>
        </w:div>
        <w:div w:id="1277982959">
          <w:marLeft w:val="0"/>
          <w:marRight w:val="0"/>
          <w:marTop w:val="0"/>
          <w:marBottom w:val="0"/>
          <w:divBdr>
            <w:top w:val="none" w:sz="0" w:space="0" w:color="auto"/>
            <w:left w:val="none" w:sz="0" w:space="0" w:color="auto"/>
            <w:bottom w:val="none" w:sz="0" w:space="0" w:color="auto"/>
            <w:right w:val="none" w:sz="0" w:space="0" w:color="auto"/>
          </w:divBdr>
        </w:div>
        <w:div w:id="128713037">
          <w:marLeft w:val="0"/>
          <w:marRight w:val="0"/>
          <w:marTop w:val="0"/>
          <w:marBottom w:val="0"/>
          <w:divBdr>
            <w:top w:val="none" w:sz="0" w:space="0" w:color="auto"/>
            <w:left w:val="none" w:sz="0" w:space="0" w:color="auto"/>
            <w:bottom w:val="none" w:sz="0" w:space="0" w:color="auto"/>
            <w:right w:val="none" w:sz="0" w:space="0" w:color="auto"/>
          </w:divBdr>
        </w:div>
        <w:div w:id="1706099242">
          <w:marLeft w:val="0"/>
          <w:marRight w:val="0"/>
          <w:marTop w:val="0"/>
          <w:marBottom w:val="0"/>
          <w:divBdr>
            <w:top w:val="none" w:sz="0" w:space="0" w:color="auto"/>
            <w:left w:val="none" w:sz="0" w:space="0" w:color="auto"/>
            <w:bottom w:val="none" w:sz="0" w:space="0" w:color="auto"/>
            <w:right w:val="none" w:sz="0" w:space="0" w:color="auto"/>
          </w:divBdr>
        </w:div>
        <w:div w:id="207885515">
          <w:marLeft w:val="0"/>
          <w:marRight w:val="0"/>
          <w:marTop w:val="0"/>
          <w:marBottom w:val="0"/>
          <w:divBdr>
            <w:top w:val="none" w:sz="0" w:space="0" w:color="auto"/>
            <w:left w:val="none" w:sz="0" w:space="0" w:color="auto"/>
            <w:bottom w:val="none" w:sz="0" w:space="0" w:color="auto"/>
            <w:right w:val="none" w:sz="0" w:space="0" w:color="auto"/>
          </w:divBdr>
        </w:div>
        <w:div w:id="1228881985">
          <w:marLeft w:val="0"/>
          <w:marRight w:val="0"/>
          <w:marTop w:val="0"/>
          <w:marBottom w:val="0"/>
          <w:divBdr>
            <w:top w:val="none" w:sz="0" w:space="0" w:color="auto"/>
            <w:left w:val="none" w:sz="0" w:space="0" w:color="auto"/>
            <w:bottom w:val="none" w:sz="0" w:space="0" w:color="auto"/>
            <w:right w:val="none" w:sz="0" w:space="0" w:color="auto"/>
          </w:divBdr>
        </w:div>
        <w:div w:id="233513120">
          <w:marLeft w:val="0"/>
          <w:marRight w:val="0"/>
          <w:marTop w:val="0"/>
          <w:marBottom w:val="0"/>
          <w:divBdr>
            <w:top w:val="none" w:sz="0" w:space="0" w:color="auto"/>
            <w:left w:val="none" w:sz="0" w:space="0" w:color="auto"/>
            <w:bottom w:val="none" w:sz="0" w:space="0" w:color="auto"/>
            <w:right w:val="none" w:sz="0" w:space="0" w:color="auto"/>
          </w:divBdr>
        </w:div>
        <w:div w:id="648903133">
          <w:marLeft w:val="0"/>
          <w:marRight w:val="0"/>
          <w:marTop w:val="0"/>
          <w:marBottom w:val="0"/>
          <w:divBdr>
            <w:top w:val="none" w:sz="0" w:space="0" w:color="auto"/>
            <w:left w:val="none" w:sz="0" w:space="0" w:color="auto"/>
            <w:bottom w:val="none" w:sz="0" w:space="0" w:color="auto"/>
            <w:right w:val="none" w:sz="0" w:space="0" w:color="auto"/>
          </w:divBdr>
        </w:div>
        <w:div w:id="1027947224">
          <w:marLeft w:val="0"/>
          <w:marRight w:val="0"/>
          <w:marTop w:val="0"/>
          <w:marBottom w:val="0"/>
          <w:divBdr>
            <w:top w:val="none" w:sz="0" w:space="0" w:color="auto"/>
            <w:left w:val="none" w:sz="0" w:space="0" w:color="auto"/>
            <w:bottom w:val="none" w:sz="0" w:space="0" w:color="auto"/>
            <w:right w:val="none" w:sz="0" w:space="0" w:color="auto"/>
          </w:divBdr>
        </w:div>
        <w:div w:id="164713654">
          <w:marLeft w:val="0"/>
          <w:marRight w:val="0"/>
          <w:marTop w:val="0"/>
          <w:marBottom w:val="0"/>
          <w:divBdr>
            <w:top w:val="none" w:sz="0" w:space="0" w:color="auto"/>
            <w:left w:val="none" w:sz="0" w:space="0" w:color="auto"/>
            <w:bottom w:val="none" w:sz="0" w:space="0" w:color="auto"/>
            <w:right w:val="none" w:sz="0" w:space="0" w:color="auto"/>
          </w:divBdr>
        </w:div>
        <w:div w:id="1670911980">
          <w:marLeft w:val="0"/>
          <w:marRight w:val="0"/>
          <w:marTop w:val="0"/>
          <w:marBottom w:val="0"/>
          <w:divBdr>
            <w:top w:val="none" w:sz="0" w:space="0" w:color="auto"/>
            <w:left w:val="none" w:sz="0" w:space="0" w:color="auto"/>
            <w:bottom w:val="none" w:sz="0" w:space="0" w:color="auto"/>
            <w:right w:val="none" w:sz="0" w:space="0" w:color="auto"/>
          </w:divBdr>
        </w:div>
        <w:div w:id="1080761672">
          <w:marLeft w:val="0"/>
          <w:marRight w:val="0"/>
          <w:marTop w:val="0"/>
          <w:marBottom w:val="0"/>
          <w:divBdr>
            <w:top w:val="none" w:sz="0" w:space="0" w:color="auto"/>
            <w:left w:val="none" w:sz="0" w:space="0" w:color="auto"/>
            <w:bottom w:val="none" w:sz="0" w:space="0" w:color="auto"/>
            <w:right w:val="none" w:sz="0" w:space="0" w:color="auto"/>
          </w:divBdr>
        </w:div>
        <w:div w:id="1457677094">
          <w:marLeft w:val="0"/>
          <w:marRight w:val="0"/>
          <w:marTop w:val="0"/>
          <w:marBottom w:val="0"/>
          <w:divBdr>
            <w:top w:val="none" w:sz="0" w:space="0" w:color="auto"/>
            <w:left w:val="none" w:sz="0" w:space="0" w:color="auto"/>
            <w:bottom w:val="none" w:sz="0" w:space="0" w:color="auto"/>
            <w:right w:val="none" w:sz="0" w:space="0" w:color="auto"/>
          </w:divBdr>
        </w:div>
        <w:div w:id="1251966416">
          <w:marLeft w:val="0"/>
          <w:marRight w:val="0"/>
          <w:marTop w:val="0"/>
          <w:marBottom w:val="0"/>
          <w:divBdr>
            <w:top w:val="none" w:sz="0" w:space="0" w:color="auto"/>
            <w:left w:val="none" w:sz="0" w:space="0" w:color="auto"/>
            <w:bottom w:val="none" w:sz="0" w:space="0" w:color="auto"/>
            <w:right w:val="none" w:sz="0" w:space="0" w:color="auto"/>
          </w:divBdr>
        </w:div>
        <w:div w:id="1145926781">
          <w:marLeft w:val="0"/>
          <w:marRight w:val="0"/>
          <w:marTop w:val="0"/>
          <w:marBottom w:val="0"/>
          <w:divBdr>
            <w:top w:val="none" w:sz="0" w:space="0" w:color="auto"/>
            <w:left w:val="none" w:sz="0" w:space="0" w:color="auto"/>
            <w:bottom w:val="none" w:sz="0" w:space="0" w:color="auto"/>
            <w:right w:val="none" w:sz="0" w:space="0" w:color="auto"/>
          </w:divBdr>
        </w:div>
        <w:div w:id="313141850">
          <w:marLeft w:val="0"/>
          <w:marRight w:val="0"/>
          <w:marTop w:val="0"/>
          <w:marBottom w:val="0"/>
          <w:divBdr>
            <w:top w:val="none" w:sz="0" w:space="0" w:color="auto"/>
            <w:left w:val="none" w:sz="0" w:space="0" w:color="auto"/>
            <w:bottom w:val="none" w:sz="0" w:space="0" w:color="auto"/>
            <w:right w:val="none" w:sz="0" w:space="0" w:color="auto"/>
          </w:divBdr>
        </w:div>
        <w:div w:id="1313633228">
          <w:marLeft w:val="0"/>
          <w:marRight w:val="0"/>
          <w:marTop w:val="0"/>
          <w:marBottom w:val="0"/>
          <w:divBdr>
            <w:top w:val="none" w:sz="0" w:space="0" w:color="auto"/>
            <w:left w:val="none" w:sz="0" w:space="0" w:color="auto"/>
            <w:bottom w:val="none" w:sz="0" w:space="0" w:color="auto"/>
            <w:right w:val="none" w:sz="0" w:space="0" w:color="auto"/>
          </w:divBdr>
        </w:div>
        <w:div w:id="270666473">
          <w:marLeft w:val="0"/>
          <w:marRight w:val="0"/>
          <w:marTop w:val="0"/>
          <w:marBottom w:val="0"/>
          <w:divBdr>
            <w:top w:val="none" w:sz="0" w:space="0" w:color="auto"/>
            <w:left w:val="none" w:sz="0" w:space="0" w:color="auto"/>
            <w:bottom w:val="none" w:sz="0" w:space="0" w:color="auto"/>
            <w:right w:val="none" w:sz="0" w:space="0" w:color="auto"/>
          </w:divBdr>
        </w:div>
        <w:div w:id="535704237">
          <w:marLeft w:val="0"/>
          <w:marRight w:val="0"/>
          <w:marTop w:val="0"/>
          <w:marBottom w:val="0"/>
          <w:divBdr>
            <w:top w:val="none" w:sz="0" w:space="0" w:color="auto"/>
            <w:left w:val="none" w:sz="0" w:space="0" w:color="auto"/>
            <w:bottom w:val="none" w:sz="0" w:space="0" w:color="auto"/>
            <w:right w:val="none" w:sz="0" w:space="0" w:color="auto"/>
          </w:divBdr>
        </w:div>
        <w:div w:id="914053169">
          <w:marLeft w:val="0"/>
          <w:marRight w:val="0"/>
          <w:marTop w:val="0"/>
          <w:marBottom w:val="0"/>
          <w:divBdr>
            <w:top w:val="none" w:sz="0" w:space="0" w:color="auto"/>
            <w:left w:val="none" w:sz="0" w:space="0" w:color="auto"/>
            <w:bottom w:val="none" w:sz="0" w:space="0" w:color="auto"/>
            <w:right w:val="none" w:sz="0" w:space="0" w:color="auto"/>
          </w:divBdr>
        </w:div>
        <w:div w:id="1609387415">
          <w:marLeft w:val="0"/>
          <w:marRight w:val="0"/>
          <w:marTop w:val="0"/>
          <w:marBottom w:val="0"/>
          <w:divBdr>
            <w:top w:val="none" w:sz="0" w:space="0" w:color="auto"/>
            <w:left w:val="none" w:sz="0" w:space="0" w:color="auto"/>
            <w:bottom w:val="none" w:sz="0" w:space="0" w:color="auto"/>
            <w:right w:val="none" w:sz="0" w:space="0" w:color="auto"/>
          </w:divBdr>
        </w:div>
        <w:div w:id="818303984">
          <w:marLeft w:val="0"/>
          <w:marRight w:val="0"/>
          <w:marTop w:val="0"/>
          <w:marBottom w:val="0"/>
          <w:divBdr>
            <w:top w:val="none" w:sz="0" w:space="0" w:color="auto"/>
            <w:left w:val="none" w:sz="0" w:space="0" w:color="auto"/>
            <w:bottom w:val="none" w:sz="0" w:space="0" w:color="auto"/>
            <w:right w:val="none" w:sz="0" w:space="0" w:color="auto"/>
          </w:divBdr>
        </w:div>
        <w:div w:id="823931936">
          <w:marLeft w:val="0"/>
          <w:marRight w:val="0"/>
          <w:marTop w:val="0"/>
          <w:marBottom w:val="0"/>
          <w:divBdr>
            <w:top w:val="none" w:sz="0" w:space="0" w:color="auto"/>
            <w:left w:val="none" w:sz="0" w:space="0" w:color="auto"/>
            <w:bottom w:val="none" w:sz="0" w:space="0" w:color="auto"/>
            <w:right w:val="none" w:sz="0" w:space="0" w:color="auto"/>
          </w:divBdr>
        </w:div>
        <w:div w:id="1490096424">
          <w:marLeft w:val="0"/>
          <w:marRight w:val="0"/>
          <w:marTop w:val="0"/>
          <w:marBottom w:val="0"/>
          <w:divBdr>
            <w:top w:val="none" w:sz="0" w:space="0" w:color="auto"/>
            <w:left w:val="none" w:sz="0" w:space="0" w:color="auto"/>
            <w:bottom w:val="none" w:sz="0" w:space="0" w:color="auto"/>
            <w:right w:val="none" w:sz="0" w:space="0" w:color="auto"/>
          </w:divBdr>
        </w:div>
        <w:div w:id="796217176">
          <w:marLeft w:val="0"/>
          <w:marRight w:val="0"/>
          <w:marTop w:val="0"/>
          <w:marBottom w:val="0"/>
          <w:divBdr>
            <w:top w:val="none" w:sz="0" w:space="0" w:color="auto"/>
            <w:left w:val="none" w:sz="0" w:space="0" w:color="auto"/>
            <w:bottom w:val="none" w:sz="0" w:space="0" w:color="auto"/>
            <w:right w:val="none" w:sz="0" w:space="0" w:color="auto"/>
          </w:divBdr>
        </w:div>
        <w:div w:id="2123761783">
          <w:marLeft w:val="0"/>
          <w:marRight w:val="0"/>
          <w:marTop w:val="0"/>
          <w:marBottom w:val="0"/>
          <w:divBdr>
            <w:top w:val="none" w:sz="0" w:space="0" w:color="auto"/>
            <w:left w:val="none" w:sz="0" w:space="0" w:color="auto"/>
            <w:bottom w:val="none" w:sz="0" w:space="0" w:color="auto"/>
            <w:right w:val="none" w:sz="0" w:space="0" w:color="auto"/>
          </w:divBdr>
        </w:div>
        <w:div w:id="1286422101">
          <w:marLeft w:val="0"/>
          <w:marRight w:val="0"/>
          <w:marTop w:val="0"/>
          <w:marBottom w:val="0"/>
          <w:divBdr>
            <w:top w:val="none" w:sz="0" w:space="0" w:color="auto"/>
            <w:left w:val="none" w:sz="0" w:space="0" w:color="auto"/>
            <w:bottom w:val="none" w:sz="0" w:space="0" w:color="auto"/>
            <w:right w:val="none" w:sz="0" w:space="0" w:color="auto"/>
          </w:divBdr>
        </w:div>
        <w:div w:id="1804696142">
          <w:marLeft w:val="0"/>
          <w:marRight w:val="0"/>
          <w:marTop w:val="0"/>
          <w:marBottom w:val="0"/>
          <w:divBdr>
            <w:top w:val="none" w:sz="0" w:space="0" w:color="auto"/>
            <w:left w:val="none" w:sz="0" w:space="0" w:color="auto"/>
            <w:bottom w:val="none" w:sz="0" w:space="0" w:color="auto"/>
            <w:right w:val="none" w:sz="0" w:space="0" w:color="auto"/>
          </w:divBdr>
        </w:div>
        <w:div w:id="996766861">
          <w:marLeft w:val="0"/>
          <w:marRight w:val="0"/>
          <w:marTop w:val="0"/>
          <w:marBottom w:val="0"/>
          <w:divBdr>
            <w:top w:val="none" w:sz="0" w:space="0" w:color="auto"/>
            <w:left w:val="none" w:sz="0" w:space="0" w:color="auto"/>
            <w:bottom w:val="none" w:sz="0" w:space="0" w:color="auto"/>
            <w:right w:val="none" w:sz="0" w:space="0" w:color="auto"/>
          </w:divBdr>
        </w:div>
        <w:div w:id="1632902090">
          <w:marLeft w:val="0"/>
          <w:marRight w:val="0"/>
          <w:marTop w:val="0"/>
          <w:marBottom w:val="0"/>
          <w:divBdr>
            <w:top w:val="none" w:sz="0" w:space="0" w:color="auto"/>
            <w:left w:val="none" w:sz="0" w:space="0" w:color="auto"/>
            <w:bottom w:val="none" w:sz="0" w:space="0" w:color="auto"/>
            <w:right w:val="none" w:sz="0" w:space="0" w:color="auto"/>
          </w:divBdr>
        </w:div>
      </w:divsChild>
    </w:div>
    <w:div w:id="919096795">
      <w:bodyDiv w:val="1"/>
      <w:marLeft w:val="0"/>
      <w:marRight w:val="0"/>
      <w:marTop w:val="0"/>
      <w:marBottom w:val="0"/>
      <w:divBdr>
        <w:top w:val="none" w:sz="0" w:space="0" w:color="auto"/>
        <w:left w:val="none" w:sz="0" w:space="0" w:color="auto"/>
        <w:bottom w:val="none" w:sz="0" w:space="0" w:color="auto"/>
        <w:right w:val="none" w:sz="0" w:space="0" w:color="auto"/>
      </w:divBdr>
      <w:divsChild>
        <w:div w:id="1591233446">
          <w:marLeft w:val="0"/>
          <w:marRight w:val="0"/>
          <w:marTop w:val="0"/>
          <w:marBottom w:val="0"/>
          <w:divBdr>
            <w:top w:val="none" w:sz="0" w:space="0" w:color="auto"/>
            <w:left w:val="none" w:sz="0" w:space="0" w:color="auto"/>
            <w:bottom w:val="none" w:sz="0" w:space="0" w:color="auto"/>
            <w:right w:val="none" w:sz="0" w:space="0" w:color="auto"/>
          </w:divBdr>
        </w:div>
        <w:div w:id="1302538647">
          <w:marLeft w:val="0"/>
          <w:marRight w:val="0"/>
          <w:marTop w:val="0"/>
          <w:marBottom w:val="0"/>
          <w:divBdr>
            <w:top w:val="none" w:sz="0" w:space="0" w:color="auto"/>
            <w:left w:val="none" w:sz="0" w:space="0" w:color="auto"/>
            <w:bottom w:val="none" w:sz="0" w:space="0" w:color="auto"/>
            <w:right w:val="none" w:sz="0" w:space="0" w:color="auto"/>
          </w:divBdr>
        </w:div>
        <w:div w:id="735906309">
          <w:marLeft w:val="0"/>
          <w:marRight w:val="0"/>
          <w:marTop w:val="0"/>
          <w:marBottom w:val="0"/>
          <w:divBdr>
            <w:top w:val="none" w:sz="0" w:space="0" w:color="auto"/>
            <w:left w:val="none" w:sz="0" w:space="0" w:color="auto"/>
            <w:bottom w:val="none" w:sz="0" w:space="0" w:color="auto"/>
            <w:right w:val="none" w:sz="0" w:space="0" w:color="auto"/>
          </w:divBdr>
        </w:div>
        <w:div w:id="1908687570">
          <w:marLeft w:val="0"/>
          <w:marRight w:val="0"/>
          <w:marTop w:val="0"/>
          <w:marBottom w:val="0"/>
          <w:divBdr>
            <w:top w:val="none" w:sz="0" w:space="0" w:color="auto"/>
            <w:left w:val="none" w:sz="0" w:space="0" w:color="auto"/>
            <w:bottom w:val="none" w:sz="0" w:space="0" w:color="auto"/>
            <w:right w:val="none" w:sz="0" w:space="0" w:color="auto"/>
          </w:divBdr>
        </w:div>
        <w:div w:id="38210890">
          <w:marLeft w:val="0"/>
          <w:marRight w:val="0"/>
          <w:marTop w:val="0"/>
          <w:marBottom w:val="0"/>
          <w:divBdr>
            <w:top w:val="none" w:sz="0" w:space="0" w:color="auto"/>
            <w:left w:val="none" w:sz="0" w:space="0" w:color="auto"/>
            <w:bottom w:val="none" w:sz="0" w:space="0" w:color="auto"/>
            <w:right w:val="none" w:sz="0" w:space="0" w:color="auto"/>
          </w:divBdr>
        </w:div>
        <w:div w:id="1769353196">
          <w:marLeft w:val="0"/>
          <w:marRight w:val="0"/>
          <w:marTop w:val="0"/>
          <w:marBottom w:val="0"/>
          <w:divBdr>
            <w:top w:val="none" w:sz="0" w:space="0" w:color="auto"/>
            <w:left w:val="none" w:sz="0" w:space="0" w:color="auto"/>
            <w:bottom w:val="none" w:sz="0" w:space="0" w:color="auto"/>
            <w:right w:val="none" w:sz="0" w:space="0" w:color="auto"/>
          </w:divBdr>
        </w:div>
        <w:div w:id="2009476294">
          <w:marLeft w:val="0"/>
          <w:marRight w:val="0"/>
          <w:marTop w:val="0"/>
          <w:marBottom w:val="0"/>
          <w:divBdr>
            <w:top w:val="none" w:sz="0" w:space="0" w:color="auto"/>
            <w:left w:val="none" w:sz="0" w:space="0" w:color="auto"/>
            <w:bottom w:val="none" w:sz="0" w:space="0" w:color="auto"/>
            <w:right w:val="none" w:sz="0" w:space="0" w:color="auto"/>
          </w:divBdr>
        </w:div>
        <w:div w:id="1340277404">
          <w:marLeft w:val="0"/>
          <w:marRight w:val="0"/>
          <w:marTop w:val="0"/>
          <w:marBottom w:val="0"/>
          <w:divBdr>
            <w:top w:val="none" w:sz="0" w:space="0" w:color="auto"/>
            <w:left w:val="none" w:sz="0" w:space="0" w:color="auto"/>
            <w:bottom w:val="none" w:sz="0" w:space="0" w:color="auto"/>
            <w:right w:val="none" w:sz="0" w:space="0" w:color="auto"/>
          </w:divBdr>
        </w:div>
        <w:div w:id="747195579">
          <w:marLeft w:val="0"/>
          <w:marRight w:val="0"/>
          <w:marTop w:val="0"/>
          <w:marBottom w:val="0"/>
          <w:divBdr>
            <w:top w:val="none" w:sz="0" w:space="0" w:color="auto"/>
            <w:left w:val="none" w:sz="0" w:space="0" w:color="auto"/>
            <w:bottom w:val="none" w:sz="0" w:space="0" w:color="auto"/>
            <w:right w:val="none" w:sz="0" w:space="0" w:color="auto"/>
          </w:divBdr>
        </w:div>
      </w:divsChild>
    </w:div>
    <w:div w:id="934050425">
      <w:bodyDiv w:val="1"/>
      <w:marLeft w:val="0"/>
      <w:marRight w:val="0"/>
      <w:marTop w:val="0"/>
      <w:marBottom w:val="0"/>
      <w:divBdr>
        <w:top w:val="none" w:sz="0" w:space="0" w:color="auto"/>
        <w:left w:val="none" w:sz="0" w:space="0" w:color="auto"/>
        <w:bottom w:val="none" w:sz="0" w:space="0" w:color="auto"/>
        <w:right w:val="none" w:sz="0" w:space="0" w:color="auto"/>
      </w:divBdr>
      <w:divsChild>
        <w:div w:id="844367546">
          <w:marLeft w:val="0"/>
          <w:marRight w:val="0"/>
          <w:marTop w:val="0"/>
          <w:marBottom w:val="0"/>
          <w:divBdr>
            <w:top w:val="none" w:sz="0" w:space="0" w:color="auto"/>
            <w:left w:val="none" w:sz="0" w:space="0" w:color="auto"/>
            <w:bottom w:val="none" w:sz="0" w:space="0" w:color="auto"/>
            <w:right w:val="none" w:sz="0" w:space="0" w:color="auto"/>
          </w:divBdr>
        </w:div>
        <w:div w:id="313998032">
          <w:marLeft w:val="0"/>
          <w:marRight w:val="0"/>
          <w:marTop w:val="0"/>
          <w:marBottom w:val="0"/>
          <w:divBdr>
            <w:top w:val="none" w:sz="0" w:space="0" w:color="auto"/>
            <w:left w:val="none" w:sz="0" w:space="0" w:color="auto"/>
            <w:bottom w:val="none" w:sz="0" w:space="0" w:color="auto"/>
            <w:right w:val="none" w:sz="0" w:space="0" w:color="auto"/>
          </w:divBdr>
        </w:div>
        <w:div w:id="1333684127">
          <w:marLeft w:val="0"/>
          <w:marRight w:val="0"/>
          <w:marTop w:val="0"/>
          <w:marBottom w:val="0"/>
          <w:divBdr>
            <w:top w:val="none" w:sz="0" w:space="0" w:color="auto"/>
            <w:left w:val="none" w:sz="0" w:space="0" w:color="auto"/>
            <w:bottom w:val="none" w:sz="0" w:space="0" w:color="auto"/>
            <w:right w:val="none" w:sz="0" w:space="0" w:color="auto"/>
          </w:divBdr>
        </w:div>
        <w:div w:id="1942108842">
          <w:marLeft w:val="0"/>
          <w:marRight w:val="0"/>
          <w:marTop w:val="0"/>
          <w:marBottom w:val="0"/>
          <w:divBdr>
            <w:top w:val="none" w:sz="0" w:space="0" w:color="auto"/>
            <w:left w:val="none" w:sz="0" w:space="0" w:color="auto"/>
            <w:bottom w:val="none" w:sz="0" w:space="0" w:color="auto"/>
            <w:right w:val="none" w:sz="0" w:space="0" w:color="auto"/>
          </w:divBdr>
        </w:div>
        <w:div w:id="343167536">
          <w:marLeft w:val="0"/>
          <w:marRight w:val="0"/>
          <w:marTop w:val="0"/>
          <w:marBottom w:val="0"/>
          <w:divBdr>
            <w:top w:val="none" w:sz="0" w:space="0" w:color="auto"/>
            <w:left w:val="none" w:sz="0" w:space="0" w:color="auto"/>
            <w:bottom w:val="none" w:sz="0" w:space="0" w:color="auto"/>
            <w:right w:val="none" w:sz="0" w:space="0" w:color="auto"/>
          </w:divBdr>
        </w:div>
        <w:div w:id="409549114">
          <w:marLeft w:val="0"/>
          <w:marRight w:val="0"/>
          <w:marTop w:val="0"/>
          <w:marBottom w:val="0"/>
          <w:divBdr>
            <w:top w:val="none" w:sz="0" w:space="0" w:color="auto"/>
            <w:left w:val="none" w:sz="0" w:space="0" w:color="auto"/>
            <w:bottom w:val="none" w:sz="0" w:space="0" w:color="auto"/>
            <w:right w:val="none" w:sz="0" w:space="0" w:color="auto"/>
          </w:divBdr>
        </w:div>
        <w:div w:id="39483152">
          <w:marLeft w:val="0"/>
          <w:marRight w:val="0"/>
          <w:marTop w:val="0"/>
          <w:marBottom w:val="0"/>
          <w:divBdr>
            <w:top w:val="none" w:sz="0" w:space="0" w:color="auto"/>
            <w:left w:val="none" w:sz="0" w:space="0" w:color="auto"/>
            <w:bottom w:val="none" w:sz="0" w:space="0" w:color="auto"/>
            <w:right w:val="none" w:sz="0" w:space="0" w:color="auto"/>
          </w:divBdr>
        </w:div>
        <w:div w:id="1323122011">
          <w:marLeft w:val="0"/>
          <w:marRight w:val="0"/>
          <w:marTop w:val="0"/>
          <w:marBottom w:val="0"/>
          <w:divBdr>
            <w:top w:val="none" w:sz="0" w:space="0" w:color="auto"/>
            <w:left w:val="none" w:sz="0" w:space="0" w:color="auto"/>
            <w:bottom w:val="none" w:sz="0" w:space="0" w:color="auto"/>
            <w:right w:val="none" w:sz="0" w:space="0" w:color="auto"/>
          </w:divBdr>
        </w:div>
        <w:div w:id="1981494354">
          <w:marLeft w:val="0"/>
          <w:marRight w:val="0"/>
          <w:marTop w:val="0"/>
          <w:marBottom w:val="0"/>
          <w:divBdr>
            <w:top w:val="none" w:sz="0" w:space="0" w:color="auto"/>
            <w:left w:val="none" w:sz="0" w:space="0" w:color="auto"/>
            <w:bottom w:val="none" w:sz="0" w:space="0" w:color="auto"/>
            <w:right w:val="none" w:sz="0" w:space="0" w:color="auto"/>
          </w:divBdr>
        </w:div>
        <w:div w:id="1387070674">
          <w:marLeft w:val="0"/>
          <w:marRight w:val="0"/>
          <w:marTop w:val="0"/>
          <w:marBottom w:val="0"/>
          <w:divBdr>
            <w:top w:val="none" w:sz="0" w:space="0" w:color="auto"/>
            <w:left w:val="none" w:sz="0" w:space="0" w:color="auto"/>
            <w:bottom w:val="none" w:sz="0" w:space="0" w:color="auto"/>
            <w:right w:val="none" w:sz="0" w:space="0" w:color="auto"/>
          </w:divBdr>
        </w:div>
        <w:div w:id="2119786580">
          <w:marLeft w:val="0"/>
          <w:marRight w:val="0"/>
          <w:marTop w:val="0"/>
          <w:marBottom w:val="0"/>
          <w:divBdr>
            <w:top w:val="none" w:sz="0" w:space="0" w:color="auto"/>
            <w:left w:val="none" w:sz="0" w:space="0" w:color="auto"/>
            <w:bottom w:val="none" w:sz="0" w:space="0" w:color="auto"/>
            <w:right w:val="none" w:sz="0" w:space="0" w:color="auto"/>
          </w:divBdr>
        </w:div>
        <w:div w:id="463238900">
          <w:marLeft w:val="0"/>
          <w:marRight w:val="0"/>
          <w:marTop w:val="0"/>
          <w:marBottom w:val="0"/>
          <w:divBdr>
            <w:top w:val="none" w:sz="0" w:space="0" w:color="auto"/>
            <w:left w:val="none" w:sz="0" w:space="0" w:color="auto"/>
            <w:bottom w:val="none" w:sz="0" w:space="0" w:color="auto"/>
            <w:right w:val="none" w:sz="0" w:space="0" w:color="auto"/>
          </w:divBdr>
        </w:div>
        <w:div w:id="219828742">
          <w:marLeft w:val="0"/>
          <w:marRight w:val="0"/>
          <w:marTop w:val="0"/>
          <w:marBottom w:val="0"/>
          <w:divBdr>
            <w:top w:val="none" w:sz="0" w:space="0" w:color="auto"/>
            <w:left w:val="none" w:sz="0" w:space="0" w:color="auto"/>
            <w:bottom w:val="none" w:sz="0" w:space="0" w:color="auto"/>
            <w:right w:val="none" w:sz="0" w:space="0" w:color="auto"/>
          </w:divBdr>
        </w:div>
        <w:div w:id="1561792839">
          <w:marLeft w:val="0"/>
          <w:marRight w:val="0"/>
          <w:marTop w:val="0"/>
          <w:marBottom w:val="0"/>
          <w:divBdr>
            <w:top w:val="none" w:sz="0" w:space="0" w:color="auto"/>
            <w:left w:val="none" w:sz="0" w:space="0" w:color="auto"/>
            <w:bottom w:val="none" w:sz="0" w:space="0" w:color="auto"/>
            <w:right w:val="none" w:sz="0" w:space="0" w:color="auto"/>
          </w:divBdr>
        </w:div>
        <w:div w:id="1544555871">
          <w:marLeft w:val="0"/>
          <w:marRight w:val="0"/>
          <w:marTop w:val="0"/>
          <w:marBottom w:val="0"/>
          <w:divBdr>
            <w:top w:val="none" w:sz="0" w:space="0" w:color="auto"/>
            <w:left w:val="none" w:sz="0" w:space="0" w:color="auto"/>
            <w:bottom w:val="none" w:sz="0" w:space="0" w:color="auto"/>
            <w:right w:val="none" w:sz="0" w:space="0" w:color="auto"/>
          </w:divBdr>
        </w:div>
        <w:div w:id="146828913">
          <w:marLeft w:val="0"/>
          <w:marRight w:val="0"/>
          <w:marTop w:val="0"/>
          <w:marBottom w:val="0"/>
          <w:divBdr>
            <w:top w:val="none" w:sz="0" w:space="0" w:color="auto"/>
            <w:left w:val="none" w:sz="0" w:space="0" w:color="auto"/>
            <w:bottom w:val="none" w:sz="0" w:space="0" w:color="auto"/>
            <w:right w:val="none" w:sz="0" w:space="0" w:color="auto"/>
          </w:divBdr>
        </w:div>
        <w:div w:id="185102499">
          <w:marLeft w:val="0"/>
          <w:marRight w:val="0"/>
          <w:marTop w:val="0"/>
          <w:marBottom w:val="0"/>
          <w:divBdr>
            <w:top w:val="none" w:sz="0" w:space="0" w:color="auto"/>
            <w:left w:val="none" w:sz="0" w:space="0" w:color="auto"/>
            <w:bottom w:val="none" w:sz="0" w:space="0" w:color="auto"/>
            <w:right w:val="none" w:sz="0" w:space="0" w:color="auto"/>
          </w:divBdr>
        </w:div>
        <w:div w:id="1457258685">
          <w:marLeft w:val="0"/>
          <w:marRight w:val="0"/>
          <w:marTop w:val="0"/>
          <w:marBottom w:val="0"/>
          <w:divBdr>
            <w:top w:val="none" w:sz="0" w:space="0" w:color="auto"/>
            <w:left w:val="none" w:sz="0" w:space="0" w:color="auto"/>
            <w:bottom w:val="none" w:sz="0" w:space="0" w:color="auto"/>
            <w:right w:val="none" w:sz="0" w:space="0" w:color="auto"/>
          </w:divBdr>
        </w:div>
        <w:div w:id="1418136322">
          <w:marLeft w:val="0"/>
          <w:marRight w:val="0"/>
          <w:marTop w:val="0"/>
          <w:marBottom w:val="0"/>
          <w:divBdr>
            <w:top w:val="none" w:sz="0" w:space="0" w:color="auto"/>
            <w:left w:val="none" w:sz="0" w:space="0" w:color="auto"/>
            <w:bottom w:val="none" w:sz="0" w:space="0" w:color="auto"/>
            <w:right w:val="none" w:sz="0" w:space="0" w:color="auto"/>
          </w:divBdr>
        </w:div>
        <w:div w:id="1421177075">
          <w:marLeft w:val="0"/>
          <w:marRight w:val="0"/>
          <w:marTop w:val="0"/>
          <w:marBottom w:val="0"/>
          <w:divBdr>
            <w:top w:val="none" w:sz="0" w:space="0" w:color="auto"/>
            <w:left w:val="none" w:sz="0" w:space="0" w:color="auto"/>
            <w:bottom w:val="none" w:sz="0" w:space="0" w:color="auto"/>
            <w:right w:val="none" w:sz="0" w:space="0" w:color="auto"/>
          </w:divBdr>
        </w:div>
      </w:divsChild>
    </w:div>
    <w:div w:id="960114007">
      <w:bodyDiv w:val="1"/>
      <w:marLeft w:val="0"/>
      <w:marRight w:val="0"/>
      <w:marTop w:val="0"/>
      <w:marBottom w:val="0"/>
      <w:divBdr>
        <w:top w:val="none" w:sz="0" w:space="0" w:color="auto"/>
        <w:left w:val="none" w:sz="0" w:space="0" w:color="auto"/>
        <w:bottom w:val="none" w:sz="0" w:space="0" w:color="auto"/>
        <w:right w:val="none" w:sz="0" w:space="0" w:color="auto"/>
      </w:divBdr>
      <w:divsChild>
        <w:div w:id="2092196926">
          <w:marLeft w:val="0"/>
          <w:marRight w:val="0"/>
          <w:marTop w:val="0"/>
          <w:marBottom w:val="0"/>
          <w:divBdr>
            <w:top w:val="none" w:sz="0" w:space="0" w:color="auto"/>
            <w:left w:val="none" w:sz="0" w:space="0" w:color="auto"/>
            <w:bottom w:val="none" w:sz="0" w:space="0" w:color="auto"/>
            <w:right w:val="none" w:sz="0" w:space="0" w:color="auto"/>
          </w:divBdr>
          <w:divsChild>
            <w:div w:id="128341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675494">
      <w:bodyDiv w:val="1"/>
      <w:marLeft w:val="0"/>
      <w:marRight w:val="0"/>
      <w:marTop w:val="0"/>
      <w:marBottom w:val="0"/>
      <w:divBdr>
        <w:top w:val="none" w:sz="0" w:space="0" w:color="auto"/>
        <w:left w:val="none" w:sz="0" w:space="0" w:color="auto"/>
        <w:bottom w:val="none" w:sz="0" w:space="0" w:color="auto"/>
        <w:right w:val="none" w:sz="0" w:space="0" w:color="auto"/>
      </w:divBdr>
      <w:divsChild>
        <w:div w:id="327946426">
          <w:marLeft w:val="0"/>
          <w:marRight w:val="0"/>
          <w:marTop w:val="0"/>
          <w:marBottom w:val="0"/>
          <w:divBdr>
            <w:top w:val="none" w:sz="0" w:space="0" w:color="auto"/>
            <w:left w:val="none" w:sz="0" w:space="0" w:color="auto"/>
            <w:bottom w:val="none" w:sz="0" w:space="0" w:color="auto"/>
            <w:right w:val="none" w:sz="0" w:space="0" w:color="auto"/>
          </w:divBdr>
          <w:divsChild>
            <w:div w:id="21628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802595">
      <w:bodyDiv w:val="1"/>
      <w:marLeft w:val="0"/>
      <w:marRight w:val="0"/>
      <w:marTop w:val="0"/>
      <w:marBottom w:val="0"/>
      <w:divBdr>
        <w:top w:val="none" w:sz="0" w:space="0" w:color="auto"/>
        <w:left w:val="none" w:sz="0" w:space="0" w:color="auto"/>
        <w:bottom w:val="none" w:sz="0" w:space="0" w:color="auto"/>
        <w:right w:val="none" w:sz="0" w:space="0" w:color="auto"/>
      </w:divBdr>
      <w:divsChild>
        <w:div w:id="2015958092">
          <w:marLeft w:val="0"/>
          <w:marRight w:val="0"/>
          <w:marTop w:val="0"/>
          <w:marBottom w:val="0"/>
          <w:divBdr>
            <w:top w:val="none" w:sz="0" w:space="0" w:color="auto"/>
            <w:left w:val="none" w:sz="0" w:space="0" w:color="auto"/>
            <w:bottom w:val="none" w:sz="0" w:space="0" w:color="auto"/>
            <w:right w:val="none" w:sz="0" w:space="0" w:color="auto"/>
          </w:divBdr>
          <w:divsChild>
            <w:div w:id="1424567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399748">
      <w:bodyDiv w:val="1"/>
      <w:marLeft w:val="0"/>
      <w:marRight w:val="0"/>
      <w:marTop w:val="0"/>
      <w:marBottom w:val="0"/>
      <w:divBdr>
        <w:top w:val="none" w:sz="0" w:space="0" w:color="auto"/>
        <w:left w:val="none" w:sz="0" w:space="0" w:color="auto"/>
        <w:bottom w:val="none" w:sz="0" w:space="0" w:color="auto"/>
        <w:right w:val="none" w:sz="0" w:space="0" w:color="auto"/>
      </w:divBdr>
      <w:divsChild>
        <w:div w:id="1811511344">
          <w:marLeft w:val="0"/>
          <w:marRight w:val="0"/>
          <w:marTop w:val="0"/>
          <w:marBottom w:val="0"/>
          <w:divBdr>
            <w:top w:val="none" w:sz="0" w:space="0" w:color="auto"/>
            <w:left w:val="none" w:sz="0" w:space="0" w:color="auto"/>
            <w:bottom w:val="none" w:sz="0" w:space="0" w:color="auto"/>
            <w:right w:val="none" w:sz="0" w:space="0" w:color="auto"/>
          </w:divBdr>
        </w:div>
        <w:div w:id="1925333007">
          <w:marLeft w:val="0"/>
          <w:marRight w:val="0"/>
          <w:marTop w:val="0"/>
          <w:marBottom w:val="0"/>
          <w:divBdr>
            <w:top w:val="none" w:sz="0" w:space="0" w:color="auto"/>
            <w:left w:val="none" w:sz="0" w:space="0" w:color="auto"/>
            <w:bottom w:val="none" w:sz="0" w:space="0" w:color="auto"/>
            <w:right w:val="none" w:sz="0" w:space="0" w:color="auto"/>
          </w:divBdr>
        </w:div>
        <w:div w:id="270015707">
          <w:marLeft w:val="0"/>
          <w:marRight w:val="0"/>
          <w:marTop w:val="0"/>
          <w:marBottom w:val="0"/>
          <w:divBdr>
            <w:top w:val="none" w:sz="0" w:space="0" w:color="auto"/>
            <w:left w:val="none" w:sz="0" w:space="0" w:color="auto"/>
            <w:bottom w:val="none" w:sz="0" w:space="0" w:color="auto"/>
            <w:right w:val="none" w:sz="0" w:space="0" w:color="auto"/>
          </w:divBdr>
        </w:div>
        <w:div w:id="114105412">
          <w:marLeft w:val="0"/>
          <w:marRight w:val="0"/>
          <w:marTop w:val="0"/>
          <w:marBottom w:val="0"/>
          <w:divBdr>
            <w:top w:val="none" w:sz="0" w:space="0" w:color="auto"/>
            <w:left w:val="none" w:sz="0" w:space="0" w:color="auto"/>
            <w:bottom w:val="none" w:sz="0" w:space="0" w:color="auto"/>
            <w:right w:val="none" w:sz="0" w:space="0" w:color="auto"/>
          </w:divBdr>
        </w:div>
        <w:div w:id="1991254218">
          <w:marLeft w:val="0"/>
          <w:marRight w:val="0"/>
          <w:marTop w:val="0"/>
          <w:marBottom w:val="0"/>
          <w:divBdr>
            <w:top w:val="none" w:sz="0" w:space="0" w:color="auto"/>
            <w:left w:val="none" w:sz="0" w:space="0" w:color="auto"/>
            <w:bottom w:val="none" w:sz="0" w:space="0" w:color="auto"/>
            <w:right w:val="none" w:sz="0" w:space="0" w:color="auto"/>
          </w:divBdr>
        </w:div>
        <w:div w:id="58283808">
          <w:marLeft w:val="0"/>
          <w:marRight w:val="0"/>
          <w:marTop w:val="0"/>
          <w:marBottom w:val="0"/>
          <w:divBdr>
            <w:top w:val="none" w:sz="0" w:space="0" w:color="auto"/>
            <w:left w:val="none" w:sz="0" w:space="0" w:color="auto"/>
            <w:bottom w:val="none" w:sz="0" w:space="0" w:color="auto"/>
            <w:right w:val="none" w:sz="0" w:space="0" w:color="auto"/>
          </w:divBdr>
        </w:div>
        <w:div w:id="2110078009">
          <w:marLeft w:val="0"/>
          <w:marRight w:val="0"/>
          <w:marTop w:val="0"/>
          <w:marBottom w:val="0"/>
          <w:divBdr>
            <w:top w:val="none" w:sz="0" w:space="0" w:color="auto"/>
            <w:left w:val="none" w:sz="0" w:space="0" w:color="auto"/>
            <w:bottom w:val="none" w:sz="0" w:space="0" w:color="auto"/>
            <w:right w:val="none" w:sz="0" w:space="0" w:color="auto"/>
          </w:divBdr>
        </w:div>
        <w:div w:id="2121755612">
          <w:marLeft w:val="0"/>
          <w:marRight w:val="0"/>
          <w:marTop w:val="0"/>
          <w:marBottom w:val="0"/>
          <w:divBdr>
            <w:top w:val="none" w:sz="0" w:space="0" w:color="auto"/>
            <w:left w:val="none" w:sz="0" w:space="0" w:color="auto"/>
            <w:bottom w:val="none" w:sz="0" w:space="0" w:color="auto"/>
            <w:right w:val="none" w:sz="0" w:space="0" w:color="auto"/>
          </w:divBdr>
        </w:div>
        <w:div w:id="2098405265">
          <w:marLeft w:val="0"/>
          <w:marRight w:val="0"/>
          <w:marTop w:val="0"/>
          <w:marBottom w:val="0"/>
          <w:divBdr>
            <w:top w:val="none" w:sz="0" w:space="0" w:color="auto"/>
            <w:left w:val="none" w:sz="0" w:space="0" w:color="auto"/>
            <w:bottom w:val="none" w:sz="0" w:space="0" w:color="auto"/>
            <w:right w:val="none" w:sz="0" w:space="0" w:color="auto"/>
          </w:divBdr>
        </w:div>
        <w:div w:id="310254037">
          <w:marLeft w:val="0"/>
          <w:marRight w:val="0"/>
          <w:marTop w:val="0"/>
          <w:marBottom w:val="0"/>
          <w:divBdr>
            <w:top w:val="none" w:sz="0" w:space="0" w:color="auto"/>
            <w:left w:val="none" w:sz="0" w:space="0" w:color="auto"/>
            <w:bottom w:val="none" w:sz="0" w:space="0" w:color="auto"/>
            <w:right w:val="none" w:sz="0" w:space="0" w:color="auto"/>
          </w:divBdr>
        </w:div>
        <w:div w:id="425544569">
          <w:marLeft w:val="0"/>
          <w:marRight w:val="0"/>
          <w:marTop w:val="0"/>
          <w:marBottom w:val="0"/>
          <w:divBdr>
            <w:top w:val="none" w:sz="0" w:space="0" w:color="auto"/>
            <w:left w:val="none" w:sz="0" w:space="0" w:color="auto"/>
            <w:bottom w:val="none" w:sz="0" w:space="0" w:color="auto"/>
            <w:right w:val="none" w:sz="0" w:space="0" w:color="auto"/>
          </w:divBdr>
        </w:div>
        <w:div w:id="2048989123">
          <w:marLeft w:val="0"/>
          <w:marRight w:val="0"/>
          <w:marTop w:val="0"/>
          <w:marBottom w:val="0"/>
          <w:divBdr>
            <w:top w:val="none" w:sz="0" w:space="0" w:color="auto"/>
            <w:left w:val="none" w:sz="0" w:space="0" w:color="auto"/>
            <w:bottom w:val="none" w:sz="0" w:space="0" w:color="auto"/>
            <w:right w:val="none" w:sz="0" w:space="0" w:color="auto"/>
          </w:divBdr>
        </w:div>
        <w:div w:id="313486142">
          <w:marLeft w:val="0"/>
          <w:marRight w:val="0"/>
          <w:marTop w:val="0"/>
          <w:marBottom w:val="0"/>
          <w:divBdr>
            <w:top w:val="none" w:sz="0" w:space="0" w:color="auto"/>
            <w:left w:val="none" w:sz="0" w:space="0" w:color="auto"/>
            <w:bottom w:val="none" w:sz="0" w:space="0" w:color="auto"/>
            <w:right w:val="none" w:sz="0" w:space="0" w:color="auto"/>
          </w:divBdr>
        </w:div>
        <w:div w:id="1283918748">
          <w:marLeft w:val="0"/>
          <w:marRight w:val="0"/>
          <w:marTop w:val="0"/>
          <w:marBottom w:val="0"/>
          <w:divBdr>
            <w:top w:val="none" w:sz="0" w:space="0" w:color="auto"/>
            <w:left w:val="none" w:sz="0" w:space="0" w:color="auto"/>
            <w:bottom w:val="none" w:sz="0" w:space="0" w:color="auto"/>
            <w:right w:val="none" w:sz="0" w:space="0" w:color="auto"/>
          </w:divBdr>
        </w:div>
        <w:div w:id="1955094856">
          <w:marLeft w:val="0"/>
          <w:marRight w:val="0"/>
          <w:marTop w:val="0"/>
          <w:marBottom w:val="0"/>
          <w:divBdr>
            <w:top w:val="none" w:sz="0" w:space="0" w:color="auto"/>
            <w:left w:val="none" w:sz="0" w:space="0" w:color="auto"/>
            <w:bottom w:val="none" w:sz="0" w:space="0" w:color="auto"/>
            <w:right w:val="none" w:sz="0" w:space="0" w:color="auto"/>
          </w:divBdr>
        </w:div>
        <w:div w:id="589311528">
          <w:marLeft w:val="0"/>
          <w:marRight w:val="0"/>
          <w:marTop w:val="0"/>
          <w:marBottom w:val="0"/>
          <w:divBdr>
            <w:top w:val="none" w:sz="0" w:space="0" w:color="auto"/>
            <w:left w:val="none" w:sz="0" w:space="0" w:color="auto"/>
            <w:bottom w:val="none" w:sz="0" w:space="0" w:color="auto"/>
            <w:right w:val="none" w:sz="0" w:space="0" w:color="auto"/>
          </w:divBdr>
        </w:div>
      </w:divsChild>
    </w:div>
    <w:div w:id="1037704845">
      <w:bodyDiv w:val="1"/>
      <w:marLeft w:val="0"/>
      <w:marRight w:val="0"/>
      <w:marTop w:val="0"/>
      <w:marBottom w:val="0"/>
      <w:divBdr>
        <w:top w:val="none" w:sz="0" w:space="0" w:color="auto"/>
        <w:left w:val="none" w:sz="0" w:space="0" w:color="auto"/>
        <w:bottom w:val="none" w:sz="0" w:space="0" w:color="auto"/>
        <w:right w:val="none" w:sz="0" w:space="0" w:color="auto"/>
      </w:divBdr>
    </w:div>
    <w:div w:id="1054088623">
      <w:bodyDiv w:val="1"/>
      <w:marLeft w:val="0"/>
      <w:marRight w:val="0"/>
      <w:marTop w:val="0"/>
      <w:marBottom w:val="0"/>
      <w:divBdr>
        <w:top w:val="none" w:sz="0" w:space="0" w:color="auto"/>
        <w:left w:val="none" w:sz="0" w:space="0" w:color="auto"/>
        <w:bottom w:val="none" w:sz="0" w:space="0" w:color="auto"/>
        <w:right w:val="none" w:sz="0" w:space="0" w:color="auto"/>
      </w:divBdr>
      <w:divsChild>
        <w:div w:id="1386879680">
          <w:marLeft w:val="0"/>
          <w:marRight w:val="0"/>
          <w:marTop w:val="0"/>
          <w:marBottom w:val="0"/>
          <w:divBdr>
            <w:top w:val="none" w:sz="0" w:space="0" w:color="auto"/>
            <w:left w:val="none" w:sz="0" w:space="0" w:color="auto"/>
            <w:bottom w:val="none" w:sz="0" w:space="0" w:color="auto"/>
            <w:right w:val="none" w:sz="0" w:space="0" w:color="auto"/>
          </w:divBdr>
        </w:div>
        <w:div w:id="1317221749">
          <w:marLeft w:val="0"/>
          <w:marRight w:val="0"/>
          <w:marTop w:val="0"/>
          <w:marBottom w:val="0"/>
          <w:divBdr>
            <w:top w:val="none" w:sz="0" w:space="0" w:color="auto"/>
            <w:left w:val="none" w:sz="0" w:space="0" w:color="auto"/>
            <w:bottom w:val="none" w:sz="0" w:space="0" w:color="auto"/>
            <w:right w:val="none" w:sz="0" w:space="0" w:color="auto"/>
          </w:divBdr>
        </w:div>
        <w:div w:id="1889222613">
          <w:marLeft w:val="0"/>
          <w:marRight w:val="0"/>
          <w:marTop w:val="0"/>
          <w:marBottom w:val="0"/>
          <w:divBdr>
            <w:top w:val="none" w:sz="0" w:space="0" w:color="auto"/>
            <w:left w:val="none" w:sz="0" w:space="0" w:color="auto"/>
            <w:bottom w:val="none" w:sz="0" w:space="0" w:color="auto"/>
            <w:right w:val="none" w:sz="0" w:space="0" w:color="auto"/>
          </w:divBdr>
        </w:div>
        <w:div w:id="1872759579">
          <w:marLeft w:val="0"/>
          <w:marRight w:val="0"/>
          <w:marTop w:val="0"/>
          <w:marBottom w:val="0"/>
          <w:divBdr>
            <w:top w:val="none" w:sz="0" w:space="0" w:color="auto"/>
            <w:left w:val="none" w:sz="0" w:space="0" w:color="auto"/>
            <w:bottom w:val="none" w:sz="0" w:space="0" w:color="auto"/>
            <w:right w:val="none" w:sz="0" w:space="0" w:color="auto"/>
          </w:divBdr>
        </w:div>
        <w:div w:id="64227106">
          <w:marLeft w:val="0"/>
          <w:marRight w:val="0"/>
          <w:marTop w:val="0"/>
          <w:marBottom w:val="0"/>
          <w:divBdr>
            <w:top w:val="none" w:sz="0" w:space="0" w:color="auto"/>
            <w:left w:val="none" w:sz="0" w:space="0" w:color="auto"/>
            <w:bottom w:val="none" w:sz="0" w:space="0" w:color="auto"/>
            <w:right w:val="none" w:sz="0" w:space="0" w:color="auto"/>
          </w:divBdr>
        </w:div>
      </w:divsChild>
    </w:div>
    <w:div w:id="1071925586">
      <w:bodyDiv w:val="1"/>
      <w:marLeft w:val="0"/>
      <w:marRight w:val="0"/>
      <w:marTop w:val="0"/>
      <w:marBottom w:val="0"/>
      <w:divBdr>
        <w:top w:val="none" w:sz="0" w:space="0" w:color="auto"/>
        <w:left w:val="none" w:sz="0" w:space="0" w:color="auto"/>
        <w:bottom w:val="none" w:sz="0" w:space="0" w:color="auto"/>
        <w:right w:val="none" w:sz="0" w:space="0" w:color="auto"/>
      </w:divBdr>
      <w:divsChild>
        <w:div w:id="737822263">
          <w:marLeft w:val="0"/>
          <w:marRight w:val="0"/>
          <w:marTop w:val="0"/>
          <w:marBottom w:val="0"/>
          <w:divBdr>
            <w:top w:val="none" w:sz="0" w:space="0" w:color="auto"/>
            <w:left w:val="none" w:sz="0" w:space="0" w:color="auto"/>
            <w:bottom w:val="none" w:sz="0" w:space="0" w:color="auto"/>
            <w:right w:val="none" w:sz="0" w:space="0" w:color="auto"/>
          </w:divBdr>
          <w:divsChild>
            <w:div w:id="834881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699983">
      <w:bodyDiv w:val="1"/>
      <w:marLeft w:val="0"/>
      <w:marRight w:val="0"/>
      <w:marTop w:val="0"/>
      <w:marBottom w:val="0"/>
      <w:divBdr>
        <w:top w:val="none" w:sz="0" w:space="0" w:color="auto"/>
        <w:left w:val="none" w:sz="0" w:space="0" w:color="auto"/>
        <w:bottom w:val="none" w:sz="0" w:space="0" w:color="auto"/>
        <w:right w:val="none" w:sz="0" w:space="0" w:color="auto"/>
      </w:divBdr>
      <w:divsChild>
        <w:div w:id="147600573">
          <w:marLeft w:val="0"/>
          <w:marRight w:val="0"/>
          <w:marTop w:val="0"/>
          <w:marBottom w:val="0"/>
          <w:divBdr>
            <w:top w:val="none" w:sz="0" w:space="0" w:color="auto"/>
            <w:left w:val="none" w:sz="0" w:space="0" w:color="auto"/>
            <w:bottom w:val="none" w:sz="0" w:space="0" w:color="auto"/>
            <w:right w:val="none" w:sz="0" w:space="0" w:color="auto"/>
          </w:divBdr>
          <w:divsChild>
            <w:div w:id="82316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618655">
      <w:bodyDiv w:val="1"/>
      <w:marLeft w:val="0"/>
      <w:marRight w:val="0"/>
      <w:marTop w:val="0"/>
      <w:marBottom w:val="0"/>
      <w:divBdr>
        <w:top w:val="none" w:sz="0" w:space="0" w:color="auto"/>
        <w:left w:val="none" w:sz="0" w:space="0" w:color="auto"/>
        <w:bottom w:val="none" w:sz="0" w:space="0" w:color="auto"/>
        <w:right w:val="none" w:sz="0" w:space="0" w:color="auto"/>
      </w:divBdr>
      <w:divsChild>
        <w:div w:id="609168505">
          <w:marLeft w:val="547"/>
          <w:marRight w:val="0"/>
          <w:marTop w:val="72"/>
          <w:marBottom w:val="0"/>
          <w:divBdr>
            <w:top w:val="none" w:sz="0" w:space="0" w:color="auto"/>
            <w:left w:val="none" w:sz="0" w:space="0" w:color="auto"/>
            <w:bottom w:val="none" w:sz="0" w:space="0" w:color="auto"/>
            <w:right w:val="none" w:sz="0" w:space="0" w:color="auto"/>
          </w:divBdr>
        </w:div>
      </w:divsChild>
    </w:div>
    <w:div w:id="1083180408">
      <w:bodyDiv w:val="1"/>
      <w:marLeft w:val="0"/>
      <w:marRight w:val="0"/>
      <w:marTop w:val="0"/>
      <w:marBottom w:val="0"/>
      <w:divBdr>
        <w:top w:val="none" w:sz="0" w:space="0" w:color="auto"/>
        <w:left w:val="none" w:sz="0" w:space="0" w:color="auto"/>
        <w:bottom w:val="none" w:sz="0" w:space="0" w:color="auto"/>
        <w:right w:val="none" w:sz="0" w:space="0" w:color="auto"/>
      </w:divBdr>
      <w:divsChild>
        <w:div w:id="1605072932">
          <w:marLeft w:val="0"/>
          <w:marRight w:val="0"/>
          <w:marTop w:val="0"/>
          <w:marBottom w:val="0"/>
          <w:divBdr>
            <w:top w:val="none" w:sz="0" w:space="0" w:color="auto"/>
            <w:left w:val="none" w:sz="0" w:space="0" w:color="auto"/>
            <w:bottom w:val="none" w:sz="0" w:space="0" w:color="auto"/>
            <w:right w:val="none" w:sz="0" w:space="0" w:color="auto"/>
          </w:divBdr>
        </w:div>
        <w:div w:id="607007349">
          <w:marLeft w:val="0"/>
          <w:marRight w:val="0"/>
          <w:marTop w:val="0"/>
          <w:marBottom w:val="0"/>
          <w:divBdr>
            <w:top w:val="none" w:sz="0" w:space="0" w:color="auto"/>
            <w:left w:val="none" w:sz="0" w:space="0" w:color="auto"/>
            <w:bottom w:val="none" w:sz="0" w:space="0" w:color="auto"/>
            <w:right w:val="none" w:sz="0" w:space="0" w:color="auto"/>
          </w:divBdr>
        </w:div>
      </w:divsChild>
    </w:div>
    <w:div w:id="1087075783">
      <w:bodyDiv w:val="1"/>
      <w:marLeft w:val="0"/>
      <w:marRight w:val="0"/>
      <w:marTop w:val="0"/>
      <w:marBottom w:val="0"/>
      <w:divBdr>
        <w:top w:val="none" w:sz="0" w:space="0" w:color="auto"/>
        <w:left w:val="none" w:sz="0" w:space="0" w:color="auto"/>
        <w:bottom w:val="none" w:sz="0" w:space="0" w:color="auto"/>
        <w:right w:val="none" w:sz="0" w:space="0" w:color="auto"/>
      </w:divBdr>
      <w:divsChild>
        <w:div w:id="2106920683">
          <w:marLeft w:val="0"/>
          <w:marRight w:val="0"/>
          <w:marTop w:val="0"/>
          <w:marBottom w:val="0"/>
          <w:divBdr>
            <w:top w:val="none" w:sz="0" w:space="0" w:color="auto"/>
            <w:left w:val="none" w:sz="0" w:space="0" w:color="auto"/>
            <w:bottom w:val="none" w:sz="0" w:space="0" w:color="auto"/>
            <w:right w:val="none" w:sz="0" w:space="0" w:color="auto"/>
          </w:divBdr>
        </w:div>
        <w:div w:id="1443265381">
          <w:marLeft w:val="0"/>
          <w:marRight w:val="0"/>
          <w:marTop w:val="0"/>
          <w:marBottom w:val="0"/>
          <w:divBdr>
            <w:top w:val="none" w:sz="0" w:space="0" w:color="auto"/>
            <w:left w:val="none" w:sz="0" w:space="0" w:color="auto"/>
            <w:bottom w:val="none" w:sz="0" w:space="0" w:color="auto"/>
            <w:right w:val="none" w:sz="0" w:space="0" w:color="auto"/>
          </w:divBdr>
        </w:div>
        <w:div w:id="2045641226">
          <w:marLeft w:val="0"/>
          <w:marRight w:val="0"/>
          <w:marTop w:val="0"/>
          <w:marBottom w:val="0"/>
          <w:divBdr>
            <w:top w:val="none" w:sz="0" w:space="0" w:color="auto"/>
            <w:left w:val="none" w:sz="0" w:space="0" w:color="auto"/>
            <w:bottom w:val="none" w:sz="0" w:space="0" w:color="auto"/>
            <w:right w:val="none" w:sz="0" w:space="0" w:color="auto"/>
          </w:divBdr>
        </w:div>
        <w:div w:id="896236229">
          <w:marLeft w:val="0"/>
          <w:marRight w:val="0"/>
          <w:marTop w:val="0"/>
          <w:marBottom w:val="0"/>
          <w:divBdr>
            <w:top w:val="none" w:sz="0" w:space="0" w:color="auto"/>
            <w:left w:val="none" w:sz="0" w:space="0" w:color="auto"/>
            <w:bottom w:val="none" w:sz="0" w:space="0" w:color="auto"/>
            <w:right w:val="none" w:sz="0" w:space="0" w:color="auto"/>
          </w:divBdr>
        </w:div>
        <w:div w:id="2081513408">
          <w:marLeft w:val="0"/>
          <w:marRight w:val="0"/>
          <w:marTop w:val="0"/>
          <w:marBottom w:val="0"/>
          <w:divBdr>
            <w:top w:val="none" w:sz="0" w:space="0" w:color="auto"/>
            <w:left w:val="none" w:sz="0" w:space="0" w:color="auto"/>
            <w:bottom w:val="none" w:sz="0" w:space="0" w:color="auto"/>
            <w:right w:val="none" w:sz="0" w:space="0" w:color="auto"/>
          </w:divBdr>
        </w:div>
        <w:div w:id="2029595259">
          <w:marLeft w:val="0"/>
          <w:marRight w:val="0"/>
          <w:marTop w:val="0"/>
          <w:marBottom w:val="0"/>
          <w:divBdr>
            <w:top w:val="none" w:sz="0" w:space="0" w:color="auto"/>
            <w:left w:val="none" w:sz="0" w:space="0" w:color="auto"/>
            <w:bottom w:val="none" w:sz="0" w:space="0" w:color="auto"/>
            <w:right w:val="none" w:sz="0" w:space="0" w:color="auto"/>
          </w:divBdr>
        </w:div>
      </w:divsChild>
    </w:div>
    <w:div w:id="1128087568">
      <w:bodyDiv w:val="1"/>
      <w:marLeft w:val="0"/>
      <w:marRight w:val="0"/>
      <w:marTop w:val="0"/>
      <w:marBottom w:val="0"/>
      <w:divBdr>
        <w:top w:val="none" w:sz="0" w:space="0" w:color="auto"/>
        <w:left w:val="none" w:sz="0" w:space="0" w:color="auto"/>
        <w:bottom w:val="none" w:sz="0" w:space="0" w:color="auto"/>
        <w:right w:val="none" w:sz="0" w:space="0" w:color="auto"/>
      </w:divBdr>
      <w:divsChild>
        <w:div w:id="1174342552">
          <w:marLeft w:val="0"/>
          <w:marRight w:val="0"/>
          <w:marTop w:val="0"/>
          <w:marBottom w:val="0"/>
          <w:divBdr>
            <w:top w:val="none" w:sz="0" w:space="0" w:color="auto"/>
            <w:left w:val="none" w:sz="0" w:space="0" w:color="auto"/>
            <w:bottom w:val="none" w:sz="0" w:space="0" w:color="auto"/>
            <w:right w:val="none" w:sz="0" w:space="0" w:color="auto"/>
          </w:divBdr>
          <w:divsChild>
            <w:div w:id="103777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325963">
      <w:bodyDiv w:val="1"/>
      <w:marLeft w:val="0"/>
      <w:marRight w:val="0"/>
      <w:marTop w:val="0"/>
      <w:marBottom w:val="0"/>
      <w:divBdr>
        <w:top w:val="none" w:sz="0" w:space="0" w:color="auto"/>
        <w:left w:val="none" w:sz="0" w:space="0" w:color="auto"/>
        <w:bottom w:val="none" w:sz="0" w:space="0" w:color="auto"/>
        <w:right w:val="none" w:sz="0" w:space="0" w:color="auto"/>
      </w:divBdr>
      <w:divsChild>
        <w:div w:id="1117481792">
          <w:marLeft w:val="0"/>
          <w:marRight w:val="0"/>
          <w:marTop w:val="0"/>
          <w:marBottom w:val="0"/>
          <w:divBdr>
            <w:top w:val="none" w:sz="0" w:space="0" w:color="auto"/>
            <w:left w:val="none" w:sz="0" w:space="0" w:color="auto"/>
            <w:bottom w:val="none" w:sz="0" w:space="0" w:color="auto"/>
            <w:right w:val="none" w:sz="0" w:space="0" w:color="auto"/>
          </w:divBdr>
        </w:div>
        <w:div w:id="523831939">
          <w:marLeft w:val="0"/>
          <w:marRight w:val="0"/>
          <w:marTop w:val="0"/>
          <w:marBottom w:val="0"/>
          <w:divBdr>
            <w:top w:val="none" w:sz="0" w:space="0" w:color="auto"/>
            <w:left w:val="none" w:sz="0" w:space="0" w:color="auto"/>
            <w:bottom w:val="none" w:sz="0" w:space="0" w:color="auto"/>
            <w:right w:val="none" w:sz="0" w:space="0" w:color="auto"/>
          </w:divBdr>
        </w:div>
        <w:div w:id="1441024663">
          <w:marLeft w:val="0"/>
          <w:marRight w:val="0"/>
          <w:marTop w:val="0"/>
          <w:marBottom w:val="0"/>
          <w:divBdr>
            <w:top w:val="none" w:sz="0" w:space="0" w:color="auto"/>
            <w:left w:val="none" w:sz="0" w:space="0" w:color="auto"/>
            <w:bottom w:val="none" w:sz="0" w:space="0" w:color="auto"/>
            <w:right w:val="none" w:sz="0" w:space="0" w:color="auto"/>
          </w:divBdr>
        </w:div>
        <w:div w:id="573004675">
          <w:marLeft w:val="0"/>
          <w:marRight w:val="0"/>
          <w:marTop w:val="0"/>
          <w:marBottom w:val="0"/>
          <w:divBdr>
            <w:top w:val="none" w:sz="0" w:space="0" w:color="auto"/>
            <w:left w:val="none" w:sz="0" w:space="0" w:color="auto"/>
            <w:bottom w:val="none" w:sz="0" w:space="0" w:color="auto"/>
            <w:right w:val="none" w:sz="0" w:space="0" w:color="auto"/>
          </w:divBdr>
        </w:div>
        <w:div w:id="1550800650">
          <w:marLeft w:val="0"/>
          <w:marRight w:val="0"/>
          <w:marTop w:val="0"/>
          <w:marBottom w:val="0"/>
          <w:divBdr>
            <w:top w:val="none" w:sz="0" w:space="0" w:color="auto"/>
            <w:left w:val="none" w:sz="0" w:space="0" w:color="auto"/>
            <w:bottom w:val="none" w:sz="0" w:space="0" w:color="auto"/>
            <w:right w:val="none" w:sz="0" w:space="0" w:color="auto"/>
          </w:divBdr>
        </w:div>
        <w:div w:id="823156370">
          <w:marLeft w:val="0"/>
          <w:marRight w:val="0"/>
          <w:marTop w:val="0"/>
          <w:marBottom w:val="0"/>
          <w:divBdr>
            <w:top w:val="none" w:sz="0" w:space="0" w:color="auto"/>
            <w:left w:val="none" w:sz="0" w:space="0" w:color="auto"/>
            <w:bottom w:val="none" w:sz="0" w:space="0" w:color="auto"/>
            <w:right w:val="none" w:sz="0" w:space="0" w:color="auto"/>
          </w:divBdr>
        </w:div>
        <w:div w:id="468060735">
          <w:marLeft w:val="0"/>
          <w:marRight w:val="0"/>
          <w:marTop w:val="0"/>
          <w:marBottom w:val="0"/>
          <w:divBdr>
            <w:top w:val="none" w:sz="0" w:space="0" w:color="auto"/>
            <w:left w:val="none" w:sz="0" w:space="0" w:color="auto"/>
            <w:bottom w:val="none" w:sz="0" w:space="0" w:color="auto"/>
            <w:right w:val="none" w:sz="0" w:space="0" w:color="auto"/>
          </w:divBdr>
        </w:div>
        <w:div w:id="360129248">
          <w:marLeft w:val="0"/>
          <w:marRight w:val="0"/>
          <w:marTop w:val="0"/>
          <w:marBottom w:val="0"/>
          <w:divBdr>
            <w:top w:val="none" w:sz="0" w:space="0" w:color="auto"/>
            <w:left w:val="none" w:sz="0" w:space="0" w:color="auto"/>
            <w:bottom w:val="none" w:sz="0" w:space="0" w:color="auto"/>
            <w:right w:val="none" w:sz="0" w:space="0" w:color="auto"/>
          </w:divBdr>
        </w:div>
        <w:div w:id="2130976015">
          <w:marLeft w:val="0"/>
          <w:marRight w:val="0"/>
          <w:marTop w:val="0"/>
          <w:marBottom w:val="0"/>
          <w:divBdr>
            <w:top w:val="none" w:sz="0" w:space="0" w:color="auto"/>
            <w:left w:val="none" w:sz="0" w:space="0" w:color="auto"/>
            <w:bottom w:val="none" w:sz="0" w:space="0" w:color="auto"/>
            <w:right w:val="none" w:sz="0" w:space="0" w:color="auto"/>
          </w:divBdr>
        </w:div>
        <w:div w:id="1715420445">
          <w:marLeft w:val="0"/>
          <w:marRight w:val="0"/>
          <w:marTop w:val="0"/>
          <w:marBottom w:val="0"/>
          <w:divBdr>
            <w:top w:val="none" w:sz="0" w:space="0" w:color="auto"/>
            <w:left w:val="none" w:sz="0" w:space="0" w:color="auto"/>
            <w:bottom w:val="none" w:sz="0" w:space="0" w:color="auto"/>
            <w:right w:val="none" w:sz="0" w:space="0" w:color="auto"/>
          </w:divBdr>
        </w:div>
        <w:div w:id="257981005">
          <w:marLeft w:val="0"/>
          <w:marRight w:val="0"/>
          <w:marTop w:val="0"/>
          <w:marBottom w:val="0"/>
          <w:divBdr>
            <w:top w:val="none" w:sz="0" w:space="0" w:color="auto"/>
            <w:left w:val="none" w:sz="0" w:space="0" w:color="auto"/>
            <w:bottom w:val="none" w:sz="0" w:space="0" w:color="auto"/>
            <w:right w:val="none" w:sz="0" w:space="0" w:color="auto"/>
          </w:divBdr>
        </w:div>
        <w:div w:id="14961621">
          <w:marLeft w:val="0"/>
          <w:marRight w:val="0"/>
          <w:marTop w:val="0"/>
          <w:marBottom w:val="0"/>
          <w:divBdr>
            <w:top w:val="none" w:sz="0" w:space="0" w:color="auto"/>
            <w:left w:val="none" w:sz="0" w:space="0" w:color="auto"/>
            <w:bottom w:val="none" w:sz="0" w:space="0" w:color="auto"/>
            <w:right w:val="none" w:sz="0" w:space="0" w:color="auto"/>
          </w:divBdr>
        </w:div>
        <w:div w:id="1152677778">
          <w:marLeft w:val="0"/>
          <w:marRight w:val="0"/>
          <w:marTop w:val="0"/>
          <w:marBottom w:val="0"/>
          <w:divBdr>
            <w:top w:val="none" w:sz="0" w:space="0" w:color="auto"/>
            <w:left w:val="none" w:sz="0" w:space="0" w:color="auto"/>
            <w:bottom w:val="none" w:sz="0" w:space="0" w:color="auto"/>
            <w:right w:val="none" w:sz="0" w:space="0" w:color="auto"/>
          </w:divBdr>
        </w:div>
        <w:div w:id="1051267518">
          <w:marLeft w:val="0"/>
          <w:marRight w:val="0"/>
          <w:marTop w:val="0"/>
          <w:marBottom w:val="0"/>
          <w:divBdr>
            <w:top w:val="none" w:sz="0" w:space="0" w:color="auto"/>
            <w:left w:val="none" w:sz="0" w:space="0" w:color="auto"/>
            <w:bottom w:val="none" w:sz="0" w:space="0" w:color="auto"/>
            <w:right w:val="none" w:sz="0" w:space="0" w:color="auto"/>
          </w:divBdr>
        </w:div>
      </w:divsChild>
    </w:div>
    <w:div w:id="1145778500">
      <w:bodyDiv w:val="1"/>
      <w:marLeft w:val="0"/>
      <w:marRight w:val="0"/>
      <w:marTop w:val="0"/>
      <w:marBottom w:val="0"/>
      <w:divBdr>
        <w:top w:val="none" w:sz="0" w:space="0" w:color="auto"/>
        <w:left w:val="none" w:sz="0" w:space="0" w:color="auto"/>
        <w:bottom w:val="none" w:sz="0" w:space="0" w:color="auto"/>
        <w:right w:val="none" w:sz="0" w:space="0" w:color="auto"/>
      </w:divBdr>
      <w:divsChild>
        <w:div w:id="1797944743">
          <w:marLeft w:val="0"/>
          <w:marRight w:val="0"/>
          <w:marTop w:val="0"/>
          <w:marBottom w:val="0"/>
          <w:divBdr>
            <w:top w:val="none" w:sz="0" w:space="0" w:color="auto"/>
            <w:left w:val="none" w:sz="0" w:space="0" w:color="auto"/>
            <w:bottom w:val="none" w:sz="0" w:space="0" w:color="auto"/>
            <w:right w:val="none" w:sz="0" w:space="0" w:color="auto"/>
          </w:divBdr>
        </w:div>
        <w:div w:id="699939185">
          <w:marLeft w:val="0"/>
          <w:marRight w:val="0"/>
          <w:marTop w:val="0"/>
          <w:marBottom w:val="0"/>
          <w:divBdr>
            <w:top w:val="none" w:sz="0" w:space="0" w:color="auto"/>
            <w:left w:val="none" w:sz="0" w:space="0" w:color="auto"/>
            <w:bottom w:val="none" w:sz="0" w:space="0" w:color="auto"/>
            <w:right w:val="none" w:sz="0" w:space="0" w:color="auto"/>
          </w:divBdr>
        </w:div>
        <w:div w:id="830373308">
          <w:marLeft w:val="0"/>
          <w:marRight w:val="0"/>
          <w:marTop w:val="0"/>
          <w:marBottom w:val="0"/>
          <w:divBdr>
            <w:top w:val="none" w:sz="0" w:space="0" w:color="auto"/>
            <w:left w:val="none" w:sz="0" w:space="0" w:color="auto"/>
            <w:bottom w:val="none" w:sz="0" w:space="0" w:color="auto"/>
            <w:right w:val="none" w:sz="0" w:space="0" w:color="auto"/>
          </w:divBdr>
        </w:div>
      </w:divsChild>
    </w:div>
    <w:div w:id="1163424047">
      <w:bodyDiv w:val="1"/>
      <w:marLeft w:val="0"/>
      <w:marRight w:val="0"/>
      <w:marTop w:val="0"/>
      <w:marBottom w:val="0"/>
      <w:divBdr>
        <w:top w:val="none" w:sz="0" w:space="0" w:color="auto"/>
        <w:left w:val="none" w:sz="0" w:space="0" w:color="auto"/>
        <w:bottom w:val="none" w:sz="0" w:space="0" w:color="auto"/>
        <w:right w:val="none" w:sz="0" w:space="0" w:color="auto"/>
      </w:divBdr>
      <w:divsChild>
        <w:div w:id="1899782836">
          <w:marLeft w:val="0"/>
          <w:marRight w:val="0"/>
          <w:marTop w:val="0"/>
          <w:marBottom w:val="0"/>
          <w:divBdr>
            <w:top w:val="none" w:sz="0" w:space="0" w:color="auto"/>
            <w:left w:val="none" w:sz="0" w:space="0" w:color="auto"/>
            <w:bottom w:val="none" w:sz="0" w:space="0" w:color="auto"/>
            <w:right w:val="none" w:sz="0" w:space="0" w:color="auto"/>
          </w:divBdr>
          <w:divsChild>
            <w:div w:id="171353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107963">
      <w:bodyDiv w:val="1"/>
      <w:marLeft w:val="0"/>
      <w:marRight w:val="0"/>
      <w:marTop w:val="0"/>
      <w:marBottom w:val="0"/>
      <w:divBdr>
        <w:top w:val="none" w:sz="0" w:space="0" w:color="auto"/>
        <w:left w:val="none" w:sz="0" w:space="0" w:color="auto"/>
        <w:bottom w:val="none" w:sz="0" w:space="0" w:color="auto"/>
        <w:right w:val="none" w:sz="0" w:space="0" w:color="auto"/>
      </w:divBdr>
      <w:divsChild>
        <w:div w:id="1299915083">
          <w:marLeft w:val="0"/>
          <w:marRight w:val="0"/>
          <w:marTop w:val="0"/>
          <w:marBottom w:val="0"/>
          <w:divBdr>
            <w:top w:val="none" w:sz="0" w:space="0" w:color="auto"/>
            <w:left w:val="none" w:sz="0" w:space="0" w:color="auto"/>
            <w:bottom w:val="none" w:sz="0" w:space="0" w:color="auto"/>
            <w:right w:val="none" w:sz="0" w:space="0" w:color="auto"/>
          </w:divBdr>
        </w:div>
        <w:div w:id="1306473280">
          <w:marLeft w:val="0"/>
          <w:marRight w:val="0"/>
          <w:marTop w:val="0"/>
          <w:marBottom w:val="0"/>
          <w:divBdr>
            <w:top w:val="none" w:sz="0" w:space="0" w:color="auto"/>
            <w:left w:val="none" w:sz="0" w:space="0" w:color="auto"/>
            <w:bottom w:val="none" w:sz="0" w:space="0" w:color="auto"/>
            <w:right w:val="none" w:sz="0" w:space="0" w:color="auto"/>
          </w:divBdr>
        </w:div>
      </w:divsChild>
    </w:div>
    <w:div w:id="1227493698">
      <w:bodyDiv w:val="1"/>
      <w:marLeft w:val="0"/>
      <w:marRight w:val="0"/>
      <w:marTop w:val="0"/>
      <w:marBottom w:val="0"/>
      <w:divBdr>
        <w:top w:val="none" w:sz="0" w:space="0" w:color="auto"/>
        <w:left w:val="none" w:sz="0" w:space="0" w:color="auto"/>
        <w:bottom w:val="none" w:sz="0" w:space="0" w:color="auto"/>
        <w:right w:val="none" w:sz="0" w:space="0" w:color="auto"/>
      </w:divBdr>
    </w:div>
    <w:div w:id="1233739263">
      <w:bodyDiv w:val="1"/>
      <w:marLeft w:val="0"/>
      <w:marRight w:val="0"/>
      <w:marTop w:val="0"/>
      <w:marBottom w:val="0"/>
      <w:divBdr>
        <w:top w:val="none" w:sz="0" w:space="0" w:color="auto"/>
        <w:left w:val="none" w:sz="0" w:space="0" w:color="auto"/>
        <w:bottom w:val="none" w:sz="0" w:space="0" w:color="auto"/>
        <w:right w:val="none" w:sz="0" w:space="0" w:color="auto"/>
      </w:divBdr>
      <w:divsChild>
        <w:div w:id="486433267">
          <w:marLeft w:val="0"/>
          <w:marRight w:val="0"/>
          <w:marTop w:val="0"/>
          <w:marBottom w:val="0"/>
          <w:divBdr>
            <w:top w:val="none" w:sz="0" w:space="0" w:color="auto"/>
            <w:left w:val="none" w:sz="0" w:space="0" w:color="auto"/>
            <w:bottom w:val="none" w:sz="0" w:space="0" w:color="auto"/>
            <w:right w:val="none" w:sz="0" w:space="0" w:color="auto"/>
          </w:divBdr>
        </w:div>
        <w:div w:id="1461220359">
          <w:marLeft w:val="0"/>
          <w:marRight w:val="0"/>
          <w:marTop w:val="0"/>
          <w:marBottom w:val="0"/>
          <w:divBdr>
            <w:top w:val="none" w:sz="0" w:space="0" w:color="auto"/>
            <w:left w:val="none" w:sz="0" w:space="0" w:color="auto"/>
            <w:bottom w:val="none" w:sz="0" w:space="0" w:color="auto"/>
            <w:right w:val="none" w:sz="0" w:space="0" w:color="auto"/>
          </w:divBdr>
        </w:div>
        <w:div w:id="1377898894">
          <w:marLeft w:val="0"/>
          <w:marRight w:val="0"/>
          <w:marTop w:val="0"/>
          <w:marBottom w:val="0"/>
          <w:divBdr>
            <w:top w:val="none" w:sz="0" w:space="0" w:color="auto"/>
            <w:left w:val="none" w:sz="0" w:space="0" w:color="auto"/>
            <w:bottom w:val="none" w:sz="0" w:space="0" w:color="auto"/>
            <w:right w:val="none" w:sz="0" w:space="0" w:color="auto"/>
          </w:divBdr>
        </w:div>
        <w:div w:id="111167318">
          <w:marLeft w:val="0"/>
          <w:marRight w:val="0"/>
          <w:marTop w:val="0"/>
          <w:marBottom w:val="0"/>
          <w:divBdr>
            <w:top w:val="none" w:sz="0" w:space="0" w:color="auto"/>
            <w:left w:val="none" w:sz="0" w:space="0" w:color="auto"/>
            <w:bottom w:val="none" w:sz="0" w:space="0" w:color="auto"/>
            <w:right w:val="none" w:sz="0" w:space="0" w:color="auto"/>
          </w:divBdr>
        </w:div>
        <w:div w:id="1501116018">
          <w:marLeft w:val="0"/>
          <w:marRight w:val="0"/>
          <w:marTop w:val="0"/>
          <w:marBottom w:val="0"/>
          <w:divBdr>
            <w:top w:val="none" w:sz="0" w:space="0" w:color="auto"/>
            <w:left w:val="none" w:sz="0" w:space="0" w:color="auto"/>
            <w:bottom w:val="none" w:sz="0" w:space="0" w:color="auto"/>
            <w:right w:val="none" w:sz="0" w:space="0" w:color="auto"/>
          </w:divBdr>
        </w:div>
        <w:div w:id="1172181968">
          <w:marLeft w:val="0"/>
          <w:marRight w:val="0"/>
          <w:marTop w:val="0"/>
          <w:marBottom w:val="0"/>
          <w:divBdr>
            <w:top w:val="none" w:sz="0" w:space="0" w:color="auto"/>
            <w:left w:val="none" w:sz="0" w:space="0" w:color="auto"/>
            <w:bottom w:val="none" w:sz="0" w:space="0" w:color="auto"/>
            <w:right w:val="none" w:sz="0" w:space="0" w:color="auto"/>
          </w:divBdr>
        </w:div>
        <w:div w:id="490953115">
          <w:marLeft w:val="0"/>
          <w:marRight w:val="0"/>
          <w:marTop w:val="0"/>
          <w:marBottom w:val="0"/>
          <w:divBdr>
            <w:top w:val="none" w:sz="0" w:space="0" w:color="auto"/>
            <w:left w:val="none" w:sz="0" w:space="0" w:color="auto"/>
            <w:bottom w:val="none" w:sz="0" w:space="0" w:color="auto"/>
            <w:right w:val="none" w:sz="0" w:space="0" w:color="auto"/>
          </w:divBdr>
        </w:div>
        <w:div w:id="749237975">
          <w:marLeft w:val="0"/>
          <w:marRight w:val="0"/>
          <w:marTop w:val="0"/>
          <w:marBottom w:val="0"/>
          <w:divBdr>
            <w:top w:val="none" w:sz="0" w:space="0" w:color="auto"/>
            <w:left w:val="none" w:sz="0" w:space="0" w:color="auto"/>
            <w:bottom w:val="none" w:sz="0" w:space="0" w:color="auto"/>
            <w:right w:val="none" w:sz="0" w:space="0" w:color="auto"/>
          </w:divBdr>
        </w:div>
        <w:div w:id="1190801833">
          <w:marLeft w:val="0"/>
          <w:marRight w:val="0"/>
          <w:marTop w:val="0"/>
          <w:marBottom w:val="0"/>
          <w:divBdr>
            <w:top w:val="none" w:sz="0" w:space="0" w:color="auto"/>
            <w:left w:val="none" w:sz="0" w:space="0" w:color="auto"/>
            <w:bottom w:val="none" w:sz="0" w:space="0" w:color="auto"/>
            <w:right w:val="none" w:sz="0" w:space="0" w:color="auto"/>
          </w:divBdr>
        </w:div>
        <w:div w:id="893010214">
          <w:marLeft w:val="0"/>
          <w:marRight w:val="0"/>
          <w:marTop w:val="0"/>
          <w:marBottom w:val="0"/>
          <w:divBdr>
            <w:top w:val="none" w:sz="0" w:space="0" w:color="auto"/>
            <w:left w:val="none" w:sz="0" w:space="0" w:color="auto"/>
            <w:bottom w:val="none" w:sz="0" w:space="0" w:color="auto"/>
            <w:right w:val="none" w:sz="0" w:space="0" w:color="auto"/>
          </w:divBdr>
        </w:div>
        <w:div w:id="1571040408">
          <w:marLeft w:val="0"/>
          <w:marRight w:val="0"/>
          <w:marTop w:val="0"/>
          <w:marBottom w:val="0"/>
          <w:divBdr>
            <w:top w:val="none" w:sz="0" w:space="0" w:color="auto"/>
            <w:left w:val="none" w:sz="0" w:space="0" w:color="auto"/>
            <w:bottom w:val="none" w:sz="0" w:space="0" w:color="auto"/>
            <w:right w:val="none" w:sz="0" w:space="0" w:color="auto"/>
          </w:divBdr>
        </w:div>
        <w:div w:id="1447919080">
          <w:marLeft w:val="0"/>
          <w:marRight w:val="0"/>
          <w:marTop w:val="0"/>
          <w:marBottom w:val="0"/>
          <w:divBdr>
            <w:top w:val="none" w:sz="0" w:space="0" w:color="auto"/>
            <w:left w:val="none" w:sz="0" w:space="0" w:color="auto"/>
            <w:bottom w:val="none" w:sz="0" w:space="0" w:color="auto"/>
            <w:right w:val="none" w:sz="0" w:space="0" w:color="auto"/>
          </w:divBdr>
        </w:div>
        <w:div w:id="1573083705">
          <w:marLeft w:val="0"/>
          <w:marRight w:val="0"/>
          <w:marTop w:val="0"/>
          <w:marBottom w:val="0"/>
          <w:divBdr>
            <w:top w:val="none" w:sz="0" w:space="0" w:color="auto"/>
            <w:left w:val="none" w:sz="0" w:space="0" w:color="auto"/>
            <w:bottom w:val="none" w:sz="0" w:space="0" w:color="auto"/>
            <w:right w:val="none" w:sz="0" w:space="0" w:color="auto"/>
          </w:divBdr>
        </w:div>
        <w:div w:id="1419669257">
          <w:marLeft w:val="0"/>
          <w:marRight w:val="0"/>
          <w:marTop w:val="0"/>
          <w:marBottom w:val="0"/>
          <w:divBdr>
            <w:top w:val="none" w:sz="0" w:space="0" w:color="auto"/>
            <w:left w:val="none" w:sz="0" w:space="0" w:color="auto"/>
            <w:bottom w:val="none" w:sz="0" w:space="0" w:color="auto"/>
            <w:right w:val="none" w:sz="0" w:space="0" w:color="auto"/>
          </w:divBdr>
        </w:div>
        <w:div w:id="1442408687">
          <w:marLeft w:val="0"/>
          <w:marRight w:val="0"/>
          <w:marTop w:val="0"/>
          <w:marBottom w:val="0"/>
          <w:divBdr>
            <w:top w:val="none" w:sz="0" w:space="0" w:color="auto"/>
            <w:left w:val="none" w:sz="0" w:space="0" w:color="auto"/>
            <w:bottom w:val="none" w:sz="0" w:space="0" w:color="auto"/>
            <w:right w:val="none" w:sz="0" w:space="0" w:color="auto"/>
          </w:divBdr>
        </w:div>
        <w:div w:id="1192379879">
          <w:marLeft w:val="0"/>
          <w:marRight w:val="0"/>
          <w:marTop w:val="0"/>
          <w:marBottom w:val="0"/>
          <w:divBdr>
            <w:top w:val="none" w:sz="0" w:space="0" w:color="auto"/>
            <w:left w:val="none" w:sz="0" w:space="0" w:color="auto"/>
            <w:bottom w:val="none" w:sz="0" w:space="0" w:color="auto"/>
            <w:right w:val="none" w:sz="0" w:space="0" w:color="auto"/>
          </w:divBdr>
        </w:div>
        <w:div w:id="1342778464">
          <w:marLeft w:val="0"/>
          <w:marRight w:val="0"/>
          <w:marTop w:val="0"/>
          <w:marBottom w:val="0"/>
          <w:divBdr>
            <w:top w:val="none" w:sz="0" w:space="0" w:color="auto"/>
            <w:left w:val="none" w:sz="0" w:space="0" w:color="auto"/>
            <w:bottom w:val="none" w:sz="0" w:space="0" w:color="auto"/>
            <w:right w:val="none" w:sz="0" w:space="0" w:color="auto"/>
          </w:divBdr>
        </w:div>
        <w:div w:id="36441861">
          <w:marLeft w:val="0"/>
          <w:marRight w:val="0"/>
          <w:marTop w:val="0"/>
          <w:marBottom w:val="0"/>
          <w:divBdr>
            <w:top w:val="none" w:sz="0" w:space="0" w:color="auto"/>
            <w:left w:val="none" w:sz="0" w:space="0" w:color="auto"/>
            <w:bottom w:val="none" w:sz="0" w:space="0" w:color="auto"/>
            <w:right w:val="none" w:sz="0" w:space="0" w:color="auto"/>
          </w:divBdr>
        </w:div>
        <w:div w:id="748307931">
          <w:marLeft w:val="0"/>
          <w:marRight w:val="0"/>
          <w:marTop w:val="0"/>
          <w:marBottom w:val="0"/>
          <w:divBdr>
            <w:top w:val="none" w:sz="0" w:space="0" w:color="auto"/>
            <w:left w:val="none" w:sz="0" w:space="0" w:color="auto"/>
            <w:bottom w:val="none" w:sz="0" w:space="0" w:color="auto"/>
            <w:right w:val="none" w:sz="0" w:space="0" w:color="auto"/>
          </w:divBdr>
        </w:div>
        <w:div w:id="246505136">
          <w:marLeft w:val="0"/>
          <w:marRight w:val="0"/>
          <w:marTop w:val="0"/>
          <w:marBottom w:val="0"/>
          <w:divBdr>
            <w:top w:val="none" w:sz="0" w:space="0" w:color="auto"/>
            <w:left w:val="none" w:sz="0" w:space="0" w:color="auto"/>
            <w:bottom w:val="none" w:sz="0" w:space="0" w:color="auto"/>
            <w:right w:val="none" w:sz="0" w:space="0" w:color="auto"/>
          </w:divBdr>
        </w:div>
        <w:div w:id="756486991">
          <w:marLeft w:val="0"/>
          <w:marRight w:val="0"/>
          <w:marTop w:val="0"/>
          <w:marBottom w:val="0"/>
          <w:divBdr>
            <w:top w:val="none" w:sz="0" w:space="0" w:color="auto"/>
            <w:left w:val="none" w:sz="0" w:space="0" w:color="auto"/>
            <w:bottom w:val="none" w:sz="0" w:space="0" w:color="auto"/>
            <w:right w:val="none" w:sz="0" w:space="0" w:color="auto"/>
          </w:divBdr>
        </w:div>
        <w:div w:id="1140921911">
          <w:marLeft w:val="0"/>
          <w:marRight w:val="0"/>
          <w:marTop w:val="0"/>
          <w:marBottom w:val="0"/>
          <w:divBdr>
            <w:top w:val="none" w:sz="0" w:space="0" w:color="auto"/>
            <w:left w:val="none" w:sz="0" w:space="0" w:color="auto"/>
            <w:bottom w:val="none" w:sz="0" w:space="0" w:color="auto"/>
            <w:right w:val="none" w:sz="0" w:space="0" w:color="auto"/>
          </w:divBdr>
        </w:div>
      </w:divsChild>
    </w:div>
    <w:div w:id="1264727398">
      <w:bodyDiv w:val="1"/>
      <w:marLeft w:val="0"/>
      <w:marRight w:val="0"/>
      <w:marTop w:val="0"/>
      <w:marBottom w:val="0"/>
      <w:divBdr>
        <w:top w:val="none" w:sz="0" w:space="0" w:color="auto"/>
        <w:left w:val="none" w:sz="0" w:space="0" w:color="auto"/>
        <w:bottom w:val="none" w:sz="0" w:space="0" w:color="auto"/>
        <w:right w:val="none" w:sz="0" w:space="0" w:color="auto"/>
      </w:divBdr>
      <w:divsChild>
        <w:div w:id="1852722457">
          <w:marLeft w:val="0"/>
          <w:marRight w:val="0"/>
          <w:marTop w:val="0"/>
          <w:marBottom w:val="0"/>
          <w:divBdr>
            <w:top w:val="none" w:sz="0" w:space="0" w:color="auto"/>
            <w:left w:val="none" w:sz="0" w:space="0" w:color="auto"/>
            <w:bottom w:val="none" w:sz="0" w:space="0" w:color="auto"/>
            <w:right w:val="none" w:sz="0" w:space="0" w:color="auto"/>
          </w:divBdr>
        </w:div>
        <w:div w:id="1580097962">
          <w:marLeft w:val="0"/>
          <w:marRight w:val="0"/>
          <w:marTop w:val="0"/>
          <w:marBottom w:val="0"/>
          <w:divBdr>
            <w:top w:val="none" w:sz="0" w:space="0" w:color="auto"/>
            <w:left w:val="none" w:sz="0" w:space="0" w:color="auto"/>
            <w:bottom w:val="none" w:sz="0" w:space="0" w:color="auto"/>
            <w:right w:val="none" w:sz="0" w:space="0" w:color="auto"/>
          </w:divBdr>
        </w:div>
        <w:div w:id="1406610028">
          <w:marLeft w:val="0"/>
          <w:marRight w:val="0"/>
          <w:marTop w:val="0"/>
          <w:marBottom w:val="0"/>
          <w:divBdr>
            <w:top w:val="none" w:sz="0" w:space="0" w:color="auto"/>
            <w:left w:val="none" w:sz="0" w:space="0" w:color="auto"/>
            <w:bottom w:val="none" w:sz="0" w:space="0" w:color="auto"/>
            <w:right w:val="none" w:sz="0" w:space="0" w:color="auto"/>
          </w:divBdr>
        </w:div>
        <w:div w:id="157044411">
          <w:marLeft w:val="0"/>
          <w:marRight w:val="0"/>
          <w:marTop w:val="0"/>
          <w:marBottom w:val="0"/>
          <w:divBdr>
            <w:top w:val="none" w:sz="0" w:space="0" w:color="auto"/>
            <w:left w:val="none" w:sz="0" w:space="0" w:color="auto"/>
            <w:bottom w:val="none" w:sz="0" w:space="0" w:color="auto"/>
            <w:right w:val="none" w:sz="0" w:space="0" w:color="auto"/>
          </w:divBdr>
        </w:div>
        <w:div w:id="142894120">
          <w:marLeft w:val="0"/>
          <w:marRight w:val="0"/>
          <w:marTop w:val="0"/>
          <w:marBottom w:val="0"/>
          <w:divBdr>
            <w:top w:val="none" w:sz="0" w:space="0" w:color="auto"/>
            <w:left w:val="none" w:sz="0" w:space="0" w:color="auto"/>
            <w:bottom w:val="none" w:sz="0" w:space="0" w:color="auto"/>
            <w:right w:val="none" w:sz="0" w:space="0" w:color="auto"/>
          </w:divBdr>
        </w:div>
        <w:div w:id="150608226">
          <w:marLeft w:val="0"/>
          <w:marRight w:val="0"/>
          <w:marTop w:val="0"/>
          <w:marBottom w:val="0"/>
          <w:divBdr>
            <w:top w:val="none" w:sz="0" w:space="0" w:color="auto"/>
            <w:left w:val="none" w:sz="0" w:space="0" w:color="auto"/>
            <w:bottom w:val="none" w:sz="0" w:space="0" w:color="auto"/>
            <w:right w:val="none" w:sz="0" w:space="0" w:color="auto"/>
          </w:divBdr>
        </w:div>
        <w:div w:id="1630470753">
          <w:marLeft w:val="0"/>
          <w:marRight w:val="0"/>
          <w:marTop w:val="0"/>
          <w:marBottom w:val="0"/>
          <w:divBdr>
            <w:top w:val="none" w:sz="0" w:space="0" w:color="auto"/>
            <w:left w:val="none" w:sz="0" w:space="0" w:color="auto"/>
            <w:bottom w:val="none" w:sz="0" w:space="0" w:color="auto"/>
            <w:right w:val="none" w:sz="0" w:space="0" w:color="auto"/>
          </w:divBdr>
        </w:div>
        <w:div w:id="1335110215">
          <w:marLeft w:val="0"/>
          <w:marRight w:val="0"/>
          <w:marTop w:val="0"/>
          <w:marBottom w:val="0"/>
          <w:divBdr>
            <w:top w:val="none" w:sz="0" w:space="0" w:color="auto"/>
            <w:left w:val="none" w:sz="0" w:space="0" w:color="auto"/>
            <w:bottom w:val="none" w:sz="0" w:space="0" w:color="auto"/>
            <w:right w:val="none" w:sz="0" w:space="0" w:color="auto"/>
          </w:divBdr>
        </w:div>
        <w:div w:id="1756780095">
          <w:marLeft w:val="0"/>
          <w:marRight w:val="0"/>
          <w:marTop w:val="0"/>
          <w:marBottom w:val="0"/>
          <w:divBdr>
            <w:top w:val="none" w:sz="0" w:space="0" w:color="auto"/>
            <w:left w:val="none" w:sz="0" w:space="0" w:color="auto"/>
            <w:bottom w:val="none" w:sz="0" w:space="0" w:color="auto"/>
            <w:right w:val="none" w:sz="0" w:space="0" w:color="auto"/>
          </w:divBdr>
        </w:div>
        <w:div w:id="1181776234">
          <w:marLeft w:val="0"/>
          <w:marRight w:val="0"/>
          <w:marTop w:val="0"/>
          <w:marBottom w:val="0"/>
          <w:divBdr>
            <w:top w:val="none" w:sz="0" w:space="0" w:color="auto"/>
            <w:left w:val="none" w:sz="0" w:space="0" w:color="auto"/>
            <w:bottom w:val="none" w:sz="0" w:space="0" w:color="auto"/>
            <w:right w:val="none" w:sz="0" w:space="0" w:color="auto"/>
          </w:divBdr>
        </w:div>
        <w:div w:id="2047172703">
          <w:marLeft w:val="0"/>
          <w:marRight w:val="0"/>
          <w:marTop w:val="0"/>
          <w:marBottom w:val="0"/>
          <w:divBdr>
            <w:top w:val="none" w:sz="0" w:space="0" w:color="auto"/>
            <w:left w:val="none" w:sz="0" w:space="0" w:color="auto"/>
            <w:bottom w:val="none" w:sz="0" w:space="0" w:color="auto"/>
            <w:right w:val="none" w:sz="0" w:space="0" w:color="auto"/>
          </w:divBdr>
        </w:div>
        <w:div w:id="1105686244">
          <w:marLeft w:val="0"/>
          <w:marRight w:val="0"/>
          <w:marTop w:val="0"/>
          <w:marBottom w:val="0"/>
          <w:divBdr>
            <w:top w:val="none" w:sz="0" w:space="0" w:color="auto"/>
            <w:left w:val="none" w:sz="0" w:space="0" w:color="auto"/>
            <w:bottom w:val="none" w:sz="0" w:space="0" w:color="auto"/>
            <w:right w:val="none" w:sz="0" w:space="0" w:color="auto"/>
          </w:divBdr>
        </w:div>
        <w:div w:id="1025205812">
          <w:marLeft w:val="0"/>
          <w:marRight w:val="0"/>
          <w:marTop w:val="0"/>
          <w:marBottom w:val="0"/>
          <w:divBdr>
            <w:top w:val="none" w:sz="0" w:space="0" w:color="auto"/>
            <w:left w:val="none" w:sz="0" w:space="0" w:color="auto"/>
            <w:bottom w:val="none" w:sz="0" w:space="0" w:color="auto"/>
            <w:right w:val="none" w:sz="0" w:space="0" w:color="auto"/>
          </w:divBdr>
        </w:div>
        <w:div w:id="213004148">
          <w:marLeft w:val="0"/>
          <w:marRight w:val="0"/>
          <w:marTop w:val="0"/>
          <w:marBottom w:val="0"/>
          <w:divBdr>
            <w:top w:val="none" w:sz="0" w:space="0" w:color="auto"/>
            <w:left w:val="none" w:sz="0" w:space="0" w:color="auto"/>
            <w:bottom w:val="none" w:sz="0" w:space="0" w:color="auto"/>
            <w:right w:val="none" w:sz="0" w:space="0" w:color="auto"/>
          </w:divBdr>
        </w:div>
        <w:div w:id="2147090607">
          <w:marLeft w:val="0"/>
          <w:marRight w:val="0"/>
          <w:marTop w:val="0"/>
          <w:marBottom w:val="0"/>
          <w:divBdr>
            <w:top w:val="none" w:sz="0" w:space="0" w:color="auto"/>
            <w:left w:val="none" w:sz="0" w:space="0" w:color="auto"/>
            <w:bottom w:val="none" w:sz="0" w:space="0" w:color="auto"/>
            <w:right w:val="none" w:sz="0" w:space="0" w:color="auto"/>
          </w:divBdr>
        </w:div>
        <w:div w:id="1216086036">
          <w:marLeft w:val="0"/>
          <w:marRight w:val="0"/>
          <w:marTop w:val="0"/>
          <w:marBottom w:val="0"/>
          <w:divBdr>
            <w:top w:val="none" w:sz="0" w:space="0" w:color="auto"/>
            <w:left w:val="none" w:sz="0" w:space="0" w:color="auto"/>
            <w:bottom w:val="none" w:sz="0" w:space="0" w:color="auto"/>
            <w:right w:val="none" w:sz="0" w:space="0" w:color="auto"/>
          </w:divBdr>
        </w:div>
        <w:div w:id="253323508">
          <w:marLeft w:val="0"/>
          <w:marRight w:val="0"/>
          <w:marTop w:val="0"/>
          <w:marBottom w:val="0"/>
          <w:divBdr>
            <w:top w:val="none" w:sz="0" w:space="0" w:color="auto"/>
            <w:left w:val="none" w:sz="0" w:space="0" w:color="auto"/>
            <w:bottom w:val="none" w:sz="0" w:space="0" w:color="auto"/>
            <w:right w:val="none" w:sz="0" w:space="0" w:color="auto"/>
          </w:divBdr>
        </w:div>
        <w:div w:id="144051796">
          <w:marLeft w:val="0"/>
          <w:marRight w:val="0"/>
          <w:marTop w:val="0"/>
          <w:marBottom w:val="0"/>
          <w:divBdr>
            <w:top w:val="none" w:sz="0" w:space="0" w:color="auto"/>
            <w:left w:val="none" w:sz="0" w:space="0" w:color="auto"/>
            <w:bottom w:val="none" w:sz="0" w:space="0" w:color="auto"/>
            <w:right w:val="none" w:sz="0" w:space="0" w:color="auto"/>
          </w:divBdr>
        </w:div>
        <w:div w:id="783959024">
          <w:marLeft w:val="0"/>
          <w:marRight w:val="0"/>
          <w:marTop w:val="0"/>
          <w:marBottom w:val="0"/>
          <w:divBdr>
            <w:top w:val="none" w:sz="0" w:space="0" w:color="auto"/>
            <w:left w:val="none" w:sz="0" w:space="0" w:color="auto"/>
            <w:bottom w:val="none" w:sz="0" w:space="0" w:color="auto"/>
            <w:right w:val="none" w:sz="0" w:space="0" w:color="auto"/>
          </w:divBdr>
        </w:div>
        <w:div w:id="1667779687">
          <w:marLeft w:val="0"/>
          <w:marRight w:val="0"/>
          <w:marTop w:val="0"/>
          <w:marBottom w:val="0"/>
          <w:divBdr>
            <w:top w:val="none" w:sz="0" w:space="0" w:color="auto"/>
            <w:left w:val="none" w:sz="0" w:space="0" w:color="auto"/>
            <w:bottom w:val="none" w:sz="0" w:space="0" w:color="auto"/>
            <w:right w:val="none" w:sz="0" w:space="0" w:color="auto"/>
          </w:divBdr>
        </w:div>
        <w:div w:id="728110645">
          <w:marLeft w:val="0"/>
          <w:marRight w:val="0"/>
          <w:marTop w:val="0"/>
          <w:marBottom w:val="0"/>
          <w:divBdr>
            <w:top w:val="none" w:sz="0" w:space="0" w:color="auto"/>
            <w:left w:val="none" w:sz="0" w:space="0" w:color="auto"/>
            <w:bottom w:val="none" w:sz="0" w:space="0" w:color="auto"/>
            <w:right w:val="none" w:sz="0" w:space="0" w:color="auto"/>
          </w:divBdr>
        </w:div>
        <w:div w:id="2029024050">
          <w:marLeft w:val="0"/>
          <w:marRight w:val="0"/>
          <w:marTop w:val="0"/>
          <w:marBottom w:val="0"/>
          <w:divBdr>
            <w:top w:val="none" w:sz="0" w:space="0" w:color="auto"/>
            <w:left w:val="none" w:sz="0" w:space="0" w:color="auto"/>
            <w:bottom w:val="none" w:sz="0" w:space="0" w:color="auto"/>
            <w:right w:val="none" w:sz="0" w:space="0" w:color="auto"/>
          </w:divBdr>
        </w:div>
        <w:div w:id="17388808">
          <w:marLeft w:val="0"/>
          <w:marRight w:val="0"/>
          <w:marTop w:val="0"/>
          <w:marBottom w:val="0"/>
          <w:divBdr>
            <w:top w:val="none" w:sz="0" w:space="0" w:color="auto"/>
            <w:left w:val="none" w:sz="0" w:space="0" w:color="auto"/>
            <w:bottom w:val="none" w:sz="0" w:space="0" w:color="auto"/>
            <w:right w:val="none" w:sz="0" w:space="0" w:color="auto"/>
          </w:divBdr>
        </w:div>
        <w:div w:id="873732267">
          <w:marLeft w:val="0"/>
          <w:marRight w:val="0"/>
          <w:marTop w:val="0"/>
          <w:marBottom w:val="0"/>
          <w:divBdr>
            <w:top w:val="none" w:sz="0" w:space="0" w:color="auto"/>
            <w:left w:val="none" w:sz="0" w:space="0" w:color="auto"/>
            <w:bottom w:val="none" w:sz="0" w:space="0" w:color="auto"/>
            <w:right w:val="none" w:sz="0" w:space="0" w:color="auto"/>
          </w:divBdr>
        </w:div>
        <w:div w:id="1492865257">
          <w:marLeft w:val="0"/>
          <w:marRight w:val="0"/>
          <w:marTop w:val="0"/>
          <w:marBottom w:val="0"/>
          <w:divBdr>
            <w:top w:val="none" w:sz="0" w:space="0" w:color="auto"/>
            <w:left w:val="none" w:sz="0" w:space="0" w:color="auto"/>
            <w:bottom w:val="none" w:sz="0" w:space="0" w:color="auto"/>
            <w:right w:val="none" w:sz="0" w:space="0" w:color="auto"/>
          </w:divBdr>
        </w:div>
        <w:div w:id="165365623">
          <w:marLeft w:val="0"/>
          <w:marRight w:val="0"/>
          <w:marTop w:val="0"/>
          <w:marBottom w:val="0"/>
          <w:divBdr>
            <w:top w:val="none" w:sz="0" w:space="0" w:color="auto"/>
            <w:left w:val="none" w:sz="0" w:space="0" w:color="auto"/>
            <w:bottom w:val="none" w:sz="0" w:space="0" w:color="auto"/>
            <w:right w:val="none" w:sz="0" w:space="0" w:color="auto"/>
          </w:divBdr>
        </w:div>
        <w:div w:id="750926513">
          <w:marLeft w:val="0"/>
          <w:marRight w:val="0"/>
          <w:marTop w:val="0"/>
          <w:marBottom w:val="0"/>
          <w:divBdr>
            <w:top w:val="none" w:sz="0" w:space="0" w:color="auto"/>
            <w:left w:val="none" w:sz="0" w:space="0" w:color="auto"/>
            <w:bottom w:val="none" w:sz="0" w:space="0" w:color="auto"/>
            <w:right w:val="none" w:sz="0" w:space="0" w:color="auto"/>
          </w:divBdr>
        </w:div>
        <w:div w:id="1081099604">
          <w:marLeft w:val="0"/>
          <w:marRight w:val="0"/>
          <w:marTop w:val="0"/>
          <w:marBottom w:val="0"/>
          <w:divBdr>
            <w:top w:val="none" w:sz="0" w:space="0" w:color="auto"/>
            <w:left w:val="none" w:sz="0" w:space="0" w:color="auto"/>
            <w:bottom w:val="none" w:sz="0" w:space="0" w:color="auto"/>
            <w:right w:val="none" w:sz="0" w:space="0" w:color="auto"/>
          </w:divBdr>
        </w:div>
        <w:div w:id="1127897047">
          <w:marLeft w:val="0"/>
          <w:marRight w:val="0"/>
          <w:marTop w:val="0"/>
          <w:marBottom w:val="0"/>
          <w:divBdr>
            <w:top w:val="none" w:sz="0" w:space="0" w:color="auto"/>
            <w:left w:val="none" w:sz="0" w:space="0" w:color="auto"/>
            <w:bottom w:val="none" w:sz="0" w:space="0" w:color="auto"/>
            <w:right w:val="none" w:sz="0" w:space="0" w:color="auto"/>
          </w:divBdr>
        </w:div>
        <w:div w:id="2039697085">
          <w:marLeft w:val="0"/>
          <w:marRight w:val="0"/>
          <w:marTop w:val="0"/>
          <w:marBottom w:val="0"/>
          <w:divBdr>
            <w:top w:val="none" w:sz="0" w:space="0" w:color="auto"/>
            <w:left w:val="none" w:sz="0" w:space="0" w:color="auto"/>
            <w:bottom w:val="none" w:sz="0" w:space="0" w:color="auto"/>
            <w:right w:val="none" w:sz="0" w:space="0" w:color="auto"/>
          </w:divBdr>
        </w:div>
        <w:div w:id="1484270857">
          <w:marLeft w:val="0"/>
          <w:marRight w:val="0"/>
          <w:marTop w:val="0"/>
          <w:marBottom w:val="0"/>
          <w:divBdr>
            <w:top w:val="none" w:sz="0" w:space="0" w:color="auto"/>
            <w:left w:val="none" w:sz="0" w:space="0" w:color="auto"/>
            <w:bottom w:val="none" w:sz="0" w:space="0" w:color="auto"/>
            <w:right w:val="none" w:sz="0" w:space="0" w:color="auto"/>
          </w:divBdr>
        </w:div>
        <w:div w:id="1011760671">
          <w:marLeft w:val="0"/>
          <w:marRight w:val="0"/>
          <w:marTop w:val="0"/>
          <w:marBottom w:val="0"/>
          <w:divBdr>
            <w:top w:val="none" w:sz="0" w:space="0" w:color="auto"/>
            <w:left w:val="none" w:sz="0" w:space="0" w:color="auto"/>
            <w:bottom w:val="none" w:sz="0" w:space="0" w:color="auto"/>
            <w:right w:val="none" w:sz="0" w:space="0" w:color="auto"/>
          </w:divBdr>
        </w:div>
        <w:div w:id="1376387353">
          <w:marLeft w:val="0"/>
          <w:marRight w:val="0"/>
          <w:marTop w:val="0"/>
          <w:marBottom w:val="0"/>
          <w:divBdr>
            <w:top w:val="none" w:sz="0" w:space="0" w:color="auto"/>
            <w:left w:val="none" w:sz="0" w:space="0" w:color="auto"/>
            <w:bottom w:val="none" w:sz="0" w:space="0" w:color="auto"/>
            <w:right w:val="none" w:sz="0" w:space="0" w:color="auto"/>
          </w:divBdr>
        </w:div>
        <w:div w:id="697508508">
          <w:marLeft w:val="0"/>
          <w:marRight w:val="0"/>
          <w:marTop w:val="0"/>
          <w:marBottom w:val="0"/>
          <w:divBdr>
            <w:top w:val="none" w:sz="0" w:space="0" w:color="auto"/>
            <w:left w:val="none" w:sz="0" w:space="0" w:color="auto"/>
            <w:bottom w:val="none" w:sz="0" w:space="0" w:color="auto"/>
            <w:right w:val="none" w:sz="0" w:space="0" w:color="auto"/>
          </w:divBdr>
        </w:div>
        <w:div w:id="1322851122">
          <w:marLeft w:val="0"/>
          <w:marRight w:val="0"/>
          <w:marTop w:val="0"/>
          <w:marBottom w:val="0"/>
          <w:divBdr>
            <w:top w:val="none" w:sz="0" w:space="0" w:color="auto"/>
            <w:left w:val="none" w:sz="0" w:space="0" w:color="auto"/>
            <w:bottom w:val="none" w:sz="0" w:space="0" w:color="auto"/>
            <w:right w:val="none" w:sz="0" w:space="0" w:color="auto"/>
          </w:divBdr>
        </w:div>
      </w:divsChild>
    </w:div>
    <w:div w:id="1276445563">
      <w:bodyDiv w:val="1"/>
      <w:marLeft w:val="0"/>
      <w:marRight w:val="0"/>
      <w:marTop w:val="0"/>
      <w:marBottom w:val="0"/>
      <w:divBdr>
        <w:top w:val="none" w:sz="0" w:space="0" w:color="auto"/>
        <w:left w:val="none" w:sz="0" w:space="0" w:color="auto"/>
        <w:bottom w:val="none" w:sz="0" w:space="0" w:color="auto"/>
        <w:right w:val="none" w:sz="0" w:space="0" w:color="auto"/>
      </w:divBdr>
      <w:divsChild>
        <w:div w:id="618292842">
          <w:marLeft w:val="0"/>
          <w:marRight w:val="0"/>
          <w:marTop w:val="0"/>
          <w:marBottom w:val="0"/>
          <w:divBdr>
            <w:top w:val="none" w:sz="0" w:space="0" w:color="auto"/>
            <w:left w:val="none" w:sz="0" w:space="0" w:color="auto"/>
            <w:bottom w:val="none" w:sz="0" w:space="0" w:color="auto"/>
            <w:right w:val="none" w:sz="0" w:space="0" w:color="auto"/>
          </w:divBdr>
        </w:div>
        <w:div w:id="693577792">
          <w:marLeft w:val="0"/>
          <w:marRight w:val="0"/>
          <w:marTop w:val="0"/>
          <w:marBottom w:val="0"/>
          <w:divBdr>
            <w:top w:val="none" w:sz="0" w:space="0" w:color="auto"/>
            <w:left w:val="none" w:sz="0" w:space="0" w:color="auto"/>
            <w:bottom w:val="none" w:sz="0" w:space="0" w:color="auto"/>
            <w:right w:val="none" w:sz="0" w:space="0" w:color="auto"/>
          </w:divBdr>
        </w:div>
        <w:div w:id="896472288">
          <w:marLeft w:val="0"/>
          <w:marRight w:val="0"/>
          <w:marTop w:val="0"/>
          <w:marBottom w:val="0"/>
          <w:divBdr>
            <w:top w:val="none" w:sz="0" w:space="0" w:color="auto"/>
            <w:left w:val="none" w:sz="0" w:space="0" w:color="auto"/>
            <w:bottom w:val="none" w:sz="0" w:space="0" w:color="auto"/>
            <w:right w:val="none" w:sz="0" w:space="0" w:color="auto"/>
          </w:divBdr>
        </w:div>
        <w:div w:id="1606690963">
          <w:marLeft w:val="0"/>
          <w:marRight w:val="0"/>
          <w:marTop w:val="0"/>
          <w:marBottom w:val="0"/>
          <w:divBdr>
            <w:top w:val="none" w:sz="0" w:space="0" w:color="auto"/>
            <w:left w:val="none" w:sz="0" w:space="0" w:color="auto"/>
            <w:bottom w:val="none" w:sz="0" w:space="0" w:color="auto"/>
            <w:right w:val="none" w:sz="0" w:space="0" w:color="auto"/>
          </w:divBdr>
        </w:div>
        <w:div w:id="814420338">
          <w:marLeft w:val="0"/>
          <w:marRight w:val="0"/>
          <w:marTop w:val="0"/>
          <w:marBottom w:val="0"/>
          <w:divBdr>
            <w:top w:val="none" w:sz="0" w:space="0" w:color="auto"/>
            <w:left w:val="none" w:sz="0" w:space="0" w:color="auto"/>
            <w:bottom w:val="none" w:sz="0" w:space="0" w:color="auto"/>
            <w:right w:val="none" w:sz="0" w:space="0" w:color="auto"/>
          </w:divBdr>
        </w:div>
        <w:div w:id="1192375705">
          <w:marLeft w:val="0"/>
          <w:marRight w:val="0"/>
          <w:marTop w:val="0"/>
          <w:marBottom w:val="0"/>
          <w:divBdr>
            <w:top w:val="none" w:sz="0" w:space="0" w:color="auto"/>
            <w:left w:val="none" w:sz="0" w:space="0" w:color="auto"/>
            <w:bottom w:val="none" w:sz="0" w:space="0" w:color="auto"/>
            <w:right w:val="none" w:sz="0" w:space="0" w:color="auto"/>
          </w:divBdr>
        </w:div>
      </w:divsChild>
    </w:div>
    <w:div w:id="1295022388">
      <w:bodyDiv w:val="1"/>
      <w:marLeft w:val="0"/>
      <w:marRight w:val="0"/>
      <w:marTop w:val="0"/>
      <w:marBottom w:val="0"/>
      <w:divBdr>
        <w:top w:val="none" w:sz="0" w:space="0" w:color="auto"/>
        <w:left w:val="none" w:sz="0" w:space="0" w:color="auto"/>
        <w:bottom w:val="none" w:sz="0" w:space="0" w:color="auto"/>
        <w:right w:val="none" w:sz="0" w:space="0" w:color="auto"/>
      </w:divBdr>
      <w:divsChild>
        <w:div w:id="1511796049">
          <w:marLeft w:val="0"/>
          <w:marRight w:val="0"/>
          <w:marTop w:val="0"/>
          <w:marBottom w:val="0"/>
          <w:divBdr>
            <w:top w:val="none" w:sz="0" w:space="0" w:color="auto"/>
            <w:left w:val="none" w:sz="0" w:space="0" w:color="auto"/>
            <w:bottom w:val="none" w:sz="0" w:space="0" w:color="auto"/>
            <w:right w:val="none" w:sz="0" w:space="0" w:color="auto"/>
          </w:divBdr>
        </w:div>
        <w:div w:id="49422174">
          <w:marLeft w:val="0"/>
          <w:marRight w:val="0"/>
          <w:marTop w:val="0"/>
          <w:marBottom w:val="0"/>
          <w:divBdr>
            <w:top w:val="none" w:sz="0" w:space="0" w:color="auto"/>
            <w:left w:val="none" w:sz="0" w:space="0" w:color="auto"/>
            <w:bottom w:val="none" w:sz="0" w:space="0" w:color="auto"/>
            <w:right w:val="none" w:sz="0" w:space="0" w:color="auto"/>
          </w:divBdr>
        </w:div>
        <w:div w:id="1728186737">
          <w:marLeft w:val="0"/>
          <w:marRight w:val="0"/>
          <w:marTop w:val="0"/>
          <w:marBottom w:val="0"/>
          <w:divBdr>
            <w:top w:val="none" w:sz="0" w:space="0" w:color="auto"/>
            <w:left w:val="none" w:sz="0" w:space="0" w:color="auto"/>
            <w:bottom w:val="none" w:sz="0" w:space="0" w:color="auto"/>
            <w:right w:val="none" w:sz="0" w:space="0" w:color="auto"/>
          </w:divBdr>
        </w:div>
        <w:div w:id="799109886">
          <w:marLeft w:val="0"/>
          <w:marRight w:val="0"/>
          <w:marTop w:val="0"/>
          <w:marBottom w:val="0"/>
          <w:divBdr>
            <w:top w:val="none" w:sz="0" w:space="0" w:color="auto"/>
            <w:left w:val="none" w:sz="0" w:space="0" w:color="auto"/>
            <w:bottom w:val="none" w:sz="0" w:space="0" w:color="auto"/>
            <w:right w:val="none" w:sz="0" w:space="0" w:color="auto"/>
          </w:divBdr>
        </w:div>
        <w:div w:id="642201470">
          <w:marLeft w:val="0"/>
          <w:marRight w:val="0"/>
          <w:marTop w:val="0"/>
          <w:marBottom w:val="0"/>
          <w:divBdr>
            <w:top w:val="none" w:sz="0" w:space="0" w:color="auto"/>
            <w:left w:val="none" w:sz="0" w:space="0" w:color="auto"/>
            <w:bottom w:val="none" w:sz="0" w:space="0" w:color="auto"/>
            <w:right w:val="none" w:sz="0" w:space="0" w:color="auto"/>
          </w:divBdr>
        </w:div>
        <w:div w:id="1848983751">
          <w:marLeft w:val="0"/>
          <w:marRight w:val="0"/>
          <w:marTop w:val="0"/>
          <w:marBottom w:val="0"/>
          <w:divBdr>
            <w:top w:val="none" w:sz="0" w:space="0" w:color="auto"/>
            <w:left w:val="none" w:sz="0" w:space="0" w:color="auto"/>
            <w:bottom w:val="none" w:sz="0" w:space="0" w:color="auto"/>
            <w:right w:val="none" w:sz="0" w:space="0" w:color="auto"/>
          </w:divBdr>
        </w:div>
        <w:div w:id="649793113">
          <w:marLeft w:val="0"/>
          <w:marRight w:val="0"/>
          <w:marTop w:val="0"/>
          <w:marBottom w:val="0"/>
          <w:divBdr>
            <w:top w:val="none" w:sz="0" w:space="0" w:color="auto"/>
            <w:left w:val="none" w:sz="0" w:space="0" w:color="auto"/>
            <w:bottom w:val="none" w:sz="0" w:space="0" w:color="auto"/>
            <w:right w:val="none" w:sz="0" w:space="0" w:color="auto"/>
          </w:divBdr>
        </w:div>
        <w:div w:id="1989357452">
          <w:marLeft w:val="0"/>
          <w:marRight w:val="0"/>
          <w:marTop w:val="0"/>
          <w:marBottom w:val="0"/>
          <w:divBdr>
            <w:top w:val="none" w:sz="0" w:space="0" w:color="auto"/>
            <w:left w:val="none" w:sz="0" w:space="0" w:color="auto"/>
            <w:bottom w:val="none" w:sz="0" w:space="0" w:color="auto"/>
            <w:right w:val="none" w:sz="0" w:space="0" w:color="auto"/>
          </w:divBdr>
        </w:div>
        <w:div w:id="333651181">
          <w:marLeft w:val="0"/>
          <w:marRight w:val="0"/>
          <w:marTop w:val="0"/>
          <w:marBottom w:val="0"/>
          <w:divBdr>
            <w:top w:val="none" w:sz="0" w:space="0" w:color="auto"/>
            <w:left w:val="none" w:sz="0" w:space="0" w:color="auto"/>
            <w:bottom w:val="none" w:sz="0" w:space="0" w:color="auto"/>
            <w:right w:val="none" w:sz="0" w:space="0" w:color="auto"/>
          </w:divBdr>
        </w:div>
        <w:div w:id="1042897548">
          <w:marLeft w:val="0"/>
          <w:marRight w:val="0"/>
          <w:marTop w:val="0"/>
          <w:marBottom w:val="0"/>
          <w:divBdr>
            <w:top w:val="none" w:sz="0" w:space="0" w:color="auto"/>
            <w:left w:val="none" w:sz="0" w:space="0" w:color="auto"/>
            <w:bottom w:val="none" w:sz="0" w:space="0" w:color="auto"/>
            <w:right w:val="none" w:sz="0" w:space="0" w:color="auto"/>
          </w:divBdr>
        </w:div>
        <w:div w:id="1283918411">
          <w:marLeft w:val="0"/>
          <w:marRight w:val="0"/>
          <w:marTop w:val="0"/>
          <w:marBottom w:val="0"/>
          <w:divBdr>
            <w:top w:val="none" w:sz="0" w:space="0" w:color="auto"/>
            <w:left w:val="none" w:sz="0" w:space="0" w:color="auto"/>
            <w:bottom w:val="none" w:sz="0" w:space="0" w:color="auto"/>
            <w:right w:val="none" w:sz="0" w:space="0" w:color="auto"/>
          </w:divBdr>
        </w:div>
        <w:div w:id="1825006846">
          <w:marLeft w:val="0"/>
          <w:marRight w:val="0"/>
          <w:marTop w:val="0"/>
          <w:marBottom w:val="0"/>
          <w:divBdr>
            <w:top w:val="none" w:sz="0" w:space="0" w:color="auto"/>
            <w:left w:val="none" w:sz="0" w:space="0" w:color="auto"/>
            <w:bottom w:val="none" w:sz="0" w:space="0" w:color="auto"/>
            <w:right w:val="none" w:sz="0" w:space="0" w:color="auto"/>
          </w:divBdr>
        </w:div>
        <w:div w:id="374156501">
          <w:marLeft w:val="0"/>
          <w:marRight w:val="0"/>
          <w:marTop w:val="0"/>
          <w:marBottom w:val="0"/>
          <w:divBdr>
            <w:top w:val="none" w:sz="0" w:space="0" w:color="auto"/>
            <w:left w:val="none" w:sz="0" w:space="0" w:color="auto"/>
            <w:bottom w:val="none" w:sz="0" w:space="0" w:color="auto"/>
            <w:right w:val="none" w:sz="0" w:space="0" w:color="auto"/>
          </w:divBdr>
        </w:div>
        <w:div w:id="1941796081">
          <w:marLeft w:val="0"/>
          <w:marRight w:val="0"/>
          <w:marTop w:val="0"/>
          <w:marBottom w:val="0"/>
          <w:divBdr>
            <w:top w:val="none" w:sz="0" w:space="0" w:color="auto"/>
            <w:left w:val="none" w:sz="0" w:space="0" w:color="auto"/>
            <w:bottom w:val="none" w:sz="0" w:space="0" w:color="auto"/>
            <w:right w:val="none" w:sz="0" w:space="0" w:color="auto"/>
          </w:divBdr>
        </w:div>
        <w:div w:id="1998528977">
          <w:marLeft w:val="0"/>
          <w:marRight w:val="0"/>
          <w:marTop w:val="0"/>
          <w:marBottom w:val="0"/>
          <w:divBdr>
            <w:top w:val="none" w:sz="0" w:space="0" w:color="auto"/>
            <w:left w:val="none" w:sz="0" w:space="0" w:color="auto"/>
            <w:bottom w:val="none" w:sz="0" w:space="0" w:color="auto"/>
            <w:right w:val="none" w:sz="0" w:space="0" w:color="auto"/>
          </w:divBdr>
        </w:div>
        <w:div w:id="1358776526">
          <w:marLeft w:val="0"/>
          <w:marRight w:val="0"/>
          <w:marTop w:val="0"/>
          <w:marBottom w:val="0"/>
          <w:divBdr>
            <w:top w:val="none" w:sz="0" w:space="0" w:color="auto"/>
            <w:left w:val="none" w:sz="0" w:space="0" w:color="auto"/>
            <w:bottom w:val="none" w:sz="0" w:space="0" w:color="auto"/>
            <w:right w:val="none" w:sz="0" w:space="0" w:color="auto"/>
          </w:divBdr>
        </w:div>
        <w:div w:id="389885845">
          <w:marLeft w:val="0"/>
          <w:marRight w:val="0"/>
          <w:marTop w:val="0"/>
          <w:marBottom w:val="0"/>
          <w:divBdr>
            <w:top w:val="none" w:sz="0" w:space="0" w:color="auto"/>
            <w:left w:val="none" w:sz="0" w:space="0" w:color="auto"/>
            <w:bottom w:val="none" w:sz="0" w:space="0" w:color="auto"/>
            <w:right w:val="none" w:sz="0" w:space="0" w:color="auto"/>
          </w:divBdr>
        </w:div>
        <w:div w:id="2000309391">
          <w:marLeft w:val="0"/>
          <w:marRight w:val="0"/>
          <w:marTop w:val="0"/>
          <w:marBottom w:val="0"/>
          <w:divBdr>
            <w:top w:val="none" w:sz="0" w:space="0" w:color="auto"/>
            <w:left w:val="none" w:sz="0" w:space="0" w:color="auto"/>
            <w:bottom w:val="none" w:sz="0" w:space="0" w:color="auto"/>
            <w:right w:val="none" w:sz="0" w:space="0" w:color="auto"/>
          </w:divBdr>
        </w:div>
        <w:div w:id="575479385">
          <w:marLeft w:val="0"/>
          <w:marRight w:val="0"/>
          <w:marTop w:val="0"/>
          <w:marBottom w:val="0"/>
          <w:divBdr>
            <w:top w:val="none" w:sz="0" w:space="0" w:color="auto"/>
            <w:left w:val="none" w:sz="0" w:space="0" w:color="auto"/>
            <w:bottom w:val="none" w:sz="0" w:space="0" w:color="auto"/>
            <w:right w:val="none" w:sz="0" w:space="0" w:color="auto"/>
          </w:divBdr>
        </w:div>
        <w:div w:id="1058209841">
          <w:marLeft w:val="0"/>
          <w:marRight w:val="0"/>
          <w:marTop w:val="0"/>
          <w:marBottom w:val="0"/>
          <w:divBdr>
            <w:top w:val="none" w:sz="0" w:space="0" w:color="auto"/>
            <w:left w:val="none" w:sz="0" w:space="0" w:color="auto"/>
            <w:bottom w:val="none" w:sz="0" w:space="0" w:color="auto"/>
            <w:right w:val="none" w:sz="0" w:space="0" w:color="auto"/>
          </w:divBdr>
        </w:div>
        <w:div w:id="1847284061">
          <w:marLeft w:val="0"/>
          <w:marRight w:val="0"/>
          <w:marTop w:val="0"/>
          <w:marBottom w:val="0"/>
          <w:divBdr>
            <w:top w:val="none" w:sz="0" w:space="0" w:color="auto"/>
            <w:left w:val="none" w:sz="0" w:space="0" w:color="auto"/>
            <w:bottom w:val="none" w:sz="0" w:space="0" w:color="auto"/>
            <w:right w:val="none" w:sz="0" w:space="0" w:color="auto"/>
          </w:divBdr>
        </w:div>
        <w:div w:id="78602275">
          <w:marLeft w:val="0"/>
          <w:marRight w:val="0"/>
          <w:marTop w:val="0"/>
          <w:marBottom w:val="0"/>
          <w:divBdr>
            <w:top w:val="none" w:sz="0" w:space="0" w:color="auto"/>
            <w:left w:val="none" w:sz="0" w:space="0" w:color="auto"/>
            <w:bottom w:val="none" w:sz="0" w:space="0" w:color="auto"/>
            <w:right w:val="none" w:sz="0" w:space="0" w:color="auto"/>
          </w:divBdr>
        </w:div>
      </w:divsChild>
    </w:div>
    <w:div w:id="1299527645">
      <w:bodyDiv w:val="1"/>
      <w:marLeft w:val="0"/>
      <w:marRight w:val="0"/>
      <w:marTop w:val="0"/>
      <w:marBottom w:val="0"/>
      <w:divBdr>
        <w:top w:val="none" w:sz="0" w:space="0" w:color="auto"/>
        <w:left w:val="none" w:sz="0" w:space="0" w:color="auto"/>
        <w:bottom w:val="none" w:sz="0" w:space="0" w:color="auto"/>
        <w:right w:val="none" w:sz="0" w:space="0" w:color="auto"/>
      </w:divBdr>
      <w:divsChild>
        <w:div w:id="117771587">
          <w:marLeft w:val="0"/>
          <w:marRight w:val="0"/>
          <w:marTop w:val="0"/>
          <w:marBottom w:val="0"/>
          <w:divBdr>
            <w:top w:val="none" w:sz="0" w:space="0" w:color="auto"/>
            <w:left w:val="none" w:sz="0" w:space="0" w:color="auto"/>
            <w:bottom w:val="none" w:sz="0" w:space="0" w:color="auto"/>
            <w:right w:val="none" w:sz="0" w:space="0" w:color="auto"/>
          </w:divBdr>
          <w:divsChild>
            <w:div w:id="1693874502">
              <w:marLeft w:val="0"/>
              <w:marRight w:val="0"/>
              <w:marTop w:val="0"/>
              <w:marBottom w:val="0"/>
              <w:divBdr>
                <w:top w:val="none" w:sz="0" w:space="0" w:color="auto"/>
                <w:left w:val="none" w:sz="0" w:space="0" w:color="auto"/>
                <w:bottom w:val="none" w:sz="0" w:space="0" w:color="auto"/>
                <w:right w:val="none" w:sz="0" w:space="0" w:color="auto"/>
              </w:divBdr>
            </w:div>
            <w:div w:id="210654295">
              <w:marLeft w:val="0"/>
              <w:marRight w:val="0"/>
              <w:marTop w:val="0"/>
              <w:marBottom w:val="0"/>
              <w:divBdr>
                <w:top w:val="none" w:sz="0" w:space="0" w:color="auto"/>
                <w:left w:val="none" w:sz="0" w:space="0" w:color="auto"/>
                <w:bottom w:val="none" w:sz="0" w:space="0" w:color="auto"/>
                <w:right w:val="none" w:sz="0" w:space="0" w:color="auto"/>
              </w:divBdr>
            </w:div>
            <w:div w:id="809247097">
              <w:marLeft w:val="0"/>
              <w:marRight w:val="0"/>
              <w:marTop w:val="0"/>
              <w:marBottom w:val="0"/>
              <w:divBdr>
                <w:top w:val="none" w:sz="0" w:space="0" w:color="auto"/>
                <w:left w:val="none" w:sz="0" w:space="0" w:color="auto"/>
                <w:bottom w:val="none" w:sz="0" w:space="0" w:color="auto"/>
                <w:right w:val="none" w:sz="0" w:space="0" w:color="auto"/>
              </w:divBdr>
            </w:div>
            <w:div w:id="779497024">
              <w:marLeft w:val="0"/>
              <w:marRight w:val="0"/>
              <w:marTop w:val="0"/>
              <w:marBottom w:val="0"/>
              <w:divBdr>
                <w:top w:val="none" w:sz="0" w:space="0" w:color="auto"/>
                <w:left w:val="none" w:sz="0" w:space="0" w:color="auto"/>
                <w:bottom w:val="none" w:sz="0" w:space="0" w:color="auto"/>
                <w:right w:val="none" w:sz="0" w:space="0" w:color="auto"/>
              </w:divBdr>
            </w:div>
            <w:div w:id="1714767728">
              <w:marLeft w:val="0"/>
              <w:marRight w:val="0"/>
              <w:marTop w:val="0"/>
              <w:marBottom w:val="0"/>
              <w:divBdr>
                <w:top w:val="none" w:sz="0" w:space="0" w:color="auto"/>
                <w:left w:val="none" w:sz="0" w:space="0" w:color="auto"/>
                <w:bottom w:val="none" w:sz="0" w:space="0" w:color="auto"/>
                <w:right w:val="none" w:sz="0" w:space="0" w:color="auto"/>
              </w:divBdr>
            </w:div>
            <w:div w:id="681666926">
              <w:marLeft w:val="0"/>
              <w:marRight w:val="0"/>
              <w:marTop w:val="0"/>
              <w:marBottom w:val="0"/>
              <w:divBdr>
                <w:top w:val="none" w:sz="0" w:space="0" w:color="auto"/>
                <w:left w:val="none" w:sz="0" w:space="0" w:color="auto"/>
                <w:bottom w:val="none" w:sz="0" w:space="0" w:color="auto"/>
                <w:right w:val="none" w:sz="0" w:space="0" w:color="auto"/>
              </w:divBdr>
            </w:div>
            <w:div w:id="1161119071">
              <w:marLeft w:val="0"/>
              <w:marRight w:val="0"/>
              <w:marTop w:val="0"/>
              <w:marBottom w:val="0"/>
              <w:divBdr>
                <w:top w:val="none" w:sz="0" w:space="0" w:color="auto"/>
                <w:left w:val="none" w:sz="0" w:space="0" w:color="auto"/>
                <w:bottom w:val="none" w:sz="0" w:space="0" w:color="auto"/>
                <w:right w:val="none" w:sz="0" w:space="0" w:color="auto"/>
              </w:divBdr>
            </w:div>
            <w:div w:id="2038844829">
              <w:marLeft w:val="0"/>
              <w:marRight w:val="0"/>
              <w:marTop w:val="0"/>
              <w:marBottom w:val="0"/>
              <w:divBdr>
                <w:top w:val="none" w:sz="0" w:space="0" w:color="auto"/>
                <w:left w:val="none" w:sz="0" w:space="0" w:color="auto"/>
                <w:bottom w:val="none" w:sz="0" w:space="0" w:color="auto"/>
                <w:right w:val="none" w:sz="0" w:space="0" w:color="auto"/>
              </w:divBdr>
            </w:div>
            <w:div w:id="375130903">
              <w:marLeft w:val="0"/>
              <w:marRight w:val="0"/>
              <w:marTop w:val="0"/>
              <w:marBottom w:val="0"/>
              <w:divBdr>
                <w:top w:val="none" w:sz="0" w:space="0" w:color="auto"/>
                <w:left w:val="none" w:sz="0" w:space="0" w:color="auto"/>
                <w:bottom w:val="none" w:sz="0" w:space="0" w:color="auto"/>
                <w:right w:val="none" w:sz="0" w:space="0" w:color="auto"/>
              </w:divBdr>
            </w:div>
            <w:div w:id="1866364899">
              <w:marLeft w:val="0"/>
              <w:marRight w:val="0"/>
              <w:marTop w:val="0"/>
              <w:marBottom w:val="0"/>
              <w:divBdr>
                <w:top w:val="none" w:sz="0" w:space="0" w:color="auto"/>
                <w:left w:val="none" w:sz="0" w:space="0" w:color="auto"/>
                <w:bottom w:val="none" w:sz="0" w:space="0" w:color="auto"/>
                <w:right w:val="none" w:sz="0" w:space="0" w:color="auto"/>
              </w:divBdr>
            </w:div>
            <w:div w:id="2030375024">
              <w:marLeft w:val="0"/>
              <w:marRight w:val="0"/>
              <w:marTop w:val="0"/>
              <w:marBottom w:val="0"/>
              <w:divBdr>
                <w:top w:val="none" w:sz="0" w:space="0" w:color="auto"/>
                <w:left w:val="none" w:sz="0" w:space="0" w:color="auto"/>
                <w:bottom w:val="none" w:sz="0" w:space="0" w:color="auto"/>
                <w:right w:val="none" w:sz="0" w:space="0" w:color="auto"/>
              </w:divBdr>
            </w:div>
            <w:div w:id="810486425">
              <w:marLeft w:val="0"/>
              <w:marRight w:val="0"/>
              <w:marTop w:val="0"/>
              <w:marBottom w:val="0"/>
              <w:divBdr>
                <w:top w:val="none" w:sz="0" w:space="0" w:color="auto"/>
                <w:left w:val="none" w:sz="0" w:space="0" w:color="auto"/>
                <w:bottom w:val="none" w:sz="0" w:space="0" w:color="auto"/>
                <w:right w:val="none" w:sz="0" w:space="0" w:color="auto"/>
              </w:divBdr>
            </w:div>
            <w:div w:id="521551400">
              <w:marLeft w:val="0"/>
              <w:marRight w:val="0"/>
              <w:marTop w:val="0"/>
              <w:marBottom w:val="0"/>
              <w:divBdr>
                <w:top w:val="none" w:sz="0" w:space="0" w:color="auto"/>
                <w:left w:val="none" w:sz="0" w:space="0" w:color="auto"/>
                <w:bottom w:val="none" w:sz="0" w:space="0" w:color="auto"/>
                <w:right w:val="none" w:sz="0" w:space="0" w:color="auto"/>
              </w:divBdr>
            </w:div>
            <w:div w:id="529950080">
              <w:marLeft w:val="0"/>
              <w:marRight w:val="0"/>
              <w:marTop w:val="0"/>
              <w:marBottom w:val="0"/>
              <w:divBdr>
                <w:top w:val="none" w:sz="0" w:space="0" w:color="auto"/>
                <w:left w:val="none" w:sz="0" w:space="0" w:color="auto"/>
                <w:bottom w:val="none" w:sz="0" w:space="0" w:color="auto"/>
                <w:right w:val="none" w:sz="0" w:space="0" w:color="auto"/>
              </w:divBdr>
            </w:div>
            <w:div w:id="104157394">
              <w:marLeft w:val="0"/>
              <w:marRight w:val="0"/>
              <w:marTop w:val="0"/>
              <w:marBottom w:val="0"/>
              <w:divBdr>
                <w:top w:val="none" w:sz="0" w:space="0" w:color="auto"/>
                <w:left w:val="none" w:sz="0" w:space="0" w:color="auto"/>
                <w:bottom w:val="none" w:sz="0" w:space="0" w:color="auto"/>
                <w:right w:val="none" w:sz="0" w:space="0" w:color="auto"/>
              </w:divBdr>
            </w:div>
            <w:div w:id="579944069">
              <w:marLeft w:val="0"/>
              <w:marRight w:val="0"/>
              <w:marTop w:val="0"/>
              <w:marBottom w:val="0"/>
              <w:divBdr>
                <w:top w:val="none" w:sz="0" w:space="0" w:color="auto"/>
                <w:left w:val="none" w:sz="0" w:space="0" w:color="auto"/>
                <w:bottom w:val="none" w:sz="0" w:space="0" w:color="auto"/>
                <w:right w:val="none" w:sz="0" w:space="0" w:color="auto"/>
              </w:divBdr>
            </w:div>
            <w:div w:id="382876143">
              <w:marLeft w:val="0"/>
              <w:marRight w:val="0"/>
              <w:marTop w:val="0"/>
              <w:marBottom w:val="0"/>
              <w:divBdr>
                <w:top w:val="none" w:sz="0" w:space="0" w:color="auto"/>
                <w:left w:val="none" w:sz="0" w:space="0" w:color="auto"/>
                <w:bottom w:val="none" w:sz="0" w:space="0" w:color="auto"/>
                <w:right w:val="none" w:sz="0" w:space="0" w:color="auto"/>
              </w:divBdr>
            </w:div>
            <w:div w:id="446966083">
              <w:marLeft w:val="0"/>
              <w:marRight w:val="0"/>
              <w:marTop w:val="0"/>
              <w:marBottom w:val="0"/>
              <w:divBdr>
                <w:top w:val="none" w:sz="0" w:space="0" w:color="auto"/>
                <w:left w:val="none" w:sz="0" w:space="0" w:color="auto"/>
                <w:bottom w:val="none" w:sz="0" w:space="0" w:color="auto"/>
                <w:right w:val="none" w:sz="0" w:space="0" w:color="auto"/>
              </w:divBdr>
            </w:div>
            <w:div w:id="118308037">
              <w:marLeft w:val="0"/>
              <w:marRight w:val="0"/>
              <w:marTop w:val="0"/>
              <w:marBottom w:val="0"/>
              <w:divBdr>
                <w:top w:val="none" w:sz="0" w:space="0" w:color="auto"/>
                <w:left w:val="none" w:sz="0" w:space="0" w:color="auto"/>
                <w:bottom w:val="none" w:sz="0" w:space="0" w:color="auto"/>
                <w:right w:val="none" w:sz="0" w:space="0" w:color="auto"/>
              </w:divBdr>
            </w:div>
            <w:div w:id="2124298711">
              <w:marLeft w:val="0"/>
              <w:marRight w:val="0"/>
              <w:marTop w:val="0"/>
              <w:marBottom w:val="0"/>
              <w:divBdr>
                <w:top w:val="none" w:sz="0" w:space="0" w:color="auto"/>
                <w:left w:val="none" w:sz="0" w:space="0" w:color="auto"/>
                <w:bottom w:val="none" w:sz="0" w:space="0" w:color="auto"/>
                <w:right w:val="none" w:sz="0" w:space="0" w:color="auto"/>
              </w:divBdr>
            </w:div>
            <w:div w:id="2138989512">
              <w:marLeft w:val="0"/>
              <w:marRight w:val="0"/>
              <w:marTop w:val="0"/>
              <w:marBottom w:val="0"/>
              <w:divBdr>
                <w:top w:val="none" w:sz="0" w:space="0" w:color="auto"/>
                <w:left w:val="none" w:sz="0" w:space="0" w:color="auto"/>
                <w:bottom w:val="none" w:sz="0" w:space="0" w:color="auto"/>
                <w:right w:val="none" w:sz="0" w:space="0" w:color="auto"/>
              </w:divBdr>
            </w:div>
            <w:div w:id="220211412">
              <w:marLeft w:val="0"/>
              <w:marRight w:val="0"/>
              <w:marTop w:val="0"/>
              <w:marBottom w:val="0"/>
              <w:divBdr>
                <w:top w:val="none" w:sz="0" w:space="0" w:color="auto"/>
                <w:left w:val="none" w:sz="0" w:space="0" w:color="auto"/>
                <w:bottom w:val="none" w:sz="0" w:space="0" w:color="auto"/>
                <w:right w:val="none" w:sz="0" w:space="0" w:color="auto"/>
              </w:divBdr>
            </w:div>
            <w:div w:id="1623614151">
              <w:marLeft w:val="0"/>
              <w:marRight w:val="0"/>
              <w:marTop w:val="0"/>
              <w:marBottom w:val="0"/>
              <w:divBdr>
                <w:top w:val="none" w:sz="0" w:space="0" w:color="auto"/>
                <w:left w:val="none" w:sz="0" w:space="0" w:color="auto"/>
                <w:bottom w:val="none" w:sz="0" w:space="0" w:color="auto"/>
                <w:right w:val="none" w:sz="0" w:space="0" w:color="auto"/>
              </w:divBdr>
            </w:div>
            <w:div w:id="191304650">
              <w:marLeft w:val="0"/>
              <w:marRight w:val="0"/>
              <w:marTop w:val="0"/>
              <w:marBottom w:val="0"/>
              <w:divBdr>
                <w:top w:val="none" w:sz="0" w:space="0" w:color="auto"/>
                <w:left w:val="none" w:sz="0" w:space="0" w:color="auto"/>
                <w:bottom w:val="none" w:sz="0" w:space="0" w:color="auto"/>
                <w:right w:val="none" w:sz="0" w:space="0" w:color="auto"/>
              </w:divBdr>
            </w:div>
            <w:div w:id="773326948">
              <w:marLeft w:val="0"/>
              <w:marRight w:val="0"/>
              <w:marTop w:val="0"/>
              <w:marBottom w:val="0"/>
              <w:divBdr>
                <w:top w:val="none" w:sz="0" w:space="0" w:color="auto"/>
                <w:left w:val="none" w:sz="0" w:space="0" w:color="auto"/>
                <w:bottom w:val="none" w:sz="0" w:space="0" w:color="auto"/>
                <w:right w:val="none" w:sz="0" w:space="0" w:color="auto"/>
              </w:divBdr>
            </w:div>
            <w:div w:id="397279">
              <w:marLeft w:val="0"/>
              <w:marRight w:val="0"/>
              <w:marTop w:val="0"/>
              <w:marBottom w:val="0"/>
              <w:divBdr>
                <w:top w:val="none" w:sz="0" w:space="0" w:color="auto"/>
                <w:left w:val="none" w:sz="0" w:space="0" w:color="auto"/>
                <w:bottom w:val="none" w:sz="0" w:space="0" w:color="auto"/>
                <w:right w:val="none" w:sz="0" w:space="0" w:color="auto"/>
              </w:divBdr>
            </w:div>
            <w:div w:id="149364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843986">
      <w:bodyDiv w:val="1"/>
      <w:marLeft w:val="0"/>
      <w:marRight w:val="0"/>
      <w:marTop w:val="0"/>
      <w:marBottom w:val="0"/>
      <w:divBdr>
        <w:top w:val="none" w:sz="0" w:space="0" w:color="auto"/>
        <w:left w:val="none" w:sz="0" w:space="0" w:color="auto"/>
        <w:bottom w:val="none" w:sz="0" w:space="0" w:color="auto"/>
        <w:right w:val="none" w:sz="0" w:space="0" w:color="auto"/>
      </w:divBdr>
      <w:divsChild>
        <w:div w:id="387268129">
          <w:marLeft w:val="0"/>
          <w:marRight w:val="0"/>
          <w:marTop w:val="0"/>
          <w:marBottom w:val="0"/>
          <w:divBdr>
            <w:top w:val="none" w:sz="0" w:space="0" w:color="auto"/>
            <w:left w:val="none" w:sz="0" w:space="0" w:color="auto"/>
            <w:bottom w:val="none" w:sz="0" w:space="0" w:color="auto"/>
            <w:right w:val="none" w:sz="0" w:space="0" w:color="auto"/>
          </w:divBdr>
        </w:div>
        <w:div w:id="626857999">
          <w:marLeft w:val="0"/>
          <w:marRight w:val="0"/>
          <w:marTop w:val="0"/>
          <w:marBottom w:val="0"/>
          <w:divBdr>
            <w:top w:val="none" w:sz="0" w:space="0" w:color="auto"/>
            <w:left w:val="none" w:sz="0" w:space="0" w:color="auto"/>
            <w:bottom w:val="none" w:sz="0" w:space="0" w:color="auto"/>
            <w:right w:val="none" w:sz="0" w:space="0" w:color="auto"/>
          </w:divBdr>
        </w:div>
        <w:div w:id="197132396">
          <w:marLeft w:val="0"/>
          <w:marRight w:val="0"/>
          <w:marTop w:val="0"/>
          <w:marBottom w:val="0"/>
          <w:divBdr>
            <w:top w:val="none" w:sz="0" w:space="0" w:color="auto"/>
            <w:left w:val="none" w:sz="0" w:space="0" w:color="auto"/>
            <w:bottom w:val="none" w:sz="0" w:space="0" w:color="auto"/>
            <w:right w:val="none" w:sz="0" w:space="0" w:color="auto"/>
          </w:divBdr>
        </w:div>
        <w:div w:id="950355139">
          <w:marLeft w:val="0"/>
          <w:marRight w:val="0"/>
          <w:marTop w:val="0"/>
          <w:marBottom w:val="0"/>
          <w:divBdr>
            <w:top w:val="none" w:sz="0" w:space="0" w:color="auto"/>
            <w:left w:val="none" w:sz="0" w:space="0" w:color="auto"/>
            <w:bottom w:val="none" w:sz="0" w:space="0" w:color="auto"/>
            <w:right w:val="none" w:sz="0" w:space="0" w:color="auto"/>
          </w:divBdr>
        </w:div>
        <w:div w:id="2127499719">
          <w:marLeft w:val="0"/>
          <w:marRight w:val="0"/>
          <w:marTop w:val="0"/>
          <w:marBottom w:val="0"/>
          <w:divBdr>
            <w:top w:val="none" w:sz="0" w:space="0" w:color="auto"/>
            <w:left w:val="none" w:sz="0" w:space="0" w:color="auto"/>
            <w:bottom w:val="none" w:sz="0" w:space="0" w:color="auto"/>
            <w:right w:val="none" w:sz="0" w:space="0" w:color="auto"/>
          </w:divBdr>
        </w:div>
        <w:div w:id="341325074">
          <w:marLeft w:val="0"/>
          <w:marRight w:val="0"/>
          <w:marTop w:val="0"/>
          <w:marBottom w:val="0"/>
          <w:divBdr>
            <w:top w:val="none" w:sz="0" w:space="0" w:color="auto"/>
            <w:left w:val="none" w:sz="0" w:space="0" w:color="auto"/>
            <w:bottom w:val="none" w:sz="0" w:space="0" w:color="auto"/>
            <w:right w:val="none" w:sz="0" w:space="0" w:color="auto"/>
          </w:divBdr>
        </w:div>
        <w:div w:id="263921202">
          <w:marLeft w:val="0"/>
          <w:marRight w:val="0"/>
          <w:marTop w:val="0"/>
          <w:marBottom w:val="0"/>
          <w:divBdr>
            <w:top w:val="none" w:sz="0" w:space="0" w:color="auto"/>
            <w:left w:val="none" w:sz="0" w:space="0" w:color="auto"/>
            <w:bottom w:val="none" w:sz="0" w:space="0" w:color="auto"/>
            <w:right w:val="none" w:sz="0" w:space="0" w:color="auto"/>
          </w:divBdr>
        </w:div>
        <w:div w:id="2078163940">
          <w:marLeft w:val="0"/>
          <w:marRight w:val="0"/>
          <w:marTop w:val="0"/>
          <w:marBottom w:val="0"/>
          <w:divBdr>
            <w:top w:val="none" w:sz="0" w:space="0" w:color="auto"/>
            <w:left w:val="none" w:sz="0" w:space="0" w:color="auto"/>
            <w:bottom w:val="none" w:sz="0" w:space="0" w:color="auto"/>
            <w:right w:val="none" w:sz="0" w:space="0" w:color="auto"/>
          </w:divBdr>
        </w:div>
        <w:div w:id="418646897">
          <w:marLeft w:val="0"/>
          <w:marRight w:val="0"/>
          <w:marTop w:val="0"/>
          <w:marBottom w:val="0"/>
          <w:divBdr>
            <w:top w:val="none" w:sz="0" w:space="0" w:color="auto"/>
            <w:left w:val="none" w:sz="0" w:space="0" w:color="auto"/>
            <w:bottom w:val="none" w:sz="0" w:space="0" w:color="auto"/>
            <w:right w:val="none" w:sz="0" w:space="0" w:color="auto"/>
          </w:divBdr>
        </w:div>
        <w:div w:id="2106919218">
          <w:marLeft w:val="0"/>
          <w:marRight w:val="0"/>
          <w:marTop w:val="0"/>
          <w:marBottom w:val="0"/>
          <w:divBdr>
            <w:top w:val="none" w:sz="0" w:space="0" w:color="auto"/>
            <w:left w:val="none" w:sz="0" w:space="0" w:color="auto"/>
            <w:bottom w:val="none" w:sz="0" w:space="0" w:color="auto"/>
            <w:right w:val="none" w:sz="0" w:space="0" w:color="auto"/>
          </w:divBdr>
        </w:div>
        <w:div w:id="1173767291">
          <w:marLeft w:val="0"/>
          <w:marRight w:val="0"/>
          <w:marTop w:val="0"/>
          <w:marBottom w:val="0"/>
          <w:divBdr>
            <w:top w:val="none" w:sz="0" w:space="0" w:color="auto"/>
            <w:left w:val="none" w:sz="0" w:space="0" w:color="auto"/>
            <w:bottom w:val="none" w:sz="0" w:space="0" w:color="auto"/>
            <w:right w:val="none" w:sz="0" w:space="0" w:color="auto"/>
          </w:divBdr>
        </w:div>
      </w:divsChild>
    </w:div>
    <w:div w:id="1310016265">
      <w:bodyDiv w:val="1"/>
      <w:marLeft w:val="0"/>
      <w:marRight w:val="0"/>
      <w:marTop w:val="0"/>
      <w:marBottom w:val="0"/>
      <w:divBdr>
        <w:top w:val="none" w:sz="0" w:space="0" w:color="auto"/>
        <w:left w:val="none" w:sz="0" w:space="0" w:color="auto"/>
        <w:bottom w:val="none" w:sz="0" w:space="0" w:color="auto"/>
        <w:right w:val="none" w:sz="0" w:space="0" w:color="auto"/>
      </w:divBdr>
    </w:div>
    <w:div w:id="1316379012">
      <w:bodyDiv w:val="1"/>
      <w:marLeft w:val="0"/>
      <w:marRight w:val="0"/>
      <w:marTop w:val="0"/>
      <w:marBottom w:val="0"/>
      <w:divBdr>
        <w:top w:val="none" w:sz="0" w:space="0" w:color="auto"/>
        <w:left w:val="none" w:sz="0" w:space="0" w:color="auto"/>
        <w:bottom w:val="none" w:sz="0" w:space="0" w:color="auto"/>
        <w:right w:val="none" w:sz="0" w:space="0" w:color="auto"/>
      </w:divBdr>
    </w:div>
    <w:div w:id="1327249571">
      <w:bodyDiv w:val="1"/>
      <w:marLeft w:val="0"/>
      <w:marRight w:val="0"/>
      <w:marTop w:val="0"/>
      <w:marBottom w:val="0"/>
      <w:divBdr>
        <w:top w:val="none" w:sz="0" w:space="0" w:color="auto"/>
        <w:left w:val="none" w:sz="0" w:space="0" w:color="auto"/>
        <w:bottom w:val="none" w:sz="0" w:space="0" w:color="auto"/>
        <w:right w:val="none" w:sz="0" w:space="0" w:color="auto"/>
      </w:divBdr>
      <w:divsChild>
        <w:div w:id="1622614930">
          <w:marLeft w:val="0"/>
          <w:marRight w:val="0"/>
          <w:marTop w:val="0"/>
          <w:marBottom w:val="0"/>
          <w:divBdr>
            <w:top w:val="none" w:sz="0" w:space="0" w:color="auto"/>
            <w:left w:val="none" w:sz="0" w:space="0" w:color="auto"/>
            <w:bottom w:val="none" w:sz="0" w:space="0" w:color="auto"/>
            <w:right w:val="none" w:sz="0" w:space="0" w:color="auto"/>
          </w:divBdr>
        </w:div>
        <w:div w:id="1016538407">
          <w:marLeft w:val="0"/>
          <w:marRight w:val="0"/>
          <w:marTop w:val="0"/>
          <w:marBottom w:val="0"/>
          <w:divBdr>
            <w:top w:val="none" w:sz="0" w:space="0" w:color="auto"/>
            <w:left w:val="none" w:sz="0" w:space="0" w:color="auto"/>
            <w:bottom w:val="none" w:sz="0" w:space="0" w:color="auto"/>
            <w:right w:val="none" w:sz="0" w:space="0" w:color="auto"/>
          </w:divBdr>
        </w:div>
        <w:div w:id="1634018426">
          <w:marLeft w:val="0"/>
          <w:marRight w:val="0"/>
          <w:marTop w:val="0"/>
          <w:marBottom w:val="0"/>
          <w:divBdr>
            <w:top w:val="none" w:sz="0" w:space="0" w:color="auto"/>
            <w:left w:val="none" w:sz="0" w:space="0" w:color="auto"/>
            <w:bottom w:val="none" w:sz="0" w:space="0" w:color="auto"/>
            <w:right w:val="none" w:sz="0" w:space="0" w:color="auto"/>
          </w:divBdr>
        </w:div>
        <w:div w:id="1764451630">
          <w:marLeft w:val="0"/>
          <w:marRight w:val="0"/>
          <w:marTop w:val="0"/>
          <w:marBottom w:val="0"/>
          <w:divBdr>
            <w:top w:val="none" w:sz="0" w:space="0" w:color="auto"/>
            <w:left w:val="none" w:sz="0" w:space="0" w:color="auto"/>
            <w:bottom w:val="none" w:sz="0" w:space="0" w:color="auto"/>
            <w:right w:val="none" w:sz="0" w:space="0" w:color="auto"/>
          </w:divBdr>
        </w:div>
        <w:div w:id="1310011730">
          <w:marLeft w:val="0"/>
          <w:marRight w:val="0"/>
          <w:marTop w:val="0"/>
          <w:marBottom w:val="0"/>
          <w:divBdr>
            <w:top w:val="none" w:sz="0" w:space="0" w:color="auto"/>
            <w:left w:val="none" w:sz="0" w:space="0" w:color="auto"/>
            <w:bottom w:val="none" w:sz="0" w:space="0" w:color="auto"/>
            <w:right w:val="none" w:sz="0" w:space="0" w:color="auto"/>
          </w:divBdr>
        </w:div>
        <w:div w:id="574516158">
          <w:marLeft w:val="0"/>
          <w:marRight w:val="0"/>
          <w:marTop w:val="0"/>
          <w:marBottom w:val="0"/>
          <w:divBdr>
            <w:top w:val="none" w:sz="0" w:space="0" w:color="auto"/>
            <w:left w:val="none" w:sz="0" w:space="0" w:color="auto"/>
            <w:bottom w:val="none" w:sz="0" w:space="0" w:color="auto"/>
            <w:right w:val="none" w:sz="0" w:space="0" w:color="auto"/>
          </w:divBdr>
        </w:div>
        <w:div w:id="281882586">
          <w:marLeft w:val="0"/>
          <w:marRight w:val="0"/>
          <w:marTop w:val="0"/>
          <w:marBottom w:val="0"/>
          <w:divBdr>
            <w:top w:val="none" w:sz="0" w:space="0" w:color="auto"/>
            <w:left w:val="none" w:sz="0" w:space="0" w:color="auto"/>
            <w:bottom w:val="none" w:sz="0" w:space="0" w:color="auto"/>
            <w:right w:val="none" w:sz="0" w:space="0" w:color="auto"/>
          </w:divBdr>
        </w:div>
        <w:div w:id="1647933454">
          <w:marLeft w:val="0"/>
          <w:marRight w:val="0"/>
          <w:marTop w:val="0"/>
          <w:marBottom w:val="0"/>
          <w:divBdr>
            <w:top w:val="none" w:sz="0" w:space="0" w:color="auto"/>
            <w:left w:val="none" w:sz="0" w:space="0" w:color="auto"/>
            <w:bottom w:val="none" w:sz="0" w:space="0" w:color="auto"/>
            <w:right w:val="none" w:sz="0" w:space="0" w:color="auto"/>
          </w:divBdr>
        </w:div>
        <w:div w:id="1835757463">
          <w:marLeft w:val="0"/>
          <w:marRight w:val="0"/>
          <w:marTop w:val="0"/>
          <w:marBottom w:val="0"/>
          <w:divBdr>
            <w:top w:val="none" w:sz="0" w:space="0" w:color="auto"/>
            <w:left w:val="none" w:sz="0" w:space="0" w:color="auto"/>
            <w:bottom w:val="none" w:sz="0" w:space="0" w:color="auto"/>
            <w:right w:val="none" w:sz="0" w:space="0" w:color="auto"/>
          </w:divBdr>
        </w:div>
        <w:div w:id="718668000">
          <w:marLeft w:val="0"/>
          <w:marRight w:val="0"/>
          <w:marTop w:val="0"/>
          <w:marBottom w:val="0"/>
          <w:divBdr>
            <w:top w:val="none" w:sz="0" w:space="0" w:color="auto"/>
            <w:left w:val="none" w:sz="0" w:space="0" w:color="auto"/>
            <w:bottom w:val="none" w:sz="0" w:space="0" w:color="auto"/>
            <w:right w:val="none" w:sz="0" w:space="0" w:color="auto"/>
          </w:divBdr>
        </w:div>
        <w:div w:id="380522763">
          <w:marLeft w:val="0"/>
          <w:marRight w:val="0"/>
          <w:marTop w:val="0"/>
          <w:marBottom w:val="0"/>
          <w:divBdr>
            <w:top w:val="none" w:sz="0" w:space="0" w:color="auto"/>
            <w:left w:val="none" w:sz="0" w:space="0" w:color="auto"/>
            <w:bottom w:val="none" w:sz="0" w:space="0" w:color="auto"/>
            <w:right w:val="none" w:sz="0" w:space="0" w:color="auto"/>
          </w:divBdr>
        </w:div>
        <w:div w:id="900559567">
          <w:marLeft w:val="0"/>
          <w:marRight w:val="0"/>
          <w:marTop w:val="0"/>
          <w:marBottom w:val="0"/>
          <w:divBdr>
            <w:top w:val="none" w:sz="0" w:space="0" w:color="auto"/>
            <w:left w:val="none" w:sz="0" w:space="0" w:color="auto"/>
            <w:bottom w:val="none" w:sz="0" w:space="0" w:color="auto"/>
            <w:right w:val="none" w:sz="0" w:space="0" w:color="auto"/>
          </w:divBdr>
        </w:div>
        <w:div w:id="523398686">
          <w:marLeft w:val="0"/>
          <w:marRight w:val="0"/>
          <w:marTop w:val="0"/>
          <w:marBottom w:val="0"/>
          <w:divBdr>
            <w:top w:val="none" w:sz="0" w:space="0" w:color="auto"/>
            <w:left w:val="none" w:sz="0" w:space="0" w:color="auto"/>
            <w:bottom w:val="none" w:sz="0" w:space="0" w:color="auto"/>
            <w:right w:val="none" w:sz="0" w:space="0" w:color="auto"/>
          </w:divBdr>
        </w:div>
        <w:div w:id="682977700">
          <w:marLeft w:val="0"/>
          <w:marRight w:val="0"/>
          <w:marTop w:val="0"/>
          <w:marBottom w:val="0"/>
          <w:divBdr>
            <w:top w:val="none" w:sz="0" w:space="0" w:color="auto"/>
            <w:left w:val="none" w:sz="0" w:space="0" w:color="auto"/>
            <w:bottom w:val="none" w:sz="0" w:space="0" w:color="auto"/>
            <w:right w:val="none" w:sz="0" w:space="0" w:color="auto"/>
          </w:divBdr>
        </w:div>
      </w:divsChild>
    </w:div>
    <w:div w:id="1345941966">
      <w:bodyDiv w:val="1"/>
      <w:marLeft w:val="0"/>
      <w:marRight w:val="0"/>
      <w:marTop w:val="0"/>
      <w:marBottom w:val="0"/>
      <w:divBdr>
        <w:top w:val="none" w:sz="0" w:space="0" w:color="auto"/>
        <w:left w:val="none" w:sz="0" w:space="0" w:color="auto"/>
        <w:bottom w:val="none" w:sz="0" w:space="0" w:color="auto"/>
        <w:right w:val="none" w:sz="0" w:space="0" w:color="auto"/>
      </w:divBdr>
      <w:divsChild>
        <w:div w:id="873927510">
          <w:marLeft w:val="0"/>
          <w:marRight w:val="0"/>
          <w:marTop w:val="0"/>
          <w:marBottom w:val="0"/>
          <w:divBdr>
            <w:top w:val="none" w:sz="0" w:space="0" w:color="auto"/>
            <w:left w:val="none" w:sz="0" w:space="0" w:color="auto"/>
            <w:bottom w:val="none" w:sz="0" w:space="0" w:color="auto"/>
            <w:right w:val="none" w:sz="0" w:space="0" w:color="auto"/>
          </w:divBdr>
          <w:divsChild>
            <w:div w:id="1006321171">
              <w:marLeft w:val="0"/>
              <w:marRight w:val="0"/>
              <w:marTop w:val="0"/>
              <w:marBottom w:val="0"/>
              <w:divBdr>
                <w:top w:val="none" w:sz="0" w:space="0" w:color="auto"/>
                <w:left w:val="none" w:sz="0" w:space="0" w:color="auto"/>
                <w:bottom w:val="none" w:sz="0" w:space="0" w:color="auto"/>
                <w:right w:val="none" w:sz="0" w:space="0" w:color="auto"/>
              </w:divBdr>
            </w:div>
            <w:div w:id="116536232">
              <w:marLeft w:val="0"/>
              <w:marRight w:val="0"/>
              <w:marTop w:val="0"/>
              <w:marBottom w:val="0"/>
              <w:divBdr>
                <w:top w:val="none" w:sz="0" w:space="0" w:color="auto"/>
                <w:left w:val="none" w:sz="0" w:space="0" w:color="auto"/>
                <w:bottom w:val="none" w:sz="0" w:space="0" w:color="auto"/>
                <w:right w:val="none" w:sz="0" w:space="0" w:color="auto"/>
              </w:divBdr>
            </w:div>
            <w:div w:id="1462992046">
              <w:marLeft w:val="0"/>
              <w:marRight w:val="0"/>
              <w:marTop w:val="0"/>
              <w:marBottom w:val="0"/>
              <w:divBdr>
                <w:top w:val="none" w:sz="0" w:space="0" w:color="auto"/>
                <w:left w:val="none" w:sz="0" w:space="0" w:color="auto"/>
                <w:bottom w:val="none" w:sz="0" w:space="0" w:color="auto"/>
                <w:right w:val="none" w:sz="0" w:space="0" w:color="auto"/>
              </w:divBdr>
            </w:div>
            <w:div w:id="1112819168">
              <w:marLeft w:val="0"/>
              <w:marRight w:val="0"/>
              <w:marTop w:val="0"/>
              <w:marBottom w:val="0"/>
              <w:divBdr>
                <w:top w:val="none" w:sz="0" w:space="0" w:color="auto"/>
                <w:left w:val="none" w:sz="0" w:space="0" w:color="auto"/>
                <w:bottom w:val="none" w:sz="0" w:space="0" w:color="auto"/>
                <w:right w:val="none" w:sz="0" w:space="0" w:color="auto"/>
              </w:divBdr>
            </w:div>
            <w:div w:id="869143248">
              <w:marLeft w:val="0"/>
              <w:marRight w:val="0"/>
              <w:marTop w:val="0"/>
              <w:marBottom w:val="0"/>
              <w:divBdr>
                <w:top w:val="none" w:sz="0" w:space="0" w:color="auto"/>
                <w:left w:val="none" w:sz="0" w:space="0" w:color="auto"/>
                <w:bottom w:val="none" w:sz="0" w:space="0" w:color="auto"/>
                <w:right w:val="none" w:sz="0" w:space="0" w:color="auto"/>
              </w:divBdr>
            </w:div>
            <w:div w:id="1067915567">
              <w:marLeft w:val="0"/>
              <w:marRight w:val="0"/>
              <w:marTop w:val="0"/>
              <w:marBottom w:val="0"/>
              <w:divBdr>
                <w:top w:val="none" w:sz="0" w:space="0" w:color="auto"/>
                <w:left w:val="none" w:sz="0" w:space="0" w:color="auto"/>
                <w:bottom w:val="none" w:sz="0" w:space="0" w:color="auto"/>
                <w:right w:val="none" w:sz="0" w:space="0" w:color="auto"/>
              </w:divBdr>
            </w:div>
            <w:div w:id="566455863">
              <w:marLeft w:val="0"/>
              <w:marRight w:val="0"/>
              <w:marTop w:val="0"/>
              <w:marBottom w:val="0"/>
              <w:divBdr>
                <w:top w:val="none" w:sz="0" w:space="0" w:color="auto"/>
                <w:left w:val="none" w:sz="0" w:space="0" w:color="auto"/>
                <w:bottom w:val="none" w:sz="0" w:space="0" w:color="auto"/>
                <w:right w:val="none" w:sz="0" w:space="0" w:color="auto"/>
              </w:divBdr>
            </w:div>
            <w:div w:id="1522861061">
              <w:marLeft w:val="0"/>
              <w:marRight w:val="0"/>
              <w:marTop w:val="0"/>
              <w:marBottom w:val="0"/>
              <w:divBdr>
                <w:top w:val="none" w:sz="0" w:space="0" w:color="auto"/>
                <w:left w:val="none" w:sz="0" w:space="0" w:color="auto"/>
                <w:bottom w:val="none" w:sz="0" w:space="0" w:color="auto"/>
                <w:right w:val="none" w:sz="0" w:space="0" w:color="auto"/>
              </w:divBdr>
            </w:div>
            <w:div w:id="1097478109">
              <w:marLeft w:val="0"/>
              <w:marRight w:val="0"/>
              <w:marTop w:val="0"/>
              <w:marBottom w:val="0"/>
              <w:divBdr>
                <w:top w:val="none" w:sz="0" w:space="0" w:color="auto"/>
                <w:left w:val="none" w:sz="0" w:space="0" w:color="auto"/>
                <w:bottom w:val="none" w:sz="0" w:space="0" w:color="auto"/>
                <w:right w:val="none" w:sz="0" w:space="0" w:color="auto"/>
              </w:divBdr>
            </w:div>
            <w:div w:id="1027878106">
              <w:marLeft w:val="0"/>
              <w:marRight w:val="0"/>
              <w:marTop w:val="0"/>
              <w:marBottom w:val="0"/>
              <w:divBdr>
                <w:top w:val="none" w:sz="0" w:space="0" w:color="auto"/>
                <w:left w:val="none" w:sz="0" w:space="0" w:color="auto"/>
                <w:bottom w:val="none" w:sz="0" w:space="0" w:color="auto"/>
                <w:right w:val="none" w:sz="0" w:space="0" w:color="auto"/>
              </w:divBdr>
            </w:div>
            <w:div w:id="695622989">
              <w:marLeft w:val="0"/>
              <w:marRight w:val="0"/>
              <w:marTop w:val="0"/>
              <w:marBottom w:val="0"/>
              <w:divBdr>
                <w:top w:val="none" w:sz="0" w:space="0" w:color="auto"/>
                <w:left w:val="none" w:sz="0" w:space="0" w:color="auto"/>
                <w:bottom w:val="none" w:sz="0" w:space="0" w:color="auto"/>
                <w:right w:val="none" w:sz="0" w:space="0" w:color="auto"/>
              </w:divBdr>
            </w:div>
            <w:div w:id="1904634926">
              <w:marLeft w:val="0"/>
              <w:marRight w:val="0"/>
              <w:marTop w:val="0"/>
              <w:marBottom w:val="0"/>
              <w:divBdr>
                <w:top w:val="none" w:sz="0" w:space="0" w:color="auto"/>
                <w:left w:val="none" w:sz="0" w:space="0" w:color="auto"/>
                <w:bottom w:val="none" w:sz="0" w:space="0" w:color="auto"/>
                <w:right w:val="none" w:sz="0" w:space="0" w:color="auto"/>
              </w:divBdr>
            </w:div>
            <w:div w:id="913321803">
              <w:marLeft w:val="0"/>
              <w:marRight w:val="0"/>
              <w:marTop w:val="0"/>
              <w:marBottom w:val="0"/>
              <w:divBdr>
                <w:top w:val="none" w:sz="0" w:space="0" w:color="auto"/>
                <w:left w:val="none" w:sz="0" w:space="0" w:color="auto"/>
                <w:bottom w:val="none" w:sz="0" w:space="0" w:color="auto"/>
                <w:right w:val="none" w:sz="0" w:space="0" w:color="auto"/>
              </w:divBdr>
            </w:div>
            <w:div w:id="1539656843">
              <w:marLeft w:val="0"/>
              <w:marRight w:val="0"/>
              <w:marTop w:val="0"/>
              <w:marBottom w:val="0"/>
              <w:divBdr>
                <w:top w:val="none" w:sz="0" w:space="0" w:color="auto"/>
                <w:left w:val="none" w:sz="0" w:space="0" w:color="auto"/>
                <w:bottom w:val="none" w:sz="0" w:space="0" w:color="auto"/>
                <w:right w:val="none" w:sz="0" w:space="0" w:color="auto"/>
              </w:divBdr>
            </w:div>
            <w:div w:id="44303897">
              <w:marLeft w:val="0"/>
              <w:marRight w:val="0"/>
              <w:marTop w:val="0"/>
              <w:marBottom w:val="0"/>
              <w:divBdr>
                <w:top w:val="none" w:sz="0" w:space="0" w:color="auto"/>
                <w:left w:val="none" w:sz="0" w:space="0" w:color="auto"/>
                <w:bottom w:val="none" w:sz="0" w:space="0" w:color="auto"/>
                <w:right w:val="none" w:sz="0" w:space="0" w:color="auto"/>
              </w:divBdr>
            </w:div>
            <w:div w:id="92284654">
              <w:marLeft w:val="0"/>
              <w:marRight w:val="0"/>
              <w:marTop w:val="0"/>
              <w:marBottom w:val="0"/>
              <w:divBdr>
                <w:top w:val="none" w:sz="0" w:space="0" w:color="auto"/>
                <w:left w:val="none" w:sz="0" w:space="0" w:color="auto"/>
                <w:bottom w:val="none" w:sz="0" w:space="0" w:color="auto"/>
                <w:right w:val="none" w:sz="0" w:space="0" w:color="auto"/>
              </w:divBdr>
            </w:div>
            <w:div w:id="64570288">
              <w:marLeft w:val="0"/>
              <w:marRight w:val="0"/>
              <w:marTop w:val="0"/>
              <w:marBottom w:val="0"/>
              <w:divBdr>
                <w:top w:val="none" w:sz="0" w:space="0" w:color="auto"/>
                <w:left w:val="none" w:sz="0" w:space="0" w:color="auto"/>
                <w:bottom w:val="none" w:sz="0" w:space="0" w:color="auto"/>
                <w:right w:val="none" w:sz="0" w:space="0" w:color="auto"/>
              </w:divBdr>
            </w:div>
            <w:div w:id="1096904873">
              <w:marLeft w:val="0"/>
              <w:marRight w:val="0"/>
              <w:marTop w:val="0"/>
              <w:marBottom w:val="0"/>
              <w:divBdr>
                <w:top w:val="none" w:sz="0" w:space="0" w:color="auto"/>
                <w:left w:val="none" w:sz="0" w:space="0" w:color="auto"/>
                <w:bottom w:val="none" w:sz="0" w:space="0" w:color="auto"/>
                <w:right w:val="none" w:sz="0" w:space="0" w:color="auto"/>
              </w:divBdr>
            </w:div>
            <w:div w:id="495537591">
              <w:marLeft w:val="0"/>
              <w:marRight w:val="0"/>
              <w:marTop w:val="0"/>
              <w:marBottom w:val="0"/>
              <w:divBdr>
                <w:top w:val="none" w:sz="0" w:space="0" w:color="auto"/>
                <w:left w:val="none" w:sz="0" w:space="0" w:color="auto"/>
                <w:bottom w:val="none" w:sz="0" w:space="0" w:color="auto"/>
                <w:right w:val="none" w:sz="0" w:space="0" w:color="auto"/>
              </w:divBdr>
            </w:div>
            <w:div w:id="1992326105">
              <w:marLeft w:val="0"/>
              <w:marRight w:val="0"/>
              <w:marTop w:val="0"/>
              <w:marBottom w:val="0"/>
              <w:divBdr>
                <w:top w:val="none" w:sz="0" w:space="0" w:color="auto"/>
                <w:left w:val="none" w:sz="0" w:space="0" w:color="auto"/>
                <w:bottom w:val="none" w:sz="0" w:space="0" w:color="auto"/>
                <w:right w:val="none" w:sz="0" w:space="0" w:color="auto"/>
              </w:divBdr>
            </w:div>
            <w:div w:id="1570261949">
              <w:marLeft w:val="0"/>
              <w:marRight w:val="0"/>
              <w:marTop w:val="0"/>
              <w:marBottom w:val="0"/>
              <w:divBdr>
                <w:top w:val="none" w:sz="0" w:space="0" w:color="auto"/>
                <w:left w:val="none" w:sz="0" w:space="0" w:color="auto"/>
                <w:bottom w:val="none" w:sz="0" w:space="0" w:color="auto"/>
                <w:right w:val="none" w:sz="0" w:space="0" w:color="auto"/>
              </w:divBdr>
            </w:div>
            <w:div w:id="945700242">
              <w:marLeft w:val="0"/>
              <w:marRight w:val="0"/>
              <w:marTop w:val="0"/>
              <w:marBottom w:val="0"/>
              <w:divBdr>
                <w:top w:val="none" w:sz="0" w:space="0" w:color="auto"/>
                <w:left w:val="none" w:sz="0" w:space="0" w:color="auto"/>
                <w:bottom w:val="none" w:sz="0" w:space="0" w:color="auto"/>
                <w:right w:val="none" w:sz="0" w:space="0" w:color="auto"/>
              </w:divBdr>
            </w:div>
            <w:div w:id="790561528">
              <w:marLeft w:val="0"/>
              <w:marRight w:val="0"/>
              <w:marTop w:val="0"/>
              <w:marBottom w:val="0"/>
              <w:divBdr>
                <w:top w:val="none" w:sz="0" w:space="0" w:color="auto"/>
                <w:left w:val="none" w:sz="0" w:space="0" w:color="auto"/>
                <w:bottom w:val="none" w:sz="0" w:space="0" w:color="auto"/>
                <w:right w:val="none" w:sz="0" w:space="0" w:color="auto"/>
              </w:divBdr>
            </w:div>
            <w:div w:id="1642611725">
              <w:marLeft w:val="0"/>
              <w:marRight w:val="0"/>
              <w:marTop w:val="0"/>
              <w:marBottom w:val="0"/>
              <w:divBdr>
                <w:top w:val="none" w:sz="0" w:space="0" w:color="auto"/>
                <w:left w:val="none" w:sz="0" w:space="0" w:color="auto"/>
                <w:bottom w:val="none" w:sz="0" w:space="0" w:color="auto"/>
                <w:right w:val="none" w:sz="0" w:space="0" w:color="auto"/>
              </w:divBdr>
            </w:div>
            <w:div w:id="959190244">
              <w:marLeft w:val="0"/>
              <w:marRight w:val="0"/>
              <w:marTop w:val="0"/>
              <w:marBottom w:val="0"/>
              <w:divBdr>
                <w:top w:val="none" w:sz="0" w:space="0" w:color="auto"/>
                <w:left w:val="none" w:sz="0" w:space="0" w:color="auto"/>
                <w:bottom w:val="none" w:sz="0" w:space="0" w:color="auto"/>
                <w:right w:val="none" w:sz="0" w:space="0" w:color="auto"/>
              </w:divBdr>
            </w:div>
            <w:div w:id="1982692171">
              <w:marLeft w:val="0"/>
              <w:marRight w:val="0"/>
              <w:marTop w:val="0"/>
              <w:marBottom w:val="0"/>
              <w:divBdr>
                <w:top w:val="none" w:sz="0" w:space="0" w:color="auto"/>
                <w:left w:val="none" w:sz="0" w:space="0" w:color="auto"/>
                <w:bottom w:val="none" w:sz="0" w:space="0" w:color="auto"/>
                <w:right w:val="none" w:sz="0" w:space="0" w:color="auto"/>
              </w:divBdr>
            </w:div>
            <w:div w:id="430397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3557744">
      <w:bodyDiv w:val="1"/>
      <w:marLeft w:val="0"/>
      <w:marRight w:val="0"/>
      <w:marTop w:val="0"/>
      <w:marBottom w:val="0"/>
      <w:divBdr>
        <w:top w:val="none" w:sz="0" w:space="0" w:color="auto"/>
        <w:left w:val="none" w:sz="0" w:space="0" w:color="auto"/>
        <w:bottom w:val="none" w:sz="0" w:space="0" w:color="auto"/>
        <w:right w:val="none" w:sz="0" w:space="0" w:color="auto"/>
      </w:divBdr>
      <w:divsChild>
        <w:div w:id="244072561">
          <w:marLeft w:val="0"/>
          <w:marRight w:val="0"/>
          <w:marTop w:val="0"/>
          <w:marBottom w:val="0"/>
          <w:divBdr>
            <w:top w:val="none" w:sz="0" w:space="0" w:color="auto"/>
            <w:left w:val="none" w:sz="0" w:space="0" w:color="auto"/>
            <w:bottom w:val="none" w:sz="0" w:space="0" w:color="auto"/>
            <w:right w:val="none" w:sz="0" w:space="0" w:color="auto"/>
          </w:divBdr>
          <w:divsChild>
            <w:div w:id="46605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08766">
      <w:bodyDiv w:val="1"/>
      <w:marLeft w:val="0"/>
      <w:marRight w:val="0"/>
      <w:marTop w:val="0"/>
      <w:marBottom w:val="0"/>
      <w:divBdr>
        <w:top w:val="none" w:sz="0" w:space="0" w:color="auto"/>
        <w:left w:val="none" w:sz="0" w:space="0" w:color="auto"/>
        <w:bottom w:val="none" w:sz="0" w:space="0" w:color="auto"/>
        <w:right w:val="none" w:sz="0" w:space="0" w:color="auto"/>
      </w:divBdr>
    </w:div>
    <w:div w:id="1411385339">
      <w:bodyDiv w:val="1"/>
      <w:marLeft w:val="0"/>
      <w:marRight w:val="0"/>
      <w:marTop w:val="0"/>
      <w:marBottom w:val="0"/>
      <w:divBdr>
        <w:top w:val="none" w:sz="0" w:space="0" w:color="auto"/>
        <w:left w:val="none" w:sz="0" w:space="0" w:color="auto"/>
        <w:bottom w:val="none" w:sz="0" w:space="0" w:color="auto"/>
        <w:right w:val="none" w:sz="0" w:space="0" w:color="auto"/>
      </w:divBdr>
      <w:divsChild>
        <w:div w:id="698094479">
          <w:marLeft w:val="0"/>
          <w:marRight w:val="0"/>
          <w:marTop w:val="0"/>
          <w:marBottom w:val="0"/>
          <w:divBdr>
            <w:top w:val="none" w:sz="0" w:space="0" w:color="auto"/>
            <w:left w:val="none" w:sz="0" w:space="0" w:color="auto"/>
            <w:bottom w:val="none" w:sz="0" w:space="0" w:color="auto"/>
            <w:right w:val="none" w:sz="0" w:space="0" w:color="auto"/>
          </w:divBdr>
          <w:divsChild>
            <w:div w:id="887299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455044">
      <w:bodyDiv w:val="1"/>
      <w:marLeft w:val="0"/>
      <w:marRight w:val="0"/>
      <w:marTop w:val="0"/>
      <w:marBottom w:val="0"/>
      <w:divBdr>
        <w:top w:val="none" w:sz="0" w:space="0" w:color="auto"/>
        <w:left w:val="none" w:sz="0" w:space="0" w:color="auto"/>
        <w:bottom w:val="none" w:sz="0" w:space="0" w:color="auto"/>
        <w:right w:val="none" w:sz="0" w:space="0" w:color="auto"/>
      </w:divBdr>
      <w:divsChild>
        <w:div w:id="1972319993">
          <w:marLeft w:val="0"/>
          <w:marRight w:val="0"/>
          <w:marTop w:val="0"/>
          <w:marBottom w:val="0"/>
          <w:divBdr>
            <w:top w:val="none" w:sz="0" w:space="0" w:color="auto"/>
            <w:left w:val="none" w:sz="0" w:space="0" w:color="auto"/>
            <w:bottom w:val="none" w:sz="0" w:space="0" w:color="auto"/>
            <w:right w:val="none" w:sz="0" w:space="0" w:color="auto"/>
          </w:divBdr>
        </w:div>
        <w:div w:id="1963267683">
          <w:marLeft w:val="0"/>
          <w:marRight w:val="0"/>
          <w:marTop w:val="0"/>
          <w:marBottom w:val="0"/>
          <w:divBdr>
            <w:top w:val="none" w:sz="0" w:space="0" w:color="auto"/>
            <w:left w:val="none" w:sz="0" w:space="0" w:color="auto"/>
            <w:bottom w:val="none" w:sz="0" w:space="0" w:color="auto"/>
            <w:right w:val="none" w:sz="0" w:space="0" w:color="auto"/>
          </w:divBdr>
        </w:div>
      </w:divsChild>
    </w:div>
    <w:div w:id="1436246152">
      <w:bodyDiv w:val="1"/>
      <w:marLeft w:val="0"/>
      <w:marRight w:val="0"/>
      <w:marTop w:val="0"/>
      <w:marBottom w:val="0"/>
      <w:divBdr>
        <w:top w:val="none" w:sz="0" w:space="0" w:color="auto"/>
        <w:left w:val="none" w:sz="0" w:space="0" w:color="auto"/>
        <w:bottom w:val="none" w:sz="0" w:space="0" w:color="auto"/>
        <w:right w:val="none" w:sz="0" w:space="0" w:color="auto"/>
      </w:divBdr>
      <w:divsChild>
        <w:div w:id="2076973010">
          <w:marLeft w:val="0"/>
          <w:marRight w:val="0"/>
          <w:marTop w:val="0"/>
          <w:marBottom w:val="0"/>
          <w:divBdr>
            <w:top w:val="none" w:sz="0" w:space="0" w:color="auto"/>
            <w:left w:val="none" w:sz="0" w:space="0" w:color="auto"/>
            <w:bottom w:val="none" w:sz="0" w:space="0" w:color="auto"/>
            <w:right w:val="none" w:sz="0" w:space="0" w:color="auto"/>
          </w:divBdr>
          <w:divsChild>
            <w:div w:id="93185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683530">
      <w:bodyDiv w:val="1"/>
      <w:marLeft w:val="0"/>
      <w:marRight w:val="0"/>
      <w:marTop w:val="0"/>
      <w:marBottom w:val="0"/>
      <w:divBdr>
        <w:top w:val="none" w:sz="0" w:space="0" w:color="auto"/>
        <w:left w:val="none" w:sz="0" w:space="0" w:color="auto"/>
        <w:bottom w:val="none" w:sz="0" w:space="0" w:color="auto"/>
        <w:right w:val="none" w:sz="0" w:space="0" w:color="auto"/>
      </w:divBdr>
      <w:divsChild>
        <w:div w:id="1494684318">
          <w:marLeft w:val="0"/>
          <w:marRight w:val="0"/>
          <w:marTop w:val="0"/>
          <w:marBottom w:val="0"/>
          <w:divBdr>
            <w:top w:val="none" w:sz="0" w:space="0" w:color="auto"/>
            <w:left w:val="none" w:sz="0" w:space="0" w:color="auto"/>
            <w:bottom w:val="none" w:sz="0" w:space="0" w:color="auto"/>
            <w:right w:val="none" w:sz="0" w:space="0" w:color="auto"/>
          </w:divBdr>
          <w:divsChild>
            <w:div w:id="114701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203672">
      <w:bodyDiv w:val="1"/>
      <w:marLeft w:val="0"/>
      <w:marRight w:val="0"/>
      <w:marTop w:val="0"/>
      <w:marBottom w:val="0"/>
      <w:divBdr>
        <w:top w:val="none" w:sz="0" w:space="0" w:color="auto"/>
        <w:left w:val="none" w:sz="0" w:space="0" w:color="auto"/>
        <w:bottom w:val="none" w:sz="0" w:space="0" w:color="auto"/>
        <w:right w:val="none" w:sz="0" w:space="0" w:color="auto"/>
      </w:divBdr>
      <w:divsChild>
        <w:div w:id="1847205139">
          <w:marLeft w:val="0"/>
          <w:marRight w:val="0"/>
          <w:marTop w:val="0"/>
          <w:marBottom w:val="0"/>
          <w:divBdr>
            <w:top w:val="none" w:sz="0" w:space="0" w:color="auto"/>
            <w:left w:val="none" w:sz="0" w:space="0" w:color="auto"/>
            <w:bottom w:val="none" w:sz="0" w:space="0" w:color="auto"/>
            <w:right w:val="none" w:sz="0" w:space="0" w:color="auto"/>
          </w:divBdr>
        </w:div>
        <w:div w:id="1790246937">
          <w:marLeft w:val="0"/>
          <w:marRight w:val="0"/>
          <w:marTop w:val="0"/>
          <w:marBottom w:val="0"/>
          <w:divBdr>
            <w:top w:val="none" w:sz="0" w:space="0" w:color="auto"/>
            <w:left w:val="none" w:sz="0" w:space="0" w:color="auto"/>
            <w:bottom w:val="none" w:sz="0" w:space="0" w:color="auto"/>
            <w:right w:val="none" w:sz="0" w:space="0" w:color="auto"/>
          </w:divBdr>
        </w:div>
        <w:div w:id="1164278977">
          <w:marLeft w:val="0"/>
          <w:marRight w:val="0"/>
          <w:marTop w:val="0"/>
          <w:marBottom w:val="0"/>
          <w:divBdr>
            <w:top w:val="none" w:sz="0" w:space="0" w:color="auto"/>
            <w:left w:val="none" w:sz="0" w:space="0" w:color="auto"/>
            <w:bottom w:val="none" w:sz="0" w:space="0" w:color="auto"/>
            <w:right w:val="none" w:sz="0" w:space="0" w:color="auto"/>
          </w:divBdr>
        </w:div>
        <w:div w:id="547956922">
          <w:marLeft w:val="0"/>
          <w:marRight w:val="0"/>
          <w:marTop w:val="0"/>
          <w:marBottom w:val="0"/>
          <w:divBdr>
            <w:top w:val="none" w:sz="0" w:space="0" w:color="auto"/>
            <w:left w:val="none" w:sz="0" w:space="0" w:color="auto"/>
            <w:bottom w:val="none" w:sz="0" w:space="0" w:color="auto"/>
            <w:right w:val="none" w:sz="0" w:space="0" w:color="auto"/>
          </w:divBdr>
        </w:div>
        <w:div w:id="1944847354">
          <w:marLeft w:val="0"/>
          <w:marRight w:val="0"/>
          <w:marTop w:val="0"/>
          <w:marBottom w:val="0"/>
          <w:divBdr>
            <w:top w:val="none" w:sz="0" w:space="0" w:color="auto"/>
            <w:left w:val="none" w:sz="0" w:space="0" w:color="auto"/>
            <w:bottom w:val="none" w:sz="0" w:space="0" w:color="auto"/>
            <w:right w:val="none" w:sz="0" w:space="0" w:color="auto"/>
          </w:divBdr>
        </w:div>
        <w:div w:id="100297677">
          <w:marLeft w:val="0"/>
          <w:marRight w:val="0"/>
          <w:marTop w:val="0"/>
          <w:marBottom w:val="0"/>
          <w:divBdr>
            <w:top w:val="none" w:sz="0" w:space="0" w:color="auto"/>
            <w:left w:val="none" w:sz="0" w:space="0" w:color="auto"/>
            <w:bottom w:val="none" w:sz="0" w:space="0" w:color="auto"/>
            <w:right w:val="none" w:sz="0" w:space="0" w:color="auto"/>
          </w:divBdr>
        </w:div>
        <w:div w:id="1347756618">
          <w:marLeft w:val="0"/>
          <w:marRight w:val="0"/>
          <w:marTop w:val="0"/>
          <w:marBottom w:val="0"/>
          <w:divBdr>
            <w:top w:val="none" w:sz="0" w:space="0" w:color="auto"/>
            <w:left w:val="none" w:sz="0" w:space="0" w:color="auto"/>
            <w:bottom w:val="none" w:sz="0" w:space="0" w:color="auto"/>
            <w:right w:val="none" w:sz="0" w:space="0" w:color="auto"/>
          </w:divBdr>
        </w:div>
        <w:div w:id="146945921">
          <w:marLeft w:val="0"/>
          <w:marRight w:val="0"/>
          <w:marTop w:val="0"/>
          <w:marBottom w:val="0"/>
          <w:divBdr>
            <w:top w:val="none" w:sz="0" w:space="0" w:color="auto"/>
            <w:left w:val="none" w:sz="0" w:space="0" w:color="auto"/>
            <w:bottom w:val="none" w:sz="0" w:space="0" w:color="auto"/>
            <w:right w:val="none" w:sz="0" w:space="0" w:color="auto"/>
          </w:divBdr>
        </w:div>
        <w:div w:id="1435515694">
          <w:marLeft w:val="0"/>
          <w:marRight w:val="0"/>
          <w:marTop w:val="0"/>
          <w:marBottom w:val="0"/>
          <w:divBdr>
            <w:top w:val="none" w:sz="0" w:space="0" w:color="auto"/>
            <w:left w:val="none" w:sz="0" w:space="0" w:color="auto"/>
            <w:bottom w:val="none" w:sz="0" w:space="0" w:color="auto"/>
            <w:right w:val="none" w:sz="0" w:space="0" w:color="auto"/>
          </w:divBdr>
        </w:div>
        <w:div w:id="1762946725">
          <w:marLeft w:val="0"/>
          <w:marRight w:val="0"/>
          <w:marTop w:val="0"/>
          <w:marBottom w:val="0"/>
          <w:divBdr>
            <w:top w:val="none" w:sz="0" w:space="0" w:color="auto"/>
            <w:left w:val="none" w:sz="0" w:space="0" w:color="auto"/>
            <w:bottom w:val="none" w:sz="0" w:space="0" w:color="auto"/>
            <w:right w:val="none" w:sz="0" w:space="0" w:color="auto"/>
          </w:divBdr>
        </w:div>
        <w:div w:id="1535925469">
          <w:marLeft w:val="0"/>
          <w:marRight w:val="0"/>
          <w:marTop w:val="0"/>
          <w:marBottom w:val="0"/>
          <w:divBdr>
            <w:top w:val="none" w:sz="0" w:space="0" w:color="auto"/>
            <w:left w:val="none" w:sz="0" w:space="0" w:color="auto"/>
            <w:bottom w:val="none" w:sz="0" w:space="0" w:color="auto"/>
            <w:right w:val="none" w:sz="0" w:space="0" w:color="auto"/>
          </w:divBdr>
        </w:div>
        <w:div w:id="1078359301">
          <w:marLeft w:val="0"/>
          <w:marRight w:val="0"/>
          <w:marTop w:val="0"/>
          <w:marBottom w:val="0"/>
          <w:divBdr>
            <w:top w:val="none" w:sz="0" w:space="0" w:color="auto"/>
            <w:left w:val="none" w:sz="0" w:space="0" w:color="auto"/>
            <w:bottom w:val="none" w:sz="0" w:space="0" w:color="auto"/>
            <w:right w:val="none" w:sz="0" w:space="0" w:color="auto"/>
          </w:divBdr>
        </w:div>
        <w:div w:id="1534919307">
          <w:marLeft w:val="0"/>
          <w:marRight w:val="0"/>
          <w:marTop w:val="0"/>
          <w:marBottom w:val="0"/>
          <w:divBdr>
            <w:top w:val="none" w:sz="0" w:space="0" w:color="auto"/>
            <w:left w:val="none" w:sz="0" w:space="0" w:color="auto"/>
            <w:bottom w:val="none" w:sz="0" w:space="0" w:color="auto"/>
            <w:right w:val="none" w:sz="0" w:space="0" w:color="auto"/>
          </w:divBdr>
        </w:div>
        <w:div w:id="440295882">
          <w:marLeft w:val="0"/>
          <w:marRight w:val="0"/>
          <w:marTop w:val="0"/>
          <w:marBottom w:val="0"/>
          <w:divBdr>
            <w:top w:val="none" w:sz="0" w:space="0" w:color="auto"/>
            <w:left w:val="none" w:sz="0" w:space="0" w:color="auto"/>
            <w:bottom w:val="none" w:sz="0" w:space="0" w:color="auto"/>
            <w:right w:val="none" w:sz="0" w:space="0" w:color="auto"/>
          </w:divBdr>
        </w:div>
        <w:div w:id="640499126">
          <w:marLeft w:val="0"/>
          <w:marRight w:val="0"/>
          <w:marTop w:val="0"/>
          <w:marBottom w:val="0"/>
          <w:divBdr>
            <w:top w:val="none" w:sz="0" w:space="0" w:color="auto"/>
            <w:left w:val="none" w:sz="0" w:space="0" w:color="auto"/>
            <w:bottom w:val="none" w:sz="0" w:space="0" w:color="auto"/>
            <w:right w:val="none" w:sz="0" w:space="0" w:color="auto"/>
          </w:divBdr>
        </w:div>
        <w:div w:id="62145568">
          <w:marLeft w:val="0"/>
          <w:marRight w:val="0"/>
          <w:marTop w:val="0"/>
          <w:marBottom w:val="0"/>
          <w:divBdr>
            <w:top w:val="none" w:sz="0" w:space="0" w:color="auto"/>
            <w:left w:val="none" w:sz="0" w:space="0" w:color="auto"/>
            <w:bottom w:val="none" w:sz="0" w:space="0" w:color="auto"/>
            <w:right w:val="none" w:sz="0" w:space="0" w:color="auto"/>
          </w:divBdr>
        </w:div>
        <w:div w:id="302469315">
          <w:marLeft w:val="0"/>
          <w:marRight w:val="0"/>
          <w:marTop w:val="0"/>
          <w:marBottom w:val="0"/>
          <w:divBdr>
            <w:top w:val="none" w:sz="0" w:space="0" w:color="auto"/>
            <w:left w:val="none" w:sz="0" w:space="0" w:color="auto"/>
            <w:bottom w:val="none" w:sz="0" w:space="0" w:color="auto"/>
            <w:right w:val="none" w:sz="0" w:space="0" w:color="auto"/>
          </w:divBdr>
        </w:div>
        <w:div w:id="1717192876">
          <w:marLeft w:val="0"/>
          <w:marRight w:val="0"/>
          <w:marTop w:val="0"/>
          <w:marBottom w:val="0"/>
          <w:divBdr>
            <w:top w:val="none" w:sz="0" w:space="0" w:color="auto"/>
            <w:left w:val="none" w:sz="0" w:space="0" w:color="auto"/>
            <w:bottom w:val="none" w:sz="0" w:space="0" w:color="auto"/>
            <w:right w:val="none" w:sz="0" w:space="0" w:color="auto"/>
          </w:divBdr>
        </w:div>
        <w:div w:id="104929864">
          <w:marLeft w:val="0"/>
          <w:marRight w:val="0"/>
          <w:marTop w:val="0"/>
          <w:marBottom w:val="0"/>
          <w:divBdr>
            <w:top w:val="none" w:sz="0" w:space="0" w:color="auto"/>
            <w:left w:val="none" w:sz="0" w:space="0" w:color="auto"/>
            <w:bottom w:val="none" w:sz="0" w:space="0" w:color="auto"/>
            <w:right w:val="none" w:sz="0" w:space="0" w:color="auto"/>
          </w:divBdr>
        </w:div>
        <w:div w:id="1183977959">
          <w:marLeft w:val="0"/>
          <w:marRight w:val="0"/>
          <w:marTop w:val="0"/>
          <w:marBottom w:val="0"/>
          <w:divBdr>
            <w:top w:val="none" w:sz="0" w:space="0" w:color="auto"/>
            <w:left w:val="none" w:sz="0" w:space="0" w:color="auto"/>
            <w:bottom w:val="none" w:sz="0" w:space="0" w:color="auto"/>
            <w:right w:val="none" w:sz="0" w:space="0" w:color="auto"/>
          </w:divBdr>
        </w:div>
        <w:div w:id="1444111890">
          <w:marLeft w:val="0"/>
          <w:marRight w:val="0"/>
          <w:marTop w:val="0"/>
          <w:marBottom w:val="0"/>
          <w:divBdr>
            <w:top w:val="none" w:sz="0" w:space="0" w:color="auto"/>
            <w:left w:val="none" w:sz="0" w:space="0" w:color="auto"/>
            <w:bottom w:val="none" w:sz="0" w:space="0" w:color="auto"/>
            <w:right w:val="none" w:sz="0" w:space="0" w:color="auto"/>
          </w:divBdr>
        </w:div>
        <w:div w:id="1435587743">
          <w:marLeft w:val="0"/>
          <w:marRight w:val="0"/>
          <w:marTop w:val="0"/>
          <w:marBottom w:val="0"/>
          <w:divBdr>
            <w:top w:val="none" w:sz="0" w:space="0" w:color="auto"/>
            <w:left w:val="none" w:sz="0" w:space="0" w:color="auto"/>
            <w:bottom w:val="none" w:sz="0" w:space="0" w:color="auto"/>
            <w:right w:val="none" w:sz="0" w:space="0" w:color="auto"/>
          </w:divBdr>
        </w:div>
        <w:div w:id="1927882491">
          <w:marLeft w:val="0"/>
          <w:marRight w:val="0"/>
          <w:marTop w:val="0"/>
          <w:marBottom w:val="0"/>
          <w:divBdr>
            <w:top w:val="none" w:sz="0" w:space="0" w:color="auto"/>
            <w:left w:val="none" w:sz="0" w:space="0" w:color="auto"/>
            <w:bottom w:val="none" w:sz="0" w:space="0" w:color="auto"/>
            <w:right w:val="none" w:sz="0" w:space="0" w:color="auto"/>
          </w:divBdr>
        </w:div>
        <w:div w:id="88932432">
          <w:marLeft w:val="0"/>
          <w:marRight w:val="0"/>
          <w:marTop w:val="0"/>
          <w:marBottom w:val="0"/>
          <w:divBdr>
            <w:top w:val="none" w:sz="0" w:space="0" w:color="auto"/>
            <w:left w:val="none" w:sz="0" w:space="0" w:color="auto"/>
            <w:bottom w:val="none" w:sz="0" w:space="0" w:color="auto"/>
            <w:right w:val="none" w:sz="0" w:space="0" w:color="auto"/>
          </w:divBdr>
        </w:div>
        <w:div w:id="26686692">
          <w:marLeft w:val="0"/>
          <w:marRight w:val="0"/>
          <w:marTop w:val="0"/>
          <w:marBottom w:val="0"/>
          <w:divBdr>
            <w:top w:val="none" w:sz="0" w:space="0" w:color="auto"/>
            <w:left w:val="none" w:sz="0" w:space="0" w:color="auto"/>
            <w:bottom w:val="none" w:sz="0" w:space="0" w:color="auto"/>
            <w:right w:val="none" w:sz="0" w:space="0" w:color="auto"/>
          </w:divBdr>
        </w:div>
        <w:div w:id="665788596">
          <w:marLeft w:val="0"/>
          <w:marRight w:val="0"/>
          <w:marTop w:val="0"/>
          <w:marBottom w:val="0"/>
          <w:divBdr>
            <w:top w:val="none" w:sz="0" w:space="0" w:color="auto"/>
            <w:left w:val="none" w:sz="0" w:space="0" w:color="auto"/>
            <w:bottom w:val="none" w:sz="0" w:space="0" w:color="auto"/>
            <w:right w:val="none" w:sz="0" w:space="0" w:color="auto"/>
          </w:divBdr>
        </w:div>
        <w:div w:id="808938869">
          <w:marLeft w:val="0"/>
          <w:marRight w:val="0"/>
          <w:marTop w:val="0"/>
          <w:marBottom w:val="0"/>
          <w:divBdr>
            <w:top w:val="none" w:sz="0" w:space="0" w:color="auto"/>
            <w:left w:val="none" w:sz="0" w:space="0" w:color="auto"/>
            <w:bottom w:val="none" w:sz="0" w:space="0" w:color="auto"/>
            <w:right w:val="none" w:sz="0" w:space="0" w:color="auto"/>
          </w:divBdr>
        </w:div>
        <w:div w:id="1338271112">
          <w:marLeft w:val="0"/>
          <w:marRight w:val="0"/>
          <w:marTop w:val="0"/>
          <w:marBottom w:val="0"/>
          <w:divBdr>
            <w:top w:val="none" w:sz="0" w:space="0" w:color="auto"/>
            <w:left w:val="none" w:sz="0" w:space="0" w:color="auto"/>
            <w:bottom w:val="none" w:sz="0" w:space="0" w:color="auto"/>
            <w:right w:val="none" w:sz="0" w:space="0" w:color="auto"/>
          </w:divBdr>
        </w:div>
        <w:div w:id="1011178524">
          <w:marLeft w:val="0"/>
          <w:marRight w:val="0"/>
          <w:marTop w:val="0"/>
          <w:marBottom w:val="0"/>
          <w:divBdr>
            <w:top w:val="none" w:sz="0" w:space="0" w:color="auto"/>
            <w:left w:val="none" w:sz="0" w:space="0" w:color="auto"/>
            <w:bottom w:val="none" w:sz="0" w:space="0" w:color="auto"/>
            <w:right w:val="none" w:sz="0" w:space="0" w:color="auto"/>
          </w:divBdr>
        </w:div>
        <w:div w:id="1065687040">
          <w:marLeft w:val="0"/>
          <w:marRight w:val="0"/>
          <w:marTop w:val="0"/>
          <w:marBottom w:val="0"/>
          <w:divBdr>
            <w:top w:val="none" w:sz="0" w:space="0" w:color="auto"/>
            <w:left w:val="none" w:sz="0" w:space="0" w:color="auto"/>
            <w:bottom w:val="none" w:sz="0" w:space="0" w:color="auto"/>
            <w:right w:val="none" w:sz="0" w:space="0" w:color="auto"/>
          </w:divBdr>
        </w:div>
        <w:div w:id="1374231254">
          <w:marLeft w:val="0"/>
          <w:marRight w:val="0"/>
          <w:marTop w:val="0"/>
          <w:marBottom w:val="0"/>
          <w:divBdr>
            <w:top w:val="none" w:sz="0" w:space="0" w:color="auto"/>
            <w:left w:val="none" w:sz="0" w:space="0" w:color="auto"/>
            <w:bottom w:val="none" w:sz="0" w:space="0" w:color="auto"/>
            <w:right w:val="none" w:sz="0" w:space="0" w:color="auto"/>
          </w:divBdr>
        </w:div>
        <w:div w:id="627661539">
          <w:marLeft w:val="0"/>
          <w:marRight w:val="0"/>
          <w:marTop w:val="0"/>
          <w:marBottom w:val="0"/>
          <w:divBdr>
            <w:top w:val="none" w:sz="0" w:space="0" w:color="auto"/>
            <w:left w:val="none" w:sz="0" w:space="0" w:color="auto"/>
            <w:bottom w:val="none" w:sz="0" w:space="0" w:color="auto"/>
            <w:right w:val="none" w:sz="0" w:space="0" w:color="auto"/>
          </w:divBdr>
        </w:div>
        <w:div w:id="1406756932">
          <w:marLeft w:val="0"/>
          <w:marRight w:val="0"/>
          <w:marTop w:val="0"/>
          <w:marBottom w:val="0"/>
          <w:divBdr>
            <w:top w:val="none" w:sz="0" w:space="0" w:color="auto"/>
            <w:left w:val="none" w:sz="0" w:space="0" w:color="auto"/>
            <w:bottom w:val="none" w:sz="0" w:space="0" w:color="auto"/>
            <w:right w:val="none" w:sz="0" w:space="0" w:color="auto"/>
          </w:divBdr>
        </w:div>
        <w:div w:id="696085637">
          <w:marLeft w:val="0"/>
          <w:marRight w:val="0"/>
          <w:marTop w:val="0"/>
          <w:marBottom w:val="0"/>
          <w:divBdr>
            <w:top w:val="none" w:sz="0" w:space="0" w:color="auto"/>
            <w:left w:val="none" w:sz="0" w:space="0" w:color="auto"/>
            <w:bottom w:val="none" w:sz="0" w:space="0" w:color="auto"/>
            <w:right w:val="none" w:sz="0" w:space="0" w:color="auto"/>
          </w:divBdr>
        </w:div>
        <w:div w:id="1545142826">
          <w:marLeft w:val="0"/>
          <w:marRight w:val="0"/>
          <w:marTop w:val="0"/>
          <w:marBottom w:val="0"/>
          <w:divBdr>
            <w:top w:val="none" w:sz="0" w:space="0" w:color="auto"/>
            <w:left w:val="none" w:sz="0" w:space="0" w:color="auto"/>
            <w:bottom w:val="none" w:sz="0" w:space="0" w:color="auto"/>
            <w:right w:val="none" w:sz="0" w:space="0" w:color="auto"/>
          </w:divBdr>
        </w:div>
        <w:div w:id="362052859">
          <w:marLeft w:val="0"/>
          <w:marRight w:val="0"/>
          <w:marTop w:val="0"/>
          <w:marBottom w:val="0"/>
          <w:divBdr>
            <w:top w:val="none" w:sz="0" w:space="0" w:color="auto"/>
            <w:left w:val="none" w:sz="0" w:space="0" w:color="auto"/>
            <w:bottom w:val="none" w:sz="0" w:space="0" w:color="auto"/>
            <w:right w:val="none" w:sz="0" w:space="0" w:color="auto"/>
          </w:divBdr>
        </w:div>
        <w:div w:id="1263683174">
          <w:marLeft w:val="0"/>
          <w:marRight w:val="0"/>
          <w:marTop w:val="0"/>
          <w:marBottom w:val="0"/>
          <w:divBdr>
            <w:top w:val="none" w:sz="0" w:space="0" w:color="auto"/>
            <w:left w:val="none" w:sz="0" w:space="0" w:color="auto"/>
            <w:bottom w:val="none" w:sz="0" w:space="0" w:color="auto"/>
            <w:right w:val="none" w:sz="0" w:space="0" w:color="auto"/>
          </w:divBdr>
        </w:div>
        <w:div w:id="1121849366">
          <w:marLeft w:val="0"/>
          <w:marRight w:val="0"/>
          <w:marTop w:val="0"/>
          <w:marBottom w:val="0"/>
          <w:divBdr>
            <w:top w:val="none" w:sz="0" w:space="0" w:color="auto"/>
            <w:left w:val="none" w:sz="0" w:space="0" w:color="auto"/>
            <w:bottom w:val="none" w:sz="0" w:space="0" w:color="auto"/>
            <w:right w:val="none" w:sz="0" w:space="0" w:color="auto"/>
          </w:divBdr>
        </w:div>
        <w:div w:id="858272756">
          <w:marLeft w:val="0"/>
          <w:marRight w:val="0"/>
          <w:marTop w:val="0"/>
          <w:marBottom w:val="0"/>
          <w:divBdr>
            <w:top w:val="none" w:sz="0" w:space="0" w:color="auto"/>
            <w:left w:val="none" w:sz="0" w:space="0" w:color="auto"/>
            <w:bottom w:val="none" w:sz="0" w:space="0" w:color="auto"/>
            <w:right w:val="none" w:sz="0" w:space="0" w:color="auto"/>
          </w:divBdr>
        </w:div>
        <w:div w:id="516891855">
          <w:marLeft w:val="0"/>
          <w:marRight w:val="0"/>
          <w:marTop w:val="0"/>
          <w:marBottom w:val="0"/>
          <w:divBdr>
            <w:top w:val="none" w:sz="0" w:space="0" w:color="auto"/>
            <w:left w:val="none" w:sz="0" w:space="0" w:color="auto"/>
            <w:bottom w:val="none" w:sz="0" w:space="0" w:color="auto"/>
            <w:right w:val="none" w:sz="0" w:space="0" w:color="auto"/>
          </w:divBdr>
        </w:div>
        <w:div w:id="670107711">
          <w:marLeft w:val="0"/>
          <w:marRight w:val="0"/>
          <w:marTop w:val="0"/>
          <w:marBottom w:val="0"/>
          <w:divBdr>
            <w:top w:val="none" w:sz="0" w:space="0" w:color="auto"/>
            <w:left w:val="none" w:sz="0" w:space="0" w:color="auto"/>
            <w:bottom w:val="none" w:sz="0" w:space="0" w:color="auto"/>
            <w:right w:val="none" w:sz="0" w:space="0" w:color="auto"/>
          </w:divBdr>
        </w:div>
        <w:div w:id="1591425265">
          <w:marLeft w:val="0"/>
          <w:marRight w:val="0"/>
          <w:marTop w:val="0"/>
          <w:marBottom w:val="0"/>
          <w:divBdr>
            <w:top w:val="none" w:sz="0" w:space="0" w:color="auto"/>
            <w:left w:val="none" w:sz="0" w:space="0" w:color="auto"/>
            <w:bottom w:val="none" w:sz="0" w:space="0" w:color="auto"/>
            <w:right w:val="none" w:sz="0" w:space="0" w:color="auto"/>
          </w:divBdr>
        </w:div>
        <w:div w:id="91901471">
          <w:marLeft w:val="0"/>
          <w:marRight w:val="0"/>
          <w:marTop w:val="0"/>
          <w:marBottom w:val="0"/>
          <w:divBdr>
            <w:top w:val="none" w:sz="0" w:space="0" w:color="auto"/>
            <w:left w:val="none" w:sz="0" w:space="0" w:color="auto"/>
            <w:bottom w:val="none" w:sz="0" w:space="0" w:color="auto"/>
            <w:right w:val="none" w:sz="0" w:space="0" w:color="auto"/>
          </w:divBdr>
        </w:div>
        <w:div w:id="672950876">
          <w:marLeft w:val="0"/>
          <w:marRight w:val="0"/>
          <w:marTop w:val="0"/>
          <w:marBottom w:val="0"/>
          <w:divBdr>
            <w:top w:val="none" w:sz="0" w:space="0" w:color="auto"/>
            <w:left w:val="none" w:sz="0" w:space="0" w:color="auto"/>
            <w:bottom w:val="none" w:sz="0" w:space="0" w:color="auto"/>
            <w:right w:val="none" w:sz="0" w:space="0" w:color="auto"/>
          </w:divBdr>
        </w:div>
        <w:div w:id="1817140556">
          <w:marLeft w:val="0"/>
          <w:marRight w:val="0"/>
          <w:marTop w:val="0"/>
          <w:marBottom w:val="0"/>
          <w:divBdr>
            <w:top w:val="none" w:sz="0" w:space="0" w:color="auto"/>
            <w:left w:val="none" w:sz="0" w:space="0" w:color="auto"/>
            <w:bottom w:val="none" w:sz="0" w:space="0" w:color="auto"/>
            <w:right w:val="none" w:sz="0" w:space="0" w:color="auto"/>
          </w:divBdr>
        </w:div>
        <w:div w:id="1660158444">
          <w:marLeft w:val="0"/>
          <w:marRight w:val="0"/>
          <w:marTop w:val="0"/>
          <w:marBottom w:val="0"/>
          <w:divBdr>
            <w:top w:val="none" w:sz="0" w:space="0" w:color="auto"/>
            <w:left w:val="none" w:sz="0" w:space="0" w:color="auto"/>
            <w:bottom w:val="none" w:sz="0" w:space="0" w:color="auto"/>
            <w:right w:val="none" w:sz="0" w:space="0" w:color="auto"/>
          </w:divBdr>
        </w:div>
        <w:div w:id="1357998231">
          <w:marLeft w:val="0"/>
          <w:marRight w:val="0"/>
          <w:marTop w:val="0"/>
          <w:marBottom w:val="0"/>
          <w:divBdr>
            <w:top w:val="none" w:sz="0" w:space="0" w:color="auto"/>
            <w:left w:val="none" w:sz="0" w:space="0" w:color="auto"/>
            <w:bottom w:val="none" w:sz="0" w:space="0" w:color="auto"/>
            <w:right w:val="none" w:sz="0" w:space="0" w:color="auto"/>
          </w:divBdr>
        </w:div>
        <w:div w:id="488903517">
          <w:marLeft w:val="0"/>
          <w:marRight w:val="0"/>
          <w:marTop w:val="0"/>
          <w:marBottom w:val="0"/>
          <w:divBdr>
            <w:top w:val="none" w:sz="0" w:space="0" w:color="auto"/>
            <w:left w:val="none" w:sz="0" w:space="0" w:color="auto"/>
            <w:bottom w:val="none" w:sz="0" w:space="0" w:color="auto"/>
            <w:right w:val="none" w:sz="0" w:space="0" w:color="auto"/>
          </w:divBdr>
        </w:div>
        <w:div w:id="1811750450">
          <w:marLeft w:val="0"/>
          <w:marRight w:val="0"/>
          <w:marTop w:val="0"/>
          <w:marBottom w:val="0"/>
          <w:divBdr>
            <w:top w:val="none" w:sz="0" w:space="0" w:color="auto"/>
            <w:left w:val="none" w:sz="0" w:space="0" w:color="auto"/>
            <w:bottom w:val="none" w:sz="0" w:space="0" w:color="auto"/>
            <w:right w:val="none" w:sz="0" w:space="0" w:color="auto"/>
          </w:divBdr>
        </w:div>
        <w:div w:id="104469356">
          <w:marLeft w:val="0"/>
          <w:marRight w:val="0"/>
          <w:marTop w:val="0"/>
          <w:marBottom w:val="0"/>
          <w:divBdr>
            <w:top w:val="none" w:sz="0" w:space="0" w:color="auto"/>
            <w:left w:val="none" w:sz="0" w:space="0" w:color="auto"/>
            <w:bottom w:val="none" w:sz="0" w:space="0" w:color="auto"/>
            <w:right w:val="none" w:sz="0" w:space="0" w:color="auto"/>
          </w:divBdr>
        </w:div>
        <w:div w:id="384724914">
          <w:marLeft w:val="0"/>
          <w:marRight w:val="0"/>
          <w:marTop w:val="0"/>
          <w:marBottom w:val="0"/>
          <w:divBdr>
            <w:top w:val="none" w:sz="0" w:space="0" w:color="auto"/>
            <w:left w:val="none" w:sz="0" w:space="0" w:color="auto"/>
            <w:bottom w:val="none" w:sz="0" w:space="0" w:color="auto"/>
            <w:right w:val="none" w:sz="0" w:space="0" w:color="auto"/>
          </w:divBdr>
        </w:div>
        <w:div w:id="876357452">
          <w:marLeft w:val="0"/>
          <w:marRight w:val="0"/>
          <w:marTop w:val="0"/>
          <w:marBottom w:val="0"/>
          <w:divBdr>
            <w:top w:val="none" w:sz="0" w:space="0" w:color="auto"/>
            <w:left w:val="none" w:sz="0" w:space="0" w:color="auto"/>
            <w:bottom w:val="none" w:sz="0" w:space="0" w:color="auto"/>
            <w:right w:val="none" w:sz="0" w:space="0" w:color="auto"/>
          </w:divBdr>
        </w:div>
        <w:div w:id="876504621">
          <w:marLeft w:val="0"/>
          <w:marRight w:val="0"/>
          <w:marTop w:val="0"/>
          <w:marBottom w:val="0"/>
          <w:divBdr>
            <w:top w:val="none" w:sz="0" w:space="0" w:color="auto"/>
            <w:left w:val="none" w:sz="0" w:space="0" w:color="auto"/>
            <w:bottom w:val="none" w:sz="0" w:space="0" w:color="auto"/>
            <w:right w:val="none" w:sz="0" w:space="0" w:color="auto"/>
          </w:divBdr>
        </w:div>
        <w:div w:id="1882549104">
          <w:marLeft w:val="0"/>
          <w:marRight w:val="0"/>
          <w:marTop w:val="0"/>
          <w:marBottom w:val="0"/>
          <w:divBdr>
            <w:top w:val="none" w:sz="0" w:space="0" w:color="auto"/>
            <w:left w:val="none" w:sz="0" w:space="0" w:color="auto"/>
            <w:bottom w:val="none" w:sz="0" w:space="0" w:color="auto"/>
            <w:right w:val="none" w:sz="0" w:space="0" w:color="auto"/>
          </w:divBdr>
        </w:div>
        <w:div w:id="1600942651">
          <w:marLeft w:val="0"/>
          <w:marRight w:val="0"/>
          <w:marTop w:val="0"/>
          <w:marBottom w:val="0"/>
          <w:divBdr>
            <w:top w:val="none" w:sz="0" w:space="0" w:color="auto"/>
            <w:left w:val="none" w:sz="0" w:space="0" w:color="auto"/>
            <w:bottom w:val="none" w:sz="0" w:space="0" w:color="auto"/>
            <w:right w:val="none" w:sz="0" w:space="0" w:color="auto"/>
          </w:divBdr>
        </w:div>
        <w:div w:id="1530535053">
          <w:marLeft w:val="0"/>
          <w:marRight w:val="0"/>
          <w:marTop w:val="0"/>
          <w:marBottom w:val="0"/>
          <w:divBdr>
            <w:top w:val="none" w:sz="0" w:space="0" w:color="auto"/>
            <w:left w:val="none" w:sz="0" w:space="0" w:color="auto"/>
            <w:bottom w:val="none" w:sz="0" w:space="0" w:color="auto"/>
            <w:right w:val="none" w:sz="0" w:space="0" w:color="auto"/>
          </w:divBdr>
        </w:div>
      </w:divsChild>
    </w:div>
    <w:div w:id="1475179695">
      <w:bodyDiv w:val="1"/>
      <w:marLeft w:val="0"/>
      <w:marRight w:val="0"/>
      <w:marTop w:val="0"/>
      <w:marBottom w:val="0"/>
      <w:divBdr>
        <w:top w:val="none" w:sz="0" w:space="0" w:color="auto"/>
        <w:left w:val="none" w:sz="0" w:space="0" w:color="auto"/>
        <w:bottom w:val="none" w:sz="0" w:space="0" w:color="auto"/>
        <w:right w:val="none" w:sz="0" w:space="0" w:color="auto"/>
      </w:divBdr>
      <w:divsChild>
        <w:div w:id="1503592928">
          <w:marLeft w:val="0"/>
          <w:marRight w:val="0"/>
          <w:marTop w:val="0"/>
          <w:marBottom w:val="0"/>
          <w:divBdr>
            <w:top w:val="none" w:sz="0" w:space="0" w:color="auto"/>
            <w:left w:val="none" w:sz="0" w:space="0" w:color="auto"/>
            <w:bottom w:val="none" w:sz="0" w:space="0" w:color="auto"/>
            <w:right w:val="none" w:sz="0" w:space="0" w:color="auto"/>
          </w:divBdr>
        </w:div>
        <w:div w:id="1764186490">
          <w:marLeft w:val="0"/>
          <w:marRight w:val="0"/>
          <w:marTop w:val="0"/>
          <w:marBottom w:val="0"/>
          <w:divBdr>
            <w:top w:val="none" w:sz="0" w:space="0" w:color="auto"/>
            <w:left w:val="none" w:sz="0" w:space="0" w:color="auto"/>
            <w:bottom w:val="none" w:sz="0" w:space="0" w:color="auto"/>
            <w:right w:val="none" w:sz="0" w:space="0" w:color="auto"/>
          </w:divBdr>
        </w:div>
        <w:div w:id="768889828">
          <w:marLeft w:val="0"/>
          <w:marRight w:val="0"/>
          <w:marTop w:val="0"/>
          <w:marBottom w:val="0"/>
          <w:divBdr>
            <w:top w:val="none" w:sz="0" w:space="0" w:color="auto"/>
            <w:left w:val="none" w:sz="0" w:space="0" w:color="auto"/>
            <w:bottom w:val="none" w:sz="0" w:space="0" w:color="auto"/>
            <w:right w:val="none" w:sz="0" w:space="0" w:color="auto"/>
          </w:divBdr>
        </w:div>
        <w:div w:id="1902138080">
          <w:marLeft w:val="0"/>
          <w:marRight w:val="0"/>
          <w:marTop w:val="0"/>
          <w:marBottom w:val="0"/>
          <w:divBdr>
            <w:top w:val="none" w:sz="0" w:space="0" w:color="auto"/>
            <w:left w:val="none" w:sz="0" w:space="0" w:color="auto"/>
            <w:bottom w:val="none" w:sz="0" w:space="0" w:color="auto"/>
            <w:right w:val="none" w:sz="0" w:space="0" w:color="auto"/>
          </w:divBdr>
        </w:div>
        <w:div w:id="1829249669">
          <w:marLeft w:val="0"/>
          <w:marRight w:val="0"/>
          <w:marTop w:val="0"/>
          <w:marBottom w:val="0"/>
          <w:divBdr>
            <w:top w:val="none" w:sz="0" w:space="0" w:color="auto"/>
            <w:left w:val="none" w:sz="0" w:space="0" w:color="auto"/>
            <w:bottom w:val="none" w:sz="0" w:space="0" w:color="auto"/>
            <w:right w:val="none" w:sz="0" w:space="0" w:color="auto"/>
          </w:divBdr>
        </w:div>
      </w:divsChild>
    </w:div>
    <w:div w:id="1496678115">
      <w:bodyDiv w:val="1"/>
      <w:marLeft w:val="0"/>
      <w:marRight w:val="0"/>
      <w:marTop w:val="0"/>
      <w:marBottom w:val="0"/>
      <w:divBdr>
        <w:top w:val="none" w:sz="0" w:space="0" w:color="auto"/>
        <w:left w:val="none" w:sz="0" w:space="0" w:color="auto"/>
        <w:bottom w:val="none" w:sz="0" w:space="0" w:color="auto"/>
        <w:right w:val="none" w:sz="0" w:space="0" w:color="auto"/>
      </w:divBdr>
      <w:divsChild>
        <w:div w:id="900142524">
          <w:marLeft w:val="0"/>
          <w:marRight w:val="0"/>
          <w:marTop w:val="0"/>
          <w:marBottom w:val="0"/>
          <w:divBdr>
            <w:top w:val="none" w:sz="0" w:space="0" w:color="auto"/>
            <w:left w:val="none" w:sz="0" w:space="0" w:color="auto"/>
            <w:bottom w:val="none" w:sz="0" w:space="0" w:color="auto"/>
            <w:right w:val="none" w:sz="0" w:space="0" w:color="auto"/>
          </w:divBdr>
        </w:div>
        <w:div w:id="1343162985">
          <w:marLeft w:val="0"/>
          <w:marRight w:val="0"/>
          <w:marTop w:val="0"/>
          <w:marBottom w:val="0"/>
          <w:divBdr>
            <w:top w:val="none" w:sz="0" w:space="0" w:color="auto"/>
            <w:left w:val="none" w:sz="0" w:space="0" w:color="auto"/>
            <w:bottom w:val="none" w:sz="0" w:space="0" w:color="auto"/>
            <w:right w:val="none" w:sz="0" w:space="0" w:color="auto"/>
          </w:divBdr>
        </w:div>
      </w:divsChild>
    </w:div>
    <w:div w:id="1503466341">
      <w:bodyDiv w:val="1"/>
      <w:marLeft w:val="0"/>
      <w:marRight w:val="0"/>
      <w:marTop w:val="0"/>
      <w:marBottom w:val="0"/>
      <w:divBdr>
        <w:top w:val="none" w:sz="0" w:space="0" w:color="auto"/>
        <w:left w:val="none" w:sz="0" w:space="0" w:color="auto"/>
        <w:bottom w:val="none" w:sz="0" w:space="0" w:color="auto"/>
        <w:right w:val="none" w:sz="0" w:space="0" w:color="auto"/>
      </w:divBdr>
      <w:divsChild>
        <w:div w:id="1825587077">
          <w:marLeft w:val="0"/>
          <w:marRight w:val="0"/>
          <w:marTop w:val="0"/>
          <w:marBottom w:val="0"/>
          <w:divBdr>
            <w:top w:val="none" w:sz="0" w:space="0" w:color="auto"/>
            <w:left w:val="none" w:sz="0" w:space="0" w:color="auto"/>
            <w:bottom w:val="none" w:sz="0" w:space="0" w:color="auto"/>
            <w:right w:val="none" w:sz="0" w:space="0" w:color="auto"/>
          </w:divBdr>
          <w:divsChild>
            <w:div w:id="156220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614957">
      <w:bodyDiv w:val="1"/>
      <w:marLeft w:val="0"/>
      <w:marRight w:val="0"/>
      <w:marTop w:val="0"/>
      <w:marBottom w:val="0"/>
      <w:divBdr>
        <w:top w:val="none" w:sz="0" w:space="0" w:color="auto"/>
        <w:left w:val="none" w:sz="0" w:space="0" w:color="auto"/>
        <w:bottom w:val="none" w:sz="0" w:space="0" w:color="auto"/>
        <w:right w:val="none" w:sz="0" w:space="0" w:color="auto"/>
      </w:divBdr>
      <w:divsChild>
        <w:div w:id="383064179">
          <w:marLeft w:val="0"/>
          <w:marRight w:val="0"/>
          <w:marTop w:val="0"/>
          <w:marBottom w:val="0"/>
          <w:divBdr>
            <w:top w:val="none" w:sz="0" w:space="0" w:color="auto"/>
            <w:left w:val="none" w:sz="0" w:space="0" w:color="auto"/>
            <w:bottom w:val="none" w:sz="0" w:space="0" w:color="auto"/>
            <w:right w:val="none" w:sz="0" w:space="0" w:color="auto"/>
          </w:divBdr>
        </w:div>
        <w:div w:id="90860965">
          <w:marLeft w:val="0"/>
          <w:marRight w:val="0"/>
          <w:marTop w:val="0"/>
          <w:marBottom w:val="0"/>
          <w:divBdr>
            <w:top w:val="none" w:sz="0" w:space="0" w:color="auto"/>
            <w:left w:val="none" w:sz="0" w:space="0" w:color="auto"/>
            <w:bottom w:val="none" w:sz="0" w:space="0" w:color="auto"/>
            <w:right w:val="none" w:sz="0" w:space="0" w:color="auto"/>
          </w:divBdr>
        </w:div>
        <w:div w:id="1837573452">
          <w:marLeft w:val="0"/>
          <w:marRight w:val="0"/>
          <w:marTop w:val="0"/>
          <w:marBottom w:val="0"/>
          <w:divBdr>
            <w:top w:val="none" w:sz="0" w:space="0" w:color="auto"/>
            <w:left w:val="none" w:sz="0" w:space="0" w:color="auto"/>
            <w:bottom w:val="none" w:sz="0" w:space="0" w:color="auto"/>
            <w:right w:val="none" w:sz="0" w:space="0" w:color="auto"/>
          </w:divBdr>
        </w:div>
      </w:divsChild>
    </w:div>
    <w:div w:id="1522892632">
      <w:bodyDiv w:val="1"/>
      <w:marLeft w:val="0"/>
      <w:marRight w:val="0"/>
      <w:marTop w:val="0"/>
      <w:marBottom w:val="0"/>
      <w:divBdr>
        <w:top w:val="none" w:sz="0" w:space="0" w:color="auto"/>
        <w:left w:val="none" w:sz="0" w:space="0" w:color="auto"/>
        <w:bottom w:val="none" w:sz="0" w:space="0" w:color="auto"/>
        <w:right w:val="none" w:sz="0" w:space="0" w:color="auto"/>
      </w:divBdr>
      <w:divsChild>
        <w:div w:id="1944727264">
          <w:marLeft w:val="0"/>
          <w:marRight w:val="0"/>
          <w:marTop w:val="0"/>
          <w:marBottom w:val="0"/>
          <w:divBdr>
            <w:top w:val="none" w:sz="0" w:space="0" w:color="auto"/>
            <w:left w:val="none" w:sz="0" w:space="0" w:color="auto"/>
            <w:bottom w:val="none" w:sz="0" w:space="0" w:color="auto"/>
            <w:right w:val="none" w:sz="0" w:space="0" w:color="auto"/>
          </w:divBdr>
          <w:divsChild>
            <w:div w:id="172348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486346">
      <w:bodyDiv w:val="1"/>
      <w:marLeft w:val="0"/>
      <w:marRight w:val="0"/>
      <w:marTop w:val="0"/>
      <w:marBottom w:val="0"/>
      <w:divBdr>
        <w:top w:val="none" w:sz="0" w:space="0" w:color="auto"/>
        <w:left w:val="none" w:sz="0" w:space="0" w:color="auto"/>
        <w:bottom w:val="none" w:sz="0" w:space="0" w:color="auto"/>
        <w:right w:val="none" w:sz="0" w:space="0" w:color="auto"/>
      </w:divBdr>
    </w:div>
    <w:div w:id="1533613564">
      <w:bodyDiv w:val="1"/>
      <w:marLeft w:val="0"/>
      <w:marRight w:val="0"/>
      <w:marTop w:val="0"/>
      <w:marBottom w:val="0"/>
      <w:divBdr>
        <w:top w:val="none" w:sz="0" w:space="0" w:color="auto"/>
        <w:left w:val="none" w:sz="0" w:space="0" w:color="auto"/>
        <w:bottom w:val="none" w:sz="0" w:space="0" w:color="auto"/>
        <w:right w:val="none" w:sz="0" w:space="0" w:color="auto"/>
      </w:divBdr>
      <w:divsChild>
        <w:div w:id="176776798">
          <w:marLeft w:val="0"/>
          <w:marRight w:val="0"/>
          <w:marTop w:val="0"/>
          <w:marBottom w:val="0"/>
          <w:divBdr>
            <w:top w:val="none" w:sz="0" w:space="0" w:color="auto"/>
            <w:left w:val="none" w:sz="0" w:space="0" w:color="auto"/>
            <w:bottom w:val="none" w:sz="0" w:space="0" w:color="auto"/>
            <w:right w:val="none" w:sz="0" w:space="0" w:color="auto"/>
          </w:divBdr>
          <w:divsChild>
            <w:div w:id="16282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871826">
      <w:bodyDiv w:val="1"/>
      <w:marLeft w:val="0"/>
      <w:marRight w:val="0"/>
      <w:marTop w:val="0"/>
      <w:marBottom w:val="0"/>
      <w:divBdr>
        <w:top w:val="none" w:sz="0" w:space="0" w:color="auto"/>
        <w:left w:val="none" w:sz="0" w:space="0" w:color="auto"/>
        <w:bottom w:val="none" w:sz="0" w:space="0" w:color="auto"/>
        <w:right w:val="none" w:sz="0" w:space="0" w:color="auto"/>
      </w:divBdr>
      <w:divsChild>
        <w:div w:id="1466582336">
          <w:marLeft w:val="0"/>
          <w:marRight w:val="0"/>
          <w:marTop w:val="0"/>
          <w:marBottom w:val="0"/>
          <w:divBdr>
            <w:top w:val="none" w:sz="0" w:space="0" w:color="auto"/>
            <w:left w:val="none" w:sz="0" w:space="0" w:color="auto"/>
            <w:bottom w:val="none" w:sz="0" w:space="0" w:color="auto"/>
            <w:right w:val="none" w:sz="0" w:space="0" w:color="auto"/>
          </w:divBdr>
        </w:div>
        <w:div w:id="1185436127">
          <w:marLeft w:val="0"/>
          <w:marRight w:val="0"/>
          <w:marTop w:val="0"/>
          <w:marBottom w:val="0"/>
          <w:divBdr>
            <w:top w:val="none" w:sz="0" w:space="0" w:color="auto"/>
            <w:left w:val="none" w:sz="0" w:space="0" w:color="auto"/>
            <w:bottom w:val="none" w:sz="0" w:space="0" w:color="auto"/>
            <w:right w:val="none" w:sz="0" w:space="0" w:color="auto"/>
          </w:divBdr>
        </w:div>
        <w:div w:id="2080056534">
          <w:marLeft w:val="0"/>
          <w:marRight w:val="0"/>
          <w:marTop w:val="0"/>
          <w:marBottom w:val="0"/>
          <w:divBdr>
            <w:top w:val="none" w:sz="0" w:space="0" w:color="auto"/>
            <w:left w:val="none" w:sz="0" w:space="0" w:color="auto"/>
            <w:bottom w:val="none" w:sz="0" w:space="0" w:color="auto"/>
            <w:right w:val="none" w:sz="0" w:space="0" w:color="auto"/>
          </w:divBdr>
        </w:div>
        <w:div w:id="857935133">
          <w:marLeft w:val="0"/>
          <w:marRight w:val="0"/>
          <w:marTop w:val="0"/>
          <w:marBottom w:val="0"/>
          <w:divBdr>
            <w:top w:val="none" w:sz="0" w:space="0" w:color="auto"/>
            <w:left w:val="none" w:sz="0" w:space="0" w:color="auto"/>
            <w:bottom w:val="none" w:sz="0" w:space="0" w:color="auto"/>
            <w:right w:val="none" w:sz="0" w:space="0" w:color="auto"/>
          </w:divBdr>
        </w:div>
        <w:div w:id="553197581">
          <w:marLeft w:val="0"/>
          <w:marRight w:val="0"/>
          <w:marTop w:val="0"/>
          <w:marBottom w:val="0"/>
          <w:divBdr>
            <w:top w:val="none" w:sz="0" w:space="0" w:color="auto"/>
            <w:left w:val="none" w:sz="0" w:space="0" w:color="auto"/>
            <w:bottom w:val="none" w:sz="0" w:space="0" w:color="auto"/>
            <w:right w:val="none" w:sz="0" w:space="0" w:color="auto"/>
          </w:divBdr>
        </w:div>
        <w:div w:id="653804652">
          <w:marLeft w:val="0"/>
          <w:marRight w:val="0"/>
          <w:marTop w:val="0"/>
          <w:marBottom w:val="0"/>
          <w:divBdr>
            <w:top w:val="none" w:sz="0" w:space="0" w:color="auto"/>
            <w:left w:val="none" w:sz="0" w:space="0" w:color="auto"/>
            <w:bottom w:val="none" w:sz="0" w:space="0" w:color="auto"/>
            <w:right w:val="none" w:sz="0" w:space="0" w:color="auto"/>
          </w:divBdr>
        </w:div>
        <w:div w:id="1848204684">
          <w:marLeft w:val="0"/>
          <w:marRight w:val="0"/>
          <w:marTop w:val="0"/>
          <w:marBottom w:val="0"/>
          <w:divBdr>
            <w:top w:val="none" w:sz="0" w:space="0" w:color="auto"/>
            <w:left w:val="none" w:sz="0" w:space="0" w:color="auto"/>
            <w:bottom w:val="none" w:sz="0" w:space="0" w:color="auto"/>
            <w:right w:val="none" w:sz="0" w:space="0" w:color="auto"/>
          </w:divBdr>
        </w:div>
        <w:div w:id="1585724766">
          <w:marLeft w:val="0"/>
          <w:marRight w:val="0"/>
          <w:marTop w:val="0"/>
          <w:marBottom w:val="0"/>
          <w:divBdr>
            <w:top w:val="none" w:sz="0" w:space="0" w:color="auto"/>
            <w:left w:val="none" w:sz="0" w:space="0" w:color="auto"/>
            <w:bottom w:val="none" w:sz="0" w:space="0" w:color="auto"/>
            <w:right w:val="none" w:sz="0" w:space="0" w:color="auto"/>
          </w:divBdr>
        </w:div>
        <w:div w:id="1244605989">
          <w:marLeft w:val="0"/>
          <w:marRight w:val="0"/>
          <w:marTop w:val="0"/>
          <w:marBottom w:val="0"/>
          <w:divBdr>
            <w:top w:val="none" w:sz="0" w:space="0" w:color="auto"/>
            <w:left w:val="none" w:sz="0" w:space="0" w:color="auto"/>
            <w:bottom w:val="none" w:sz="0" w:space="0" w:color="auto"/>
            <w:right w:val="none" w:sz="0" w:space="0" w:color="auto"/>
          </w:divBdr>
        </w:div>
        <w:div w:id="1701707911">
          <w:marLeft w:val="0"/>
          <w:marRight w:val="0"/>
          <w:marTop w:val="0"/>
          <w:marBottom w:val="0"/>
          <w:divBdr>
            <w:top w:val="none" w:sz="0" w:space="0" w:color="auto"/>
            <w:left w:val="none" w:sz="0" w:space="0" w:color="auto"/>
            <w:bottom w:val="none" w:sz="0" w:space="0" w:color="auto"/>
            <w:right w:val="none" w:sz="0" w:space="0" w:color="auto"/>
          </w:divBdr>
        </w:div>
        <w:div w:id="1118063525">
          <w:marLeft w:val="0"/>
          <w:marRight w:val="0"/>
          <w:marTop w:val="0"/>
          <w:marBottom w:val="0"/>
          <w:divBdr>
            <w:top w:val="none" w:sz="0" w:space="0" w:color="auto"/>
            <w:left w:val="none" w:sz="0" w:space="0" w:color="auto"/>
            <w:bottom w:val="none" w:sz="0" w:space="0" w:color="auto"/>
            <w:right w:val="none" w:sz="0" w:space="0" w:color="auto"/>
          </w:divBdr>
        </w:div>
        <w:div w:id="170796953">
          <w:marLeft w:val="0"/>
          <w:marRight w:val="0"/>
          <w:marTop w:val="0"/>
          <w:marBottom w:val="0"/>
          <w:divBdr>
            <w:top w:val="none" w:sz="0" w:space="0" w:color="auto"/>
            <w:left w:val="none" w:sz="0" w:space="0" w:color="auto"/>
            <w:bottom w:val="none" w:sz="0" w:space="0" w:color="auto"/>
            <w:right w:val="none" w:sz="0" w:space="0" w:color="auto"/>
          </w:divBdr>
        </w:div>
        <w:div w:id="818307416">
          <w:marLeft w:val="0"/>
          <w:marRight w:val="0"/>
          <w:marTop w:val="0"/>
          <w:marBottom w:val="0"/>
          <w:divBdr>
            <w:top w:val="none" w:sz="0" w:space="0" w:color="auto"/>
            <w:left w:val="none" w:sz="0" w:space="0" w:color="auto"/>
            <w:bottom w:val="none" w:sz="0" w:space="0" w:color="auto"/>
            <w:right w:val="none" w:sz="0" w:space="0" w:color="auto"/>
          </w:divBdr>
        </w:div>
        <w:div w:id="623924661">
          <w:marLeft w:val="0"/>
          <w:marRight w:val="0"/>
          <w:marTop w:val="0"/>
          <w:marBottom w:val="0"/>
          <w:divBdr>
            <w:top w:val="none" w:sz="0" w:space="0" w:color="auto"/>
            <w:left w:val="none" w:sz="0" w:space="0" w:color="auto"/>
            <w:bottom w:val="none" w:sz="0" w:space="0" w:color="auto"/>
            <w:right w:val="none" w:sz="0" w:space="0" w:color="auto"/>
          </w:divBdr>
        </w:div>
        <w:div w:id="396444128">
          <w:marLeft w:val="0"/>
          <w:marRight w:val="0"/>
          <w:marTop w:val="0"/>
          <w:marBottom w:val="0"/>
          <w:divBdr>
            <w:top w:val="none" w:sz="0" w:space="0" w:color="auto"/>
            <w:left w:val="none" w:sz="0" w:space="0" w:color="auto"/>
            <w:bottom w:val="none" w:sz="0" w:space="0" w:color="auto"/>
            <w:right w:val="none" w:sz="0" w:space="0" w:color="auto"/>
          </w:divBdr>
        </w:div>
        <w:div w:id="1152792329">
          <w:marLeft w:val="0"/>
          <w:marRight w:val="0"/>
          <w:marTop w:val="0"/>
          <w:marBottom w:val="0"/>
          <w:divBdr>
            <w:top w:val="none" w:sz="0" w:space="0" w:color="auto"/>
            <w:left w:val="none" w:sz="0" w:space="0" w:color="auto"/>
            <w:bottom w:val="none" w:sz="0" w:space="0" w:color="auto"/>
            <w:right w:val="none" w:sz="0" w:space="0" w:color="auto"/>
          </w:divBdr>
        </w:div>
        <w:div w:id="2022319858">
          <w:marLeft w:val="0"/>
          <w:marRight w:val="0"/>
          <w:marTop w:val="0"/>
          <w:marBottom w:val="0"/>
          <w:divBdr>
            <w:top w:val="none" w:sz="0" w:space="0" w:color="auto"/>
            <w:left w:val="none" w:sz="0" w:space="0" w:color="auto"/>
            <w:bottom w:val="none" w:sz="0" w:space="0" w:color="auto"/>
            <w:right w:val="none" w:sz="0" w:space="0" w:color="auto"/>
          </w:divBdr>
        </w:div>
        <w:div w:id="593637726">
          <w:marLeft w:val="0"/>
          <w:marRight w:val="0"/>
          <w:marTop w:val="0"/>
          <w:marBottom w:val="0"/>
          <w:divBdr>
            <w:top w:val="none" w:sz="0" w:space="0" w:color="auto"/>
            <w:left w:val="none" w:sz="0" w:space="0" w:color="auto"/>
            <w:bottom w:val="none" w:sz="0" w:space="0" w:color="auto"/>
            <w:right w:val="none" w:sz="0" w:space="0" w:color="auto"/>
          </w:divBdr>
        </w:div>
        <w:div w:id="1848668051">
          <w:marLeft w:val="0"/>
          <w:marRight w:val="0"/>
          <w:marTop w:val="0"/>
          <w:marBottom w:val="0"/>
          <w:divBdr>
            <w:top w:val="none" w:sz="0" w:space="0" w:color="auto"/>
            <w:left w:val="none" w:sz="0" w:space="0" w:color="auto"/>
            <w:bottom w:val="none" w:sz="0" w:space="0" w:color="auto"/>
            <w:right w:val="none" w:sz="0" w:space="0" w:color="auto"/>
          </w:divBdr>
        </w:div>
        <w:div w:id="105665698">
          <w:marLeft w:val="0"/>
          <w:marRight w:val="0"/>
          <w:marTop w:val="0"/>
          <w:marBottom w:val="0"/>
          <w:divBdr>
            <w:top w:val="none" w:sz="0" w:space="0" w:color="auto"/>
            <w:left w:val="none" w:sz="0" w:space="0" w:color="auto"/>
            <w:bottom w:val="none" w:sz="0" w:space="0" w:color="auto"/>
            <w:right w:val="none" w:sz="0" w:space="0" w:color="auto"/>
          </w:divBdr>
        </w:div>
        <w:div w:id="1756515872">
          <w:marLeft w:val="0"/>
          <w:marRight w:val="0"/>
          <w:marTop w:val="0"/>
          <w:marBottom w:val="0"/>
          <w:divBdr>
            <w:top w:val="none" w:sz="0" w:space="0" w:color="auto"/>
            <w:left w:val="none" w:sz="0" w:space="0" w:color="auto"/>
            <w:bottom w:val="none" w:sz="0" w:space="0" w:color="auto"/>
            <w:right w:val="none" w:sz="0" w:space="0" w:color="auto"/>
          </w:divBdr>
        </w:div>
        <w:div w:id="1399747137">
          <w:marLeft w:val="0"/>
          <w:marRight w:val="0"/>
          <w:marTop w:val="0"/>
          <w:marBottom w:val="0"/>
          <w:divBdr>
            <w:top w:val="none" w:sz="0" w:space="0" w:color="auto"/>
            <w:left w:val="none" w:sz="0" w:space="0" w:color="auto"/>
            <w:bottom w:val="none" w:sz="0" w:space="0" w:color="auto"/>
            <w:right w:val="none" w:sz="0" w:space="0" w:color="auto"/>
          </w:divBdr>
        </w:div>
        <w:div w:id="1095709611">
          <w:marLeft w:val="0"/>
          <w:marRight w:val="0"/>
          <w:marTop w:val="0"/>
          <w:marBottom w:val="0"/>
          <w:divBdr>
            <w:top w:val="none" w:sz="0" w:space="0" w:color="auto"/>
            <w:left w:val="none" w:sz="0" w:space="0" w:color="auto"/>
            <w:bottom w:val="none" w:sz="0" w:space="0" w:color="auto"/>
            <w:right w:val="none" w:sz="0" w:space="0" w:color="auto"/>
          </w:divBdr>
        </w:div>
        <w:div w:id="1269240515">
          <w:marLeft w:val="0"/>
          <w:marRight w:val="0"/>
          <w:marTop w:val="0"/>
          <w:marBottom w:val="0"/>
          <w:divBdr>
            <w:top w:val="none" w:sz="0" w:space="0" w:color="auto"/>
            <w:left w:val="none" w:sz="0" w:space="0" w:color="auto"/>
            <w:bottom w:val="none" w:sz="0" w:space="0" w:color="auto"/>
            <w:right w:val="none" w:sz="0" w:space="0" w:color="auto"/>
          </w:divBdr>
        </w:div>
        <w:div w:id="1250696843">
          <w:marLeft w:val="0"/>
          <w:marRight w:val="0"/>
          <w:marTop w:val="0"/>
          <w:marBottom w:val="0"/>
          <w:divBdr>
            <w:top w:val="none" w:sz="0" w:space="0" w:color="auto"/>
            <w:left w:val="none" w:sz="0" w:space="0" w:color="auto"/>
            <w:bottom w:val="none" w:sz="0" w:space="0" w:color="auto"/>
            <w:right w:val="none" w:sz="0" w:space="0" w:color="auto"/>
          </w:divBdr>
        </w:div>
        <w:div w:id="1357073273">
          <w:marLeft w:val="0"/>
          <w:marRight w:val="0"/>
          <w:marTop w:val="0"/>
          <w:marBottom w:val="0"/>
          <w:divBdr>
            <w:top w:val="none" w:sz="0" w:space="0" w:color="auto"/>
            <w:left w:val="none" w:sz="0" w:space="0" w:color="auto"/>
            <w:bottom w:val="none" w:sz="0" w:space="0" w:color="auto"/>
            <w:right w:val="none" w:sz="0" w:space="0" w:color="auto"/>
          </w:divBdr>
        </w:div>
        <w:div w:id="2139950954">
          <w:marLeft w:val="0"/>
          <w:marRight w:val="0"/>
          <w:marTop w:val="0"/>
          <w:marBottom w:val="0"/>
          <w:divBdr>
            <w:top w:val="none" w:sz="0" w:space="0" w:color="auto"/>
            <w:left w:val="none" w:sz="0" w:space="0" w:color="auto"/>
            <w:bottom w:val="none" w:sz="0" w:space="0" w:color="auto"/>
            <w:right w:val="none" w:sz="0" w:space="0" w:color="auto"/>
          </w:divBdr>
        </w:div>
        <w:div w:id="1466388184">
          <w:marLeft w:val="0"/>
          <w:marRight w:val="0"/>
          <w:marTop w:val="0"/>
          <w:marBottom w:val="0"/>
          <w:divBdr>
            <w:top w:val="none" w:sz="0" w:space="0" w:color="auto"/>
            <w:left w:val="none" w:sz="0" w:space="0" w:color="auto"/>
            <w:bottom w:val="none" w:sz="0" w:space="0" w:color="auto"/>
            <w:right w:val="none" w:sz="0" w:space="0" w:color="auto"/>
          </w:divBdr>
        </w:div>
        <w:div w:id="1437826502">
          <w:marLeft w:val="0"/>
          <w:marRight w:val="0"/>
          <w:marTop w:val="0"/>
          <w:marBottom w:val="0"/>
          <w:divBdr>
            <w:top w:val="none" w:sz="0" w:space="0" w:color="auto"/>
            <w:left w:val="none" w:sz="0" w:space="0" w:color="auto"/>
            <w:bottom w:val="none" w:sz="0" w:space="0" w:color="auto"/>
            <w:right w:val="none" w:sz="0" w:space="0" w:color="auto"/>
          </w:divBdr>
        </w:div>
        <w:div w:id="1279487532">
          <w:marLeft w:val="0"/>
          <w:marRight w:val="0"/>
          <w:marTop w:val="0"/>
          <w:marBottom w:val="0"/>
          <w:divBdr>
            <w:top w:val="none" w:sz="0" w:space="0" w:color="auto"/>
            <w:left w:val="none" w:sz="0" w:space="0" w:color="auto"/>
            <w:bottom w:val="none" w:sz="0" w:space="0" w:color="auto"/>
            <w:right w:val="none" w:sz="0" w:space="0" w:color="auto"/>
          </w:divBdr>
        </w:div>
        <w:div w:id="619148002">
          <w:marLeft w:val="0"/>
          <w:marRight w:val="0"/>
          <w:marTop w:val="0"/>
          <w:marBottom w:val="0"/>
          <w:divBdr>
            <w:top w:val="none" w:sz="0" w:space="0" w:color="auto"/>
            <w:left w:val="none" w:sz="0" w:space="0" w:color="auto"/>
            <w:bottom w:val="none" w:sz="0" w:space="0" w:color="auto"/>
            <w:right w:val="none" w:sz="0" w:space="0" w:color="auto"/>
          </w:divBdr>
        </w:div>
        <w:div w:id="2072119464">
          <w:marLeft w:val="0"/>
          <w:marRight w:val="0"/>
          <w:marTop w:val="0"/>
          <w:marBottom w:val="0"/>
          <w:divBdr>
            <w:top w:val="none" w:sz="0" w:space="0" w:color="auto"/>
            <w:left w:val="none" w:sz="0" w:space="0" w:color="auto"/>
            <w:bottom w:val="none" w:sz="0" w:space="0" w:color="auto"/>
            <w:right w:val="none" w:sz="0" w:space="0" w:color="auto"/>
          </w:divBdr>
        </w:div>
        <w:div w:id="404913787">
          <w:marLeft w:val="0"/>
          <w:marRight w:val="0"/>
          <w:marTop w:val="0"/>
          <w:marBottom w:val="0"/>
          <w:divBdr>
            <w:top w:val="none" w:sz="0" w:space="0" w:color="auto"/>
            <w:left w:val="none" w:sz="0" w:space="0" w:color="auto"/>
            <w:bottom w:val="none" w:sz="0" w:space="0" w:color="auto"/>
            <w:right w:val="none" w:sz="0" w:space="0" w:color="auto"/>
          </w:divBdr>
        </w:div>
        <w:div w:id="1872954167">
          <w:marLeft w:val="0"/>
          <w:marRight w:val="0"/>
          <w:marTop w:val="0"/>
          <w:marBottom w:val="0"/>
          <w:divBdr>
            <w:top w:val="none" w:sz="0" w:space="0" w:color="auto"/>
            <w:left w:val="none" w:sz="0" w:space="0" w:color="auto"/>
            <w:bottom w:val="none" w:sz="0" w:space="0" w:color="auto"/>
            <w:right w:val="none" w:sz="0" w:space="0" w:color="auto"/>
          </w:divBdr>
        </w:div>
        <w:div w:id="1469010538">
          <w:marLeft w:val="0"/>
          <w:marRight w:val="0"/>
          <w:marTop w:val="0"/>
          <w:marBottom w:val="0"/>
          <w:divBdr>
            <w:top w:val="none" w:sz="0" w:space="0" w:color="auto"/>
            <w:left w:val="none" w:sz="0" w:space="0" w:color="auto"/>
            <w:bottom w:val="none" w:sz="0" w:space="0" w:color="auto"/>
            <w:right w:val="none" w:sz="0" w:space="0" w:color="auto"/>
          </w:divBdr>
        </w:div>
        <w:div w:id="1609317682">
          <w:marLeft w:val="0"/>
          <w:marRight w:val="0"/>
          <w:marTop w:val="0"/>
          <w:marBottom w:val="0"/>
          <w:divBdr>
            <w:top w:val="none" w:sz="0" w:space="0" w:color="auto"/>
            <w:left w:val="none" w:sz="0" w:space="0" w:color="auto"/>
            <w:bottom w:val="none" w:sz="0" w:space="0" w:color="auto"/>
            <w:right w:val="none" w:sz="0" w:space="0" w:color="auto"/>
          </w:divBdr>
        </w:div>
        <w:div w:id="957905726">
          <w:marLeft w:val="0"/>
          <w:marRight w:val="0"/>
          <w:marTop w:val="0"/>
          <w:marBottom w:val="0"/>
          <w:divBdr>
            <w:top w:val="none" w:sz="0" w:space="0" w:color="auto"/>
            <w:left w:val="none" w:sz="0" w:space="0" w:color="auto"/>
            <w:bottom w:val="none" w:sz="0" w:space="0" w:color="auto"/>
            <w:right w:val="none" w:sz="0" w:space="0" w:color="auto"/>
          </w:divBdr>
        </w:div>
        <w:div w:id="895895498">
          <w:marLeft w:val="0"/>
          <w:marRight w:val="0"/>
          <w:marTop w:val="0"/>
          <w:marBottom w:val="0"/>
          <w:divBdr>
            <w:top w:val="none" w:sz="0" w:space="0" w:color="auto"/>
            <w:left w:val="none" w:sz="0" w:space="0" w:color="auto"/>
            <w:bottom w:val="none" w:sz="0" w:space="0" w:color="auto"/>
            <w:right w:val="none" w:sz="0" w:space="0" w:color="auto"/>
          </w:divBdr>
        </w:div>
        <w:div w:id="817962483">
          <w:marLeft w:val="0"/>
          <w:marRight w:val="0"/>
          <w:marTop w:val="0"/>
          <w:marBottom w:val="0"/>
          <w:divBdr>
            <w:top w:val="none" w:sz="0" w:space="0" w:color="auto"/>
            <w:left w:val="none" w:sz="0" w:space="0" w:color="auto"/>
            <w:bottom w:val="none" w:sz="0" w:space="0" w:color="auto"/>
            <w:right w:val="none" w:sz="0" w:space="0" w:color="auto"/>
          </w:divBdr>
        </w:div>
        <w:div w:id="2025670150">
          <w:marLeft w:val="0"/>
          <w:marRight w:val="0"/>
          <w:marTop w:val="0"/>
          <w:marBottom w:val="0"/>
          <w:divBdr>
            <w:top w:val="none" w:sz="0" w:space="0" w:color="auto"/>
            <w:left w:val="none" w:sz="0" w:space="0" w:color="auto"/>
            <w:bottom w:val="none" w:sz="0" w:space="0" w:color="auto"/>
            <w:right w:val="none" w:sz="0" w:space="0" w:color="auto"/>
          </w:divBdr>
        </w:div>
        <w:div w:id="2136675564">
          <w:marLeft w:val="0"/>
          <w:marRight w:val="0"/>
          <w:marTop w:val="0"/>
          <w:marBottom w:val="0"/>
          <w:divBdr>
            <w:top w:val="none" w:sz="0" w:space="0" w:color="auto"/>
            <w:left w:val="none" w:sz="0" w:space="0" w:color="auto"/>
            <w:bottom w:val="none" w:sz="0" w:space="0" w:color="auto"/>
            <w:right w:val="none" w:sz="0" w:space="0" w:color="auto"/>
          </w:divBdr>
        </w:div>
        <w:div w:id="1098988015">
          <w:marLeft w:val="0"/>
          <w:marRight w:val="0"/>
          <w:marTop w:val="0"/>
          <w:marBottom w:val="0"/>
          <w:divBdr>
            <w:top w:val="none" w:sz="0" w:space="0" w:color="auto"/>
            <w:left w:val="none" w:sz="0" w:space="0" w:color="auto"/>
            <w:bottom w:val="none" w:sz="0" w:space="0" w:color="auto"/>
            <w:right w:val="none" w:sz="0" w:space="0" w:color="auto"/>
          </w:divBdr>
        </w:div>
        <w:div w:id="606273730">
          <w:marLeft w:val="0"/>
          <w:marRight w:val="0"/>
          <w:marTop w:val="0"/>
          <w:marBottom w:val="0"/>
          <w:divBdr>
            <w:top w:val="none" w:sz="0" w:space="0" w:color="auto"/>
            <w:left w:val="none" w:sz="0" w:space="0" w:color="auto"/>
            <w:bottom w:val="none" w:sz="0" w:space="0" w:color="auto"/>
            <w:right w:val="none" w:sz="0" w:space="0" w:color="auto"/>
          </w:divBdr>
        </w:div>
        <w:div w:id="636572030">
          <w:marLeft w:val="0"/>
          <w:marRight w:val="0"/>
          <w:marTop w:val="0"/>
          <w:marBottom w:val="0"/>
          <w:divBdr>
            <w:top w:val="none" w:sz="0" w:space="0" w:color="auto"/>
            <w:left w:val="none" w:sz="0" w:space="0" w:color="auto"/>
            <w:bottom w:val="none" w:sz="0" w:space="0" w:color="auto"/>
            <w:right w:val="none" w:sz="0" w:space="0" w:color="auto"/>
          </w:divBdr>
        </w:div>
        <w:div w:id="1583024118">
          <w:marLeft w:val="0"/>
          <w:marRight w:val="0"/>
          <w:marTop w:val="0"/>
          <w:marBottom w:val="0"/>
          <w:divBdr>
            <w:top w:val="none" w:sz="0" w:space="0" w:color="auto"/>
            <w:left w:val="none" w:sz="0" w:space="0" w:color="auto"/>
            <w:bottom w:val="none" w:sz="0" w:space="0" w:color="auto"/>
            <w:right w:val="none" w:sz="0" w:space="0" w:color="auto"/>
          </w:divBdr>
        </w:div>
        <w:div w:id="1937589393">
          <w:marLeft w:val="0"/>
          <w:marRight w:val="0"/>
          <w:marTop w:val="0"/>
          <w:marBottom w:val="0"/>
          <w:divBdr>
            <w:top w:val="none" w:sz="0" w:space="0" w:color="auto"/>
            <w:left w:val="none" w:sz="0" w:space="0" w:color="auto"/>
            <w:bottom w:val="none" w:sz="0" w:space="0" w:color="auto"/>
            <w:right w:val="none" w:sz="0" w:space="0" w:color="auto"/>
          </w:divBdr>
        </w:div>
        <w:div w:id="460729378">
          <w:marLeft w:val="0"/>
          <w:marRight w:val="0"/>
          <w:marTop w:val="0"/>
          <w:marBottom w:val="0"/>
          <w:divBdr>
            <w:top w:val="none" w:sz="0" w:space="0" w:color="auto"/>
            <w:left w:val="none" w:sz="0" w:space="0" w:color="auto"/>
            <w:bottom w:val="none" w:sz="0" w:space="0" w:color="auto"/>
            <w:right w:val="none" w:sz="0" w:space="0" w:color="auto"/>
          </w:divBdr>
        </w:div>
        <w:div w:id="460420230">
          <w:marLeft w:val="0"/>
          <w:marRight w:val="0"/>
          <w:marTop w:val="0"/>
          <w:marBottom w:val="0"/>
          <w:divBdr>
            <w:top w:val="none" w:sz="0" w:space="0" w:color="auto"/>
            <w:left w:val="none" w:sz="0" w:space="0" w:color="auto"/>
            <w:bottom w:val="none" w:sz="0" w:space="0" w:color="auto"/>
            <w:right w:val="none" w:sz="0" w:space="0" w:color="auto"/>
          </w:divBdr>
        </w:div>
        <w:div w:id="1864972785">
          <w:marLeft w:val="0"/>
          <w:marRight w:val="0"/>
          <w:marTop w:val="0"/>
          <w:marBottom w:val="0"/>
          <w:divBdr>
            <w:top w:val="none" w:sz="0" w:space="0" w:color="auto"/>
            <w:left w:val="none" w:sz="0" w:space="0" w:color="auto"/>
            <w:bottom w:val="none" w:sz="0" w:space="0" w:color="auto"/>
            <w:right w:val="none" w:sz="0" w:space="0" w:color="auto"/>
          </w:divBdr>
        </w:div>
        <w:div w:id="1947884666">
          <w:marLeft w:val="0"/>
          <w:marRight w:val="0"/>
          <w:marTop w:val="0"/>
          <w:marBottom w:val="0"/>
          <w:divBdr>
            <w:top w:val="none" w:sz="0" w:space="0" w:color="auto"/>
            <w:left w:val="none" w:sz="0" w:space="0" w:color="auto"/>
            <w:bottom w:val="none" w:sz="0" w:space="0" w:color="auto"/>
            <w:right w:val="none" w:sz="0" w:space="0" w:color="auto"/>
          </w:divBdr>
        </w:div>
        <w:div w:id="1516991172">
          <w:marLeft w:val="0"/>
          <w:marRight w:val="0"/>
          <w:marTop w:val="0"/>
          <w:marBottom w:val="0"/>
          <w:divBdr>
            <w:top w:val="none" w:sz="0" w:space="0" w:color="auto"/>
            <w:left w:val="none" w:sz="0" w:space="0" w:color="auto"/>
            <w:bottom w:val="none" w:sz="0" w:space="0" w:color="auto"/>
            <w:right w:val="none" w:sz="0" w:space="0" w:color="auto"/>
          </w:divBdr>
        </w:div>
        <w:div w:id="1810898195">
          <w:marLeft w:val="0"/>
          <w:marRight w:val="0"/>
          <w:marTop w:val="0"/>
          <w:marBottom w:val="0"/>
          <w:divBdr>
            <w:top w:val="none" w:sz="0" w:space="0" w:color="auto"/>
            <w:left w:val="none" w:sz="0" w:space="0" w:color="auto"/>
            <w:bottom w:val="none" w:sz="0" w:space="0" w:color="auto"/>
            <w:right w:val="none" w:sz="0" w:space="0" w:color="auto"/>
          </w:divBdr>
        </w:div>
        <w:div w:id="1683311767">
          <w:marLeft w:val="0"/>
          <w:marRight w:val="0"/>
          <w:marTop w:val="0"/>
          <w:marBottom w:val="0"/>
          <w:divBdr>
            <w:top w:val="none" w:sz="0" w:space="0" w:color="auto"/>
            <w:left w:val="none" w:sz="0" w:space="0" w:color="auto"/>
            <w:bottom w:val="none" w:sz="0" w:space="0" w:color="auto"/>
            <w:right w:val="none" w:sz="0" w:space="0" w:color="auto"/>
          </w:divBdr>
        </w:div>
        <w:div w:id="1373073080">
          <w:marLeft w:val="0"/>
          <w:marRight w:val="0"/>
          <w:marTop w:val="0"/>
          <w:marBottom w:val="0"/>
          <w:divBdr>
            <w:top w:val="none" w:sz="0" w:space="0" w:color="auto"/>
            <w:left w:val="none" w:sz="0" w:space="0" w:color="auto"/>
            <w:bottom w:val="none" w:sz="0" w:space="0" w:color="auto"/>
            <w:right w:val="none" w:sz="0" w:space="0" w:color="auto"/>
          </w:divBdr>
        </w:div>
        <w:div w:id="916671947">
          <w:marLeft w:val="0"/>
          <w:marRight w:val="0"/>
          <w:marTop w:val="0"/>
          <w:marBottom w:val="0"/>
          <w:divBdr>
            <w:top w:val="none" w:sz="0" w:space="0" w:color="auto"/>
            <w:left w:val="none" w:sz="0" w:space="0" w:color="auto"/>
            <w:bottom w:val="none" w:sz="0" w:space="0" w:color="auto"/>
            <w:right w:val="none" w:sz="0" w:space="0" w:color="auto"/>
          </w:divBdr>
        </w:div>
        <w:div w:id="1989090797">
          <w:marLeft w:val="0"/>
          <w:marRight w:val="0"/>
          <w:marTop w:val="0"/>
          <w:marBottom w:val="0"/>
          <w:divBdr>
            <w:top w:val="none" w:sz="0" w:space="0" w:color="auto"/>
            <w:left w:val="none" w:sz="0" w:space="0" w:color="auto"/>
            <w:bottom w:val="none" w:sz="0" w:space="0" w:color="auto"/>
            <w:right w:val="none" w:sz="0" w:space="0" w:color="auto"/>
          </w:divBdr>
        </w:div>
        <w:div w:id="348992719">
          <w:marLeft w:val="0"/>
          <w:marRight w:val="0"/>
          <w:marTop w:val="0"/>
          <w:marBottom w:val="0"/>
          <w:divBdr>
            <w:top w:val="none" w:sz="0" w:space="0" w:color="auto"/>
            <w:left w:val="none" w:sz="0" w:space="0" w:color="auto"/>
            <w:bottom w:val="none" w:sz="0" w:space="0" w:color="auto"/>
            <w:right w:val="none" w:sz="0" w:space="0" w:color="auto"/>
          </w:divBdr>
        </w:div>
        <w:div w:id="167907620">
          <w:marLeft w:val="0"/>
          <w:marRight w:val="0"/>
          <w:marTop w:val="0"/>
          <w:marBottom w:val="0"/>
          <w:divBdr>
            <w:top w:val="none" w:sz="0" w:space="0" w:color="auto"/>
            <w:left w:val="none" w:sz="0" w:space="0" w:color="auto"/>
            <w:bottom w:val="none" w:sz="0" w:space="0" w:color="auto"/>
            <w:right w:val="none" w:sz="0" w:space="0" w:color="auto"/>
          </w:divBdr>
        </w:div>
        <w:div w:id="702094647">
          <w:marLeft w:val="0"/>
          <w:marRight w:val="0"/>
          <w:marTop w:val="0"/>
          <w:marBottom w:val="0"/>
          <w:divBdr>
            <w:top w:val="none" w:sz="0" w:space="0" w:color="auto"/>
            <w:left w:val="none" w:sz="0" w:space="0" w:color="auto"/>
            <w:bottom w:val="none" w:sz="0" w:space="0" w:color="auto"/>
            <w:right w:val="none" w:sz="0" w:space="0" w:color="auto"/>
          </w:divBdr>
        </w:div>
      </w:divsChild>
    </w:div>
    <w:div w:id="1554804301">
      <w:bodyDiv w:val="1"/>
      <w:marLeft w:val="0"/>
      <w:marRight w:val="0"/>
      <w:marTop w:val="0"/>
      <w:marBottom w:val="0"/>
      <w:divBdr>
        <w:top w:val="none" w:sz="0" w:space="0" w:color="auto"/>
        <w:left w:val="none" w:sz="0" w:space="0" w:color="auto"/>
        <w:bottom w:val="none" w:sz="0" w:space="0" w:color="auto"/>
        <w:right w:val="none" w:sz="0" w:space="0" w:color="auto"/>
      </w:divBdr>
    </w:div>
    <w:div w:id="1561091747">
      <w:bodyDiv w:val="1"/>
      <w:marLeft w:val="0"/>
      <w:marRight w:val="0"/>
      <w:marTop w:val="0"/>
      <w:marBottom w:val="0"/>
      <w:divBdr>
        <w:top w:val="none" w:sz="0" w:space="0" w:color="auto"/>
        <w:left w:val="none" w:sz="0" w:space="0" w:color="auto"/>
        <w:bottom w:val="none" w:sz="0" w:space="0" w:color="auto"/>
        <w:right w:val="none" w:sz="0" w:space="0" w:color="auto"/>
      </w:divBdr>
      <w:divsChild>
        <w:div w:id="1471437159">
          <w:marLeft w:val="0"/>
          <w:marRight w:val="0"/>
          <w:marTop w:val="0"/>
          <w:marBottom w:val="0"/>
          <w:divBdr>
            <w:top w:val="none" w:sz="0" w:space="0" w:color="auto"/>
            <w:left w:val="none" w:sz="0" w:space="0" w:color="auto"/>
            <w:bottom w:val="none" w:sz="0" w:space="0" w:color="auto"/>
            <w:right w:val="none" w:sz="0" w:space="0" w:color="auto"/>
          </w:divBdr>
          <w:divsChild>
            <w:div w:id="95545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959914">
      <w:bodyDiv w:val="1"/>
      <w:marLeft w:val="0"/>
      <w:marRight w:val="0"/>
      <w:marTop w:val="0"/>
      <w:marBottom w:val="0"/>
      <w:divBdr>
        <w:top w:val="none" w:sz="0" w:space="0" w:color="auto"/>
        <w:left w:val="none" w:sz="0" w:space="0" w:color="auto"/>
        <w:bottom w:val="none" w:sz="0" w:space="0" w:color="auto"/>
        <w:right w:val="none" w:sz="0" w:space="0" w:color="auto"/>
      </w:divBdr>
      <w:divsChild>
        <w:div w:id="135538921">
          <w:marLeft w:val="0"/>
          <w:marRight w:val="0"/>
          <w:marTop w:val="0"/>
          <w:marBottom w:val="0"/>
          <w:divBdr>
            <w:top w:val="none" w:sz="0" w:space="0" w:color="auto"/>
            <w:left w:val="none" w:sz="0" w:space="0" w:color="auto"/>
            <w:bottom w:val="none" w:sz="0" w:space="0" w:color="auto"/>
            <w:right w:val="none" w:sz="0" w:space="0" w:color="auto"/>
          </w:divBdr>
        </w:div>
        <w:div w:id="138615983">
          <w:marLeft w:val="0"/>
          <w:marRight w:val="0"/>
          <w:marTop w:val="0"/>
          <w:marBottom w:val="0"/>
          <w:divBdr>
            <w:top w:val="none" w:sz="0" w:space="0" w:color="auto"/>
            <w:left w:val="none" w:sz="0" w:space="0" w:color="auto"/>
            <w:bottom w:val="none" w:sz="0" w:space="0" w:color="auto"/>
            <w:right w:val="none" w:sz="0" w:space="0" w:color="auto"/>
          </w:divBdr>
        </w:div>
        <w:div w:id="1697349359">
          <w:marLeft w:val="0"/>
          <w:marRight w:val="0"/>
          <w:marTop w:val="0"/>
          <w:marBottom w:val="0"/>
          <w:divBdr>
            <w:top w:val="none" w:sz="0" w:space="0" w:color="auto"/>
            <w:left w:val="none" w:sz="0" w:space="0" w:color="auto"/>
            <w:bottom w:val="none" w:sz="0" w:space="0" w:color="auto"/>
            <w:right w:val="none" w:sz="0" w:space="0" w:color="auto"/>
          </w:divBdr>
        </w:div>
        <w:div w:id="1446585089">
          <w:marLeft w:val="0"/>
          <w:marRight w:val="0"/>
          <w:marTop w:val="0"/>
          <w:marBottom w:val="0"/>
          <w:divBdr>
            <w:top w:val="none" w:sz="0" w:space="0" w:color="auto"/>
            <w:left w:val="none" w:sz="0" w:space="0" w:color="auto"/>
            <w:bottom w:val="none" w:sz="0" w:space="0" w:color="auto"/>
            <w:right w:val="none" w:sz="0" w:space="0" w:color="auto"/>
          </w:divBdr>
        </w:div>
      </w:divsChild>
    </w:div>
    <w:div w:id="1669795923">
      <w:bodyDiv w:val="1"/>
      <w:marLeft w:val="0"/>
      <w:marRight w:val="0"/>
      <w:marTop w:val="0"/>
      <w:marBottom w:val="0"/>
      <w:divBdr>
        <w:top w:val="none" w:sz="0" w:space="0" w:color="auto"/>
        <w:left w:val="none" w:sz="0" w:space="0" w:color="auto"/>
        <w:bottom w:val="none" w:sz="0" w:space="0" w:color="auto"/>
        <w:right w:val="none" w:sz="0" w:space="0" w:color="auto"/>
      </w:divBdr>
      <w:divsChild>
        <w:div w:id="1313675823">
          <w:marLeft w:val="0"/>
          <w:marRight w:val="0"/>
          <w:marTop w:val="0"/>
          <w:marBottom w:val="0"/>
          <w:divBdr>
            <w:top w:val="none" w:sz="0" w:space="0" w:color="auto"/>
            <w:left w:val="none" w:sz="0" w:space="0" w:color="auto"/>
            <w:bottom w:val="none" w:sz="0" w:space="0" w:color="auto"/>
            <w:right w:val="none" w:sz="0" w:space="0" w:color="auto"/>
          </w:divBdr>
        </w:div>
        <w:div w:id="37706825">
          <w:marLeft w:val="0"/>
          <w:marRight w:val="0"/>
          <w:marTop w:val="0"/>
          <w:marBottom w:val="0"/>
          <w:divBdr>
            <w:top w:val="none" w:sz="0" w:space="0" w:color="auto"/>
            <w:left w:val="none" w:sz="0" w:space="0" w:color="auto"/>
            <w:bottom w:val="none" w:sz="0" w:space="0" w:color="auto"/>
            <w:right w:val="none" w:sz="0" w:space="0" w:color="auto"/>
          </w:divBdr>
        </w:div>
        <w:div w:id="1865826785">
          <w:marLeft w:val="0"/>
          <w:marRight w:val="0"/>
          <w:marTop w:val="0"/>
          <w:marBottom w:val="0"/>
          <w:divBdr>
            <w:top w:val="none" w:sz="0" w:space="0" w:color="auto"/>
            <w:left w:val="none" w:sz="0" w:space="0" w:color="auto"/>
            <w:bottom w:val="none" w:sz="0" w:space="0" w:color="auto"/>
            <w:right w:val="none" w:sz="0" w:space="0" w:color="auto"/>
          </w:divBdr>
        </w:div>
        <w:div w:id="2035568509">
          <w:marLeft w:val="0"/>
          <w:marRight w:val="0"/>
          <w:marTop w:val="0"/>
          <w:marBottom w:val="0"/>
          <w:divBdr>
            <w:top w:val="none" w:sz="0" w:space="0" w:color="auto"/>
            <w:left w:val="none" w:sz="0" w:space="0" w:color="auto"/>
            <w:bottom w:val="none" w:sz="0" w:space="0" w:color="auto"/>
            <w:right w:val="none" w:sz="0" w:space="0" w:color="auto"/>
          </w:divBdr>
        </w:div>
        <w:div w:id="410467542">
          <w:marLeft w:val="0"/>
          <w:marRight w:val="0"/>
          <w:marTop w:val="0"/>
          <w:marBottom w:val="0"/>
          <w:divBdr>
            <w:top w:val="none" w:sz="0" w:space="0" w:color="auto"/>
            <w:left w:val="none" w:sz="0" w:space="0" w:color="auto"/>
            <w:bottom w:val="none" w:sz="0" w:space="0" w:color="auto"/>
            <w:right w:val="none" w:sz="0" w:space="0" w:color="auto"/>
          </w:divBdr>
        </w:div>
        <w:div w:id="130099771">
          <w:marLeft w:val="0"/>
          <w:marRight w:val="0"/>
          <w:marTop w:val="0"/>
          <w:marBottom w:val="0"/>
          <w:divBdr>
            <w:top w:val="none" w:sz="0" w:space="0" w:color="auto"/>
            <w:left w:val="none" w:sz="0" w:space="0" w:color="auto"/>
            <w:bottom w:val="none" w:sz="0" w:space="0" w:color="auto"/>
            <w:right w:val="none" w:sz="0" w:space="0" w:color="auto"/>
          </w:divBdr>
        </w:div>
        <w:div w:id="859969216">
          <w:marLeft w:val="0"/>
          <w:marRight w:val="0"/>
          <w:marTop w:val="0"/>
          <w:marBottom w:val="0"/>
          <w:divBdr>
            <w:top w:val="none" w:sz="0" w:space="0" w:color="auto"/>
            <w:left w:val="none" w:sz="0" w:space="0" w:color="auto"/>
            <w:bottom w:val="none" w:sz="0" w:space="0" w:color="auto"/>
            <w:right w:val="none" w:sz="0" w:space="0" w:color="auto"/>
          </w:divBdr>
        </w:div>
        <w:div w:id="1315716256">
          <w:marLeft w:val="0"/>
          <w:marRight w:val="0"/>
          <w:marTop w:val="0"/>
          <w:marBottom w:val="0"/>
          <w:divBdr>
            <w:top w:val="none" w:sz="0" w:space="0" w:color="auto"/>
            <w:left w:val="none" w:sz="0" w:space="0" w:color="auto"/>
            <w:bottom w:val="none" w:sz="0" w:space="0" w:color="auto"/>
            <w:right w:val="none" w:sz="0" w:space="0" w:color="auto"/>
          </w:divBdr>
        </w:div>
        <w:div w:id="1589263736">
          <w:marLeft w:val="0"/>
          <w:marRight w:val="0"/>
          <w:marTop w:val="0"/>
          <w:marBottom w:val="0"/>
          <w:divBdr>
            <w:top w:val="none" w:sz="0" w:space="0" w:color="auto"/>
            <w:left w:val="none" w:sz="0" w:space="0" w:color="auto"/>
            <w:bottom w:val="none" w:sz="0" w:space="0" w:color="auto"/>
            <w:right w:val="none" w:sz="0" w:space="0" w:color="auto"/>
          </w:divBdr>
        </w:div>
        <w:div w:id="915869790">
          <w:marLeft w:val="0"/>
          <w:marRight w:val="0"/>
          <w:marTop w:val="0"/>
          <w:marBottom w:val="0"/>
          <w:divBdr>
            <w:top w:val="none" w:sz="0" w:space="0" w:color="auto"/>
            <w:left w:val="none" w:sz="0" w:space="0" w:color="auto"/>
            <w:bottom w:val="none" w:sz="0" w:space="0" w:color="auto"/>
            <w:right w:val="none" w:sz="0" w:space="0" w:color="auto"/>
          </w:divBdr>
        </w:div>
        <w:div w:id="32849285">
          <w:marLeft w:val="0"/>
          <w:marRight w:val="0"/>
          <w:marTop w:val="0"/>
          <w:marBottom w:val="0"/>
          <w:divBdr>
            <w:top w:val="none" w:sz="0" w:space="0" w:color="auto"/>
            <w:left w:val="none" w:sz="0" w:space="0" w:color="auto"/>
            <w:bottom w:val="none" w:sz="0" w:space="0" w:color="auto"/>
            <w:right w:val="none" w:sz="0" w:space="0" w:color="auto"/>
          </w:divBdr>
        </w:div>
        <w:div w:id="760684132">
          <w:marLeft w:val="0"/>
          <w:marRight w:val="0"/>
          <w:marTop w:val="0"/>
          <w:marBottom w:val="0"/>
          <w:divBdr>
            <w:top w:val="none" w:sz="0" w:space="0" w:color="auto"/>
            <w:left w:val="none" w:sz="0" w:space="0" w:color="auto"/>
            <w:bottom w:val="none" w:sz="0" w:space="0" w:color="auto"/>
            <w:right w:val="none" w:sz="0" w:space="0" w:color="auto"/>
          </w:divBdr>
        </w:div>
        <w:div w:id="11343421">
          <w:marLeft w:val="0"/>
          <w:marRight w:val="0"/>
          <w:marTop w:val="0"/>
          <w:marBottom w:val="0"/>
          <w:divBdr>
            <w:top w:val="none" w:sz="0" w:space="0" w:color="auto"/>
            <w:left w:val="none" w:sz="0" w:space="0" w:color="auto"/>
            <w:bottom w:val="none" w:sz="0" w:space="0" w:color="auto"/>
            <w:right w:val="none" w:sz="0" w:space="0" w:color="auto"/>
          </w:divBdr>
        </w:div>
        <w:div w:id="771241943">
          <w:marLeft w:val="0"/>
          <w:marRight w:val="0"/>
          <w:marTop w:val="0"/>
          <w:marBottom w:val="0"/>
          <w:divBdr>
            <w:top w:val="none" w:sz="0" w:space="0" w:color="auto"/>
            <w:left w:val="none" w:sz="0" w:space="0" w:color="auto"/>
            <w:bottom w:val="none" w:sz="0" w:space="0" w:color="auto"/>
            <w:right w:val="none" w:sz="0" w:space="0" w:color="auto"/>
          </w:divBdr>
        </w:div>
        <w:div w:id="964039284">
          <w:marLeft w:val="0"/>
          <w:marRight w:val="0"/>
          <w:marTop w:val="0"/>
          <w:marBottom w:val="0"/>
          <w:divBdr>
            <w:top w:val="none" w:sz="0" w:space="0" w:color="auto"/>
            <w:left w:val="none" w:sz="0" w:space="0" w:color="auto"/>
            <w:bottom w:val="none" w:sz="0" w:space="0" w:color="auto"/>
            <w:right w:val="none" w:sz="0" w:space="0" w:color="auto"/>
          </w:divBdr>
        </w:div>
        <w:div w:id="117333969">
          <w:marLeft w:val="0"/>
          <w:marRight w:val="0"/>
          <w:marTop w:val="0"/>
          <w:marBottom w:val="0"/>
          <w:divBdr>
            <w:top w:val="none" w:sz="0" w:space="0" w:color="auto"/>
            <w:left w:val="none" w:sz="0" w:space="0" w:color="auto"/>
            <w:bottom w:val="none" w:sz="0" w:space="0" w:color="auto"/>
            <w:right w:val="none" w:sz="0" w:space="0" w:color="auto"/>
          </w:divBdr>
        </w:div>
        <w:div w:id="2021158153">
          <w:marLeft w:val="0"/>
          <w:marRight w:val="0"/>
          <w:marTop w:val="0"/>
          <w:marBottom w:val="0"/>
          <w:divBdr>
            <w:top w:val="none" w:sz="0" w:space="0" w:color="auto"/>
            <w:left w:val="none" w:sz="0" w:space="0" w:color="auto"/>
            <w:bottom w:val="none" w:sz="0" w:space="0" w:color="auto"/>
            <w:right w:val="none" w:sz="0" w:space="0" w:color="auto"/>
          </w:divBdr>
        </w:div>
        <w:div w:id="298803938">
          <w:marLeft w:val="0"/>
          <w:marRight w:val="0"/>
          <w:marTop w:val="0"/>
          <w:marBottom w:val="0"/>
          <w:divBdr>
            <w:top w:val="none" w:sz="0" w:space="0" w:color="auto"/>
            <w:left w:val="none" w:sz="0" w:space="0" w:color="auto"/>
            <w:bottom w:val="none" w:sz="0" w:space="0" w:color="auto"/>
            <w:right w:val="none" w:sz="0" w:space="0" w:color="auto"/>
          </w:divBdr>
        </w:div>
        <w:div w:id="785463376">
          <w:marLeft w:val="0"/>
          <w:marRight w:val="0"/>
          <w:marTop w:val="0"/>
          <w:marBottom w:val="0"/>
          <w:divBdr>
            <w:top w:val="none" w:sz="0" w:space="0" w:color="auto"/>
            <w:left w:val="none" w:sz="0" w:space="0" w:color="auto"/>
            <w:bottom w:val="none" w:sz="0" w:space="0" w:color="auto"/>
            <w:right w:val="none" w:sz="0" w:space="0" w:color="auto"/>
          </w:divBdr>
        </w:div>
        <w:div w:id="1577863284">
          <w:marLeft w:val="0"/>
          <w:marRight w:val="0"/>
          <w:marTop w:val="0"/>
          <w:marBottom w:val="0"/>
          <w:divBdr>
            <w:top w:val="none" w:sz="0" w:space="0" w:color="auto"/>
            <w:left w:val="none" w:sz="0" w:space="0" w:color="auto"/>
            <w:bottom w:val="none" w:sz="0" w:space="0" w:color="auto"/>
            <w:right w:val="none" w:sz="0" w:space="0" w:color="auto"/>
          </w:divBdr>
        </w:div>
        <w:div w:id="501551835">
          <w:marLeft w:val="0"/>
          <w:marRight w:val="0"/>
          <w:marTop w:val="0"/>
          <w:marBottom w:val="0"/>
          <w:divBdr>
            <w:top w:val="none" w:sz="0" w:space="0" w:color="auto"/>
            <w:left w:val="none" w:sz="0" w:space="0" w:color="auto"/>
            <w:bottom w:val="none" w:sz="0" w:space="0" w:color="auto"/>
            <w:right w:val="none" w:sz="0" w:space="0" w:color="auto"/>
          </w:divBdr>
        </w:div>
        <w:div w:id="1548951173">
          <w:marLeft w:val="0"/>
          <w:marRight w:val="0"/>
          <w:marTop w:val="0"/>
          <w:marBottom w:val="0"/>
          <w:divBdr>
            <w:top w:val="none" w:sz="0" w:space="0" w:color="auto"/>
            <w:left w:val="none" w:sz="0" w:space="0" w:color="auto"/>
            <w:bottom w:val="none" w:sz="0" w:space="0" w:color="auto"/>
            <w:right w:val="none" w:sz="0" w:space="0" w:color="auto"/>
          </w:divBdr>
        </w:div>
      </w:divsChild>
    </w:div>
    <w:div w:id="1687753871">
      <w:bodyDiv w:val="1"/>
      <w:marLeft w:val="0"/>
      <w:marRight w:val="0"/>
      <w:marTop w:val="0"/>
      <w:marBottom w:val="0"/>
      <w:divBdr>
        <w:top w:val="none" w:sz="0" w:space="0" w:color="auto"/>
        <w:left w:val="none" w:sz="0" w:space="0" w:color="auto"/>
        <w:bottom w:val="none" w:sz="0" w:space="0" w:color="auto"/>
        <w:right w:val="none" w:sz="0" w:space="0" w:color="auto"/>
      </w:divBdr>
      <w:divsChild>
        <w:div w:id="1770269698">
          <w:marLeft w:val="0"/>
          <w:marRight w:val="0"/>
          <w:marTop w:val="0"/>
          <w:marBottom w:val="0"/>
          <w:divBdr>
            <w:top w:val="none" w:sz="0" w:space="0" w:color="auto"/>
            <w:left w:val="none" w:sz="0" w:space="0" w:color="auto"/>
            <w:bottom w:val="none" w:sz="0" w:space="0" w:color="auto"/>
            <w:right w:val="none" w:sz="0" w:space="0" w:color="auto"/>
          </w:divBdr>
        </w:div>
        <w:div w:id="1268196410">
          <w:marLeft w:val="0"/>
          <w:marRight w:val="0"/>
          <w:marTop w:val="0"/>
          <w:marBottom w:val="0"/>
          <w:divBdr>
            <w:top w:val="none" w:sz="0" w:space="0" w:color="auto"/>
            <w:left w:val="none" w:sz="0" w:space="0" w:color="auto"/>
            <w:bottom w:val="none" w:sz="0" w:space="0" w:color="auto"/>
            <w:right w:val="none" w:sz="0" w:space="0" w:color="auto"/>
          </w:divBdr>
        </w:div>
      </w:divsChild>
    </w:div>
    <w:div w:id="1712730316">
      <w:bodyDiv w:val="1"/>
      <w:marLeft w:val="0"/>
      <w:marRight w:val="0"/>
      <w:marTop w:val="0"/>
      <w:marBottom w:val="0"/>
      <w:divBdr>
        <w:top w:val="none" w:sz="0" w:space="0" w:color="auto"/>
        <w:left w:val="none" w:sz="0" w:space="0" w:color="auto"/>
        <w:bottom w:val="none" w:sz="0" w:space="0" w:color="auto"/>
        <w:right w:val="none" w:sz="0" w:space="0" w:color="auto"/>
      </w:divBdr>
    </w:div>
    <w:div w:id="1739939352">
      <w:bodyDiv w:val="1"/>
      <w:marLeft w:val="0"/>
      <w:marRight w:val="0"/>
      <w:marTop w:val="0"/>
      <w:marBottom w:val="0"/>
      <w:divBdr>
        <w:top w:val="none" w:sz="0" w:space="0" w:color="auto"/>
        <w:left w:val="none" w:sz="0" w:space="0" w:color="auto"/>
        <w:bottom w:val="none" w:sz="0" w:space="0" w:color="auto"/>
        <w:right w:val="none" w:sz="0" w:space="0" w:color="auto"/>
      </w:divBdr>
    </w:div>
    <w:div w:id="1743060995">
      <w:bodyDiv w:val="1"/>
      <w:marLeft w:val="0"/>
      <w:marRight w:val="0"/>
      <w:marTop w:val="0"/>
      <w:marBottom w:val="0"/>
      <w:divBdr>
        <w:top w:val="none" w:sz="0" w:space="0" w:color="auto"/>
        <w:left w:val="none" w:sz="0" w:space="0" w:color="auto"/>
        <w:bottom w:val="none" w:sz="0" w:space="0" w:color="auto"/>
        <w:right w:val="none" w:sz="0" w:space="0" w:color="auto"/>
      </w:divBdr>
    </w:div>
    <w:div w:id="1776751648">
      <w:bodyDiv w:val="1"/>
      <w:marLeft w:val="0"/>
      <w:marRight w:val="0"/>
      <w:marTop w:val="0"/>
      <w:marBottom w:val="0"/>
      <w:divBdr>
        <w:top w:val="none" w:sz="0" w:space="0" w:color="auto"/>
        <w:left w:val="none" w:sz="0" w:space="0" w:color="auto"/>
        <w:bottom w:val="none" w:sz="0" w:space="0" w:color="auto"/>
        <w:right w:val="none" w:sz="0" w:space="0" w:color="auto"/>
      </w:divBdr>
      <w:divsChild>
        <w:div w:id="1465003344">
          <w:marLeft w:val="0"/>
          <w:marRight w:val="0"/>
          <w:marTop w:val="0"/>
          <w:marBottom w:val="0"/>
          <w:divBdr>
            <w:top w:val="none" w:sz="0" w:space="0" w:color="auto"/>
            <w:left w:val="none" w:sz="0" w:space="0" w:color="auto"/>
            <w:bottom w:val="none" w:sz="0" w:space="0" w:color="auto"/>
            <w:right w:val="none" w:sz="0" w:space="0" w:color="auto"/>
          </w:divBdr>
        </w:div>
        <w:div w:id="1540507919">
          <w:marLeft w:val="0"/>
          <w:marRight w:val="0"/>
          <w:marTop w:val="0"/>
          <w:marBottom w:val="0"/>
          <w:divBdr>
            <w:top w:val="none" w:sz="0" w:space="0" w:color="auto"/>
            <w:left w:val="none" w:sz="0" w:space="0" w:color="auto"/>
            <w:bottom w:val="none" w:sz="0" w:space="0" w:color="auto"/>
            <w:right w:val="none" w:sz="0" w:space="0" w:color="auto"/>
          </w:divBdr>
        </w:div>
        <w:div w:id="1374646810">
          <w:marLeft w:val="0"/>
          <w:marRight w:val="0"/>
          <w:marTop w:val="0"/>
          <w:marBottom w:val="0"/>
          <w:divBdr>
            <w:top w:val="none" w:sz="0" w:space="0" w:color="auto"/>
            <w:left w:val="none" w:sz="0" w:space="0" w:color="auto"/>
            <w:bottom w:val="none" w:sz="0" w:space="0" w:color="auto"/>
            <w:right w:val="none" w:sz="0" w:space="0" w:color="auto"/>
          </w:divBdr>
        </w:div>
      </w:divsChild>
    </w:div>
    <w:div w:id="1780294025">
      <w:bodyDiv w:val="1"/>
      <w:marLeft w:val="0"/>
      <w:marRight w:val="0"/>
      <w:marTop w:val="0"/>
      <w:marBottom w:val="0"/>
      <w:divBdr>
        <w:top w:val="none" w:sz="0" w:space="0" w:color="auto"/>
        <w:left w:val="none" w:sz="0" w:space="0" w:color="auto"/>
        <w:bottom w:val="none" w:sz="0" w:space="0" w:color="auto"/>
        <w:right w:val="none" w:sz="0" w:space="0" w:color="auto"/>
      </w:divBdr>
      <w:divsChild>
        <w:div w:id="1189953927">
          <w:marLeft w:val="0"/>
          <w:marRight w:val="0"/>
          <w:marTop w:val="0"/>
          <w:marBottom w:val="0"/>
          <w:divBdr>
            <w:top w:val="none" w:sz="0" w:space="0" w:color="auto"/>
            <w:left w:val="none" w:sz="0" w:space="0" w:color="auto"/>
            <w:bottom w:val="none" w:sz="0" w:space="0" w:color="auto"/>
            <w:right w:val="none" w:sz="0" w:space="0" w:color="auto"/>
          </w:divBdr>
          <w:divsChild>
            <w:div w:id="1979219174">
              <w:blockQuote w:val="1"/>
              <w:marLeft w:val="720"/>
              <w:marRight w:val="720"/>
              <w:marTop w:val="100"/>
              <w:marBottom w:val="100"/>
              <w:divBdr>
                <w:top w:val="none" w:sz="0" w:space="0" w:color="auto"/>
                <w:left w:val="none" w:sz="0" w:space="0" w:color="auto"/>
                <w:bottom w:val="none" w:sz="0" w:space="0" w:color="auto"/>
                <w:right w:val="none" w:sz="0" w:space="0" w:color="auto"/>
              </w:divBdr>
            </w:div>
            <w:div w:id="1054356659">
              <w:blockQuote w:val="1"/>
              <w:marLeft w:val="720"/>
              <w:marRight w:val="720"/>
              <w:marTop w:val="100"/>
              <w:marBottom w:val="100"/>
              <w:divBdr>
                <w:top w:val="none" w:sz="0" w:space="0" w:color="auto"/>
                <w:left w:val="none" w:sz="0" w:space="0" w:color="auto"/>
                <w:bottom w:val="none" w:sz="0" w:space="0" w:color="auto"/>
                <w:right w:val="none" w:sz="0" w:space="0" w:color="auto"/>
              </w:divBdr>
            </w:div>
            <w:div w:id="11075060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789472920">
      <w:bodyDiv w:val="1"/>
      <w:marLeft w:val="0"/>
      <w:marRight w:val="0"/>
      <w:marTop w:val="0"/>
      <w:marBottom w:val="0"/>
      <w:divBdr>
        <w:top w:val="none" w:sz="0" w:space="0" w:color="auto"/>
        <w:left w:val="none" w:sz="0" w:space="0" w:color="auto"/>
        <w:bottom w:val="none" w:sz="0" w:space="0" w:color="auto"/>
        <w:right w:val="none" w:sz="0" w:space="0" w:color="auto"/>
      </w:divBdr>
      <w:divsChild>
        <w:div w:id="2002850023">
          <w:marLeft w:val="0"/>
          <w:marRight w:val="0"/>
          <w:marTop w:val="0"/>
          <w:marBottom w:val="0"/>
          <w:divBdr>
            <w:top w:val="none" w:sz="0" w:space="0" w:color="auto"/>
            <w:left w:val="none" w:sz="0" w:space="0" w:color="auto"/>
            <w:bottom w:val="none" w:sz="0" w:space="0" w:color="auto"/>
            <w:right w:val="none" w:sz="0" w:space="0" w:color="auto"/>
          </w:divBdr>
        </w:div>
        <w:div w:id="136263685">
          <w:marLeft w:val="0"/>
          <w:marRight w:val="0"/>
          <w:marTop w:val="0"/>
          <w:marBottom w:val="0"/>
          <w:divBdr>
            <w:top w:val="none" w:sz="0" w:space="0" w:color="auto"/>
            <w:left w:val="none" w:sz="0" w:space="0" w:color="auto"/>
            <w:bottom w:val="none" w:sz="0" w:space="0" w:color="auto"/>
            <w:right w:val="none" w:sz="0" w:space="0" w:color="auto"/>
          </w:divBdr>
        </w:div>
        <w:div w:id="980236580">
          <w:marLeft w:val="0"/>
          <w:marRight w:val="0"/>
          <w:marTop w:val="0"/>
          <w:marBottom w:val="0"/>
          <w:divBdr>
            <w:top w:val="none" w:sz="0" w:space="0" w:color="auto"/>
            <w:left w:val="none" w:sz="0" w:space="0" w:color="auto"/>
            <w:bottom w:val="none" w:sz="0" w:space="0" w:color="auto"/>
            <w:right w:val="none" w:sz="0" w:space="0" w:color="auto"/>
          </w:divBdr>
        </w:div>
        <w:div w:id="801390803">
          <w:marLeft w:val="0"/>
          <w:marRight w:val="0"/>
          <w:marTop w:val="0"/>
          <w:marBottom w:val="0"/>
          <w:divBdr>
            <w:top w:val="none" w:sz="0" w:space="0" w:color="auto"/>
            <w:left w:val="none" w:sz="0" w:space="0" w:color="auto"/>
            <w:bottom w:val="none" w:sz="0" w:space="0" w:color="auto"/>
            <w:right w:val="none" w:sz="0" w:space="0" w:color="auto"/>
          </w:divBdr>
        </w:div>
        <w:div w:id="109472266">
          <w:marLeft w:val="0"/>
          <w:marRight w:val="0"/>
          <w:marTop w:val="0"/>
          <w:marBottom w:val="0"/>
          <w:divBdr>
            <w:top w:val="none" w:sz="0" w:space="0" w:color="auto"/>
            <w:left w:val="none" w:sz="0" w:space="0" w:color="auto"/>
            <w:bottom w:val="none" w:sz="0" w:space="0" w:color="auto"/>
            <w:right w:val="none" w:sz="0" w:space="0" w:color="auto"/>
          </w:divBdr>
        </w:div>
        <w:div w:id="701594036">
          <w:marLeft w:val="0"/>
          <w:marRight w:val="0"/>
          <w:marTop w:val="0"/>
          <w:marBottom w:val="0"/>
          <w:divBdr>
            <w:top w:val="none" w:sz="0" w:space="0" w:color="auto"/>
            <w:left w:val="none" w:sz="0" w:space="0" w:color="auto"/>
            <w:bottom w:val="none" w:sz="0" w:space="0" w:color="auto"/>
            <w:right w:val="none" w:sz="0" w:space="0" w:color="auto"/>
          </w:divBdr>
        </w:div>
        <w:div w:id="659819857">
          <w:marLeft w:val="0"/>
          <w:marRight w:val="0"/>
          <w:marTop w:val="0"/>
          <w:marBottom w:val="0"/>
          <w:divBdr>
            <w:top w:val="none" w:sz="0" w:space="0" w:color="auto"/>
            <w:left w:val="none" w:sz="0" w:space="0" w:color="auto"/>
            <w:bottom w:val="none" w:sz="0" w:space="0" w:color="auto"/>
            <w:right w:val="none" w:sz="0" w:space="0" w:color="auto"/>
          </w:divBdr>
        </w:div>
        <w:div w:id="1573081243">
          <w:marLeft w:val="0"/>
          <w:marRight w:val="0"/>
          <w:marTop w:val="0"/>
          <w:marBottom w:val="0"/>
          <w:divBdr>
            <w:top w:val="none" w:sz="0" w:space="0" w:color="auto"/>
            <w:left w:val="none" w:sz="0" w:space="0" w:color="auto"/>
            <w:bottom w:val="none" w:sz="0" w:space="0" w:color="auto"/>
            <w:right w:val="none" w:sz="0" w:space="0" w:color="auto"/>
          </w:divBdr>
        </w:div>
      </w:divsChild>
    </w:div>
    <w:div w:id="1817799341">
      <w:bodyDiv w:val="1"/>
      <w:marLeft w:val="0"/>
      <w:marRight w:val="0"/>
      <w:marTop w:val="0"/>
      <w:marBottom w:val="0"/>
      <w:divBdr>
        <w:top w:val="none" w:sz="0" w:space="0" w:color="auto"/>
        <w:left w:val="none" w:sz="0" w:space="0" w:color="auto"/>
        <w:bottom w:val="none" w:sz="0" w:space="0" w:color="auto"/>
        <w:right w:val="none" w:sz="0" w:space="0" w:color="auto"/>
      </w:divBdr>
      <w:divsChild>
        <w:div w:id="1970088013">
          <w:marLeft w:val="0"/>
          <w:marRight w:val="0"/>
          <w:marTop w:val="0"/>
          <w:marBottom w:val="0"/>
          <w:divBdr>
            <w:top w:val="none" w:sz="0" w:space="0" w:color="auto"/>
            <w:left w:val="none" w:sz="0" w:space="0" w:color="auto"/>
            <w:bottom w:val="none" w:sz="0" w:space="0" w:color="auto"/>
            <w:right w:val="none" w:sz="0" w:space="0" w:color="auto"/>
          </w:divBdr>
        </w:div>
        <w:div w:id="318313124">
          <w:marLeft w:val="0"/>
          <w:marRight w:val="0"/>
          <w:marTop w:val="0"/>
          <w:marBottom w:val="0"/>
          <w:divBdr>
            <w:top w:val="none" w:sz="0" w:space="0" w:color="auto"/>
            <w:left w:val="none" w:sz="0" w:space="0" w:color="auto"/>
            <w:bottom w:val="none" w:sz="0" w:space="0" w:color="auto"/>
            <w:right w:val="none" w:sz="0" w:space="0" w:color="auto"/>
          </w:divBdr>
        </w:div>
        <w:div w:id="605700628">
          <w:marLeft w:val="0"/>
          <w:marRight w:val="0"/>
          <w:marTop w:val="0"/>
          <w:marBottom w:val="0"/>
          <w:divBdr>
            <w:top w:val="none" w:sz="0" w:space="0" w:color="auto"/>
            <w:left w:val="none" w:sz="0" w:space="0" w:color="auto"/>
            <w:bottom w:val="none" w:sz="0" w:space="0" w:color="auto"/>
            <w:right w:val="none" w:sz="0" w:space="0" w:color="auto"/>
          </w:divBdr>
        </w:div>
        <w:div w:id="287711199">
          <w:marLeft w:val="0"/>
          <w:marRight w:val="0"/>
          <w:marTop w:val="0"/>
          <w:marBottom w:val="0"/>
          <w:divBdr>
            <w:top w:val="none" w:sz="0" w:space="0" w:color="auto"/>
            <w:left w:val="none" w:sz="0" w:space="0" w:color="auto"/>
            <w:bottom w:val="none" w:sz="0" w:space="0" w:color="auto"/>
            <w:right w:val="none" w:sz="0" w:space="0" w:color="auto"/>
          </w:divBdr>
        </w:div>
        <w:div w:id="1022828626">
          <w:marLeft w:val="0"/>
          <w:marRight w:val="0"/>
          <w:marTop w:val="0"/>
          <w:marBottom w:val="0"/>
          <w:divBdr>
            <w:top w:val="none" w:sz="0" w:space="0" w:color="auto"/>
            <w:left w:val="none" w:sz="0" w:space="0" w:color="auto"/>
            <w:bottom w:val="none" w:sz="0" w:space="0" w:color="auto"/>
            <w:right w:val="none" w:sz="0" w:space="0" w:color="auto"/>
          </w:divBdr>
        </w:div>
      </w:divsChild>
    </w:div>
    <w:div w:id="1825585121">
      <w:bodyDiv w:val="1"/>
      <w:marLeft w:val="0"/>
      <w:marRight w:val="0"/>
      <w:marTop w:val="0"/>
      <w:marBottom w:val="0"/>
      <w:divBdr>
        <w:top w:val="none" w:sz="0" w:space="0" w:color="auto"/>
        <w:left w:val="none" w:sz="0" w:space="0" w:color="auto"/>
        <w:bottom w:val="none" w:sz="0" w:space="0" w:color="auto"/>
        <w:right w:val="none" w:sz="0" w:space="0" w:color="auto"/>
      </w:divBdr>
      <w:divsChild>
        <w:div w:id="1463234412">
          <w:marLeft w:val="0"/>
          <w:marRight w:val="0"/>
          <w:marTop w:val="0"/>
          <w:marBottom w:val="0"/>
          <w:divBdr>
            <w:top w:val="none" w:sz="0" w:space="0" w:color="auto"/>
            <w:left w:val="none" w:sz="0" w:space="0" w:color="auto"/>
            <w:bottom w:val="none" w:sz="0" w:space="0" w:color="auto"/>
            <w:right w:val="none" w:sz="0" w:space="0" w:color="auto"/>
          </w:divBdr>
        </w:div>
        <w:div w:id="1736397093">
          <w:marLeft w:val="0"/>
          <w:marRight w:val="0"/>
          <w:marTop w:val="0"/>
          <w:marBottom w:val="0"/>
          <w:divBdr>
            <w:top w:val="none" w:sz="0" w:space="0" w:color="auto"/>
            <w:left w:val="none" w:sz="0" w:space="0" w:color="auto"/>
            <w:bottom w:val="none" w:sz="0" w:space="0" w:color="auto"/>
            <w:right w:val="none" w:sz="0" w:space="0" w:color="auto"/>
          </w:divBdr>
        </w:div>
        <w:div w:id="712267995">
          <w:marLeft w:val="0"/>
          <w:marRight w:val="0"/>
          <w:marTop w:val="0"/>
          <w:marBottom w:val="0"/>
          <w:divBdr>
            <w:top w:val="none" w:sz="0" w:space="0" w:color="auto"/>
            <w:left w:val="none" w:sz="0" w:space="0" w:color="auto"/>
            <w:bottom w:val="none" w:sz="0" w:space="0" w:color="auto"/>
            <w:right w:val="none" w:sz="0" w:space="0" w:color="auto"/>
          </w:divBdr>
        </w:div>
        <w:div w:id="2046825186">
          <w:marLeft w:val="0"/>
          <w:marRight w:val="0"/>
          <w:marTop w:val="0"/>
          <w:marBottom w:val="0"/>
          <w:divBdr>
            <w:top w:val="none" w:sz="0" w:space="0" w:color="auto"/>
            <w:left w:val="none" w:sz="0" w:space="0" w:color="auto"/>
            <w:bottom w:val="none" w:sz="0" w:space="0" w:color="auto"/>
            <w:right w:val="none" w:sz="0" w:space="0" w:color="auto"/>
          </w:divBdr>
        </w:div>
        <w:div w:id="1949586089">
          <w:marLeft w:val="0"/>
          <w:marRight w:val="0"/>
          <w:marTop w:val="0"/>
          <w:marBottom w:val="0"/>
          <w:divBdr>
            <w:top w:val="none" w:sz="0" w:space="0" w:color="auto"/>
            <w:left w:val="none" w:sz="0" w:space="0" w:color="auto"/>
            <w:bottom w:val="none" w:sz="0" w:space="0" w:color="auto"/>
            <w:right w:val="none" w:sz="0" w:space="0" w:color="auto"/>
          </w:divBdr>
        </w:div>
        <w:div w:id="770199220">
          <w:marLeft w:val="0"/>
          <w:marRight w:val="0"/>
          <w:marTop w:val="0"/>
          <w:marBottom w:val="0"/>
          <w:divBdr>
            <w:top w:val="none" w:sz="0" w:space="0" w:color="auto"/>
            <w:left w:val="none" w:sz="0" w:space="0" w:color="auto"/>
            <w:bottom w:val="none" w:sz="0" w:space="0" w:color="auto"/>
            <w:right w:val="none" w:sz="0" w:space="0" w:color="auto"/>
          </w:divBdr>
        </w:div>
        <w:div w:id="1844777857">
          <w:marLeft w:val="0"/>
          <w:marRight w:val="0"/>
          <w:marTop w:val="0"/>
          <w:marBottom w:val="0"/>
          <w:divBdr>
            <w:top w:val="none" w:sz="0" w:space="0" w:color="auto"/>
            <w:left w:val="none" w:sz="0" w:space="0" w:color="auto"/>
            <w:bottom w:val="none" w:sz="0" w:space="0" w:color="auto"/>
            <w:right w:val="none" w:sz="0" w:space="0" w:color="auto"/>
          </w:divBdr>
        </w:div>
        <w:div w:id="1392000633">
          <w:marLeft w:val="0"/>
          <w:marRight w:val="0"/>
          <w:marTop w:val="0"/>
          <w:marBottom w:val="0"/>
          <w:divBdr>
            <w:top w:val="none" w:sz="0" w:space="0" w:color="auto"/>
            <w:left w:val="none" w:sz="0" w:space="0" w:color="auto"/>
            <w:bottom w:val="none" w:sz="0" w:space="0" w:color="auto"/>
            <w:right w:val="none" w:sz="0" w:space="0" w:color="auto"/>
          </w:divBdr>
        </w:div>
        <w:div w:id="1116950570">
          <w:marLeft w:val="0"/>
          <w:marRight w:val="0"/>
          <w:marTop w:val="0"/>
          <w:marBottom w:val="0"/>
          <w:divBdr>
            <w:top w:val="none" w:sz="0" w:space="0" w:color="auto"/>
            <w:left w:val="none" w:sz="0" w:space="0" w:color="auto"/>
            <w:bottom w:val="none" w:sz="0" w:space="0" w:color="auto"/>
            <w:right w:val="none" w:sz="0" w:space="0" w:color="auto"/>
          </w:divBdr>
        </w:div>
        <w:div w:id="1902329984">
          <w:marLeft w:val="0"/>
          <w:marRight w:val="0"/>
          <w:marTop w:val="0"/>
          <w:marBottom w:val="0"/>
          <w:divBdr>
            <w:top w:val="none" w:sz="0" w:space="0" w:color="auto"/>
            <w:left w:val="none" w:sz="0" w:space="0" w:color="auto"/>
            <w:bottom w:val="none" w:sz="0" w:space="0" w:color="auto"/>
            <w:right w:val="none" w:sz="0" w:space="0" w:color="auto"/>
          </w:divBdr>
        </w:div>
        <w:div w:id="241180827">
          <w:marLeft w:val="0"/>
          <w:marRight w:val="0"/>
          <w:marTop w:val="0"/>
          <w:marBottom w:val="0"/>
          <w:divBdr>
            <w:top w:val="none" w:sz="0" w:space="0" w:color="auto"/>
            <w:left w:val="none" w:sz="0" w:space="0" w:color="auto"/>
            <w:bottom w:val="none" w:sz="0" w:space="0" w:color="auto"/>
            <w:right w:val="none" w:sz="0" w:space="0" w:color="auto"/>
          </w:divBdr>
        </w:div>
        <w:div w:id="1929148692">
          <w:marLeft w:val="0"/>
          <w:marRight w:val="0"/>
          <w:marTop w:val="0"/>
          <w:marBottom w:val="0"/>
          <w:divBdr>
            <w:top w:val="none" w:sz="0" w:space="0" w:color="auto"/>
            <w:left w:val="none" w:sz="0" w:space="0" w:color="auto"/>
            <w:bottom w:val="none" w:sz="0" w:space="0" w:color="auto"/>
            <w:right w:val="none" w:sz="0" w:space="0" w:color="auto"/>
          </w:divBdr>
        </w:div>
        <w:div w:id="312804799">
          <w:marLeft w:val="0"/>
          <w:marRight w:val="0"/>
          <w:marTop w:val="0"/>
          <w:marBottom w:val="0"/>
          <w:divBdr>
            <w:top w:val="none" w:sz="0" w:space="0" w:color="auto"/>
            <w:left w:val="none" w:sz="0" w:space="0" w:color="auto"/>
            <w:bottom w:val="none" w:sz="0" w:space="0" w:color="auto"/>
            <w:right w:val="none" w:sz="0" w:space="0" w:color="auto"/>
          </w:divBdr>
        </w:div>
        <w:div w:id="1902716109">
          <w:marLeft w:val="0"/>
          <w:marRight w:val="0"/>
          <w:marTop w:val="0"/>
          <w:marBottom w:val="0"/>
          <w:divBdr>
            <w:top w:val="none" w:sz="0" w:space="0" w:color="auto"/>
            <w:left w:val="none" w:sz="0" w:space="0" w:color="auto"/>
            <w:bottom w:val="none" w:sz="0" w:space="0" w:color="auto"/>
            <w:right w:val="none" w:sz="0" w:space="0" w:color="auto"/>
          </w:divBdr>
        </w:div>
      </w:divsChild>
    </w:div>
    <w:div w:id="1864827887">
      <w:bodyDiv w:val="1"/>
      <w:marLeft w:val="0"/>
      <w:marRight w:val="0"/>
      <w:marTop w:val="0"/>
      <w:marBottom w:val="0"/>
      <w:divBdr>
        <w:top w:val="none" w:sz="0" w:space="0" w:color="auto"/>
        <w:left w:val="none" w:sz="0" w:space="0" w:color="auto"/>
        <w:bottom w:val="none" w:sz="0" w:space="0" w:color="auto"/>
        <w:right w:val="none" w:sz="0" w:space="0" w:color="auto"/>
      </w:divBdr>
      <w:divsChild>
        <w:div w:id="1638292005">
          <w:marLeft w:val="0"/>
          <w:marRight w:val="0"/>
          <w:marTop w:val="0"/>
          <w:marBottom w:val="0"/>
          <w:divBdr>
            <w:top w:val="none" w:sz="0" w:space="0" w:color="auto"/>
            <w:left w:val="none" w:sz="0" w:space="0" w:color="auto"/>
            <w:bottom w:val="none" w:sz="0" w:space="0" w:color="auto"/>
            <w:right w:val="none" w:sz="0" w:space="0" w:color="auto"/>
          </w:divBdr>
          <w:divsChild>
            <w:div w:id="212441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698138">
      <w:bodyDiv w:val="1"/>
      <w:marLeft w:val="0"/>
      <w:marRight w:val="0"/>
      <w:marTop w:val="0"/>
      <w:marBottom w:val="0"/>
      <w:divBdr>
        <w:top w:val="none" w:sz="0" w:space="0" w:color="auto"/>
        <w:left w:val="none" w:sz="0" w:space="0" w:color="auto"/>
        <w:bottom w:val="none" w:sz="0" w:space="0" w:color="auto"/>
        <w:right w:val="none" w:sz="0" w:space="0" w:color="auto"/>
      </w:divBdr>
      <w:divsChild>
        <w:div w:id="62333007">
          <w:marLeft w:val="0"/>
          <w:marRight w:val="0"/>
          <w:marTop w:val="0"/>
          <w:marBottom w:val="0"/>
          <w:divBdr>
            <w:top w:val="none" w:sz="0" w:space="0" w:color="auto"/>
            <w:left w:val="none" w:sz="0" w:space="0" w:color="auto"/>
            <w:bottom w:val="none" w:sz="0" w:space="0" w:color="auto"/>
            <w:right w:val="none" w:sz="0" w:space="0" w:color="auto"/>
          </w:divBdr>
        </w:div>
        <w:div w:id="303893680">
          <w:marLeft w:val="0"/>
          <w:marRight w:val="0"/>
          <w:marTop w:val="0"/>
          <w:marBottom w:val="0"/>
          <w:divBdr>
            <w:top w:val="none" w:sz="0" w:space="0" w:color="auto"/>
            <w:left w:val="none" w:sz="0" w:space="0" w:color="auto"/>
            <w:bottom w:val="none" w:sz="0" w:space="0" w:color="auto"/>
            <w:right w:val="none" w:sz="0" w:space="0" w:color="auto"/>
          </w:divBdr>
        </w:div>
        <w:div w:id="1244341017">
          <w:marLeft w:val="0"/>
          <w:marRight w:val="0"/>
          <w:marTop w:val="0"/>
          <w:marBottom w:val="0"/>
          <w:divBdr>
            <w:top w:val="none" w:sz="0" w:space="0" w:color="auto"/>
            <w:left w:val="none" w:sz="0" w:space="0" w:color="auto"/>
            <w:bottom w:val="none" w:sz="0" w:space="0" w:color="auto"/>
            <w:right w:val="none" w:sz="0" w:space="0" w:color="auto"/>
          </w:divBdr>
        </w:div>
        <w:div w:id="268663088">
          <w:marLeft w:val="0"/>
          <w:marRight w:val="0"/>
          <w:marTop w:val="0"/>
          <w:marBottom w:val="0"/>
          <w:divBdr>
            <w:top w:val="none" w:sz="0" w:space="0" w:color="auto"/>
            <w:left w:val="none" w:sz="0" w:space="0" w:color="auto"/>
            <w:bottom w:val="none" w:sz="0" w:space="0" w:color="auto"/>
            <w:right w:val="none" w:sz="0" w:space="0" w:color="auto"/>
          </w:divBdr>
        </w:div>
        <w:div w:id="1424689443">
          <w:marLeft w:val="0"/>
          <w:marRight w:val="0"/>
          <w:marTop w:val="0"/>
          <w:marBottom w:val="0"/>
          <w:divBdr>
            <w:top w:val="none" w:sz="0" w:space="0" w:color="auto"/>
            <w:left w:val="none" w:sz="0" w:space="0" w:color="auto"/>
            <w:bottom w:val="none" w:sz="0" w:space="0" w:color="auto"/>
            <w:right w:val="none" w:sz="0" w:space="0" w:color="auto"/>
          </w:divBdr>
        </w:div>
        <w:div w:id="342899242">
          <w:marLeft w:val="0"/>
          <w:marRight w:val="0"/>
          <w:marTop w:val="0"/>
          <w:marBottom w:val="0"/>
          <w:divBdr>
            <w:top w:val="none" w:sz="0" w:space="0" w:color="auto"/>
            <w:left w:val="none" w:sz="0" w:space="0" w:color="auto"/>
            <w:bottom w:val="none" w:sz="0" w:space="0" w:color="auto"/>
            <w:right w:val="none" w:sz="0" w:space="0" w:color="auto"/>
          </w:divBdr>
        </w:div>
        <w:div w:id="1980105603">
          <w:marLeft w:val="0"/>
          <w:marRight w:val="0"/>
          <w:marTop w:val="0"/>
          <w:marBottom w:val="0"/>
          <w:divBdr>
            <w:top w:val="none" w:sz="0" w:space="0" w:color="auto"/>
            <w:left w:val="none" w:sz="0" w:space="0" w:color="auto"/>
            <w:bottom w:val="none" w:sz="0" w:space="0" w:color="auto"/>
            <w:right w:val="none" w:sz="0" w:space="0" w:color="auto"/>
          </w:divBdr>
        </w:div>
        <w:div w:id="800149163">
          <w:marLeft w:val="0"/>
          <w:marRight w:val="0"/>
          <w:marTop w:val="0"/>
          <w:marBottom w:val="0"/>
          <w:divBdr>
            <w:top w:val="none" w:sz="0" w:space="0" w:color="auto"/>
            <w:left w:val="none" w:sz="0" w:space="0" w:color="auto"/>
            <w:bottom w:val="none" w:sz="0" w:space="0" w:color="auto"/>
            <w:right w:val="none" w:sz="0" w:space="0" w:color="auto"/>
          </w:divBdr>
        </w:div>
        <w:div w:id="136072402">
          <w:marLeft w:val="0"/>
          <w:marRight w:val="0"/>
          <w:marTop w:val="0"/>
          <w:marBottom w:val="0"/>
          <w:divBdr>
            <w:top w:val="none" w:sz="0" w:space="0" w:color="auto"/>
            <w:left w:val="none" w:sz="0" w:space="0" w:color="auto"/>
            <w:bottom w:val="none" w:sz="0" w:space="0" w:color="auto"/>
            <w:right w:val="none" w:sz="0" w:space="0" w:color="auto"/>
          </w:divBdr>
        </w:div>
        <w:div w:id="543447750">
          <w:marLeft w:val="0"/>
          <w:marRight w:val="0"/>
          <w:marTop w:val="0"/>
          <w:marBottom w:val="0"/>
          <w:divBdr>
            <w:top w:val="none" w:sz="0" w:space="0" w:color="auto"/>
            <w:left w:val="none" w:sz="0" w:space="0" w:color="auto"/>
            <w:bottom w:val="none" w:sz="0" w:space="0" w:color="auto"/>
            <w:right w:val="none" w:sz="0" w:space="0" w:color="auto"/>
          </w:divBdr>
        </w:div>
        <w:div w:id="1968199875">
          <w:marLeft w:val="0"/>
          <w:marRight w:val="0"/>
          <w:marTop w:val="0"/>
          <w:marBottom w:val="0"/>
          <w:divBdr>
            <w:top w:val="none" w:sz="0" w:space="0" w:color="auto"/>
            <w:left w:val="none" w:sz="0" w:space="0" w:color="auto"/>
            <w:bottom w:val="none" w:sz="0" w:space="0" w:color="auto"/>
            <w:right w:val="none" w:sz="0" w:space="0" w:color="auto"/>
          </w:divBdr>
        </w:div>
        <w:div w:id="1085877284">
          <w:marLeft w:val="0"/>
          <w:marRight w:val="0"/>
          <w:marTop w:val="0"/>
          <w:marBottom w:val="0"/>
          <w:divBdr>
            <w:top w:val="none" w:sz="0" w:space="0" w:color="auto"/>
            <w:left w:val="none" w:sz="0" w:space="0" w:color="auto"/>
            <w:bottom w:val="none" w:sz="0" w:space="0" w:color="auto"/>
            <w:right w:val="none" w:sz="0" w:space="0" w:color="auto"/>
          </w:divBdr>
        </w:div>
        <w:div w:id="37359328">
          <w:marLeft w:val="0"/>
          <w:marRight w:val="0"/>
          <w:marTop w:val="0"/>
          <w:marBottom w:val="0"/>
          <w:divBdr>
            <w:top w:val="none" w:sz="0" w:space="0" w:color="auto"/>
            <w:left w:val="none" w:sz="0" w:space="0" w:color="auto"/>
            <w:bottom w:val="none" w:sz="0" w:space="0" w:color="auto"/>
            <w:right w:val="none" w:sz="0" w:space="0" w:color="auto"/>
          </w:divBdr>
        </w:div>
        <w:div w:id="915163559">
          <w:marLeft w:val="0"/>
          <w:marRight w:val="0"/>
          <w:marTop w:val="0"/>
          <w:marBottom w:val="0"/>
          <w:divBdr>
            <w:top w:val="none" w:sz="0" w:space="0" w:color="auto"/>
            <w:left w:val="none" w:sz="0" w:space="0" w:color="auto"/>
            <w:bottom w:val="none" w:sz="0" w:space="0" w:color="auto"/>
            <w:right w:val="none" w:sz="0" w:space="0" w:color="auto"/>
          </w:divBdr>
        </w:div>
        <w:div w:id="634332406">
          <w:marLeft w:val="0"/>
          <w:marRight w:val="0"/>
          <w:marTop w:val="0"/>
          <w:marBottom w:val="0"/>
          <w:divBdr>
            <w:top w:val="none" w:sz="0" w:space="0" w:color="auto"/>
            <w:left w:val="none" w:sz="0" w:space="0" w:color="auto"/>
            <w:bottom w:val="none" w:sz="0" w:space="0" w:color="auto"/>
            <w:right w:val="none" w:sz="0" w:space="0" w:color="auto"/>
          </w:divBdr>
        </w:div>
        <w:div w:id="374350194">
          <w:marLeft w:val="0"/>
          <w:marRight w:val="0"/>
          <w:marTop w:val="0"/>
          <w:marBottom w:val="0"/>
          <w:divBdr>
            <w:top w:val="none" w:sz="0" w:space="0" w:color="auto"/>
            <w:left w:val="none" w:sz="0" w:space="0" w:color="auto"/>
            <w:bottom w:val="none" w:sz="0" w:space="0" w:color="auto"/>
            <w:right w:val="none" w:sz="0" w:space="0" w:color="auto"/>
          </w:divBdr>
        </w:div>
        <w:div w:id="300623204">
          <w:marLeft w:val="0"/>
          <w:marRight w:val="0"/>
          <w:marTop w:val="0"/>
          <w:marBottom w:val="0"/>
          <w:divBdr>
            <w:top w:val="none" w:sz="0" w:space="0" w:color="auto"/>
            <w:left w:val="none" w:sz="0" w:space="0" w:color="auto"/>
            <w:bottom w:val="none" w:sz="0" w:space="0" w:color="auto"/>
            <w:right w:val="none" w:sz="0" w:space="0" w:color="auto"/>
          </w:divBdr>
        </w:div>
        <w:div w:id="1965311571">
          <w:marLeft w:val="0"/>
          <w:marRight w:val="0"/>
          <w:marTop w:val="0"/>
          <w:marBottom w:val="0"/>
          <w:divBdr>
            <w:top w:val="none" w:sz="0" w:space="0" w:color="auto"/>
            <w:left w:val="none" w:sz="0" w:space="0" w:color="auto"/>
            <w:bottom w:val="none" w:sz="0" w:space="0" w:color="auto"/>
            <w:right w:val="none" w:sz="0" w:space="0" w:color="auto"/>
          </w:divBdr>
        </w:div>
        <w:div w:id="1809206366">
          <w:marLeft w:val="0"/>
          <w:marRight w:val="0"/>
          <w:marTop w:val="0"/>
          <w:marBottom w:val="0"/>
          <w:divBdr>
            <w:top w:val="none" w:sz="0" w:space="0" w:color="auto"/>
            <w:left w:val="none" w:sz="0" w:space="0" w:color="auto"/>
            <w:bottom w:val="none" w:sz="0" w:space="0" w:color="auto"/>
            <w:right w:val="none" w:sz="0" w:space="0" w:color="auto"/>
          </w:divBdr>
        </w:div>
        <w:div w:id="1496921343">
          <w:marLeft w:val="0"/>
          <w:marRight w:val="0"/>
          <w:marTop w:val="0"/>
          <w:marBottom w:val="0"/>
          <w:divBdr>
            <w:top w:val="none" w:sz="0" w:space="0" w:color="auto"/>
            <w:left w:val="none" w:sz="0" w:space="0" w:color="auto"/>
            <w:bottom w:val="none" w:sz="0" w:space="0" w:color="auto"/>
            <w:right w:val="none" w:sz="0" w:space="0" w:color="auto"/>
          </w:divBdr>
        </w:div>
        <w:div w:id="1144658873">
          <w:marLeft w:val="0"/>
          <w:marRight w:val="0"/>
          <w:marTop w:val="0"/>
          <w:marBottom w:val="0"/>
          <w:divBdr>
            <w:top w:val="none" w:sz="0" w:space="0" w:color="auto"/>
            <w:left w:val="none" w:sz="0" w:space="0" w:color="auto"/>
            <w:bottom w:val="none" w:sz="0" w:space="0" w:color="auto"/>
            <w:right w:val="none" w:sz="0" w:space="0" w:color="auto"/>
          </w:divBdr>
        </w:div>
        <w:div w:id="569929408">
          <w:marLeft w:val="0"/>
          <w:marRight w:val="0"/>
          <w:marTop w:val="0"/>
          <w:marBottom w:val="0"/>
          <w:divBdr>
            <w:top w:val="none" w:sz="0" w:space="0" w:color="auto"/>
            <w:left w:val="none" w:sz="0" w:space="0" w:color="auto"/>
            <w:bottom w:val="none" w:sz="0" w:space="0" w:color="auto"/>
            <w:right w:val="none" w:sz="0" w:space="0" w:color="auto"/>
          </w:divBdr>
        </w:div>
      </w:divsChild>
    </w:div>
    <w:div w:id="1906794431">
      <w:bodyDiv w:val="1"/>
      <w:marLeft w:val="0"/>
      <w:marRight w:val="0"/>
      <w:marTop w:val="0"/>
      <w:marBottom w:val="0"/>
      <w:divBdr>
        <w:top w:val="none" w:sz="0" w:space="0" w:color="auto"/>
        <w:left w:val="none" w:sz="0" w:space="0" w:color="auto"/>
        <w:bottom w:val="none" w:sz="0" w:space="0" w:color="auto"/>
        <w:right w:val="none" w:sz="0" w:space="0" w:color="auto"/>
      </w:divBdr>
      <w:divsChild>
        <w:div w:id="1400439054">
          <w:marLeft w:val="0"/>
          <w:marRight w:val="0"/>
          <w:marTop w:val="0"/>
          <w:marBottom w:val="0"/>
          <w:divBdr>
            <w:top w:val="none" w:sz="0" w:space="0" w:color="auto"/>
            <w:left w:val="none" w:sz="0" w:space="0" w:color="auto"/>
            <w:bottom w:val="none" w:sz="0" w:space="0" w:color="auto"/>
            <w:right w:val="none" w:sz="0" w:space="0" w:color="auto"/>
          </w:divBdr>
          <w:divsChild>
            <w:div w:id="2755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222190">
      <w:bodyDiv w:val="1"/>
      <w:marLeft w:val="0"/>
      <w:marRight w:val="0"/>
      <w:marTop w:val="0"/>
      <w:marBottom w:val="0"/>
      <w:divBdr>
        <w:top w:val="none" w:sz="0" w:space="0" w:color="auto"/>
        <w:left w:val="none" w:sz="0" w:space="0" w:color="auto"/>
        <w:bottom w:val="none" w:sz="0" w:space="0" w:color="auto"/>
        <w:right w:val="none" w:sz="0" w:space="0" w:color="auto"/>
      </w:divBdr>
      <w:divsChild>
        <w:div w:id="456149427">
          <w:marLeft w:val="0"/>
          <w:marRight w:val="0"/>
          <w:marTop w:val="0"/>
          <w:marBottom w:val="0"/>
          <w:divBdr>
            <w:top w:val="none" w:sz="0" w:space="0" w:color="auto"/>
            <w:left w:val="none" w:sz="0" w:space="0" w:color="auto"/>
            <w:bottom w:val="none" w:sz="0" w:space="0" w:color="auto"/>
            <w:right w:val="none" w:sz="0" w:space="0" w:color="auto"/>
          </w:divBdr>
          <w:divsChild>
            <w:div w:id="202971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3082">
      <w:bodyDiv w:val="1"/>
      <w:marLeft w:val="0"/>
      <w:marRight w:val="0"/>
      <w:marTop w:val="0"/>
      <w:marBottom w:val="0"/>
      <w:divBdr>
        <w:top w:val="none" w:sz="0" w:space="0" w:color="auto"/>
        <w:left w:val="none" w:sz="0" w:space="0" w:color="auto"/>
        <w:bottom w:val="none" w:sz="0" w:space="0" w:color="auto"/>
        <w:right w:val="none" w:sz="0" w:space="0" w:color="auto"/>
      </w:divBdr>
      <w:divsChild>
        <w:div w:id="1798598947">
          <w:marLeft w:val="0"/>
          <w:marRight w:val="0"/>
          <w:marTop w:val="0"/>
          <w:marBottom w:val="0"/>
          <w:divBdr>
            <w:top w:val="none" w:sz="0" w:space="0" w:color="auto"/>
            <w:left w:val="none" w:sz="0" w:space="0" w:color="auto"/>
            <w:bottom w:val="none" w:sz="0" w:space="0" w:color="auto"/>
            <w:right w:val="none" w:sz="0" w:space="0" w:color="auto"/>
          </w:divBdr>
        </w:div>
        <w:div w:id="1735811540">
          <w:marLeft w:val="0"/>
          <w:marRight w:val="0"/>
          <w:marTop w:val="0"/>
          <w:marBottom w:val="0"/>
          <w:divBdr>
            <w:top w:val="none" w:sz="0" w:space="0" w:color="auto"/>
            <w:left w:val="none" w:sz="0" w:space="0" w:color="auto"/>
            <w:bottom w:val="none" w:sz="0" w:space="0" w:color="auto"/>
            <w:right w:val="none" w:sz="0" w:space="0" w:color="auto"/>
          </w:divBdr>
        </w:div>
        <w:div w:id="722828050">
          <w:marLeft w:val="0"/>
          <w:marRight w:val="0"/>
          <w:marTop w:val="0"/>
          <w:marBottom w:val="0"/>
          <w:divBdr>
            <w:top w:val="none" w:sz="0" w:space="0" w:color="auto"/>
            <w:left w:val="none" w:sz="0" w:space="0" w:color="auto"/>
            <w:bottom w:val="none" w:sz="0" w:space="0" w:color="auto"/>
            <w:right w:val="none" w:sz="0" w:space="0" w:color="auto"/>
          </w:divBdr>
        </w:div>
        <w:div w:id="350961715">
          <w:marLeft w:val="0"/>
          <w:marRight w:val="0"/>
          <w:marTop w:val="0"/>
          <w:marBottom w:val="0"/>
          <w:divBdr>
            <w:top w:val="none" w:sz="0" w:space="0" w:color="auto"/>
            <w:left w:val="none" w:sz="0" w:space="0" w:color="auto"/>
            <w:bottom w:val="none" w:sz="0" w:space="0" w:color="auto"/>
            <w:right w:val="none" w:sz="0" w:space="0" w:color="auto"/>
          </w:divBdr>
        </w:div>
        <w:div w:id="63307946">
          <w:marLeft w:val="0"/>
          <w:marRight w:val="0"/>
          <w:marTop w:val="0"/>
          <w:marBottom w:val="0"/>
          <w:divBdr>
            <w:top w:val="none" w:sz="0" w:space="0" w:color="auto"/>
            <w:left w:val="none" w:sz="0" w:space="0" w:color="auto"/>
            <w:bottom w:val="none" w:sz="0" w:space="0" w:color="auto"/>
            <w:right w:val="none" w:sz="0" w:space="0" w:color="auto"/>
          </w:divBdr>
        </w:div>
        <w:div w:id="322391140">
          <w:marLeft w:val="0"/>
          <w:marRight w:val="0"/>
          <w:marTop w:val="0"/>
          <w:marBottom w:val="0"/>
          <w:divBdr>
            <w:top w:val="none" w:sz="0" w:space="0" w:color="auto"/>
            <w:left w:val="none" w:sz="0" w:space="0" w:color="auto"/>
            <w:bottom w:val="none" w:sz="0" w:space="0" w:color="auto"/>
            <w:right w:val="none" w:sz="0" w:space="0" w:color="auto"/>
          </w:divBdr>
        </w:div>
        <w:div w:id="628974489">
          <w:marLeft w:val="0"/>
          <w:marRight w:val="0"/>
          <w:marTop w:val="0"/>
          <w:marBottom w:val="0"/>
          <w:divBdr>
            <w:top w:val="none" w:sz="0" w:space="0" w:color="auto"/>
            <w:left w:val="none" w:sz="0" w:space="0" w:color="auto"/>
            <w:bottom w:val="none" w:sz="0" w:space="0" w:color="auto"/>
            <w:right w:val="none" w:sz="0" w:space="0" w:color="auto"/>
          </w:divBdr>
        </w:div>
        <w:div w:id="266693184">
          <w:marLeft w:val="0"/>
          <w:marRight w:val="0"/>
          <w:marTop w:val="0"/>
          <w:marBottom w:val="0"/>
          <w:divBdr>
            <w:top w:val="none" w:sz="0" w:space="0" w:color="auto"/>
            <w:left w:val="none" w:sz="0" w:space="0" w:color="auto"/>
            <w:bottom w:val="none" w:sz="0" w:space="0" w:color="auto"/>
            <w:right w:val="none" w:sz="0" w:space="0" w:color="auto"/>
          </w:divBdr>
        </w:div>
        <w:div w:id="989481115">
          <w:marLeft w:val="0"/>
          <w:marRight w:val="0"/>
          <w:marTop w:val="0"/>
          <w:marBottom w:val="0"/>
          <w:divBdr>
            <w:top w:val="none" w:sz="0" w:space="0" w:color="auto"/>
            <w:left w:val="none" w:sz="0" w:space="0" w:color="auto"/>
            <w:bottom w:val="none" w:sz="0" w:space="0" w:color="auto"/>
            <w:right w:val="none" w:sz="0" w:space="0" w:color="auto"/>
          </w:divBdr>
        </w:div>
        <w:div w:id="186800158">
          <w:marLeft w:val="0"/>
          <w:marRight w:val="0"/>
          <w:marTop w:val="0"/>
          <w:marBottom w:val="0"/>
          <w:divBdr>
            <w:top w:val="none" w:sz="0" w:space="0" w:color="auto"/>
            <w:left w:val="none" w:sz="0" w:space="0" w:color="auto"/>
            <w:bottom w:val="none" w:sz="0" w:space="0" w:color="auto"/>
            <w:right w:val="none" w:sz="0" w:space="0" w:color="auto"/>
          </w:divBdr>
        </w:div>
        <w:div w:id="257099686">
          <w:marLeft w:val="0"/>
          <w:marRight w:val="0"/>
          <w:marTop w:val="0"/>
          <w:marBottom w:val="0"/>
          <w:divBdr>
            <w:top w:val="none" w:sz="0" w:space="0" w:color="auto"/>
            <w:left w:val="none" w:sz="0" w:space="0" w:color="auto"/>
            <w:bottom w:val="none" w:sz="0" w:space="0" w:color="auto"/>
            <w:right w:val="none" w:sz="0" w:space="0" w:color="auto"/>
          </w:divBdr>
        </w:div>
        <w:div w:id="2049257555">
          <w:marLeft w:val="0"/>
          <w:marRight w:val="0"/>
          <w:marTop w:val="0"/>
          <w:marBottom w:val="0"/>
          <w:divBdr>
            <w:top w:val="none" w:sz="0" w:space="0" w:color="auto"/>
            <w:left w:val="none" w:sz="0" w:space="0" w:color="auto"/>
            <w:bottom w:val="none" w:sz="0" w:space="0" w:color="auto"/>
            <w:right w:val="none" w:sz="0" w:space="0" w:color="auto"/>
          </w:divBdr>
        </w:div>
        <w:div w:id="2026593034">
          <w:marLeft w:val="0"/>
          <w:marRight w:val="0"/>
          <w:marTop w:val="0"/>
          <w:marBottom w:val="0"/>
          <w:divBdr>
            <w:top w:val="none" w:sz="0" w:space="0" w:color="auto"/>
            <w:left w:val="none" w:sz="0" w:space="0" w:color="auto"/>
            <w:bottom w:val="none" w:sz="0" w:space="0" w:color="auto"/>
            <w:right w:val="none" w:sz="0" w:space="0" w:color="auto"/>
          </w:divBdr>
        </w:div>
        <w:div w:id="597375701">
          <w:marLeft w:val="0"/>
          <w:marRight w:val="0"/>
          <w:marTop w:val="0"/>
          <w:marBottom w:val="0"/>
          <w:divBdr>
            <w:top w:val="none" w:sz="0" w:space="0" w:color="auto"/>
            <w:left w:val="none" w:sz="0" w:space="0" w:color="auto"/>
            <w:bottom w:val="none" w:sz="0" w:space="0" w:color="auto"/>
            <w:right w:val="none" w:sz="0" w:space="0" w:color="auto"/>
          </w:divBdr>
        </w:div>
        <w:div w:id="358823624">
          <w:marLeft w:val="0"/>
          <w:marRight w:val="0"/>
          <w:marTop w:val="0"/>
          <w:marBottom w:val="0"/>
          <w:divBdr>
            <w:top w:val="none" w:sz="0" w:space="0" w:color="auto"/>
            <w:left w:val="none" w:sz="0" w:space="0" w:color="auto"/>
            <w:bottom w:val="none" w:sz="0" w:space="0" w:color="auto"/>
            <w:right w:val="none" w:sz="0" w:space="0" w:color="auto"/>
          </w:divBdr>
        </w:div>
        <w:div w:id="839808828">
          <w:marLeft w:val="0"/>
          <w:marRight w:val="0"/>
          <w:marTop w:val="0"/>
          <w:marBottom w:val="0"/>
          <w:divBdr>
            <w:top w:val="none" w:sz="0" w:space="0" w:color="auto"/>
            <w:left w:val="none" w:sz="0" w:space="0" w:color="auto"/>
            <w:bottom w:val="none" w:sz="0" w:space="0" w:color="auto"/>
            <w:right w:val="none" w:sz="0" w:space="0" w:color="auto"/>
          </w:divBdr>
        </w:div>
        <w:div w:id="1484001888">
          <w:marLeft w:val="0"/>
          <w:marRight w:val="0"/>
          <w:marTop w:val="0"/>
          <w:marBottom w:val="0"/>
          <w:divBdr>
            <w:top w:val="none" w:sz="0" w:space="0" w:color="auto"/>
            <w:left w:val="none" w:sz="0" w:space="0" w:color="auto"/>
            <w:bottom w:val="none" w:sz="0" w:space="0" w:color="auto"/>
            <w:right w:val="none" w:sz="0" w:space="0" w:color="auto"/>
          </w:divBdr>
        </w:div>
        <w:div w:id="1863203277">
          <w:marLeft w:val="0"/>
          <w:marRight w:val="0"/>
          <w:marTop w:val="0"/>
          <w:marBottom w:val="0"/>
          <w:divBdr>
            <w:top w:val="none" w:sz="0" w:space="0" w:color="auto"/>
            <w:left w:val="none" w:sz="0" w:space="0" w:color="auto"/>
            <w:bottom w:val="none" w:sz="0" w:space="0" w:color="auto"/>
            <w:right w:val="none" w:sz="0" w:space="0" w:color="auto"/>
          </w:divBdr>
        </w:div>
        <w:div w:id="59720593">
          <w:marLeft w:val="0"/>
          <w:marRight w:val="0"/>
          <w:marTop w:val="0"/>
          <w:marBottom w:val="0"/>
          <w:divBdr>
            <w:top w:val="none" w:sz="0" w:space="0" w:color="auto"/>
            <w:left w:val="none" w:sz="0" w:space="0" w:color="auto"/>
            <w:bottom w:val="none" w:sz="0" w:space="0" w:color="auto"/>
            <w:right w:val="none" w:sz="0" w:space="0" w:color="auto"/>
          </w:divBdr>
        </w:div>
        <w:div w:id="1073892241">
          <w:marLeft w:val="0"/>
          <w:marRight w:val="0"/>
          <w:marTop w:val="0"/>
          <w:marBottom w:val="0"/>
          <w:divBdr>
            <w:top w:val="none" w:sz="0" w:space="0" w:color="auto"/>
            <w:left w:val="none" w:sz="0" w:space="0" w:color="auto"/>
            <w:bottom w:val="none" w:sz="0" w:space="0" w:color="auto"/>
            <w:right w:val="none" w:sz="0" w:space="0" w:color="auto"/>
          </w:divBdr>
        </w:div>
        <w:div w:id="341199217">
          <w:marLeft w:val="0"/>
          <w:marRight w:val="0"/>
          <w:marTop w:val="0"/>
          <w:marBottom w:val="0"/>
          <w:divBdr>
            <w:top w:val="none" w:sz="0" w:space="0" w:color="auto"/>
            <w:left w:val="none" w:sz="0" w:space="0" w:color="auto"/>
            <w:bottom w:val="none" w:sz="0" w:space="0" w:color="auto"/>
            <w:right w:val="none" w:sz="0" w:space="0" w:color="auto"/>
          </w:divBdr>
        </w:div>
        <w:div w:id="343943011">
          <w:marLeft w:val="0"/>
          <w:marRight w:val="0"/>
          <w:marTop w:val="0"/>
          <w:marBottom w:val="0"/>
          <w:divBdr>
            <w:top w:val="none" w:sz="0" w:space="0" w:color="auto"/>
            <w:left w:val="none" w:sz="0" w:space="0" w:color="auto"/>
            <w:bottom w:val="none" w:sz="0" w:space="0" w:color="auto"/>
            <w:right w:val="none" w:sz="0" w:space="0" w:color="auto"/>
          </w:divBdr>
        </w:div>
        <w:div w:id="550456152">
          <w:marLeft w:val="0"/>
          <w:marRight w:val="0"/>
          <w:marTop w:val="0"/>
          <w:marBottom w:val="0"/>
          <w:divBdr>
            <w:top w:val="none" w:sz="0" w:space="0" w:color="auto"/>
            <w:left w:val="none" w:sz="0" w:space="0" w:color="auto"/>
            <w:bottom w:val="none" w:sz="0" w:space="0" w:color="auto"/>
            <w:right w:val="none" w:sz="0" w:space="0" w:color="auto"/>
          </w:divBdr>
        </w:div>
        <w:div w:id="211507568">
          <w:marLeft w:val="0"/>
          <w:marRight w:val="0"/>
          <w:marTop w:val="0"/>
          <w:marBottom w:val="0"/>
          <w:divBdr>
            <w:top w:val="none" w:sz="0" w:space="0" w:color="auto"/>
            <w:left w:val="none" w:sz="0" w:space="0" w:color="auto"/>
            <w:bottom w:val="none" w:sz="0" w:space="0" w:color="auto"/>
            <w:right w:val="none" w:sz="0" w:space="0" w:color="auto"/>
          </w:divBdr>
        </w:div>
        <w:div w:id="759370545">
          <w:marLeft w:val="0"/>
          <w:marRight w:val="0"/>
          <w:marTop w:val="0"/>
          <w:marBottom w:val="0"/>
          <w:divBdr>
            <w:top w:val="none" w:sz="0" w:space="0" w:color="auto"/>
            <w:left w:val="none" w:sz="0" w:space="0" w:color="auto"/>
            <w:bottom w:val="none" w:sz="0" w:space="0" w:color="auto"/>
            <w:right w:val="none" w:sz="0" w:space="0" w:color="auto"/>
          </w:divBdr>
        </w:div>
        <w:div w:id="1443912445">
          <w:marLeft w:val="0"/>
          <w:marRight w:val="0"/>
          <w:marTop w:val="0"/>
          <w:marBottom w:val="0"/>
          <w:divBdr>
            <w:top w:val="none" w:sz="0" w:space="0" w:color="auto"/>
            <w:left w:val="none" w:sz="0" w:space="0" w:color="auto"/>
            <w:bottom w:val="none" w:sz="0" w:space="0" w:color="auto"/>
            <w:right w:val="none" w:sz="0" w:space="0" w:color="auto"/>
          </w:divBdr>
        </w:div>
        <w:div w:id="1284309626">
          <w:marLeft w:val="0"/>
          <w:marRight w:val="0"/>
          <w:marTop w:val="0"/>
          <w:marBottom w:val="0"/>
          <w:divBdr>
            <w:top w:val="none" w:sz="0" w:space="0" w:color="auto"/>
            <w:left w:val="none" w:sz="0" w:space="0" w:color="auto"/>
            <w:bottom w:val="none" w:sz="0" w:space="0" w:color="auto"/>
            <w:right w:val="none" w:sz="0" w:space="0" w:color="auto"/>
          </w:divBdr>
        </w:div>
        <w:div w:id="420683059">
          <w:marLeft w:val="0"/>
          <w:marRight w:val="0"/>
          <w:marTop w:val="0"/>
          <w:marBottom w:val="0"/>
          <w:divBdr>
            <w:top w:val="none" w:sz="0" w:space="0" w:color="auto"/>
            <w:left w:val="none" w:sz="0" w:space="0" w:color="auto"/>
            <w:bottom w:val="none" w:sz="0" w:space="0" w:color="auto"/>
            <w:right w:val="none" w:sz="0" w:space="0" w:color="auto"/>
          </w:divBdr>
        </w:div>
        <w:div w:id="1086850891">
          <w:marLeft w:val="0"/>
          <w:marRight w:val="0"/>
          <w:marTop w:val="0"/>
          <w:marBottom w:val="0"/>
          <w:divBdr>
            <w:top w:val="none" w:sz="0" w:space="0" w:color="auto"/>
            <w:left w:val="none" w:sz="0" w:space="0" w:color="auto"/>
            <w:bottom w:val="none" w:sz="0" w:space="0" w:color="auto"/>
            <w:right w:val="none" w:sz="0" w:space="0" w:color="auto"/>
          </w:divBdr>
        </w:div>
        <w:div w:id="1185560774">
          <w:marLeft w:val="0"/>
          <w:marRight w:val="0"/>
          <w:marTop w:val="0"/>
          <w:marBottom w:val="0"/>
          <w:divBdr>
            <w:top w:val="none" w:sz="0" w:space="0" w:color="auto"/>
            <w:left w:val="none" w:sz="0" w:space="0" w:color="auto"/>
            <w:bottom w:val="none" w:sz="0" w:space="0" w:color="auto"/>
            <w:right w:val="none" w:sz="0" w:space="0" w:color="auto"/>
          </w:divBdr>
        </w:div>
        <w:div w:id="748580752">
          <w:marLeft w:val="0"/>
          <w:marRight w:val="0"/>
          <w:marTop w:val="0"/>
          <w:marBottom w:val="0"/>
          <w:divBdr>
            <w:top w:val="none" w:sz="0" w:space="0" w:color="auto"/>
            <w:left w:val="none" w:sz="0" w:space="0" w:color="auto"/>
            <w:bottom w:val="none" w:sz="0" w:space="0" w:color="auto"/>
            <w:right w:val="none" w:sz="0" w:space="0" w:color="auto"/>
          </w:divBdr>
        </w:div>
        <w:div w:id="424805424">
          <w:marLeft w:val="0"/>
          <w:marRight w:val="0"/>
          <w:marTop w:val="0"/>
          <w:marBottom w:val="0"/>
          <w:divBdr>
            <w:top w:val="none" w:sz="0" w:space="0" w:color="auto"/>
            <w:left w:val="none" w:sz="0" w:space="0" w:color="auto"/>
            <w:bottom w:val="none" w:sz="0" w:space="0" w:color="auto"/>
            <w:right w:val="none" w:sz="0" w:space="0" w:color="auto"/>
          </w:divBdr>
        </w:div>
        <w:div w:id="823155975">
          <w:marLeft w:val="0"/>
          <w:marRight w:val="0"/>
          <w:marTop w:val="0"/>
          <w:marBottom w:val="0"/>
          <w:divBdr>
            <w:top w:val="none" w:sz="0" w:space="0" w:color="auto"/>
            <w:left w:val="none" w:sz="0" w:space="0" w:color="auto"/>
            <w:bottom w:val="none" w:sz="0" w:space="0" w:color="auto"/>
            <w:right w:val="none" w:sz="0" w:space="0" w:color="auto"/>
          </w:divBdr>
        </w:div>
        <w:div w:id="1735204172">
          <w:marLeft w:val="0"/>
          <w:marRight w:val="0"/>
          <w:marTop w:val="0"/>
          <w:marBottom w:val="0"/>
          <w:divBdr>
            <w:top w:val="none" w:sz="0" w:space="0" w:color="auto"/>
            <w:left w:val="none" w:sz="0" w:space="0" w:color="auto"/>
            <w:bottom w:val="none" w:sz="0" w:space="0" w:color="auto"/>
            <w:right w:val="none" w:sz="0" w:space="0" w:color="auto"/>
          </w:divBdr>
        </w:div>
        <w:div w:id="254174270">
          <w:marLeft w:val="0"/>
          <w:marRight w:val="0"/>
          <w:marTop w:val="0"/>
          <w:marBottom w:val="0"/>
          <w:divBdr>
            <w:top w:val="none" w:sz="0" w:space="0" w:color="auto"/>
            <w:left w:val="none" w:sz="0" w:space="0" w:color="auto"/>
            <w:bottom w:val="none" w:sz="0" w:space="0" w:color="auto"/>
            <w:right w:val="none" w:sz="0" w:space="0" w:color="auto"/>
          </w:divBdr>
        </w:div>
        <w:div w:id="1363439226">
          <w:marLeft w:val="0"/>
          <w:marRight w:val="0"/>
          <w:marTop w:val="0"/>
          <w:marBottom w:val="0"/>
          <w:divBdr>
            <w:top w:val="none" w:sz="0" w:space="0" w:color="auto"/>
            <w:left w:val="none" w:sz="0" w:space="0" w:color="auto"/>
            <w:bottom w:val="none" w:sz="0" w:space="0" w:color="auto"/>
            <w:right w:val="none" w:sz="0" w:space="0" w:color="auto"/>
          </w:divBdr>
        </w:div>
        <w:div w:id="1601833921">
          <w:marLeft w:val="0"/>
          <w:marRight w:val="0"/>
          <w:marTop w:val="0"/>
          <w:marBottom w:val="0"/>
          <w:divBdr>
            <w:top w:val="none" w:sz="0" w:space="0" w:color="auto"/>
            <w:left w:val="none" w:sz="0" w:space="0" w:color="auto"/>
            <w:bottom w:val="none" w:sz="0" w:space="0" w:color="auto"/>
            <w:right w:val="none" w:sz="0" w:space="0" w:color="auto"/>
          </w:divBdr>
        </w:div>
        <w:div w:id="151875052">
          <w:marLeft w:val="0"/>
          <w:marRight w:val="0"/>
          <w:marTop w:val="0"/>
          <w:marBottom w:val="0"/>
          <w:divBdr>
            <w:top w:val="none" w:sz="0" w:space="0" w:color="auto"/>
            <w:left w:val="none" w:sz="0" w:space="0" w:color="auto"/>
            <w:bottom w:val="none" w:sz="0" w:space="0" w:color="auto"/>
            <w:right w:val="none" w:sz="0" w:space="0" w:color="auto"/>
          </w:divBdr>
        </w:div>
        <w:div w:id="623926537">
          <w:marLeft w:val="0"/>
          <w:marRight w:val="0"/>
          <w:marTop w:val="0"/>
          <w:marBottom w:val="0"/>
          <w:divBdr>
            <w:top w:val="none" w:sz="0" w:space="0" w:color="auto"/>
            <w:left w:val="none" w:sz="0" w:space="0" w:color="auto"/>
            <w:bottom w:val="none" w:sz="0" w:space="0" w:color="auto"/>
            <w:right w:val="none" w:sz="0" w:space="0" w:color="auto"/>
          </w:divBdr>
        </w:div>
        <w:div w:id="1382556208">
          <w:marLeft w:val="0"/>
          <w:marRight w:val="0"/>
          <w:marTop w:val="0"/>
          <w:marBottom w:val="0"/>
          <w:divBdr>
            <w:top w:val="none" w:sz="0" w:space="0" w:color="auto"/>
            <w:left w:val="none" w:sz="0" w:space="0" w:color="auto"/>
            <w:bottom w:val="none" w:sz="0" w:space="0" w:color="auto"/>
            <w:right w:val="none" w:sz="0" w:space="0" w:color="auto"/>
          </w:divBdr>
        </w:div>
        <w:div w:id="674377707">
          <w:marLeft w:val="0"/>
          <w:marRight w:val="0"/>
          <w:marTop w:val="0"/>
          <w:marBottom w:val="0"/>
          <w:divBdr>
            <w:top w:val="none" w:sz="0" w:space="0" w:color="auto"/>
            <w:left w:val="none" w:sz="0" w:space="0" w:color="auto"/>
            <w:bottom w:val="none" w:sz="0" w:space="0" w:color="auto"/>
            <w:right w:val="none" w:sz="0" w:space="0" w:color="auto"/>
          </w:divBdr>
        </w:div>
        <w:div w:id="1422557146">
          <w:marLeft w:val="0"/>
          <w:marRight w:val="0"/>
          <w:marTop w:val="0"/>
          <w:marBottom w:val="0"/>
          <w:divBdr>
            <w:top w:val="none" w:sz="0" w:space="0" w:color="auto"/>
            <w:left w:val="none" w:sz="0" w:space="0" w:color="auto"/>
            <w:bottom w:val="none" w:sz="0" w:space="0" w:color="auto"/>
            <w:right w:val="none" w:sz="0" w:space="0" w:color="auto"/>
          </w:divBdr>
        </w:div>
        <w:div w:id="1953853861">
          <w:marLeft w:val="0"/>
          <w:marRight w:val="0"/>
          <w:marTop w:val="0"/>
          <w:marBottom w:val="0"/>
          <w:divBdr>
            <w:top w:val="none" w:sz="0" w:space="0" w:color="auto"/>
            <w:left w:val="none" w:sz="0" w:space="0" w:color="auto"/>
            <w:bottom w:val="none" w:sz="0" w:space="0" w:color="auto"/>
            <w:right w:val="none" w:sz="0" w:space="0" w:color="auto"/>
          </w:divBdr>
        </w:div>
        <w:div w:id="1957758336">
          <w:marLeft w:val="0"/>
          <w:marRight w:val="0"/>
          <w:marTop w:val="0"/>
          <w:marBottom w:val="0"/>
          <w:divBdr>
            <w:top w:val="none" w:sz="0" w:space="0" w:color="auto"/>
            <w:left w:val="none" w:sz="0" w:space="0" w:color="auto"/>
            <w:bottom w:val="none" w:sz="0" w:space="0" w:color="auto"/>
            <w:right w:val="none" w:sz="0" w:space="0" w:color="auto"/>
          </w:divBdr>
        </w:div>
        <w:div w:id="51276981">
          <w:marLeft w:val="0"/>
          <w:marRight w:val="0"/>
          <w:marTop w:val="0"/>
          <w:marBottom w:val="0"/>
          <w:divBdr>
            <w:top w:val="none" w:sz="0" w:space="0" w:color="auto"/>
            <w:left w:val="none" w:sz="0" w:space="0" w:color="auto"/>
            <w:bottom w:val="none" w:sz="0" w:space="0" w:color="auto"/>
            <w:right w:val="none" w:sz="0" w:space="0" w:color="auto"/>
          </w:divBdr>
        </w:div>
        <w:div w:id="1970235496">
          <w:marLeft w:val="0"/>
          <w:marRight w:val="0"/>
          <w:marTop w:val="0"/>
          <w:marBottom w:val="0"/>
          <w:divBdr>
            <w:top w:val="none" w:sz="0" w:space="0" w:color="auto"/>
            <w:left w:val="none" w:sz="0" w:space="0" w:color="auto"/>
            <w:bottom w:val="none" w:sz="0" w:space="0" w:color="auto"/>
            <w:right w:val="none" w:sz="0" w:space="0" w:color="auto"/>
          </w:divBdr>
        </w:div>
        <w:div w:id="128205499">
          <w:marLeft w:val="0"/>
          <w:marRight w:val="0"/>
          <w:marTop w:val="0"/>
          <w:marBottom w:val="0"/>
          <w:divBdr>
            <w:top w:val="none" w:sz="0" w:space="0" w:color="auto"/>
            <w:left w:val="none" w:sz="0" w:space="0" w:color="auto"/>
            <w:bottom w:val="none" w:sz="0" w:space="0" w:color="auto"/>
            <w:right w:val="none" w:sz="0" w:space="0" w:color="auto"/>
          </w:divBdr>
        </w:div>
        <w:div w:id="745608399">
          <w:marLeft w:val="0"/>
          <w:marRight w:val="0"/>
          <w:marTop w:val="0"/>
          <w:marBottom w:val="0"/>
          <w:divBdr>
            <w:top w:val="none" w:sz="0" w:space="0" w:color="auto"/>
            <w:left w:val="none" w:sz="0" w:space="0" w:color="auto"/>
            <w:bottom w:val="none" w:sz="0" w:space="0" w:color="auto"/>
            <w:right w:val="none" w:sz="0" w:space="0" w:color="auto"/>
          </w:divBdr>
        </w:div>
        <w:div w:id="1506901701">
          <w:marLeft w:val="0"/>
          <w:marRight w:val="0"/>
          <w:marTop w:val="0"/>
          <w:marBottom w:val="0"/>
          <w:divBdr>
            <w:top w:val="none" w:sz="0" w:space="0" w:color="auto"/>
            <w:left w:val="none" w:sz="0" w:space="0" w:color="auto"/>
            <w:bottom w:val="none" w:sz="0" w:space="0" w:color="auto"/>
            <w:right w:val="none" w:sz="0" w:space="0" w:color="auto"/>
          </w:divBdr>
        </w:div>
        <w:div w:id="1728800675">
          <w:marLeft w:val="0"/>
          <w:marRight w:val="0"/>
          <w:marTop w:val="0"/>
          <w:marBottom w:val="0"/>
          <w:divBdr>
            <w:top w:val="none" w:sz="0" w:space="0" w:color="auto"/>
            <w:left w:val="none" w:sz="0" w:space="0" w:color="auto"/>
            <w:bottom w:val="none" w:sz="0" w:space="0" w:color="auto"/>
            <w:right w:val="none" w:sz="0" w:space="0" w:color="auto"/>
          </w:divBdr>
        </w:div>
        <w:div w:id="139426469">
          <w:marLeft w:val="0"/>
          <w:marRight w:val="0"/>
          <w:marTop w:val="0"/>
          <w:marBottom w:val="0"/>
          <w:divBdr>
            <w:top w:val="none" w:sz="0" w:space="0" w:color="auto"/>
            <w:left w:val="none" w:sz="0" w:space="0" w:color="auto"/>
            <w:bottom w:val="none" w:sz="0" w:space="0" w:color="auto"/>
            <w:right w:val="none" w:sz="0" w:space="0" w:color="auto"/>
          </w:divBdr>
        </w:div>
        <w:div w:id="699937994">
          <w:marLeft w:val="0"/>
          <w:marRight w:val="0"/>
          <w:marTop w:val="0"/>
          <w:marBottom w:val="0"/>
          <w:divBdr>
            <w:top w:val="none" w:sz="0" w:space="0" w:color="auto"/>
            <w:left w:val="none" w:sz="0" w:space="0" w:color="auto"/>
            <w:bottom w:val="none" w:sz="0" w:space="0" w:color="auto"/>
            <w:right w:val="none" w:sz="0" w:space="0" w:color="auto"/>
          </w:divBdr>
        </w:div>
        <w:div w:id="1127624284">
          <w:marLeft w:val="0"/>
          <w:marRight w:val="0"/>
          <w:marTop w:val="0"/>
          <w:marBottom w:val="0"/>
          <w:divBdr>
            <w:top w:val="none" w:sz="0" w:space="0" w:color="auto"/>
            <w:left w:val="none" w:sz="0" w:space="0" w:color="auto"/>
            <w:bottom w:val="none" w:sz="0" w:space="0" w:color="auto"/>
            <w:right w:val="none" w:sz="0" w:space="0" w:color="auto"/>
          </w:divBdr>
        </w:div>
        <w:div w:id="169759230">
          <w:marLeft w:val="0"/>
          <w:marRight w:val="0"/>
          <w:marTop w:val="0"/>
          <w:marBottom w:val="0"/>
          <w:divBdr>
            <w:top w:val="none" w:sz="0" w:space="0" w:color="auto"/>
            <w:left w:val="none" w:sz="0" w:space="0" w:color="auto"/>
            <w:bottom w:val="none" w:sz="0" w:space="0" w:color="auto"/>
            <w:right w:val="none" w:sz="0" w:space="0" w:color="auto"/>
          </w:divBdr>
        </w:div>
        <w:div w:id="722413727">
          <w:marLeft w:val="0"/>
          <w:marRight w:val="0"/>
          <w:marTop w:val="0"/>
          <w:marBottom w:val="0"/>
          <w:divBdr>
            <w:top w:val="none" w:sz="0" w:space="0" w:color="auto"/>
            <w:left w:val="none" w:sz="0" w:space="0" w:color="auto"/>
            <w:bottom w:val="none" w:sz="0" w:space="0" w:color="auto"/>
            <w:right w:val="none" w:sz="0" w:space="0" w:color="auto"/>
          </w:divBdr>
        </w:div>
        <w:div w:id="1667896167">
          <w:marLeft w:val="0"/>
          <w:marRight w:val="0"/>
          <w:marTop w:val="0"/>
          <w:marBottom w:val="0"/>
          <w:divBdr>
            <w:top w:val="none" w:sz="0" w:space="0" w:color="auto"/>
            <w:left w:val="none" w:sz="0" w:space="0" w:color="auto"/>
            <w:bottom w:val="none" w:sz="0" w:space="0" w:color="auto"/>
            <w:right w:val="none" w:sz="0" w:space="0" w:color="auto"/>
          </w:divBdr>
        </w:div>
      </w:divsChild>
    </w:div>
    <w:div w:id="2018574385">
      <w:bodyDiv w:val="1"/>
      <w:marLeft w:val="0"/>
      <w:marRight w:val="0"/>
      <w:marTop w:val="0"/>
      <w:marBottom w:val="0"/>
      <w:divBdr>
        <w:top w:val="none" w:sz="0" w:space="0" w:color="auto"/>
        <w:left w:val="none" w:sz="0" w:space="0" w:color="auto"/>
        <w:bottom w:val="none" w:sz="0" w:space="0" w:color="auto"/>
        <w:right w:val="none" w:sz="0" w:space="0" w:color="auto"/>
      </w:divBdr>
    </w:div>
    <w:div w:id="2059012737">
      <w:bodyDiv w:val="1"/>
      <w:marLeft w:val="0"/>
      <w:marRight w:val="0"/>
      <w:marTop w:val="0"/>
      <w:marBottom w:val="0"/>
      <w:divBdr>
        <w:top w:val="none" w:sz="0" w:space="0" w:color="auto"/>
        <w:left w:val="none" w:sz="0" w:space="0" w:color="auto"/>
        <w:bottom w:val="none" w:sz="0" w:space="0" w:color="auto"/>
        <w:right w:val="none" w:sz="0" w:space="0" w:color="auto"/>
      </w:divBdr>
      <w:divsChild>
        <w:div w:id="1069811876">
          <w:marLeft w:val="0"/>
          <w:marRight w:val="0"/>
          <w:marTop w:val="0"/>
          <w:marBottom w:val="0"/>
          <w:divBdr>
            <w:top w:val="none" w:sz="0" w:space="0" w:color="auto"/>
            <w:left w:val="none" w:sz="0" w:space="0" w:color="auto"/>
            <w:bottom w:val="none" w:sz="0" w:space="0" w:color="auto"/>
            <w:right w:val="none" w:sz="0" w:space="0" w:color="auto"/>
          </w:divBdr>
        </w:div>
      </w:divsChild>
    </w:div>
    <w:div w:id="2061904745">
      <w:bodyDiv w:val="1"/>
      <w:marLeft w:val="0"/>
      <w:marRight w:val="0"/>
      <w:marTop w:val="0"/>
      <w:marBottom w:val="0"/>
      <w:divBdr>
        <w:top w:val="none" w:sz="0" w:space="0" w:color="auto"/>
        <w:left w:val="none" w:sz="0" w:space="0" w:color="auto"/>
        <w:bottom w:val="none" w:sz="0" w:space="0" w:color="auto"/>
        <w:right w:val="none" w:sz="0" w:space="0" w:color="auto"/>
      </w:divBdr>
      <w:divsChild>
        <w:div w:id="1561600786">
          <w:marLeft w:val="0"/>
          <w:marRight w:val="0"/>
          <w:marTop w:val="0"/>
          <w:marBottom w:val="0"/>
          <w:divBdr>
            <w:top w:val="none" w:sz="0" w:space="0" w:color="auto"/>
            <w:left w:val="none" w:sz="0" w:space="0" w:color="auto"/>
            <w:bottom w:val="none" w:sz="0" w:space="0" w:color="auto"/>
            <w:right w:val="none" w:sz="0" w:space="0" w:color="auto"/>
          </w:divBdr>
        </w:div>
        <w:div w:id="1793092067">
          <w:marLeft w:val="0"/>
          <w:marRight w:val="0"/>
          <w:marTop w:val="0"/>
          <w:marBottom w:val="0"/>
          <w:divBdr>
            <w:top w:val="none" w:sz="0" w:space="0" w:color="auto"/>
            <w:left w:val="none" w:sz="0" w:space="0" w:color="auto"/>
            <w:bottom w:val="none" w:sz="0" w:space="0" w:color="auto"/>
            <w:right w:val="none" w:sz="0" w:space="0" w:color="auto"/>
          </w:divBdr>
        </w:div>
        <w:div w:id="1496874459">
          <w:marLeft w:val="0"/>
          <w:marRight w:val="0"/>
          <w:marTop w:val="0"/>
          <w:marBottom w:val="0"/>
          <w:divBdr>
            <w:top w:val="none" w:sz="0" w:space="0" w:color="auto"/>
            <w:left w:val="none" w:sz="0" w:space="0" w:color="auto"/>
            <w:bottom w:val="none" w:sz="0" w:space="0" w:color="auto"/>
            <w:right w:val="none" w:sz="0" w:space="0" w:color="auto"/>
          </w:divBdr>
        </w:div>
      </w:divsChild>
    </w:div>
    <w:div w:id="2066030306">
      <w:bodyDiv w:val="1"/>
      <w:marLeft w:val="0"/>
      <w:marRight w:val="0"/>
      <w:marTop w:val="0"/>
      <w:marBottom w:val="0"/>
      <w:divBdr>
        <w:top w:val="none" w:sz="0" w:space="0" w:color="auto"/>
        <w:left w:val="none" w:sz="0" w:space="0" w:color="auto"/>
        <w:bottom w:val="none" w:sz="0" w:space="0" w:color="auto"/>
        <w:right w:val="none" w:sz="0" w:space="0" w:color="auto"/>
      </w:divBdr>
      <w:divsChild>
        <w:div w:id="2070956914">
          <w:marLeft w:val="0"/>
          <w:marRight w:val="0"/>
          <w:marTop w:val="0"/>
          <w:marBottom w:val="0"/>
          <w:divBdr>
            <w:top w:val="none" w:sz="0" w:space="0" w:color="auto"/>
            <w:left w:val="none" w:sz="0" w:space="0" w:color="auto"/>
            <w:bottom w:val="none" w:sz="0" w:space="0" w:color="auto"/>
            <w:right w:val="none" w:sz="0" w:space="0" w:color="auto"/>
          </w:divBdr>
        </w:div>
        <w:div w:id="1776442151">
          <w:marLeft w:val="0"/>
          <w:marRight w:val="0"/>
          <w:marTop w:val="0"/>
          <w:marBottom w:val="0"/>
          <w:divBdr>
            <w:top w:val="none" w:sz="0" w:space="0" w:color="auto"/>
            <w:left w:val="none" w:sz="0" w:space="0" w:color="auto"/>
            <w:bottom w:val="none" w:sz="0" w:space="0" w:color="auto"/>
            <w:right w:val="none" w:sz="0" w:space="0" w:color="auto"/>
          </w:divBdr>
        </w:div>
      </w:divsChild>
    </w:div>
    <w:div w:id="2072580010">
      <w:bodyDiv w:val="1"/>
      <w:marLeft w:val="0"/>
      <w:marRight w:val="0"/>
      <w:marTop w:val="0"/>
      <w:marBottom w:val="0"/>
      <w:divBdr>
        <w:top w:val="none" w:sz="0" w:space="0" w:color="auto"/>
        <w:left w:val="none" w:sz="0" w:space="0" w:color="auto"/>
        <w:bottom w:val="none" w:sz="0" w:space="0" w:color="auto"/>
        <w:right w:val="none" w:sz="0" w:space="0" w:color="auto"/>
      </w:divBdr>
    </w:div>
    <w:div w:id="2083870946">
      <w:bodyDiv w:val="1"/>
      <w:marLeft w:val="0"/>
      <w:marRight w:val="0"/>
      <w:marTop w:val="0"/>
      <w:marBottom w:val="0"/>
      <w:divBdr>
        <w:top w:val="none" w:sz="0" w:space="0" w:color="auto"/>
        <w:left w:val="none" w:sz="0" w:space="0" w:color="auto"/>
        <w:bottom w:val="none" w:sz="0" w:space="0" w:color="auto"/>
        <w:right w:val="none" w:sz="0" w:space="0" w:color="auto"/>
      </w:divBdr>
      <w:divsChild>
        <w:div w:id="641545943">
          <w:marLeft w:val="0"/>
          <w:marRight w:val="0"/>
          <w:marTop w:val="0"/>
          <w:marBottom w:val="0"/>
          <w:divBdr>
            <w:top w:val="none" w:sz="0" w:space="0" w:color="auto"/>
            <w:left w:val="none" w:sz="0" w:space="0" w:color="auto"/>
            <w:bottom w:val="none" w:sz="0" w:space="0" w:color="auto"/>
            <w:right w:val="none" w:sz="0" w:space="0" w:color="auto"/>
          </w:divBdr>
          <w:divsChild>
            <w:div w:id="120994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099598">
      <w:bodyDiv w:val="1"/>
      <w:marLeft w:val="0"/>
      <w:marRight w:val="0"/>
      <w:marTop w:val="0"/>
      <w:marBottom w:val="0"/>
      <w:divBdr>
        <w:top w:val="none" w:sz="0" w:space="0" w:color="auto"/>
        <w:left w:val="none" w:sz="0" w:space="0" w:color="auto"/>
        <w:bottom w:val="none" w:sz="0" w:space="0" w:color="auto"/>
        <w:right w:val="none" w:sz="0" w:space="0" w:color="auto"/>
      </w:divBdr>
      <w:divsChild>
        <w:div w:id="1888447215">
          <w:marLeft w:val="0"/>
          <w:marRight w:val="0"/>
          <w:marTop w:val="0"/>
          <w:marBottom w:val="0"/>
          <w:divBdr>
            <w:top w:val="none" w:sz="0" w:space="0" w:color="auto"/>
            <w:left w:val="none" w:sz="0" w:space="0" w:color="auto"/>
            <w:bottom w:val="none" w:sz="0" w:space="0" w:color="auto"/>
            <w:right w:val="none" w:sz="0" w:space="0" w:color="auto"/>
          </w:divBdr>
          <w:divsChild>
            <w:div w:id="587887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682698">
      <w:bodyDiv w:val="1"/>
      <w:marLeft w:val="0"/>
      <w:marRight w:val="0"/>
      <w:marTop w:val="0"/>
      <w:marBottom w:val="0"/>
      <w:divBdr>
        <w:top w:val="none" w:sz="0" w:space="0" w:color="auto"/>
        <w:left w:val="none" w:sz="0" w:space="0" w:color="auto"/>
        <w:bottom w:val="none" w:sz="0" w:space="0" w:color="auto"/>
        <w:right w:val="none" w:sz="0" w:space="0" w:color="auto"/>
      </w:divBdr>
      <w:divsChild>
        <w:div w:id="714819025">
          <w:marLeft w:val="0"/>
          <w:marRight w:val="0"/>
          <w:marTop w:val="0"/>
          <w:marBottom w:val="0"/>
          <w:divBdr>
            <w:top w:val="none" w:sz="0" w:space="0" w:color="auto"/>
            <w:left w:val="none" w:sz="0" w:space="0" w:color="auto"/>
            <w:bottom w:val="none" w:sz="0" w:space="0" w:color="auto"/>
            <w:right w:val="none" w:sz="0" w:space="0" w:color="auto"/>
          </w:divBdr>
        </w:div>
        <w:div w:id="45683588">
          <w:marLeft w:val="0"/>
          <w:marRight w:val="0"/>
          <w:marTop w:val="0"/>
          <w:marBottom w:val="0"/>
          <w:divBdr>
            <w:top w:val="none" w:sz="0" w:space="0" w:color="auto"/>
            <w:left w:val="none" w:sz="0" w:space="0" w:color="auto"/>
            <w:bottom w:val="none" w:sz="0" w:space="0" w:color="auto"/>
            <w:right w:val="none" w:sz="0" w:space="0" w:color="auto"/>
          </w:divBdr>
        </w:div>
        <w:div w:id="1188105595">
          <w:marLeft w:val="0"/>
          <w:marRight w:val="0"/>
          <w:marTop w:val="0"/>
          <w:marBottom w:val="0"/>
          <w:divBdr>
            <w:top w:val="none" w:sz="0" w:space="0" w:color="auto"/>
            <w:left w:val="none" w:sz="0" w:space="0" w:color="auto"/>
            <w:bottom w:val="none" w:sz="0" w:space="0" w:color="auto"/>
            <w:right w:val="none" w:sz="0" w:space="0" w:color="auto"/>
          </w:divBdr>
        </w:div>
        <w:div w:id="616180035">
          <w:marLeft w:val="0"/>
          <w:marRight w:val="0"/>
          <w:marTop w:val="0"/>
          <w:marBottom w:val="0"/>
          <w:divBdr>
            <w:top w:val="none" w:sz="0" w:space="0" w:color="auto"/>
            <w:left w:val="none" w:sz="0" w:space="0" w:color="auto"/>
            <w:bottom w:val="none" w:sz="0" w:space="0" w:color="auto"/>
            <w:right w:val="none" w:sz="0" w:space="0" w:color="auto"/>
          </w:divBdr>
        </w:div>
        <w:div w:id="20057536">
          <w:marLeft w:val="0"/>
          <w:marRight w:val="0"/>
          <w:marTop w:val="0"/>
          <w:marBottom w:val="0"/>
          <w:divBdr>
            <w:top w:val="none" w:sz="0" w:space="0" w:color="auto"/>
            <w:left w:val="none" w:sz="0" w:space="0" w:color="auto"/>
            <w:bottom w:val="none" w:sz="0" w:space="0" w:color="auto"/>
            <w:right w:val="none" w:sz="0" w:space="0" w:color="auto"/>
          </w:divBdr>
        </w:div>
        <w:div w:id="141317307">
          <w:marLeft w:val="0"/>
          <w:marRight w:val="0"/>
          <w:marTop w:val="0"/>
          <w:marBottom w:val="0"/>
          <w:divBdr>
            <w:top w:val="none" w:sz="0" w:space="0" w:color="auto"/>
            <w:left w:val="none" w:sz="0" w:space="0" w:color="auto"/>
            <w:bottom w:val="none" w:sz="0" w:space="0" w:color="auto"/>
            <w:right w:val="none" w:sz="0" w:space="0" w:color="auto"/>
          </w:divBdr>
        </w:div>
        <w:div w:id="499006398">
          <w:marLeft w:val="0"/>
          <w:marRight w:val="0"/>
          <w:marTop w:val="0"/>
          <w:marBottom w:val="0"/>
          <w:divBdr>
            <w:top w:val="none" w:sz="0" w:space="0" w:color="auto"/>
            <w:left w:val="none" w:sz="0" w:space="0" w:color="auto"/>
            <w:bottom w:val="none" w:sz="0" w:space="0" w:color="auto"/>
            <w:right w:val="none" w:sz="0" w:space="0" w:color="auto"/>
          </w:divBdr>
        </w:div>
        <w:div w:id="2064522996">
          <w:marLeft w:val="0"/>
          <w:marRight w:val="0"/>
          <w:marTop w:val="0"/>
          <w:marBottom w:val="0"/>
          <w:divBdr>
            <w:top w:val="none" w:sz="0" w:space="0" w:color="auto"/>
            <w:left w:val="none" w:sz="0" w:space="0" w:color="auto"/>
            <w:bottom w:val="none" w:sz="0" w:space="0" w:color="auto"/>
            <w:right w:val="none" w:sz="0" w:space="0" w:color="auto"/>
          </w:divBdr>
        </w:div>
        <w:div w:id="226038583">
          <w:marLeft w:val="0"/>
          <w:marRight w:val="0"/>
          <w:marTop w:val="0"/>
          <w:marBottom w:val="0"/>
          <w:divBdr>
            <w:top w:val="none" w:sz="0" w:space="0" w:color="auto"/>
            <w:left w:val="none" w:sz="0" w:space="0" w:color="auto"/>
            <w:bottom w:val="none" w:sz="0" w:space="0" w:color="auto"/>
            <w:right w:val="none" w:sz="0" w:space="0" w:color="auto"/>
          </w:divBdr>
        </w:div>
        <w:div w:id="832141059">
          <w:marLeft w:val="0"/>
          <w:marRight w:val="0"/>
          <w:marTop w:val="0"/>
          <w:marBottom w:val="0"/>
          <w:divBdr>
            <w:top w:val="none" w:sz="0" w:space="0" w:color="auto"/>
            <w:left w:val="none" w:sz="0" w:space="0" w:color="auto"/>
            <w:bottom w:val="none" w:sz="0" w:space="0" w:color="auto"/>
            <w:right w:val="none" w:sz="0" w:space="0" w:color="auto"/>
          </w:divBdr>
        </w:div>
        <w:div w:id="1654217403">
          <w:marLeft w:val="0"/>
          <w:marRight w:val="0"/>
          <w:marTop w:val="0"/>
          <w:marBottom w:val="0"/>
          <w:divBdr>
            <w:top w:val="none" w:sz="0" w:space="0" w:color="auto"/>
            <w:left w:val="none" w:sz="0" w:space="0" w:color="auto"/>
            <w:bottom w:val="none" w:sz="0" w:space="0" w:color="auto"/>
            <w:right w:val="none" w:sz="0" w:space="0" w:color="auto"/>
          </w:divBdr>
        </w:div>
        <w:div w:id="1731877613">
          <w:marLeft w:val="0"/>
          <w:marRight w:val="0"/>
          <w:marTop w:val="0"/>
          <w:marBottom w:val="0"/>
          <w:divBdr>
            <w:top w:val="none" w:sz="0" w:space="0" w:color="auto"/>
            <w:left w:val="none" w:sz="0" w:space="0" w:color="auto"/>
            <w:bottom w:val="none" w:sz="0" w:space="0" w:color="auto"/>
            <w:right w:val="none" w:sz="0" w:space="0" w:color="auto"/>
          </w:divBdr>
        </w:div>
        <w:div w:id="1212889932">
          <w:marLeft w:val="0"/>
          <w:marRight w:val="0"/>
          <w:marTop w:val="0"/>
          <w:marBottom w:val="0"/>
          <w:divBdr>
            <w:top w:val="none" w:sz="0" w:space="0" w:color="auto"/>
            <w:left w:val="none" w:sz="0" w:space="0" w:color="auto"/>
            <w:bottom w:val="none" w:sz="0" w:space="0" w:color="auto"/>
            <w:right w:val="none" w:sz="0" w:space="0" w:color="auto"/>
          </w:divBdr>
        </w:div>
      </w:divsChild>
    </w:div>
    <w:div w:id="2110197728">
      <w:bodyDiv w:val="1"/>
      <w:marLeft w:val="0"/>
      <w:marRight w:val="0"/>
      <w:marTop w:val="0"/>
      <w:marBottom w:val="0"/>
      <w:divBdr>
        <w:top w:val="none" w:sz="0" w:space="0" w:color="auto"/>
        <w:left w:val="none" w:sz="0" w:space="0" w:color="auto"/>
        <w:bottom w:val="none" w:sz="0" w:space="0" w:color="auto"/>
        <w:right w:val="none" w:sz="0" w:space="0" w:color="auto"/>
      </w:divBdr>
    </w:div>
    <w:div w:id="2133547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5.jpeg"/><Relationship Id="rId21" Type="http://schemas.openxmlformats.org/officeDocument/2006/relationships/hyperlink" Target="http://www.ft.com/cms/s/0/c90a26f4-9dc6-11e2-bea1-00144feabdc0.html" TargetMode="External"/><Relationship Id="rId42" Type="http://schemas.openxmlformats.org/officeDocument/2006/relationships/hyperlink" Target="http://www.european-council.europa.eu/media/582311/05-tesm2.en12.pdf" TargetMode="External"/><Relationship Id="rId47" Type="http://schemas.openxmlformats.org/officeDocument/2006/relationships/hyperlink" Target="http://eur-lex.europa.eu/LexUriServ/LexUriServ.do?uri=CELEX:32013R0473:EN:NOT" TargetMode="External"/><Relationship Id="rId63" Type="http://schemas.openxmlformats.org/officeDocument/2006/relationships/hyperlink" Target="http://www.ieo-imf.org/ieo/files/completedevaluations/09092003main.pdf" TargetMode="External"/><Relationship Id="rId68" Type="http://schemas.openxmlformats.org/officeDocument/2006/relationships/hyperlink" Target="http://www.imf.org/external/pubs/ft/weo/2012/02/pdf/text.pdf" TargetMode="External"/><Relationship Id="rId84" Type="http://schemas.openxmlformats.org/officeDocument/2006/relationships/hyperlink" Target="http://unpan1.un.org/intradoc/groups/public/documents/APCITY/UNPAN014322.pdf" TargetMode="External"/><Relationship Id="rId89" Type="http://schemas.openxmlformats.org/officeDocument/2006/relationships/hyperlink" Target="http://www.penguin.co.uk/books/the-body-economic/9781846147838/" TargetMode="External"/><Relationship Id="rId16" Type="http://schemas.openxmlformats.org/officeDocument/2006/relationships/hyperlink" Target="http://epp.eurostat.ec.europa.eu/portal/page/portal/government_finance_statistics/data/main_tables" TargetMode="External"/><Relationship Id="rId11" Type="http://schemas.openxmlformats.org/officeDocument/2006/relationships/hyperlink" Target="http://dx.doi.org/10.1787/5k9h363c5szq-en" TargetMode="External"/><Relationship Id="rId32" Type="http://schemas.openxmlformats.org/officeDocument/2006/relationships/hyperlink" Target="http://onlinelibrary.wiley.com/doi/10.1111/1467-9248.12058/abstract" TargetMode="External"/><Relationship Id="rId37" Type="http://schemas.openxmlformats.org/officeDocument/2006/relationships/hyperlink" Target="http://www.eib.europa.eu/products/project-bonds/index.htm" TargetMode="External"/><Relationship Id="rId53" Type="http://schemas.openxmlformats.org/officeDocument/2006/relationships/hyperlink" Target="http://eur-lex.europa.eu/LexUriServ/LexUriServ.do?uri=CELEX:32011R1173:EN:NOT" TargetMode="External"/><Relationship Id="rId58" Type="http://schemas.openxmlformats.org/officeDocument/2006/relationships/hyperlink" Target="http://ec.europa.eu/europe2020/pdf/themes/03_public_finance_sustainability.pdf" TargetMode="External"/><Relationship Id="rId74" Type="http://schemas.openxmlformats.org/officeDocument/2006/relationships/hyperlink" Target="http://www.policyexchange.org.uk/images/publications/controlling%20spending%20and%20government%20deficits%20-%20nov%2009.pdf" TargetMode="External"/><Relationship Id="rId79" Type="http://schemas.openxmlformats.org/officeDocument/2006/relationships/hyperlink" Target="http://humanrights.ie/constitution-of-ireland/a-twilight-of-sovereignty-eastern-europes-constitutional-courts-the-imf-and-government-austerity-programmes/" TargetMode="External"/><Relationship Id="rId5" Type="http://schemas.openxmlformats.org/officeDocument/2006/relationships/webSettings" Target="webSettings.xml"/><Relationship Id="rId90" Type="http://schemas.openxmlformats.org/officeDocument/2006/relationships/hyperlink" Target="http://www.nytimes.com/2013/05/13/opinion/how-austerity-kills.html?_r=0" TargetMode="External"/><Relationship Id="rId95" Type="http://schemas.openxmlformats.org/officeDocument/2006/relationships/header" Target="header1.xml"/><Relationship Id="rId22" Type="http://schemas.openxmlformats.org/officeDocument/2006/relationships/hyperlink" Target="http://www.focusweb.org/index2.php?option=com_content&amp;do_pdf=1&amp;id=1172" TargetMode="External"/><Relationship Id="rId27" Type="http://schemas.openxmlformats.org/officeDocument/2006/relationships/hyperlink" Target="http://ec.europa.eu/economy_finance/economic_governance/the_european_semester/index_en.htm" TargetMode="External"/><Relationship Id="rId43" Type="http://schemas.openxmlformats.org/officeDocument/2006/relationships/hyperlink" Target="http://europa.eu/rapid/press-release_MEMO-13-979_en.htm" TargetMode="External"/><Relationship Id="rId48" Type="http://schemas.openxmlformats.org/officeDocument/2006/relationships/hyperlink" Target="http://eur-lex.europa.eu/LexUriServ/LexUriServ.do?uri=CELEX:32013R0472:EN:NOT" TargetMode="External"/><Relationship Id="rId64" Type="http://schemas.openxmlformats.org/officeDocument/2006/relationships/hyperlink" Target="http://www.imf.org/external/pubs/ft/spn/2009/spn0911.pdf" TargetMode="External"/><Relationship Id="rId69" Type="http://schemas.openxmlformats.org/officeDocument/2006/relationships/hyperlink" Target="https://11740092596917189242.googlegroups.com/attach/243626285e18f68b/JPM-the-euro-area-adjustment--about-halfway-there.pdf?part=7&amp;vt=ANaJVrG2WGC_YZQfaQXY7PeR28q3XCWQFXiOlyP7FtL81IFFYTx9nRhv8FLQAMwGy9B4_Nq5ZCR738qsPF1-LI6OccRFEfijGnIQpBHSSNJv1SHRZ_0paUI" TargetMode="External"/><Relationship Id="rId80" Type="http://schemas.openxmlformats.org/officeDocument/2006/relationships/hyperlink" Target="http://www.oecd.org/els/health-systems/HealthAtAGlanceEurope2012.pdf" TargetMode="External"/><Relationship Id="rId85" Type="http://schemas.openxmlformats.org/officeDocument/2006/relationships/hyperlink" Target="http://www.uni-saarland.de/fak1/fr12/csle/workshop/program/lizarazo-rodriguez.pdf" TargetMode="External"/><Relationship Id="rId3"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3.png"/><Relationship Id="rId25" Type="http://schemas.openxmlformats.org/officeDocument/2006/relationships/hyperlink" Target="http://eur-lex.europa.eu/LexUriServ/LexUriServ.do?uri=CELEX:32011R1175:EN:NOT" TargetMode="External"/><Relationship Id="rId33" Type="http://schemas.openxmlformats.org/officeDocument/2006/relationships/hyperlink" Target="https://www.academia.edu/6317935/_The_Vanishing_Promise_of_a_more_social_Europe_public_services_before_and_after_the_Eurocrisis_prepared_for_the_Conference_of_the_Council_for_European_Studies_Washington_DC_March_2014" TargetMode="External"/><Relationship Id="rId38" Type="http://schemas.openxmlformats.org/officeDocument/2006/relationships/hyperlink" Target="http://eur-lex.europa.eu/LexUriServ/LexUriServ.do?uri=COM:2010:2020:FIN:EN:PDF" TargetMode="External"/><Relationship Id="rId46" Type="http://schemas.openxmlformats.org/officeDocument/2006/relationships/hyperlink" Target="http://eur-lex.europa.eu/LexUriServ/LexUriServ.do?uri=OJ:L:2011:306:0041:0047:EN:PDF" TargetMode="External"/><Relationship Id="rId59" Type="http://schemas.openxmlformats.org/officeDocument/2006/relationships/hyperlink" Target="http://europa.eu/rapid/press-release_IP-14-216_en.htm" TargetMode="External"/><Relationship Id="rId67" Type="http://schemas.openxmlformats.org/officeDocument/2006/relationships/hyperlink" Target="http://www.imf.org/external/pubs/ft/wp/2012/wp12190.pdf" TargetMode="External"/><Relationship Id="rId20" Type="http://schemas.openxmlformats.org/officeDocument/2006/relationships/hyperlink" Target="http://www.ft.com/cms/s/0/9ac8db2a-f1af-11df-bb5a-00144feab49a.html" TargetMode="External"/><Relationship Id="rId41" Type="http://schemas.openxmlformats.org/officeDocument/2006/relationships/hyperlink" Target="http://ec.europa.eu/economy_finance/publications/european_economy/2012/pdf/ee-2012-2_en.pdf" TargetMode="External"/><Relationship Id="rId54" Type="http://schemas.openxmlformats.org/officeDocument/2006/relationships/hyperlink" Target="http://ec.europa.eu/competition/state_aid/scoreboard/financial_economic_crisis_aid_en.html" TargetMode="External"/><Relationship Id="rId62" Type="http://schemas.openxmlformats.org/officeDocument/2006/relationships/hyperlink" Target="http://www.theguardian.com/business/2012/jan/30/eu-summit-eurozone-treaty-deal" TargetMode="External"/><Relationship Id="rId70" Type="http://schemas.openxmlformats.org/officeDocument/2006/relationships/hyperlink" Target="http://blogs.euobserver.com/phillips/2013/06/07/jp-morgan-to-eurozone-periphery-get-rid-of-your-pinko-anti-fascist-constitutions/" TargetMode="External"/><Relationship Id="rId75" Type="http://schemas.openxmlformats.org/officeDocument/2006/relationships/hyperlink" Target="http://digitalcommons.law.uga.edu/stu_llm/31" TargetMode="External"/><Relationship Id="rId83" Type="http://schemas.openxmlformats.org/officeDocument/2006/relationships/hyperlink" Target="http://policy-practice.oxfam.org.uk/publications/a-cautionary-tale-the-true-cost-of-austerity-and-inequality-in-europe-301384" TargetMode="External"/><Relationship Id="rId88" Type="http://schemas.openxmlformats.org/officeDocument/2006/relationships/hyperlink" Target="http://www.mpifg.de/pu/mpifg_dp/dp13-7.pdf" TargetMode="External"/><Relationship Id="rId91" Type="http://schemas.openxmlformats.org/officeDocument/2006/relationships/hyperlink" Target="http://www.progressiveeconomy.eu/de/system/files/papers/Renaud%20Thillaye%20Progressive%20Economy%20Paper%20on%20EU%20governance.pdf" TargetMode="External"/><Relationship Id="rId9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hart" Target="charts/chart2.xml"/><Relationship Id="rId23" Type="http://schemas.openxmlformats.org/officeDocument/2006/relationships/image" Target="media/image4.png"/><Relationship Id="rId28" Type="http://schemas.openxmlformats.org/officeDocument/2006/relationships/hyperlink" Target="http://www.polity.co.uk/book.asp?ref=9780745632308" TargetMode="External"/><Relationship Id="rId36" Type="http://schemas.openxmlformats.org/officeDocument/2006/relationships/hyperlink" Target="http://econweb.umd.edu/~drazen/ConditionalityIMFStaff.pdf" TargetMode="External"/><Relationship Id="rId49" Type="http://schemas.openxmlformats.org/officeDocument/2006/relationships/hyperlink" Target="http://eur-lex.europa.eu/LexUriServ/LexUriServ.do?uri=CELEX:32011R1177:EN:NOT" TargetMode="External"/><Relationship Id="rId57" Type="http://schemas.openxmlformats.org/officeDocument/2006/relationships/hyperlink" Target="http://ec.europa.eu/economy_finance/publications/european_economy/2012/pdf/ee-2012-4.pdf" TargetMode="External"/><Relationship Id="rId10" Type="http://schemas.openxmlformats.org/officeDocument/2006/relationships/chart" Target="charts/chart1.xml"/><Relationship Id="rId31" Type="http://schemas.openxmlformats.org/officeDocument/2006/relationships/hyperlink" Target="http://www.lse.ac.uk/europeanInstitute/LEQS/LEQSHome.aspx" TargetMode="External"/><Relationship Id="rId44" Type="http://schemas.openxmlformats.org/officeDocument/2006/relationships/hyperlink" Target="http://eur-lex.europa.eu/LexUriServ/LexUriServ.do?uri=OJ:L:2011:306:0041:0047:EN:PDF" TargetMode="External"/><Relationship Id="rId52" Type="http://schemas.openxmlformats.org/officeDocument/2006/relationships/hyperlink" Target="http://eur-lex.europa.eu/LexUriServ/LexUriServ.do?uri=CELEX:32011R1174:EN:NOT" TargetMode="External"/><Relationship Id="rId60" Type="http://schemas.openxmlformats.org/officeDocument/2006/relationships/hyperlink" Target="http://federalismo.sspa.it/wp-content/uploads/Fiscal_Compact_Fabbrini.pdf" TargetMode="External"/><Relationship Id="rId65" Type="http://schemas.openxmlformats.org/officeDocument/2006/relationships/hyperlink" Target="http://www.imf.org/external/np/pp/eng/2010/043010a.pdf" TargetMode="External"/><Relationship Id="rId73" Type="http://schemas.openxmlformats.org/officeDocument/2006/relationships/hyperlink" Target="http://knopfdoubleday.com/book/219148/debtors-prison/" TargetMode="External"/><Relationship Id="rId78" Type="http://schemas.openxmlformats.org/officeDocument/2006/relationships/hyperlink" Target="http://www.imf.org/external/pubs/ft/wp/2004/wp04155.pdf" TargetMode="External"/><Relationship Id="rId81" Type="http://schemas.openxmlformats.org/officeDocument/2006/relationships/hyperlink" Target="http://www.ons.gov.uk/ons/rel/household-income/the-effects-of-taxes-and-benefits-on-household-income/2010-11/index.html%20%20%20" TargetMode="External"/><Relationship Id="rId86" Type="http://schemas.openxmlformats.org/officeDocument/2006/relationships/hyperlink" Target="http://mil.sagepub.com/content/40/3/647" TargetMode="External"/><Relationship Id="rId94" Type="http://schemas.openxmlformats.org/officeDocument/2006/relationships/hyperlink" Target="http://dx.doi.org/10.1787/5k9h363c5szq-en" TargetMode="Externa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pringer.com/us/book/9789462650626" TargetMode="External"/><Relationship Id="rId13" Type="http://schemas.openxmlformats.org/officeDocument/2006/relationships/hyperlink" Target="http://krugman.blogs.nytimes.com/2012/04/24/austerity-and-growth-again-wonkish/" TargetMode="External"/><Relationship Id="rId18" Type="http://schemas.openxmlformats.org/officeDocument/2006/relationships/hyperlink" Target="http://www.bbc.co.uk/news/10421118" TargetMode="External"/><Relationship Id="rId39" Type="http://schemas.openxmlformats.org/officeDocument/2006/relationships/hyperlink" Target="http://european-council.europa.eu/media/639235/st00tscg26_en12.pdf" TargetMode="External"/><Relationship Id="rId34" Type="http://schemas.openxmlformats.org/officeDocument/2006/relationships/hyperlink" Target="http://www.voxeu.org/article/panic-driven-austerity-eurozone-and-its-implications" TargetMode="External"/><Relationship Id="rId50" Type="http://schemas.openxmlformats.org/officeDocument/2006/relationships/hyperlink" Target="http://eur-lex.europa.eu/LexUriServ/LexUriServ.do?uri=CELEX:32011R1176:EN:NOT" TargetMode="External"/><Relationship Id="rId55" Type="http://schemas.openxmlformats.org/officeDocument/2006/relationships/hyperlink" Target="http://ec.europa.eu/economy_finance/economic_governance/documents/2014-03-05_in-depth_reviews_communication_en.pdf" TargetMode="External"/><Relationship Id="rId76" Type="http://schemas.openxmlformats.org/officeDocument/2006/relationships/hyperlink" Target="http://ec.europa.eu/economy_finance/publications/publication11151_en.pdf" TargetMode="External"/><Relationship Id="rId97"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hyperlink" Target="http://www.cdi.anu.edu.au/CDIwebsite_1998-2004/thailand/thailand_downloads/ThaiUpdate_Klien_ConCourt%20Apr03.pdf" TargetMode="External"/><Relationship Id="rId92" Type="http://schemas.openxmlformats.org/officeDocument/2006/relationships/hyperlink" Target="http://jiel.oxfordjournals.org/content/16/2/353" TargetMode="External"/><Relationship Id="rId2" Type="http://schemas.openxmlformats.org/officeDocument/2006/relationships/numbering" Target="numbering.xml"/><Relationship Id="rId29" Type="http://schemas.openxmlformats.org/officeDocument/2006/relationships/hyperlink" Target="http://www.ises.hu/webimages/files/ISESkonyv_belivek.pdf" TargetMode="External"/><Relationship Id="rId24" Type="http://schemas.openxmlformats.org/officeDocument/2006/relationships/hyperlink" Target="http://www.imf.org/external/np/exr/map/lending/index.htm" TargetMode="External"/><Relationship Id="rId40" Type="http://schemas.openxmlformats.org/officeDocument/2006/relationships/hyperlink" Target="http://ec.europa.eu/economy_finance/economic_governance/sgp/pdf/coc/code_of_conduct_en.pdf" TargetMode="External"/><Relationship Id="rId45" Type="http://schemas.openxmlformats.org/officeDocument/2006/relationships/image" Target="media/image6.gif"/><Relationship Id="rId66" Type="http://schemas.openxmlformats.org/officeDocument/2006/relationships/hyperlink" Target="http://www.imf.org/external/pubs/ft/wp/2011/wp11261.pdf" TargetMode="External"/><Relationship Id="rId87" Type="http://schemas.openxmlformats.org/officeDocument/2006/relationships/hyperlink" Target="http://www.spiegel.de/international/europe/chancellor-merkel-vows-no-euro-bonds-as-long-as-she-lives-a-841163.html" TargetMode="External"/><Relationship Id="rId61" Type="http://schemas.openxmlformats.org/officeDocument/2006/relationships/hyperlink" Target="http://www.oecd.org/economy/productivityandlongtermgrowth/46418753.pdf" TargetMode="External"/><Relationship Id="rId82" Type="http://schemas.openxmlformats.org/officeDocument/2006/relationships/hyperlink" Target="http://policydialogue.org/files/publications/Age_of_Austerity_Ortiz_and_Cummins.pdf" TargetMode="External"/><Relationship Id="rId19" Type="http://schemas.openxmlformats.org/officeDocument/2006/relationships/hyperlink" Target="http://www.ft.com/cms/s/0/9ac8db2a-f1af-11df-bb5a-00144feab49a.html" TargetMode="External"/><Relationship Id="rId14" Type="http://schemas.openxmlformats.org/officeDocument/2006/relationships/image" Target="media/image2.png"/><Relationship Id="rId30" Type="http://schemas.openxmlformats.org/officeDocument/2006/relationships/hyperlink" Target="http://www.brettonwoodsproject.org/2014/03/future-global-economic-governance-imf-challenges-opportunities-europe-emerging-economies-developing-countries/" TargetMode="External"/><Relationship Id="rId35" Type="http://schemas.openxmlformats.org/officeDocument/2006/relationships/hyperlink" Target="http://ukcatalogue.oup.com/product/9780199605576.do" TargetMode="External"/><Relationship Id="rId56" Type="http://schemas.openxmlformats.org/officeDocument/2006/relationships/hyperlink" Target="https://owa.gre.ac.uk/owa/redir.aspx?C=3d6233f1010c46e9ac0c20778c58e7bc&amp;URL=http%3a%2f%2feurodad.org%2ffiles%2fpdf%2f533bd19646b20.pdf" TargetMode="External"/><Relationship Id="rId77" Type="http://schemas.openxmlformats.org/officeDocument/2006/relationships/hyperlink" Target="http://blogs.ft.com/beyond-brics/2013/09/05/guest-post-brics-without-water/" TargetMode="External"/><Relationship Id="rId100" Type="http://schemas.openxmlformats.org/officeDocument/2006/relationships/theme" Target="theme/theme1.xml"/><Relationship Id="rId8" Type="http://schemas.openxmlformats.org/officeDocument/2006/relationships/hyperlink" Target="mailto:d.j.hall@gre.ac.uk" TargetMode="External"/><Relationship Id="rId51" Type="http://schemas.openxmlformats.org/officeDocument/2006/relationships/hyperlink" Target="http://eur-lex.europa.eu/LexUriServ/LexUriServ.do?uri=CELEX:32011R1175:EN:NOT" TargetMode="External"/><Relationship Id="rId72" Type="http://schemas.openxmlformats.org/officeDocument/2006/relationships/hyperlink" Target="http://cadmus.eui.eu/bitstream/handle/1814/21496/LAW_2012_09_Kocharov_ed.pdf" TargetMode="External"/><Relationship Id="rId93" Type="http://schemas.openxmlformats.org/officeDocument/2006/relationships/hyperlink" Target="http://unctad.org/en/Docs/tdr2011_en.pdf" TargetMode="External"/><Relationship Id="rId98" Type="http://schemas.openxmlformats.org/officeDocument/2006/relationships/footer" Target="footer2.xml"/></Relationships>
</file>

<file path=word/_rels/endnotes.xml.rels><?xml version="1.0" encoding="UTF-8" standalone="yes"?>
<Relationships xmlns="http://schemas.openxmlformats.org/package/2006/relationships"><Relationship Id="rId3" Type="http://schemas.openxmlformats.org/officeDocument/2006/relationships/hyperlink" Target="http://www.jadaliyya.com/pages/index/1711/egypts-%E2%80%98orderly-transition%E2%80%99-international-aid-and-" TargetMode="External"/><Relationship Id="rId2" Type="http://schemas.openxmlformats.org/officeDocument/2006/relationships/hyperlink" Target="http://www.imf.org/external/np/ms/2010/102810.htm" TargetMode="External"/><Relationship Id="rId1" Type="http://schemas.openxmlformats.org/officeDocument/2006/relationships/hyperlink" Target="http://www.social-europe.eu/2012/10/blame-it-on-the-multiplier/" TargetMode="External"/><Relationship Id="rId4" Type="http://schemas.openxmlformats.org/officeDocument/2006/relationships/hyperlink" Target="http://dx.doi.org/10.1080/03056244.2011.602546"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d.j.hall@gre.ac.uk" TargetMode="External"/><Relationship Id="rId1" Type="http://schemas.openxmlformats.org/officeDocument/2006/relationships/hyperlink" Target="http://www.psiru.org"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psiru.org"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www.gre.ac.uk/index.html" TargetMode="External"/><Relationship Id="rId2" Type="http://schemas.openxmlformats.org/officeDocument/2006/relationships/hyperlink" Target="http://www.psiru.org" TargetMode="External"/><Relationship Id="rId1" Type="http://schemas.openxmlformats.org/officeDocument/2006/relationships/hyperlink" Target="http://www.psiru.org" TargetMode="External"/><Relationship Id="rId4"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s2011\PSIRU-lite-2012.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193.60.77.220\psiru\Working\Projects\Oxfam-2012-equality\charts-equality.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Work\Erlangen\gov_a_main.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'[charts-equality.xlsx]Sheet1'!$B$4</c:f>
              <c:strCache>
                <c:ptCount val="1"/>
                <c:pt idx="0">
                  <c:v>Education</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'[charts-equality.xlsx]Sheet1'!$C$3:$G$3</c:f>
              <c:strCache>
                <c:ptCount val="5"/>
                <c:pt idx="0">
                  <c:v>Q1 (poorest)</c:v>
                </c:pt>
                <c:pt idx="1">
                  <c:v>Q2</c:v>
                </c:pt>
                <c:pt idx="2">
                  <c:v>Q3</c:v>
                </c:pt>
                <c:pt idx="3">
                  <c:v>Q4</c:v>
                </c:pt>
                <c:pt idx="4">
                  <c:v>Q5 (richest</c:v>
                </c:pt>
              </c:strCache>
            </c:strRef>
          </c:cat>
          <c:val>
            <c:numRef>
              <c:f>'[charts-equality.xlsx]Sheet1'!$C$4:$G$4</c:f>
              <c:numCache>
                <c:formatCode>General</c:formatCode>
                <c:ptCount val="5"/>
                <c:pt idx="0">
                  <c:v>30.6</c:v>
                </c:pt>
                <c:pt idx="1">
                  <c:v>18.5</c:v>
                </c:pt>
                <c:pt idx="2">
                  <c:v>14.2</c:v>
                </c:pt>
                <c:pt idx="3">
                  <c:v>10.4</c:v>
                </c:pt>
                <c:pt idx="4">
                  <c:v>5.6</c:v>
                </c:pt>
              </c:numCache>
            </c:numRef>
          </c:val>
        </c:ser>
        <c:ser>
          <c:idx val="1"/>
          <c:order val="1"/>
          <c:tx>
            <c:strRef>
              <c:f>'[charts-equality.xlsx]Sheet1'!$B$5</c:f>
              <c:strCache>
                <c:ptCount val="1"/>
                <c:pt idx="0">
                  <c:v>Health care</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'[charts-equality.xlsx]Sheet1'!$C$3:$G$3</c:f>
              <c:strCache>
                <c:ptCount val="5"/>
                <c:pt idx="0">
                  <c:v>Q1 (poorest)</c:v>
                </c:pt>
                <c:pt idx="1">
                  <c:v>Q2</c:v>
                </c:pt>
                <c:pt idx="2">
                  <c:v>Q3</c:v>
                </c:pt>
                <c:pt idx="3">
                  <c:v>Q4</c:v>
                </c:pt>
                <c:pt idx="4">
                  <c:v>Q5 (richest</c:v>
                </c:pt>
              </c:strCache>
            </c:strRef>
          </c:cat>
          <c:val>
            <c:numRef>
              <c:f>'[charts-equality.xlsx]Sheet1'!$C$5:$G$5</c:f>
              <c:numCache>
                <c:formatCode>General</c:formatCode>
                <c:ptCount val="5"/>
                <c:pt idx="0">
                  <c:v>34.9</c:v>
                </c:pt>
                <c:pt idx="1">
                  <c:v>22.2</c:v>
                </c:pt>
                <c:pt idx="2">
                  <c:v>15.8</c:v>
                </c:pt>
                <c:pt idx="3">
                  <c:v>11.8</c:v>
                </c:pt>
                <c:pt idx="4">
                  <c:v>7.2</c:v>
                </c:pt>
              </c:numCache>
            </c:numRef>
          </c:val>
        </c:ser>
        <c:ser>
          <c:idx val="2"/>
          <c:order val="2"/>
          <c:tx>
            <c:strRef>
              <c:f>'[charts-equality.xlsx]Sheet1'!$B$6</c:f>
              <c:strCache>
                <c:ptCount val="1"/>
                <c:pt idx="0">
                  <c:v>Social housing</c:v>
                </c:pt>
              </c:strCache>
            </c:strRef>
          </c:tx>
          <c:invertIfNegative val="0"/>
          <c:cat>
            <c:strRef>
              <c:f>'[charts-equality.xlsx]Sheet1'!$C$3:$G$3</c:f>
              <c:strCache>
                <c:ptCount val="5"/>
                <c:pt idx="0">
                  <c:v>Q1 (poorest)</c:v>
                </c:pt>
                <c:pt idx="1">
                  <c:v>Q2</c:v>
                </c:pt>
                <c:pt idx="2">
                  <c:v>Q3</c:v>
                </c:pt>
                <c:pt idx="3">
                  <c:v>Q4</c:v>
                </c:pt>
                <c:pt idx="4">
                  <c:v>Q5 (richest</c:v>
                </c:pt>
              </c:strCache>
            </c:strRef>
          </c:cat>
          <c:val>
            <c:numRef>
              <c:f>'[charts-equality.xlsx]Sheet1'!$C$6:$G$6</c:f>
              <c:numCache>
                <c:formatCode>General</c:formatCode>
                <c:ptCount val="5"/>
                <c:pt idx="0">
                  <c:v>1.8</c:v>
                </c:pt>
                <c:pt idx="1">
                  <c:v>0.7</c:v>
                </c:pt>
                <c:pt idx="2">
                  <c:v>0.4</c:v>
                </c:pt>
                <c:pt idx="3">
                  <c:v>0.2</c:v>
                </c:pt>
                <c:pt idx="4">
                  <c:v>0.1</c:v>
                </c:pt>
              </c:numCache>
            </c:numRef>
          </c:val>
        </c:ser>
        <c:ser>
          <c:idx val="3"/>
          <c:order val="3"/>
          <c:tx>
            <c:strRef>
              <c:f>'[charts-equality.xlsx]Sheet1'!$B$7</c:f>
              <c:strCache>
                <c:ptCount val="1"/>
                <c:pt idx="0">
                  <c:v>ECEC (child care)</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'[charts-equality.xlsx]Sheet1'!$C$3:$G$3</c:f>
              <c:strCache>
                <c:ptCount val="5"/>
                <c:pt idx="0">
                  <c:v>Q1 (poorest)</c:v>
                </c:pt>
                <c:pt idx="1">
                  <c:v>Q2</c:v>
                </c:pt>
                <c:pt idx="2">
                  <c:v>Q3</c:v>
                </c:pt>
                <c:pt idx="3">
                  <c:v>Q4</c:v>
                </c:pt>
                <c:pt idx="4">
                  <c:v>Q5 (richest</c:v>
                </c:pt>
              </c:strCache>
            </c:strRef>
          </c:cat>
          <c:val>
            <c:numRef>
              <c:f>'[charts-equality.xlsx]Sheet1'!$C$7:$G$7</c:f>
              <c:numCache>
                <c:formatCode>General</c:formatCode>
                <c:ptCount val="5"/>
                <c:pt idx="0">
                  <c:v>4.5</c:v>
                </c:pt>
                <c:pt idx="1">
                  <c:v>3</c:v>
                </c:pt>
                <c:pt idx="2">
                  <c:v>2.4</c:v>
                </c:pt>
                <c:pt idx="3">
                  <c:v>1.5</c:v>
                </c:pt>
                <c:pt idx="4">
                  <c:v>0.8</c:v>
                </c:pt>
              </c:numCache>
            </c:numRef>
          </c:val>
        </c:ser>
        <c:ser>
          <c:idx val="4"/>
          <c:order val="4"/>
          <c:tx>
            <c:strRef>
              <c:f>'[charts-equality.xlsx]Sheet1'!$B$8</c:f>
              <c:strCache>
                <c:ptCount val="1"/>
                <c:pt idx="0">
                  <c:v>Elderly care</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'[charts-equality.xlsx]Sheet1'!$C$3:$G$3</c:f>
              <c:strCache>
                <c:ptCount val="5"/>
                <c:pt idx="0">
                  <c:v>Q1 (poorest)</c:v>
                </c:pt>
                <c:pt idx="1">
                  <c:v>Q2</c:v>
                </c:pt>
                <c:pt idx="2">
                  <c:v>Q3</c:v>
                </c:pt>
                <c:pt idx="3">
                  <c:v>Q4</c:v>
                </c:pt>
                <c:pt idx="4">
                  <c:v>Q5 (richest</c:v>
                </c:pt>
              </c:strCache>
            </c:strRef>
          </c:cat>
          <c:val>
            <c:numRef>
              <c:f>'[charts-equality.xlsx]Sheet1'!$C$8:$G$8</c:f>
              <c:numCache>
                <c:formatCode>General</c:formatCode>
                <c:ptCount val="5"/>
                <c:pt idx="0">
                  <c:v>4</c:v>
                </c:pt>
                <c:pt idx="1">
                  <c:v>1.9</c:v>
                </c:pt>
                <c:pt idx="2">
                  <c:v>0.7</c:v>
                </c:pt>
                <c:pt idx="3">
                  <c:v>0.4</c:v>
                </c:pt>
                <c:pt idx="4">
                  <c:v>0.2</c:v>
                </c:pt>
              </c:numCache>
            </c:numRef>
          </c:val>
        </c:ser>
        <c:dLbls>
          <c:showLegendKey val="0"/>
          <c:showVal val="0"/>
          <c:showCatName val="0"/>
          <c:showSerName val="0"/>
          <c:showPercent val="0"/>
          <c:showBubbleSize val="0"/>
        </c:dLbls>
        <c:gapWidth val="150"/>
        <c:overlap val="100"/>
        <c:axId val="201223600"/>
        <c:axId val="201222480"/>
      </c:barChart>
      <c:catAx>
        <c:axId val="201223600"/>
        <c:scaling>
          <c:orientation val="minMax"/>
        </c:scaling>
        <c:delete val="0"/>
        <c:axPos val="b"/>
        <c:numFmt formatCode="General" sourceLinked="0"/>
        <c:majorTickMark val="out"/>
        <c:minorTickMark val="none"/>
        <c:tickLblPos val="nextTo"/>
        <c:crossAx val="201222480"/>
        <c:crosses val="autoZero"/>
        <c:auto val="1"/>
        <c:lblAlgn val="ctr"/>
        <c:lblOffset val="100"/>
        <c:noMultiLvlLbl val="0"/>
      </c:catAx>
      <c:valAx>
        <c:axId val="201222480"/>
        <c:scaling>
          <c:orientation val="minMax"/>
        </c:scaling>
        <c:delete val="0"/>
        <c:axPos val="l"/>
        <c:majorGridlines/>
        <c:numFmt formatCode="General" sourceLinked="1"/>
        <c:majorTickMark val="out"/>
        <c:minorTickMark val="none"/>
        <c:tickLblPos val="nextTo"/>
        <c:crossAx val="201223600"/>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marker>
            <c:symbol val="none"/>
          </c:marker>
          <c:cat>
            <c:multiLvlStrRef>
              <c:f>[gov_a_main.xls]Sheet1!$B$1:$S$2</c:f>
              <c:multiLvlStrCache>
                <c:ptCount val="18"/>
                <c:lvl>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lvl>
                <c:lvl>
                  <c:pt idx="0">
                    <c:v>Government spending as a % of GDP, EU-27</c:v>
                  </c:pt>
                </c:lvl>
              </c:multiLvlStrCache>
            </c:multiLvlStrRef>
          </c:cat>
          <c:val>
            <c:numRef>
              <c:f>[gov_a_main.xls]Sheet1!$B$3:$S$3</c:f>
              <c:numCache>
                <c:formatCode>#,##0.0</c:formatCode>
                <c:ptCount val="18"/>
                <c:pt idx="0">
                  <c:v>52</c:v>
                </c:pt>
                <c:pt idx="1">
                  <c:v>49.7</c:v>
                </c:pt>
                <c:pt idx="2">
                  <c:v>48.1</c:v>
                </c:pt>
                <c:pt idx="3">
                  <c:v>47.1</c:v>
                </c:pt>
                <c:pt idx="4">
                  <c:v>46.7</c:v>
                </c:pt>
                <c:pt idx="5">
                  <c:v>44.7</c:v>
                </c:pt>
                <c:pt idx="6">
                  <c:v>46.1</c:v>
                </c:pt>
                <c:pt idx="7">
                  <c:v>46.6</c:v>
                </c:pt>
                <c:pt idx="8">
                  <c:v>47.2</c:v>
                </c:pt>
                <c:pt idx="9">
                  <c:v>46.7</c:v>
                </c:pt>
                <c:pt idx="10">
                  <c:v>46.7</c:v>
                </c:pt>
                <c:pt idx="11">
                  <c:v>46.2</c:v>
                </c:pt>
                <c:pt idx="12">
                  <c:v>45.5</c:v>
                </c:pt>
                <c:pt idx="13">
                  <c:v>47</c:v>
                </c:pt>
                <c:pt idx="14">
                  <c:v>51</c:v>
                </c:pt>
                <c:pt idx="15">
                  <c:v>50.6</c:v>
                </c:pt>
                <c:pt idx="16">
                  <c:v>49</c:v>
                </c:pt>
                <c:pt idx="17">
                  <c:v>49.3</c:v>
                </c:pt>
              </c:numCache>
            </c:numRef>
          </c:val>
          <c:smooth val="0"/>
        </c:ser>
        <c:dLbls>
          <c:showLegendKey val="0"/>
          <c:showVal val="0"/>
          <c:showCatName val="0"/>
          <c:showSerName val="0"/>
          <c:showPercent val="0"/>
          <c:showBubbleSize val="0"/>
        </c:dLbls>
        <c:smooth val="0"/>
        <c:axId val="203308208"/>
        <c:axId val="203308768"/>
      </c:lineChart>
      <c:catAx>
        <c:axId val="203308208"/>
        <c:scaling>
          <c:orientation val="minMax"/>
        </c:scaling>
        <c:delete val="0"/>
        <c:axPos val="b"/>
        <c:numFmt formatCode="General" sourceLinked="0"/>
        <c:majorTickMark val="out"/>
        <c:minorTickMark val="none"/>
        <c:tickLblPos val="nextTo"/>
        <c:crossAx val="203308768"/>
        <c:crosses val="autoZero"/>
        <c:auto val="1"/>
        <c:lblAlgn val="ctr"/>
        <c:lblOffset val="100"/>
        <c:noMultiLvlLbl val="0"/>
      </c:catAx>
      <c:valAx>
        <c:axId val="203308768"/>
        <c:scaling>
          <c:orientation val="minMax"/>
        </c:scaling>
        <c:delete val="0"/>
        <c:axPos val="l"/>
        <c:majorGridlines/>
        <c:numFmt formatCode="#,##0.0" sourceLinked="1"/>
        <c:majorTickMark val="out"/>
        <c:minorTickMark val="none"/>
        <c:tickLblPos val="nextTo"/>
        <c:crossAx val="203308208"/>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C8F8B2-D969-46E9-A4E9-CB8B6E1A1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PSIRU-lite-2012</Template>
  <TotalTime>0</TotalTime>
  <Pages>22</Pages>
  <Words>11878</Words>
  <Characters>67709</Characters>
  <Application>Microsoft Office Word</Application>
  <DocSecurity>0</DocSecurity>
  <Lines>564</Lines>
  <Paragraphs>158</Paragraphs>
  <ScaleCrop>false</ScaleCrop>
  <HeadingPairs>
    <vt:vector size="2" baseType="variant">
      <vt:variant>
        <vt:lpstr>Title</vt:lpstr>
      </vt:variant>
      <vt:variant>
        <vt:i4>1</vt:i4>
      </vt:variant>
    </vt:vector>
  </HeadingPairs>
  <TitlesOfParts>
    <vt:vector size="1" baseType="lpstr">
      <vt:lpstr/>
    </vt:vector>
  </TitlesOfParts>
  <Company>CMS</Company>
  <LinksUpToDate>false</LinksUpToDate>
  <CharactersWithSpaces>79429</CharactersWithSpaces>
  <SharedDoc>false</SharedDoc>
  <HLinks>
    <vt:vector size="48" baseType="variant">
      <vt:variant>
        <vt:i4>5111901</vt:i4>
      </vt:variant>
      <vt:variant>
        <vt:i4>30</vt:i4>
      </vt:variant>
      <vt:variant>
        <vt:i4>0</vt:i4>
      </vt:variant>
      <vt:variant>
        <vt:i4>5</vt:i4>
      </vt:variant>
      <vt:variant>
        <vt:lpwstr>http://www.epsu.org/</vt:lpwstr>
      </vt:variant>
      <vt:variant>
        <vt:lpwstr/>
      </vt:variant>
      <vt:variant>
        <vt:i4>5963857</vt:i4>
      </vt:variant>
      <vt:variant>
        <vt:i4>27</vt:i4>
      </vt:variant>
      <vt:variant>
        <vt:i4>0</vt:i4>
      </vt:variant>
      <vt:variant>
        <vt:i4>5</vt:i4>
      </vt:variant>
      <vt:variant>
        <vt:lpwstr>http://www.world-psi.org/</vt:lpwstr>
      </vt:variant>
      <vt:variant>
        <vt:lpwstr/>
      </vt:variant>
      <vt:variant>
        <vt:i4>851994</vt:i4>
      </vt:variant>
      <vt:variant>
        <vt:i4>24</vt:i4>
      </vt:variant>
      <vt:variant>
        <vt:i4>0</vt:i4>
      </vt:variant>
      <vt:variant>
        <vt:i4>5</vt:i4>
      </vt:variant>
      <vt:variant>
        <vt:lpwstr>http://www.gre.ac.uk/</vt:lpwstr>
      </vt:variant>
      <vt:variant>
        <vt:lpwstr/>
      </vt:variant>
      <vt:variant>
        <vt:i4>6946902</vt:i4>
      </vt:variant>
      <vt:variant>
        <vt:i4>21</vt:i4>
      </vt:variant>
      <vt:variant>
        <vt:i4>0</vt:i4>
      </vt:variant>
      <vt:variant>
        <vt:i4>5</vt:i4>
      </vt:variant>
      <vt:variant>
        <vt:lpwstr>mailto:psiru@psiru.org</vt:lpwstr>
      </vt:variant>
      <vt:variant>
        <vt:lpwstr/>
      </vt:variant>
      <vt:variant>
        <vt:i4>5177357</vt:i4>
      </vt:variant>
      <vt:variant>
        <vt:i4>18</vt:i4>
      </vt:variant>
      <vt:variant>
        <vt:i4>0</vt:i4>
      </vt:variant>
      <vt:variant>
        <vt:i4>5</vt:i4>
      </vt:variant>
      <vt:variant>
        <vt:lpwstr>http://www.psiru.org/</vt:lpwstr>
      </vt:variant>
      <vt:variant>
        <vt:lpwstr/>
      </vt:variant>
      <vt:variant>
        <vt:i4>8192100</vt:i4>
      </vt:variant>
      <vt:variant>
        <vt:i4>12</vt:i4>
      </vt:variant>
      <vt:variant>
        <vt:i4>0</vt:i4>
      </vt:variant>
      <vt:variant>
        <vt:i4>5</vt:i4>
      </vt:variant>
      <vt:variant>
        <vt:lpwstr>http://www.gre.ac.uk/index.html</vt:lpwstr>
      </vt:variant>
      <vt:variant>
        <vt:lpwstr/>
      </vt:variant>
      <vt:variant>
        <vt:i4>5177357</vt:i4>
      </vt:variant>
      <vt:variant>
        <vt:i4>0</vt:i4>
      </vt:variant>
      <vt:variant>
        <vt:i4>0</vt:i4>
      </vt:variant>
      <vt:variant>
        <vt:i4>5</vt:i4>
      </vt:variant>
      <vt:variant>
        <vt:lpwstr>http://www.psiru.org/</vt:lpwstr>
      </vt:variant>
      <vt:variant>
        <vt:lpwstr/>
      </vt:variant>
      <vt:variant>
        <vt:i4>5177357</vt:i4>
      </vt:variant>
      <vt:variant>
        <vt:i4>0</vt:i4>
      </vt:variant>
      <vt:variant>
        <vt:i4>0</vt:i4>
      </vt:variant>
      <vt:variant>
        <vt:i4>5</vt:i4>
      </vt:variant>
      <vt:variant>
        <vt:lpwstr>http://www.psiru.org/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dc:creator>
  <cp:lastModifiedBy>Melani Georgieva</cp:lastModifiedBy>
  <cp:revision>2</cp:revision>
  <cp:lastPrinted>2014-04-08T13:10:00Z</cp:lastPrinted>
  <dcterms:created xsi:type="dcterms:W3CDTF">2017-05-24T14:47:00Z</dcterms:created>
  <dcterms:modified xsi:type="dcterms:W3CDTF">2017-05-24T14:47:00Z</dcterms:modified>
</cp:coreProperties>
</file>