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F7F" w:rsidRDefault="00126F7F" w:rsidP="006F7092">
      <w:pPr>
        <w:pStyle w:val="Title"/>
        <w:spacing w:before="120"/>
        <w:rPr>
          <w:sz w:val="32"/>
        </w:rPr>
      </w:pPr>
      <w:r w:rsidRPr="00126F7F">
        <w:rPr>
          <w:sz w:val="32"/>
        </w:rPr>
        <w:t>Impact of 2020 strategy on energy, water and waste sectors</w:t>
      </w:r>
      <w:r w:rsidR="00B62A24">
        <w:rPr>
          <w:sz w:val="32"/>
        </w:rPr>
        <w:t xml:space="preserve"> in eastern neighbourhood and enlargement countries</w:t>
      </w:r>
    </w:p>
    <w:p w:rsidR="00354397" w:rsidRDefault="00354397" w:rsidP="00B34880">
      <w:pPr>
        <w:jc w:val="center"/>
      </w:pPr>
    </w:p>
    <w:p w:rsidR="00354397" w:rsidRDefault="00354397" w:rsidP="00B34880">
      <w:pPr>
        <w:jc w:val="center"/>
      </w:pPr>
    </w:p>
    <w:p w:rsidR="00B34880" w:rsidRPr="00B34880" w:rsidRDefault="00B34880" w:rsidP="00B34880">
      <w:pPr>
        <w:jc w:val="center"/>
      </w:pPr>
      <w:proofErr w:type="gramStart"/>
      <w:r>
        <w:t>b</w:t>
      </w:r>
      <w:r w:rsidRPr="00B34880">
        <w:t>y</w:t>
      </w:r>
      <w:proofErr w:type="gramEnd"/>
    </w:p>
    <w:p w:rsidR="00354397" w:rsidRDefault="00354397" w:rsidP="00B34880">
      <w:pPr>
        <w:jc w:val="center"/>
      </w:pPr>
    </w:p>
    <w:p w:rsidR="00354397" w:rsidRDefault="00354397" w:rsidP="00B34880">
      <w:pPr>
        <w:jc w:val="center"/>
      </w:pPr>
    </w:p>
    <w:p w:rsidR="004870FB" w:rsidRDefault="00B34880" w:rsidP="00B34880">
      <w:pPr>
        <w:jc w:val="center"/>
      </w:pPr>
      <w:r w:rsidRPr="00B34880">
        <w:t xml:space="preserve">David </w:t>
      </w:r>
      <w:proofErr w:type="gramStart"/>
      <w:r w:rsidRPr="00B34880">
        <w:t>Hall</w:t>
      </w:r>
      <w:r w:rsidR="004870FB">
        <w:t xml:space="preserve"> </w:t>
      </w:r>
      <w:r w:rsidR="00951205">
        <w:t>,</w:t>
      </w:r>
      <w:proofErr w:type="gramEnd"/>
      <w:r w:rsidR="00951205">
        <w:t xml:space="preserve"> Vladimir Popov, and Stephen Thomas</w:t>
      </w:r>
    </w:p>
    <w:p w:rsidR="00354397" w:rsidRDefault="00354397" w:rsidP="00B34880">
      <w:pPr>
        <w:jc w:val="center"/>
      </w:pPr>
    </w:p>
    <w:p w:rsidR="00354397" w:rsidRDefault="00354397" w:rsidP="00B34880">
      <w:pPr>
        <w:jc w:val="center"/>
      </w:pPr>
    </w:p>
    <w:p w:rsidR="00B34880" w:rsidRPr="00B34880" w:rsidRDefault="00F4142F" w:rsidP="00B34880">
      <w:pPr>
        <w:jc w:val="center"/>
      </w:pPr>
      <w:hyperlink r:id="rId8" w:history="1">
        <w:r w:rsidR="00B34880" w:rsidRPr="00B34880">
          <w:rPr>
            <w:rStyle w:val="Hyperlink"/>
          </w:rPr>
          <w:t>d.j.hall@gre.ac.uk</w:t>
        </w:r>
      </w:hyperlink>
    </w:p>
    <w:p w:rsidR="00354397" w:rsidRDefault="00354397" w:rsidP="00B34880">
      <w:pPr>
        <w:jc w:val="center"/>
      </w:pPr>
    </w:p>
    <w:p w:rsidR="00354397" w:rsidRDefault="00354397" w:rsidP="00B34880">
      <w:pPr>
        <w:jc w:val="center"/>
      </w:pPr>
    </w:p>
    <w:p w:rsidR="00354397" w:rsidRDefault="00354397" w:rsidP="00B34880">
      <w:pPr>
        <w:jc w:val="center"/>
      </w:pPr>
    </w:p>
    <w:p w:rsidR="00354397" w:rsidRDefault="00354397" w:rsidP="00B34880">
      <w:pPr>
        <w:jc w:val="center"/>
      </w:pPr>
    </w:p>
    <w:p w:rsidR="00B34880" w:rsidRDefault="004870FB" w:rsidP="00B34880">
      <w:pPr>
        <w:jc w:val="center"/>
      </w:pPr>
      <w:r>
        <w:t>June 2011</w:t>
      </w:r>
    </w:p>
    <w:p w:rsidR="00354397" w:rsidRDefault="00354397" w:rsidP="00B34880">
      <w:pPr>
        <w:jc w:val="center"/>
      </w:pPr>
    </w:p>
    <w:p w:rsidR="00354397" w:rsidRDefault="00354397" w:rsidP="00B34880">
      <w:pPr>
        <w:jc w:val="center"/>
      </w:pPr>
    </w:p>
    <w:p w:rsidR="00354397" w:rsidRDefault="00354397" w:rsidP="00B34880">
      <w:pPr>
        <w:jc w:val="center"/>
      </w:pPr>
    </w:p>
    <w:p w:rsidR="00354397" w:rsidRDefault="00354397" w:rsidP="00B34880">
      <w:pPr>
        <w:jc w:val="center"/>
      </w:pPr>
    </w:p>
    <w:p w:rsidR="00354397" w:rsidRDefault="00354397" w:rsidP="00B34880">
      <w:pPr>
        <w:jc w:val="center"/>
      </w:pPr>
      <w:r>
        <w:rPr>
          <w:noProof/>
          <w:lang w:eastAsia="en-GB"/>
        </w:rPr>
        <w:pict>
          <v:shapetype id="_x0000_t202" coordsize="21600,21600" o:spt="202" path="m,l,21600r21600,l21600,xe">
            <v:stroke joinstyle="miter"/>
            <v:path gradientshapeok="t" o:connecttype="rect"/>
          </v:shapetype>
          <v:shape id="_x0000_s1026" type="#_x0000_t202" style="position:absolute;left:0;text-align:left;margin-left:4.8pt;margin-top:8.45pt;width:486pt;height:221.25pt;z-index:251658240" strokecolor="#930" strokeweight="2pt">
            <v:textbox style="mso-next-textbox:#_x0000_s1026">
              <w:txbxContent>
                <w:p w:rsidR="00354397" w:rsidRDefault="00354397" w:rsidP="00354397">
                  <w:pPr>
                    <w:jc w:val="center"/>
                    <w:rPr>
                      <w:rFonts w:ascii="Trebuchet MS" w:hAnsi="Trebuchet MS"/>
                      <w:b/>
                      <w:sz w:val="20"/>
                    </w:rPr>
                  </w:pPr>
                  <w:r>
                    <w:rPr>
                      <w:b/>
                      <w:noProof/>
                      <w:color w:val="0000FF"/>
                      <w:lang w:eastAsia="en-GB"/>
                    </w:rPr>
                    <w:drawing>
                      <wp:inline distT="0" distB="0" distL="0" distR="0">
                        <wp:extent cx="2184400" cy="1028700"/>
                        <wp:effectExtent l="19050" t="0" r="6350" b="0"/>
                        <wp:docPr id="3" name="Picture 1" descr="EPSU LOGO COUL 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SU LOGO COUL gif"/>
                                <pic:cNvPicPr>
                                  <a:picLocks noChangeAspect="1" noChangeArrowheads="1"/>
                                </pic:cNvPicPr>
                              </pic:nvPicPr>
                              <pic:blipFill>
                                <a:blip r:embed="rId10"/>
                                <a:srcRect/>
                                <a:stretch>
                                  <a:fillRect/>
                                </a:stretch>
                              </pic:blipFill>
                              <pic:spPr bwMode="auto">
                                <a:xfrm>
                                  <a:off x="0" y="0"/>
                                  <a:ext cx="2184400" cy="1028700"/>
                                </a:xfrm>
                                <a:prstGeom prst="rect">
                                  <a:avLst/>
                                </a:prstGeom>
                                <a:noFill/>
                                <a:ln w="9525">
                                  <a:noFill/>
                                  <a:miter lim="800000"/>
                                  <a:headEnd/>
                                  <a:tailEnd/>
                                </a:ln>
                              </pic:spPr>
                            </pic:pic>
                          </a:graphicData>
                        </a:graphic>
                      </wp:inline>
                    </w:drawing>
                  </w:r>
                </w:p>
                <w:p w:rsidR="00354397" w:rsidRDefault="00354397" w:rsidP="00354397">
                  <w:pPr>
                    <w:rPr>
                      <w:rFonts w:ascii="Trebuchet MS" w:hAnsi="Trebuchet MS"/>
                      <w:b/>
                      <w:sz w:val="20"/>
                    </w:rPr>
                  </w:pPr>
                </w:p>
                <w:p w:rsidR="00354397" w:rsidRDefault="00354397" w:rsidP="00354397">
                  <w:pPr>
                    <w:rPr>
                      <w:rFonts w:ascii="Trebuchet MS" w:hAnsi="Trebuchet MS"/>
                      <w:b/>
                      <w:sz w:val="20"/>
                    </w:rPr>
                  </w:pPr>
                  <w:r w:rsidRPr="00EA188B">
                    <w:rPr>
                      <w:rFonts w:ascii="Trebuchet MS" w:hAnsi="Trebuchet MS"/>
                      <w:b/>
                      <w:sz w:val="20"/>
                    </w:rPr>
                    <w:t xml:space="preserve">A report </w:t>
                  </w:r>
                  <w:r>
                    <w:rPr>
                      <w:rFonts w:ascii="Trebuchet MS" w:hAnsi="Trebuchet MS"/>
                      <w:b/>
                      <w:sz w:val="20"/>
                    </w:rPr>
                    <w:t xml:space="preserve">commissioned by </w:t>
                  </w:r>
                  <w:r w:rsidRPr="00EA188B">
                    <w:rPr>
                      <w:rFonts w:ascii="Trebuchet MS" w:hAnsi="Trebuchet MS"/>
                      <w:b/>
                      <w:sz w:val="20"/>
                    </w:rPr>
                    <w:t xml:space="preserve">the European Federation of Public Service Unions (EPSU) </w:t>
                  </w:r>
                  <w:hyperlink r:id="rId11" w:history="1">
                    <w:r w:rsidRPr="00EA188B">
                      <w:rPr>
                        <w:rStyle w:val="Hyperlink"/>
                        <w:rFonts w:ascii="Trebuchet MS" w:hAnsi="Trebuchet MS"/>
                        <w:b/>
                        <w:sz w:val="20"/>
                      </w:rPr>
                      <w:t>www.epsu.org</w:t>
                    </w:r>
                  </w:hyperlink>
                </w:p>
                <w:p w:rsidR="00354397" w:rsidRDefault="00354397" w:rsidP="00354397">
                  <w:pPr>
                    <w:rPr>
                      <w:rFonts w:ascii="Trebuchet MS" w:hAnsi="Trebuchet MS"/>
                      <w:b/>
                      <w:sz w:val="20"/>
                    </w:rPr>
                  </w:pPr>
                </w:p>
                <w:p w:rsidR="00354397" w:rsidRDefault="00354397" w:rsidP="00354397">
                  <w:pPr>
                    <w:rPr>
                      <w:rFonts w:ascii="Trebuchet MS" w:hAnsi="Trebuchet MS"/>
                      <w:b/>
                      <w:sz w:val="20"/>
                    </w:rPr>
                  </w:pPr>
                </w:p>
                <w:p w:rsidR="00354397" w:rsidRDefault="00354397" w:rsidP="00354397">
                  <w:pPr>
                    <w:jc w:val="center"/>
                  </w:pPr>
                  <w:r>
                    <w:rPr>
                      <w:noProof/>
                      <w:sz w:val="18"/>
                      <w:szCs w:val="18"/>
                      <w:bdr w:val="single" w:sz="4" w:space="0" w:color="auto"/>
                      <w:lang w:eastAsia="en-GB"/>
                    </w:rPr>
                    <w:drawing>
                      <wp:inline distT="0" distB="0" distL="0" distR="0">
                        <wp:extent cx="482600" cy="330200"/>
                        <wp:effectExtent l="19050" t="0" r="0" b="0"/>
                        <wp:docPr id="9" name="Picture 9" descr="LOGO EU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EU SMALL"/>
                                <pic:cNvPicPr>
                                  <a:picLocks noChangeAspect="1" noChangeArrowheads="1"/>
                                </pic:cNvPicPr>
                              </pic:nvPicPr>
                              <pic:blipFill>
                                <a:blip r:embed="rId12"/>
                                <a:srcRect/>
                                <a:stretch>
                                  <a:fillRect/>
                                </a:stretch>
                              </pic:blipFill>
                              <pic:spPr bwMode="auto">
                                <a:xfrm>
                                  <a:off x="0" y="0"/>
                                  <a:ext cx="482600" cy="330200"/>
                                </a:xfrm>
                                <a:prstGeom prst="rect">
                                  <a:avLst/>
                                </a:prstGeom>
                                <a:noFill/>
                                <a:ln w="9525">
                                  <a:noFill/>
                                  <a:miter lim="800000"/>
                                  <a:headEnd/>
                                  <a:tailEnd/>
                                </a:ln>
                              </pic:spPr>
                            </pic:pic>
                          </a:graphicData>
                        </a:graphic>
                      </wp:inline>
                    </w:drawing>
                  </w:r>
                </w:p>
                <w:p w:rsidR="00354397" w:rsidRDefault="00354397" w:rsidP="00354397">
                  <w:pPr>
                    <w:jc w:val="center"/>
                    <w:rPr>
                      <w:i/>
                      <w:sz w:val="18"/>
                      <w:szCs w:val="18"/>
                    </w:rPr>
                  </w:pPr>
                  <w:proofErr w:type="gramStart"/>
                  <w:r w:rsidRPr="00F97B4F">
                    <w:rPr>
                      <w:i/>
                      <w:sz w:val="18"/>
                      <w:szCs w:val="18"/>
                    </w:rPr>
                    <w:t>with</w:t>
                  </w:r>
                  <w:proofErr w:type="gramEnd"/>
                  <w:r w:rsidRPr="00F97B4F">
                    <w:rPr>
                      <w:i/>
                      <w:sz w:val="18"/>
                      <w:szCs w:val="18"/>
                    </w:rPr>
                    <w:t xml:space="preserve"> the financial support of the European Commission</w:t>
                  </w:r>
                </w:p>
                <w:p w:rsidR="00354397" w:rsidRPr="0061472D" w:rsidRDefault="00354397" w:rsidP="00354397">
                  <w:pPr>
                    <w:rPr>
                      <w:b/>
                    </w:rPr>
                  </w:pPr>
                </w:p>
              </w:txbxContent>
            </v:textbox>
            <w10:wrap type="square" side="right"/>
          </v:shape>
        </w:pict>
      </w:r>
    </w:p>
    <w:p w:rsidR="00354397" w:rsidRDefault="00354397" w:rsidP="00B34880">
      <w:pPr>
        <w:jc w:val="center"/>
      </w:pPr>
    </w:p>
    <w:p w:rsidR="00354397" w:rsidRDefault="00354397" w:rsidP="00B34880">
      <w:pPr>
        <w:jc w:val="center"/>
      </w:pPr>
    </w:p>
    <w:p w:rsidR="00354397" w:rsidRDefault="00354397" w:rsidP="00B34880">
      <w:pPr>
        <w:jc w:val="center"/>
      </w:pPr>
    </w:p>
    <w:p w:rsidR="00354397" w:rsidRDefault="00354397" w:rsidP="00B34880">
      <w:pPr>
        <w:jc w:val="center"/>
      </w:pPr>
    </w:p>
    <w:p w:rsidR="00354397" w:rsidRDefault="00354397" w:rsidP="00B34880">
      <w:pPr>
        <w:jc w:val="center"/>
      </w:pPr>
    </w:p>
    <w:p w:rsidR="00354397" w:rsidRDefault="00354397" w:rsidP="00B34880">
      <w:pPr>
        <w:jc w:val="center"/>
      </w:pPr>
    </w:p>
    <w:p w:rsidR="00354397" w:rsidRDefault="00354397" w:rsidP="00B34880">
      <w:pPr>
        <w:jc w:val="center"/>
      </w:pPr>
    </w:p>
    <w:p w:rsidR="00354397" w:rsidRDefault="00354397" w:rsidP="00B34880">
      <w:pPr>
        <w:jc w:val="center"/>
      </w:pPr>
    </w:p>
    <w:p w:rsidR="00354397" w:rsidRDefault="00354397" w:rsidP="00B34880">
      <w:pPr>
        <w:jc w:val="center"/>
      </w:pPr>
    </w:p>
    <w:p w:rsidR="00354397" w:rsidRDefault="00354397" w:rsidP="00B34880">
      <w:pPr>
        <w:jc w:val="center"/>
      </w:pPr>
    </w:p>
    <w:p w:rsidR="00354397" w:rsidRDefault="00354397" w:rsidP="00B34880">
      <w:pPr>
        <w:jc w:val="center"/>
      </w:pPr>
    </w:p>
    <w:p w:rsidR="00354397" w:rsidRDefault="00354397" w:rsidP="00B34880">
      <w:pPr>
        <w:jc w:val="center"/>
      </w:pPr>
    </w:p>
    <w:p w:rsidR="00354397" w:rsidRDefault="00354397" w:rsidP="00B34880">
      <w:pPr>
        <w:jc w:val="center"/>
      </w:pPr>
    </w:p>
    <w:p w:rsidR="00354397" w:rsidRDefault="00354397">
      <w:r>
        <w:br w:type="page"/>
      </w:r>
    </w:p>
    <w:p w:rsidR="00354397" w:rsidRDefault="00354397" w:rsidP="00B34880">
      <w:pPr>
        <w:jc w:val="center"/>
      </w:pPr>
    </w:p>
    <w:p w:rsidR="00354397" w:rsidRDefault="00354397" w:rsidP="00B34880">
      <w:pPr>
        <w:jc w:val="center"/>
      </w:pPr>
    </w:p>
    <w:p w:rsidR="00354397" w:rsidRDefault="00354397" w:rsidP="00B34880">
      <w:pPr>
        <w:jc w:val="center"/>
      </w:pPr>
    </w:p>
    <w:bookmarkStart w:id="0" w:name="_GoBack"/>
    <w:bookmarkEnd w:id="0"/>
    <w:p w:rsidR="006C61EC" w:rsidRDefault="00F4142F">
      <w:pPr>
        <w:pStyle w:val="TOC1"/>
        <w:tabs>
          <w:tab w:val="right" w:leader="dot" w:pos="9628"/>
        </w:tabs>
        <w:rPr>
          <w:rFonts w:asciiTheme="minorHAnsi" w:eastAsiaTheme="minorEastAsia" w:hAnsiTheme="minorHAnsi" w:cstheme="minorBidi"/>
          <w:b w:val="0"/>
          <w:bCs w:val="0"/>
          <w:caps w:val="0"/>
          <w:noProof/>
          <w:sz w:val="22"/>
          <w:szCs w:val="22"/>
          <w:lang w:eastAsia="en-GB"/>
        </w:rPr>
      </w:pPr>
      <w:r w:rsidRPr="00F4142F">
        <w:rPr>
          <w:b w:val="0"/>
          <w:bCs w:val="0"/>
          <w:caps w:val="0"/>
        </w:rPr>
        <w:fldChar w:fldCharType="begin"/>
      </w:r>
      <w:r w:rsidR="00B62A24">
        <w:rPr>
          <w:b w:val="0"/>
          <w:bCs w:val="0"/>
          <w:caps w:val="0"/>
        </w:rPr>
        <w:instrText xml:space="preserve"> TOC \o "3-4" \h \z \t "Heading 1,1,Heading 2,2,Heading 5,4,Heading 6,4,Heading 7,4,Heading 8,4" </w:instrText>
      </w:r>
      <w:r w:rsidRPr="00F4142F">
        <w:rPr>
          <w:b w:val="0"/>
          <w:bCs w:val="0"/>
          <w:caps w:val="0"/>
        </w:rPr>
        <w:fldChar w:fldCharType="separate"/>
      </w:r>
      <w:hyperlink w:anchor="_Toc305768490" w:history="1">
        <w:r w:rsidR="006C61EC" w:rsidRPr="00281D78">
          <w:rPr>
            <w:rStyle w:val="Hyperlink"/>
            <w:noProof/>
          </w:rPr>
          <w:t>Summary</w:t>
        </w:r>
        <w:r w:rsidR="006C61EC">
          <w:rPr>
            <w:noProof/>
            <w:webHidden/>
          </w:rPr>
          <w:tab/>
        </w:r>
        <w:r w:rsidR="006C61EC">
          <w:rPr>
            <w:noProof/>
            <w:webHidden/>
          </w:rPr>
          <w:fldChar w:fldCharType="begin"/>
        </w:r>
        <w:r w:rsidR="006C61EC">
          <w:rPr>
            <w:noProof/>
            <w:webHidden/>
          </w:rPr>
          <w:instrText xml:space="preserve"> PAGEREF _Toc305768490 \h </w:instrText>
        </w:r>
        <w:r w:rsidR="006C61EC">
          <w:rPr>
            <w:noProof/>
            <w:webHidden/>
          </w:rPr>
        </w:r>
        <w:r w:rsidR="006C61EC">
          <w:rPr>
            <w:noProof/>
            <w:webHidden/>
          </w:rPr>
          <w:fldChar w:fldCharType="separate"/>
        </w:r>
        <w:r w:rsidR="006C61EC">
          <w:rPr>
            <w:noProof/>
            <w:webHidden/>
          </w:rPr>
          <w:t>4</w:t>
        </w:r>
        <w:r w:rsidR="006C61EC">
          <w:rPr>
            <w:noProof/>
            <w:webHidden/>
          </w:rPr>
          <w:fldChar w:fldCharType="end"/>
        </w:r>
      </w:hyperlink>
    </w:p>
    <w:p w:rsidR="006C61EC" w:rsidRDefault="006C61EC">
      <w:pPr>
        <w:pStyle w:val="TOC1"/>
        <w:tabs>
          <w:tab w:val="left" w:pos="440"/>
          <w:tab w:val="right" w:leader="dot" w:pos="9628"/>
        </w:tabs>
        <w:rPr>
          <w:rFonts w:asciiTheme="minorHAnsi" w:eastAsiaTheme="minorEastAsia" w:hAnsiTheme="minorHAnsi" w:cstheme="minorBidi"/>
          <w:b w:val="0"/>
          <w:bCs w:val="0"/>
          <w:caps w:val="0"/>
          <w:noProof/>
          <w:sz w:val="22"/>
          <w:szCs w:val="22"/>
          <w:lang w:eastAsia="en-GB"/>
        </w:rPr>
      </w:pPr>
      <w:hyperlink w:anchor="_Toc305768491" w:history="1">
        <w:r w:rsidRPr="00281D78">
          <w:rPr>
            <w:rStyle w:val="Hyperlink"/>
            <w:noProof/>
          </w:rPr>
          <w:t>1.</w:t>
        </w:r>
        <w:r>
          <w:rPr>
            <w:rFonts w:asciiTheme="minorHAnsi" w:eastAsiaTheme="minorEastAsia" w:hAnsiTheme="minorHAnsi" w:cstheme="minorBidi"/>
            <w:b w:val="0"/>
            <w:bCs w:val="0"/>
            <w:caps w:val="0"/>
            <w:noProof/>
            <w:sz w:val="22"/>
            <w:szCs w:val="22"/>
            <w:lang w:eastAsia="en-GB"/>
          </w:rPr>
          <w:tab/>
        </w:r>
        <w:r w:rsidRPr="00281D78">
          <w:rPr>
            <w:rStyle w:val="Hyperlink"/>
            <w:noProof/>
          </w:rPr>
          <w:t>Introduction</w:t>
        </w:r>
        <w:r>
          <w:rPr>
            <w:noProof/>
            <w:webHidden/>
          </w:rPr>
          <w:tab/>
        </w:r>
        <w:r>
          <w:rPr>
            <w:noProof/>
            <w:webHidden/>
          </w:rPr>
          <w:fldChar w:fldCharType="begin"/>
        </w:r>
        <w:r>
          <w:rPr>
            <w:noProof/>
            <w:webHidden/>
          </w:rPr>
          <w:instrText xml:space="preserve"> PAGEREF _Toc305768491 \h </w:instrText>
        </w:r>
        <w:r>
          <w:rPr>
            <w:noProof/>
            <w:webHidden/>
          </w:rPr>
        </w:r>
        <w:r>
          <w:rPr>
            <w:noProof/>
            <w:webHidden/>
          </w:rPr>
          <w:fldChar w:fldCharType="separate"/>
        </w:r>
        <w:r>
          <w:rPr>
            <w:noProof/>
            <w:webHidden/>
          </w:rPr>
          <w:t>5</w:t>
        </w:r>
        <w:r>
          <w:rPr>
            <w:noProof/>
            <w:webHidden/>
          </w:rPr>
          <w:fldChar w:fldCharType="end"/>
        </w:r>
      </w:hyperlink>
    </w:p>
    <w:p w:rsidR="006C61EC" w:rsidRDefault="006C61EC">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05768492" w:history="1">
        <w:r w:rsidRPr="00281D78">
          <w:rPr>
            <w:rStyle w:val="Hyperlink"/>
            <w:noProof/>
          </w:rPr>
          <w:t>1.1.</w:t>
        </w:r>
        <w:r>
          <w:rPr>
            <w:rFonts w:asciiTheme="minorHAnsi" w:eastAsiaTheme="minorEastAsia" w:hAnsiTheme="minorHAnsi" w:cstheme="minorBidi"/>
            <w:smallCaps w:val="0"/>
            <w:noProof/>
            <w:sz w:val="22"/>
            <w:szCs w:val="22"/>
            <w:lang w:eastAsia="en-GB"/>
          </w:rPr>
          <w:tab/>
        </w:r>
        <w:r w:rsidRPr="00281D78">
          <w:rPr>
            <w:rStyle w:val="Hyperlink"/>
            <w:noProof/>
          </w:rPr>
          <w:t>Countries</w:t>
        </w:r>
        <w:r>
          <w:rPr>
            <w:noProof/>
            <w:webHidden/>
          </w:rPr>
          <w:tab/>
        </w:r>
        <w:r>
          <w:rPr>
            <w:noProof/>
            <w:webHidden/>
          </w:rPr>
          <w:fldChar w:fldCharType="begin"/>
        </w:r>
        <w:r>
          <w:rPr>
            <w:noProof/>
            <w:webHidden/>
          </w:rPr>
          <w:instrText xml:space="preserve"> PAGEREF _Toc305768492 \h </w:instrText>
        </w:r>
        <w:r>
          <w:rPr>
            <w:noProof/>
            <w:webHidden/>
          </w:rPr>
        </w:r>
        <w:r>
          <w:rPr>
            <w:noProof/>
            <w:webHidden/>
          </w:rPr>
          <w:fldChar w:fldCharType="separate"/>
        </w:r>
        <w:r>
          <w:rPr>
            <w:noProof/>
            <w:webHidden/>
          </w:rPr>
          <w:t>5</w:t>
        </w:r>
        <w:r>
          <w:rPr>
            <w:noProof/>
            <w:webHidden/>
          </w:rPr>
          <w:fldChar w:fldCharType="end"/>
        </w:r>
      </w:hyperlink>
    </w:p>
    <w:p w:rsidR="006C61EC" w:rsidRDefault="006C61EC">
      <w:pPr>
        <w:pStyle w:val="TOC4"/>
        <w:tabs>
          <w:tab w:val="left" w:pos="1540"/>
          <w:tab w:val="right" w:leader="dot" w:pos="9628"/>
        </w:tabs>
        <w:rPr>
          <w:rFonts w:asciiTheme="minorHAnsi" w:eastAsiaTheme="minorEastAsia" w:hAnsiTheme="minorHAnsi" w:cstheme="minorBidi"/>
          <w:noProof/>
          <w:sz w:val="22"/>
          <w:szCs w:val="22"/>
          <w:lang w:eastAsia="en-GB"/>
        </w:rPr>
      </w:pPr>
      <w:hyperlink w:anchor="_Toc305768493" w:history="1">
        <w:r w:rsidRPr="00281D78">
          <w:rPr>
            <w:rStyle w:val="Hyperlink"/>
            <w:noProof/>
          </w:rPr>
          <w:t>Chart A.</w:t>
        </w:r>
        <w:r>
          <w:rPr>
            <w:rFonts w:asciiTheme="minorHAnsi" w:eastAsiaTheme="minorEastAsia" w:hAnsiTheme="minorHAnsi" w:cstheme="minorBidi"/>
            <w:noProof/>
            <w:sz w:val="22"/>
            <w:szCs w:val="22"/>
            <w:lang w:eastAsia="en-GB"/>
          </w:rPr>
          <w:tab/>
        </w:r>
        <w:r w:rsidRPr="00281D78">
          <w:rPr>
            <w:rStyle w:val="Hyperlink"/>
            <w:noProof/>
          </w:rPr>
          <w:t>EU enlargement and eastern partnership countries</w:t>
        </w:r>
        <w:r>
          <w:rPr>
            <w:noProof/>
            <w:webHidden/>
          </w:rPr>
          <w:tab/>
        </w:r>
        <w:r>
          <w:rPr>
            <w:noProof/>
            <w:webHidden/>
          </w:rPr>
          <w:fldChar w:fldCharType="begin"/>
        </w:r>
        <w:r>
          <w:rPr>
            <w:noProof/>
            <w:webHidden/>
          </w:rPr>
          <w:instrText xml:space="preserve"> PAGEREF _Toc305768493 \h </w:instrText>
        </w:r>
        <w:r>
          <w:rPr>
            <w:noProof/>
            <w:webHidden/>
          </w:rPr>
        </w:r>
        <w:r>
          <w:rPr>
            <w:noProof/>
            <w:webHidden/>
          </w:rPr>
          <w:fldChar w:fldCharType="separate"/>
        </w:r>
        <w:r>
          <w:rPr>
            <w:noProof/>
            <w:webHidden/>
          </w:rPr>
          <w:t>5</w:t>
        </w:r>
        <w:r>
          <w:rPr>
            <w:noProof/>
            <w:webHidden/>
          </w:rPr>
          <w:fldChar w:fldCharType="end"/>
        </w:r>
      </w:hyperlink>
    </w:p>
    <w:p w:rsidR="006C61EC" w:rsidRDefault="006C61EC">
      <w:pPr>
        <w:pStyle w:val="TOC4"/>
        <w:tabs>
          <w:tab w:val="left" w:pos="1540"/>
          <w:tab w:val="right" w:leader="dot" w:pos="9628"/>
        </w:tabs>
        <w:rPr>
          <w:rFonts w:asciiTheme="minorHAnsi" w:eastAsiaTheme="minorEastAsia" w:hAnsiTheme="minorHAnsi" w:cstheme="minorBidi"/>
          <w:noProof/>
          <w:sz w:val="22"/>
          <w:szCs w:val="22"/>
          <w:lang w:eastAsia="en-GB"/>
        </w:rPr>
      </w:pPr>
      <w:hyperlink w:anchor="_Toc305768494" w:history="1">
        <w:r w:rsidRPr="00281D78">
          <w:rPr>
            <w:rStyle w:val="Hyperlink"/>
            <w:noProof/>
          </w:rPr>
          <w:t>Table 1.</w:t>
        </w:r>
        <w:r>
          <w:rPr>
            <w:rFonts w:asciiTheme="minorHAnsi" w:eastAsiaTheme="minorEastAsia" w:hAnsiTheme="minorHAnsi" w:cstheme="minorBidi"/>
            <w:noProof/>
            <w:sz w:val="22"/>
            <w:szCs w:val="22"/>
            <w:lang w:eastAsia="en-GB"/>
          </w:rPr>
          <w:tab/>
        </w:r>
        <w:r w:rsidRPr="00281D78">
          <w:rPr>
            <w:rStyle w:val="Hyperlink"/>
            <w:noProof/>
          </w:rPr>
          <w:t>Population, GDP, government spending and affiliated unions</w:t>
        </w:r>
        <w:r>
          <w:rPr>
            <w:noProof/>
            <w:webHidden/>
          </w:rPr>
          <w:tab/>
        </w:r>
        <w:r>
          <w:rPr>
            <w:noProof/>
            <w:webHidden/>
          </w:rPr>
          <w:fldChar w:fldCharType="begin"/>
        </w:r>
        <w:r>
          <w:rPr>
            <w:noProof/>
            <w:webHidden/>
          </w:rPr>
          <w:instrText xml:space="preserve"> PAGEREF _Toc305768494 \h </w:instrText>
        </w:r>
        <w:r>
          <w:rPr>
            <w:noProof/>
            <w:webHidden/>
          </w:rPr>
        </w:r>
        <w:r>
          <w:rPr>
            <w:noProof/>
            <w:webHidden/>
          </w:rPr>
          <w:fldChar w:fldCharType="separate"/>
        </w:r>
        <w:r>
          <w:rPr>
            <w:noProof/>
            <w:webHidden/>
          </w:rPr>
          <w:t>6</w:t>
        </w:r>
        <w:r>
          <w:rPr>
            <w:noProof/>
            <w:webHidden/>
          </w:rPr>
          <w:fldChar w:fldCharType="end"/>
        </w:r>
      </w:hyperlink>
    </w:p>
    <w:p w:rsidR="006C61EC" w:rsidRDefault="006C61EC">
      <w:pPr>
        <w:pStyle w:val="TOC4"/>
        <w:tabs>
          <w:tab w:val="left" w:pos="1540"/>
          <w:tab w:val="right" w:leader="dot" w:pos="9628"/>
        </w:tabs>
        <w:rPr>
          <w:rFonts w:asciiTheme="minorHAnsi" w:eastAsiaTheme="minorEastAsia" w:hAnsiTheme="minorHAnsi" w:cstheme="minorBidi"/>
          <w:noProof/>
          <w:sz w:val="22"/>
          <w:szCs w:val="22"/>
          <w:lang w:eastAsia="en-GB"/>
        </w:rPr>
      </w:pPr>
      <w:hyperlink w:anchor="_Toc305768495" w:history="1">
        <w:r w:rsidRPr="00281D78">
          <w:rPr>
            <w:rStyle w:val="Hyperlink"/>
            <w:noProof/>
          </w:rPr>
          <w:t>Table 2.</w:t>
        </w:r>
        <w:r>
          <w:rPr>
            <w:rFonts w:asciiTheme="minorHAnsi" w:eastAsiaTheme="minorEastAsia" w:hAnsiTheme="minorHAnsi" w:cstheme="minorBidi"/>
            <w:noProof/>
            <w:sz w:val="22"/>
            <w:szCs w:val="22"/>
            <w:lang w:eastAsia="en-GB"/>
          </w:rPr>
          <w:tab/>
        </w:r>
        <w:r w:rsidRPr="00281D78">
          <w:rPr>
            <w:rStyle w:val="Hyperlink"/>
            <w:noProof/>
          </w:rPr>
          <w:t>Crisis and economic growth 2009-2011</w:t>
        </w:r>
        <w:r>
          <w:rPr>
            <w:noProof/>
            <w:webHidden/>
          </w:rPr>
          <w:tab/>
        </w:r>
        <w:r>
          <w:rPr>
            <w:noProof/>
            <w:webHidden/>
          </w:rPr>
          <w:fldChar w:fldCharType="begin"/>
        </w:r>
        <w:r>
          <w:rPr>
            <w:noProof/>
            <w:webHidden/>
          </w:rPr>
          <w:instrText xml:space="preserve"> PAGEREF _Toc305768495 \h </w:instrText>
        </w:r>
        <w:r>
          <w:rPr>
            <w:noProof/>
            <w:webHidden/>
          </w:rPr>
        </w:r>
        <w:r>
          <w:rPr>
            <w:noProof/>
            <w:webHidden/>
          </w:rPr>
          <w:fldChar w:fldCharType="separate"/>
        </w:r>
        <w:r>
          <w:rPr>
            <w:noProof/>
            <w:webHidden/>
          </w:rPr>
          <w:t>6</w:t>
        </w:r>
        <w:r>
          <w:rPr>
            <w:noProof/>
            <w:webHidden/>
          </w:rPr>
          <w:fldChar w:fldCharType="end"/>
        </w:r>
      </w:hyperlink>
    </w:p>
    <w:p w:rsidR="006C61EC" w:rsidRDefault="006C61EC">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05768496" w:history="1">
        <w:r w:rsidRPr="00281D78">
          <w:rPr>
            <w:rStyle w:val="Hyperlink"/>
            <w:noProof/>
          </w:rPr>
          <w:t>1.2.</w:t>
        </w:r>
        <w:r>
          <w:rPr>
            <w:rFonts w:asciiTheme="minorHAnsi" w:eastAsiaTheme="minorEastAsia" w:hAnsiTheme="minorHAnsi" w:cstheme="minorBidi"/>
            <w:smallCaps w:val="0"/>
            <w:noProof/>
            <w:sz w:val="22"/>
            <w:szCs w:val="22"/>
            <w:lang w:eastAsia="en-GB"/>
          </w:rPr>
          <w:tab/>
        </w:r>
        <w:r w:rsidRPr="00281D78">
          <w:rPr>
            <w:rStyle w:val="Hyperlink"/>
            <w:noProof/>
          </w:rPr>
          <w:t>2020 strategy: main elements and consultation</w:t>
        </w:r>
        <w:r>
          <w:rPr>
            <w:noProof/>
            <w:webHidden/>
          </w:rPr>
          <w:tab/>
        </w:r>
        <w:r>
          <w:rPr>
            <w:noProof/>
            <w:webHidden/>
          </w:rPr>
          <w:fldChar w:fldCharType="begin"/>
        </w:r>
        <w:r>
          <w:rPr>
            <w:noProof/>
            <w:webHidden/>
          </w:rPr>
          <w:instrText xml:space="preserve"> PAGEREF _Toc305768496 \h </w:instrText>
        </w:r>
        <w:r>
          <w:rPr>
            <w:noProof/>
            <w:webHidden/>
          </w:rPr>
        </w:r>
        <w:r>
          <w:rPr>
            <w:noProof/>
            <w:webHidden/>
          </w:rPr>
          <w:fldChar w:fldCharType="separate"/>
        </w:r>
        <w:r>
          <w:rPr>
            <w:noProof/>
            <w:webHidden/>
          </w:rPr>
          <w:t>6</w:t>
        </w:r>
        <w:r>
          <w:rPr>
            <w:noProof/>
            <w:webHidden/>
          </w:rPr>
          <w:fldChar w:fldCharType="end"/>
        </w:r>
      </w:hyperlink>
    </w:p>
    <w:p w:rsidR="006C61EC" w:rsidRDefault="006C61EC">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05768497" w:history="1">
        <w:r w:rsidRPr="00281D78">
          <w:rPr>
            <w:rStyle w:val="Hyperlink"/>
            <w:noProof/>
          </w:rPr>
          <w:t>1.2.1.</w:t>
        </w:r>
        <w:r>
          <w:rPr>
            <w:rFonts w:asciiTheme="minorHAnsi" w:eastAsiaTheme="minorEastAsia" w:hAnsiTheme="minorHAnsi" w:cstheme="minorBidi"/>
            <w:i w:val="0"/>
            <w:iCs w:val="0"/>
            <w:noProof/>
            <w:sz w:val="22"/>
            <w:szCs w:val="22"/>
            <w:lang w:eastAsia="en-GB"/>
          </w:rPr>
          <w:tab/>
        </w:r>
        <w:r w:rsidRPr="00281D78">
          <w:rPr>
            <w:rStyle w:val="Hyperlink"/>
            <w:noProof/>
          </w:rPr>
          <w:t>Key elements of the 2020 strategy</w:t>
        </w:r>
        <w:r>
          <w:rPr>
            <w:noProof/>
            <w:webHidden/>
          </w:rPr>
          <w:tab/>
        </w:r>
        <w:r>
          <w:rPr>
            <w:noProof/>
            <w:webHidden/>
          </w:rPr>
          <w:fldChar w:fldCharType="begin"/>
        </w:r>
        <w:r>
          <w:rPr>
            <w:noProof/>
            <w:webHidden/>
          </w:rPr>
          <w:instrText xml:space="preserve"> PAGEREF _Toc305768497 \h </w:instrText>
        </w:r>
        <w:r>
          <w:rPr>
            <w:noProof/>
            <w:webHidden/>
          </w:rPr>
        </w:r>
        <w:r>
          <w:rPr>
            <w:noProof/>
            <w:webHidden/>
          </w:rPr>
          <w:fldChar w:fldCharType="separate"/>
        </w:r>
        <w:r>
          <w:rPr>
            <w:noProof/>
            <w:webHidden/>
          </w:rPr>
          <w:t>7</w:t>
        </w:r>
        <w:r>
          <w:rPr>
            <w:noProof/>
            <w:webHidden/>
          </w:rPr>
          <w:fldChar w:fldCharType="end"/>
        </w:r>
      </w:hyperlink>
    </w:p>
    <w:p w:rsidR="006C61EC" w:rsidRDefault="006C61EC">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05768498" w:history="1">
        <w:r w:rsidRPr="00281D78">
          <w:rPr>
            <w:rStyle w:val="Hyperlink"/>
            <w:noProof/>
          </w:rPr>
          <w:t>1.2.2.</w:t>
        </w:r>
        <w:r>
          <w:rPr>
            <w:rFonts w:asciiTheme="minorHAnsi" w:eastAsiaTheme="minorEastAsia" w:hAnsiTheme="minorHAnsi" w:cstheme="minorBidi"/>
            <w:i w:val="0"/>
            <w:iCs w:val="0"/>
            <w:noProof/>
            <w:sz w:val="22"/>
            <w:szCs w:val="22"/>
            <w:lang w:eastAsia="en-GB"/>
          </w:rPr>
          <w:tab/>
        </w:r>
        <w:r w:rsidRPr="00281D78">
          <w:rPr>
            <w:rStyle w:val="Hyperlink"/>
            <w:noProof/>
          </w:rPr>
          <w:t>New annual cycle of monitoring, policy coordination and consultation</w:t>
        </w:r>
        <w:r>
          <w:rPr>
            <w:noProof/>
            <w:webHidden/>
          </w:rPr>
          <w:tab/>
        </w:r>
        <w:r>
          <w:rPr>
            <w:noProof/>
            <w:webHidden/>
          </w:rPr>
          <w:fldChar w:fldCharType="begin"/>
        </w:r>
        <w:r>
          <w:rPr>
            <w:noProof/>
            <w:webHidden/>
          </w:rPr>
          <w:instrText xml:space="preserve"> PAGEREF _Toc305768498 \h </w:instrText>
        </w:r>
        <w:r>
          <w:rPr>
            <w:noProof/>
            <w:webHidden/>
          </w:rPr>
        </w:r>
        <w:r>
          <w:rPr>
            <w:noProof/>
            <w:webHidden/>
          </w:rPr>
          <w:fldChar w:fldCharType="separate"/>
        </w:r>
        <w:r>
          <w:rPr>
            <w:noProof/>
            <w:webHidden/>
          </w:rPr>
          <w:t>8</w:t>
        </w:r>
        <w:r>
          <w:rPr>
            <w:noProof/>
            <w:webHidden/>
          </w:rPr>
          <w:fldChar w:fldCharType="end"/>
        </w:r>
      </w:hyperlink>
    </w:p>
    <w:p w:rsidR="006C61EC" w:rsidRDefault="006C61EC">
      <w:pPr>
        <w:pStyle w:val="TOC4"/>
        <w:tabs>
          <w:tab w:val="left" w:pos="1540"/>
          <w:tab w:val="right" w:leader="dot" w:pos="9628"/>
        </w:tabs>
        <w:rPr>
          <w:rFonts w:asciiTheme="minorHAnsi" w:eastAsiaTheme="minorEastAsia" w:hAnsiTheme="minorHAnsi" w:cstheme="minorBidi"/>
          <w:noProof/>
          <w:sz w:val="22"/>
          <w:szCs w:val="22"/>
          <w:lang w:eastAsia="en-GB"/>
        </w:rPr>
      </w:pPr>
      <w:hyperlink w:anchor="_Toc305768499" w:history="1">
        <w:r w:rsidRPr="00281D78">
          <w:rPr>
            <w:rStyle w:val="Hyperlink"/>
            <w:noProof/>
          </w:rPr>
          <w:t>Chart B.</w:t>
        </w:r>
        <w:r>
          <w:rPr>
            <w:rFonts w:asciiTheme="minorHAnsi" w:eastAsiaTheme="minorEastAsia" w:hAnsiTheme="minorHAnsi" w:cstheme="minorBidi"/>
            <w:noProof/>
            <w:sz w:val="22"/>
            <w:szCs w:val="22"/>
            <w:lang w:eastAsia="en-GB"/>
          </w:rPr>
          <w:tab/>
        </w:r>
        <w:r w:rsidRPr="00281D78">
          <w:rPr>
            <w:rStyle w:val="Hyperlink"/>
            <w:noProof/>
          </w:rPr>
          <w:t>The ‘European semester’ economic policy cycle</w:t>
        </w:r>
        <w:r>
          <w:rPr>
            <w:noProof/>
            <w:webHidden/>
          </w:rPr>
          <w:tab/>
        </w:r>
        <w:r>
          <w:rPr>
            <w:noProof/>
            <w:webHidden/>
          </w:rPr>
          <w:fldChar w:fldCharType="begin"/>
        </w:r>
        <w:r>
          <w:rPr>
            <w:noProof/>
            <w:webHidden/>
          </w:rPr>
          <w:instrText xml:space="preserve"> PAGEREF _Toc305768499 \h </w:instrText>
        </w:r>
        <w:r>
          <w:rPr>
            <w:noProof/>
            <w:webHidden/>
          </w:rPr>
        </w:r>
        <w:r>
          <w:rPr>
            <w:noProof/>
            <w:webHidden/>
          </w:rPr>
          <w:fldChar w:fldCharType="separate"/>
        </w:r>
        <w:r>
          <w:rPr>
            <w:noProof/>
            <w:webHidden/>
          </w:rPr>
          <w:t>8</w:t>
        </w:r>
        <w:r>
          <w:rPr>
            <w:noProof/>
            <w:webHidden/>
          </w:rPr>
          <w:fldChar w:fldCharType="end"/>
        </w:r>
      </w:hyperlink>
    </w:p>
    <w:p w:rsidR="006C61EC" w:rsidRDefault="006C61EC">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05768500" w:history="1">
        <w:r w:rsidRPr="00281D78">
          <w:rPr>
            <w:rStyle w:val="Hyperlink"/>
            <w:noProof/>
          </w:rPr>
          <w:t>1.2.3.</w:t>
        </w:r>
        <w:r>
          <w:rPr>
            <w:rFonts w:asciiTheme="minorHAnsi" w:eastAsiaTheme="minorEastAsia" w:hAnsiTheme="minorHAnsi" w:cstheme="minorBidi"/>
            <w:i w:val="0"/>
            <w:iCs w:val="0"/>
            <w:noProof/>
            <w:sz w:val="22"/>
            <w:szCs w:val="22"/>
            <w:lang w:eastAsia="en-GB"/>
          </w:rPr>
          <w:tab/>
        </w:r>
        <w:r w:rsidRPr="00281D78">
          <w:rPr>
            <w:rStyle w:val="Hyperlink"/>
            <w:noProof/>
          </w:rPr>
          <w:t>Possibilities for union involvement</w:t>
        </w:r>
        <w:r>
          <w:rPr>
            <w:noProof/>
            <w:webHidden/>
          </w:rPr>
          <w:tab/>
        </w:r>
        <w:r>
          <w:rPr>
            <w:noProof/>
            <w:webHidden/>
          </w:rPr>
          <w:fldChar w:fldCharType="begin"/>
        </w:r>
        <w:r>
          <w:rPr>
            <w:noProof/>
            <w:webHidden/>
          </w:rPr>
          <w:instrText xml:space="preserve"> PAGEREF _Toc305768500 \h </w:instrText>
        </w:r>
        <w:r>
          <w:rPr>
            <w:noProof/>
            <w:webHidden/>
          </w:rPr>
        </w:r>
        <w:r>
          <w:rPr>
            <w:noProof/>
            <w:webHidden/>
          </w:rPr>
          <w:fldChar w:fldCharType="separate"/>
        </w:r>
        <w:r>
          <w:rPr>
            <w:noProof/>
            <w:webHidden/>
          </w:rPr>
          <w:t>9</w:t>
        </w:r>
        <w:r>
          <w:rPr>
            <w:noProof/>
            <w:webHidden/>
          </w:rPr>
          <w:fldChar w:fldCharType="end"/>
        </w:r>
      </w:hyperlink>
    </w:p>
    <w:p w:rsidR="006C61EC" w:rsidRDefault="006C61EC">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05768501" w:history="1">
        <w:r w:rsidRPr="00281D78">
          <w:rPr>
            <w:rStyle w:val="Hyperlink"/>
            <w:noProof/>
          </w:rPr>
          <w:t>1.3.</w:t>
        </w:r>
        <w:r>
          <w:rPr>
            <w:rFonts w:asciiTheme="minorHAnsi" w:eastAsiaTheme="minorEastAsia" w:hAnsiTheme="minorHAnsi" w:cstheme="minorBidi"/>
            <w:smallCaps w:val="0"/>
            <w:noProof/>
            <w:sz w:val="22"/>
            <w:szCs w:val="22"/>
            <w:lang w:eastAsia="en-GB"/>
          </w:rPr>
          <w:tab/>
        </w:r>
        <w:r w:rsidRPr="00281D78">
          <w:rPr>
            <w:rStyle w:val="Hyperlink"/>
            <w:noProof/>
          </w:rPr>
          <w:t>The sectoral and institutional impact of 2020 strategy</w:t>
        </w:r>
        <w:r>
          <w:rPr>
            <w:noProof/>
            <w:webHidden/>
          </w:rPr>
          <w:tab/>
        </w:r>
        <w:r>
          <w:rPr>
            <w:noProof/>
            <w:webHidden/>
          </w:rPr>
          <w:fldChar w:fldCharType="begin"/>
        </w:r>
        <w:r>
          <w:rPr>
            <w:noProof/>
            <w:webHidden/>
          </w:rPr>
          <w:instrText xml:space="preserve"> PAGEREF _Toc305768501 \h </w:instrText>
        </w:r>
        <w:r>
          <w:rPr>
            <w:noProof/>
            <w:webHidden/>
          </w:rPr>
        </w:r>
        <w:r>
          <w:rPr>
            <w:noProof/>
            <w:webHidden/>
          </w:rPr>
          <w:fldChar w:fldCharType="separate"/>
        </w:r>
        <w:r>
          <w:rPr>
            <w:noProof/>
            <w:webHidden/>
          </w:rPr>
          <w:t>9</w:t>
        </w:r>
        <w:r>
          <w:rPr>
            <w:noProof/>
            <w:webHidden/>
          </w:rPr>
          <w:fldChar w:fldCharType="end"/>
        </w:r>
      </w:hyperlink>
    </w:p>
    <w:p w:rsidR="006C61EC" w:rsidRDefault="006C61EC">
      <w:pPr>
        <w:pStyle w:val="TOC1"/>
        <w:tabs>
          <w:tab w:val="left" w:pos="440"/>
          <w:tab w:val="right" w:leader="dot" w:pos="9628"/>
        </w:tabs>
        <w:rPr>
          <w:rFonts w:asciiTheme="minorHAnsi" w:eastAsiaTheme="minorEastAsia" w:hAnsiTheme="minorHAnsi" w:cstheme="minorBidi"/>
          <w:b w:val="0"/>
          <w:bCs w:val="0"/>
          <w:caps w:val="0"/>
          <w:noProof/>
          <w:sz w:val="22"/>
          <w:szCs w:val="22"/>
          <w:lang w:eastAsia="en-GB"/>
        </w:rPr>
      </w:pPr>
      <w:hyperlink w:anchor="_Toc305768502" w:history="1">
        <w:r w:rsidRPr="00281D78">
          <w:rPr>
            <w:rStyle w:val="Hyperlink"/>
            <w:noProof/>
          </w:rPr>
          <w:t>2.</w:t>
        </w:r>
        <w:r>
          <w:rPr>
            <w:rFonts w:asciiTheme="minorHAnsi" w:eastAsiaTheme="minorEastAsia" w:hAnsiTheme="minorHAnsi" w:cstheme="minorBidi"/>
            <w:b w:val="0"/>
            <w:bCs w:val="0"/>
            <w:caps w:val="0"/>
            <w:noProof/>
            <w:sz w:val="22"/>
            <w:szCs w:val="22"/>
            <w:lang w:eastAsia="en-GB"/>
          </w:rPr>
          <w:tab/>
        </w:r>
        <w:r w:rsidRPr="00281D78">
          <w:rPr>
            <w:rStyle w:val="Hyperlink"/>
            <w:noProof/>
          </w:rPr>
          <w:t>Policy elements relevant for energy, water and waste sectors</w:t>
        </w:r>
        <w:r>
          <w:rPr>
            <w:noProof/>
            <w:webHidden/>
          </w:rPr>
          <w:tab/>
        </w:r>
        <w:r>
          <w:rPr>
            <w:noProof/>
            <w:webHidden/>
          </w:rPr>
          <w:fldChar w:fldCharType="begin"/>
        </w:r>
        <w:r>
          <w:rPr>
            <w:noProof/>
            <w:webHidden/>
          </w:rPr>
          <w:instrText xml:space="preserve"> PAGEREF _Toc305768502 \h </w:instrText>
        </w:r>
        <w:r>
          <w:rPr>
            <w:noProof/>
            <w:webHidden/>
          </w:rPr>
        </w:r>
        <w:r>
          <w:rPr>
            <w:noProof/>
            <w:webHidden/>
          </w:rPr>
          <w:fldChar w:fldCharType="separate"/>
        </w:r>
        <w:r>
          <w:rPr>
            <w:noProof/>
            <w:webHidden/>
          </w:rPr>
          <w:t>10</w:t>
        </w:r>
        <w:r>
          <w:rPr>
            <w:noProof/>
            <w:webHidden/>
          </w:rPr>
          <w:fldChar w:fldCharType="end"/>
        </w:r>
      </w:hyperlink>
    </w:p>
    <w:p w:rsidR="006C61EC" w:rsidRDefault="006C61EC">
      <w:pPr>
        <w:pStyle w:val="TOC4"/>
        <w:tabs>
          <w:tab w:val="left" w:pos="1540"/>
          <w:tab w:val="right" w:leader="dot" w:pos="9628"/>
        </w:tabs>
        <w:rPr>
          <w:rFonts w:asciiTheme="minorHAnsi" w:eastAsiaTheme="minorEastAsia" w:hAnsiTheme="minorHAnsi" w:cstheme="minorBidi"/>
          <w:noProof/>
          <w:sz w:val="22"/>
          <w:szCs w:val="22"/>
          <w:lang w:eastAsia="en-GB"/>
        </w:rPr>
      </w:pPr>
      <w:hyperlink w:anchor="_Toc305768503" w:history="1">
        <w:r w:rsidRPr="00281D78">
          <w:rPr>
            <w:rStyle w:val="Hyperlink"/>
            <w:noProof/>
          </w:rPr>
          <w:t>Table 3.</w:t>
        </w:r>
        <w:r>
          <w:rPr>
            <w:rFonts w:asciiTheme="minorHAnsi" w:eastAsiaTheme="minorEastAsia" w:hAnsiTheme="minorHAnsi" w:cstheme="minorBidi"/>
            <w:noProof/>
            <w:sz w:val="22"/>
            <w:szCs w:val="22"/>
            <w:lang w:eastAsia="en-GB"/>
          </w:rPr>
          <w:tab/>
        </w:r>
        <w:r w:rsidRPr="00281D78">
          <w:rPr>
            <w:rStyle w:val="Hyperlink"/>
            <w:noProof/>
          </w:rPr>
          <w:t>Potential effects of elements on employment by sector</w:t>
        </w:r>
        <w:r>
          <w:rPr>
            <w:noProof/>
            <w:webHidden/>
          </w:rPr>
          <w:tab/>
        </w:r>
        <w:r>
          <w:rPr>
            <w:noProof/>
            <w:webHidden/>
          </w:rPr>
          <w:fldChar w:fldCharType="begin"/>
        </w:r>
        <w:r>
          <w:rPr>
            <w:noProof/>
            <w:webHidden/>
          </w:rPr>
          <w:instrText xml:space="preserve"> PAGEREF _Toc305768503 \h </w:instrText>
        </w:r>
        <w:r>
          <w:rPr>
            <w:noProof/>
            <w:webHidden/>
          </w:rPr>
        </w:r>
        <w:r>
          <w:rPr>
            <w:noProof/>
            <w:webHidden/>
          </w:rPr>
          <w:fldChar w:fldCharType="separate"/>
        </w:r>
        <w:r>
          <w:rPr>
            <w:noProof/>
            <w:webHidden/>
          </w:rPr>
          <w:t>11</w:t>
        </w:r>
        <w:r>
          <w:rPr>
            <w:noProof/>
            <w:webHidden/>
          </w:rPr>
          <w:fldChar w:fldCharType="end"/>
        </w:r>
      </w:hyperlink>
    </w:p>
    <w:p w:rsidR="006C61EC" w:rsidRDefault="006C61EC">
      <w:pPr>
        <w:pStyle w:val="TOC1"/>
        <w:tabs>
          <w:tab w:val="left" w:pos="440"/>
          <w:tab w:val="right" w:leader="dot" w:pos="9628"/>
        </w:tabs>
        <w:rPr>
          <w:rFonts w:asciiTheme="minorHAnsi" w:eastAsiaTheme="minorEastAsia" w:hAnsiTheme="minorHAnsi" w:cstheme="minorBidi"/>
          <w:b w:val="0"/>
          <w:bCs w:val="0"/>
          <w:caps w:val="0"/>
          <w:noProof/>
          <w:sz w:val="22"/>
          <w:szCs w:val="22"/>
          <w:lang w:eastAsia="en-GB"/>
        </w:rPr>
      </w:pPr>
      <w:hyperlink w:anchor="_Toc305768504" w:history="1">
        <w:r w:rsidRPr="00281D78">
          <w:rPr>
            <w:rStyle w:val="Hyperlink"/>
            <w:noProof/>
          </w:rPr>
          <w:t>3.</w:t>
        </w:r>
        <w:r>
          <w:rPr>
            <w:rFonts w:asciiTheme="minorHAnsi" w:eastAsiaTheme="minorEastAsia" w:hAnsiTheme="minorHAnsi" w:cstheme="minorBidi"/>
            <w:b w:val="0"/>
            <w:bCs w:val="0"/>
            <w:caps w:val="0"/>
            <w:noProof/>
            <w:sz w:val="22"/>
            <w:szCs w:val="22"/>
            <w:lang w:eastAsia="en-GB"/>
          </w:rPr>
          <w:tab/>
        </w:r>
        <w:r w:rsidRPr="00281D78">
          <w:rPr>
            <w:rStyle w:val="Hyperlink"/>
            <w:noProof/>
          </w:rPr>
          <w:t>Institutional dimensions</w:t>
        </w:r>
        <w:r>
          <w:rPr>
            <w:noProof/>
            <w:webHidden/>
          </w:rPr>
          <w:tab/>
        </w:r>
        <w:r>
          <w:rPr>
            <w:noProof/>
            <w:webHidden/>
          </w:rPr>
          <w:fldChar w:fldCharType="begin"/>
        </w:r>
        <w:r>
          <w:rPr>
            <w:noProof/>
            <w:webHidden/>
          </w:rPr>
          <w:instrText xml:space="preserve"> PAGEREF _Toc305768504 \h </w:instrText>
        </w:r>
        <w:r>
          <w:rPr>
            <w:noProof/>
            <w:webHidden/>
          </w:rPr>
        </w:r>
        <w:r>
          <w:rPr>
            <w:noProof/>
            <w:webHidden/>
          </w:rPr>
          <w:fldChar w:fldCharType="separate"/>
        </w:r>
        <w:r>
          <w:rPr>
            <w:noProof/>
            <w:webHidden/>
          </w:rPr>
          <w:t>12</w:t>
        </w:r>
        <w:r>
          <w:rPr>
            <w:noProof/>
            <w:webHidden/>
          </w:rPr>
          <w:fldChar w:fldCharType="end"/>
        </w:r>
      </w:hyperlink>
    </w:p>
    <w:p w:rsidR="006C61EC" w:rsidRDefault="006C61EC">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05768505" w:history="1">
        <w:r w:rsidRPr="00281D78">
          <w:rPr>
            <w:rStyle w:val="Hyperlink"/>
            <w:noProof/>
          </w:rPr>
          <w:t>3.1.</w:t>
        </w:r>
        <w:r>
          <w:rPr>
            <w:rFonts w:asciiTheme="minorHAnsi" w:eastAsiaTheme="minorEastAsia" w:hAnsiTheme="minorHAnsi" w:cstheme="minorBidi"/>
            <w:smallCaps w:val="0"/>
            <w:noProof/>
            <w:sz w:val="22"/>
            <w:szCs w:val="22"/>
            <w:lang w:eastAsia="en-GB"/>
          </w:rPr>
          <w:tab/>
        </w:r>
        <w:r w:rsidRPr="00281D78">
          <w:rPr>
            <w:rStyle w:val="Hyperlink"/>
            <w:noProof/>
          </w:rPr>
          <w:t>EU sectoral policies</w:t>
        </w:r>
        <w:r>
          <w:rPr>
            <w:noProof/>
            <w:webHidden/>
          </w:rPr>
          <w:tab/>
        </w:r>
        <w:r>
          <w:rPr>
            <w:noProof/>
            <w:webHidden/>
          </w:rPr>
          <w:fldChar w:fldCharType="begin"/>
        </w:r>
        <w:r>
          <w:rPr>
            <w:noProof/>
            <w:webHidden/>
          </w:rPr>
          <w:instrText xml:space="preserve"> PAGEREF _Toc305768505 \h </w:instrText>
        </w:r>
        <w:r>
          <w:rPr>
            <w:noProof/>
            <w:webHidden/>
          </w:rPr>
        </w:r>
        <w:r>
          <w:rPr>
            <w:noProof/>
            <w:webHidden/>
          </w:rPr>
          <w:fldChar w:fldCharType="separate"/>
        </w:r>
        <w:r>
          <w:rPr>
            <w:noProof/>
            <w:webHidden/>
          </w:rPr>
          <w:t>12</w:t>
        </w:r>
        <w:r>
          <w:rPr>
            <w:noProof/>
            <w:webHidden/>
          </w:rPr>
          <w:fldChar w:fldCharType="end"/>
        </w:r>
      </w:hyperlink>
    </w:p>
    <w:p w:rsidR="006C61EC" w:rsidRDefault="006C61EC">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05768506" w:history="1">
        <w:r w:rsidRPr="00281D78">
          <w:rPr>
            <w:rStyle w:val="Hyperlink"/>
            <w:noProof/>
          </w:rPr>
          <w:t>3.2.</w:t>
        </w:r>
        <w:r>
          <w:rPr>
            <w:rFonts w:asciiTheme="minorHAnsi" w:eastAsiaTheme="minorEastAsia" w:hAnsiTheme="minorHAnsi" w:cstheme="minorBidi"/>
            <w:smallCaps w:val="0"/>
            <w:noProof/>
            <w:sz w:val="22"/>
            <w:szCs w:val="22"/>
            <w:lang w:eastAsia="en-GB"/>
          </w:rPr>
          <w:tab/>
        </w:r>
        <w:r w:rsidRPr="00281D78">
          <w:rPr>
            <w:rStyle w:val="Hyperlink"/>
            <w:noProof/>
          </w:rPr>
          <w:t>Accession, enlargement and Energy Community Treaty</w:t>
        </w:r>
        <w:r>
          <w:rPr>
            <w:noProof/>
            <w:webHidden/>
          </w:rPr>
          <w:tab/>
        </w:r>
        <w:r>
          <w:rPr>
            <w:noProof/>
            <w:webHidden/>
          </w:rPr>
          <w:fldChar w:fldCharType="begin"/>
        </w:r>
        <w:r>
          <w:rPr>
            <w:noProof/>
            <w:webHidden/>
          </w:rPr>
          <w:instrText xml:space="preserve"> PAGEREF _Toc305768506 \h </w:instrText>
        </w:r>
        <w:r>
          <w:rPr>
            <w:noProof/>
            <w:webHidden/>
          </w:rPr>
        </w:r>
        <w:r>
          <w:rPr>
            <w:noProof/>
            <w:webHidden/>
          </w:rPr>
          <w:fldChar w:fldCharType="separate"/>
        </w:r>
        <w:r>
          <w:rPr>
            <w:noProof/>
            <w:webHidden/>
          </w:rPr>
          <w:t>12</w:t>
        </w:r>
        <w:r>
          <w:rPr>
            <w:noProof/>
            <w:webHidden/>
          </w:rPr>
          <w:fldChar w:fldCharType="end"/>
        </w:r>
      </w:hyperlink>
    </w:p>
    <w:p w:rsidR="006C61EC" w:rsidRDefault="006C61EC">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05768507" w:history="1">
        <w:r w:rsidRPr="00281D78">
          <w:rPr>
            <w:rStyle w:val="Hyperlink"/>
            <w:noProof/>
          </w:rPr>
          <w:t>3.3.</w:t>
        </w:r>
        <w:r>
          <w:rPr>
            <w:rFonts w:asciiTheme="minorHAnsi" w:eastAsiaTheme="minorEastAsia" w:hAnsiTheme="minorHAnsi" w:cstheme="minorBidi"/>
            <w:smallCaps w:val="0"/>
            <w:noProof/>
            <w:sz w:val="22"/>
            <w:szCs w:val="22"/>
            <w:lang w:eastAsia="en-GB"/>
          </w:rPr>
          <w:tab/>
        </w:r>
        <w:r w:rsidRPr="00281D78">
          <w:rPr>
            <w:rStyle w:val="Hyperlink"/>
            <w:noProof/>
          </w:rPr>
          <w:t>EU neighbourhood policy (ENP), eastern partnership and trade policy</w:t>
        </w:r>
        <w:r>
          <w:rPr>
            <w:noProof/>
            <w:webHidden/>
          </w:rPr>
          <w:tab/>
        </w:r>
        <w:r>
          <w:rPr>
            <w:noProof/>
            <w:webHidden/>
          </w:rPr>
          <w:fldChar w:fldCharType="begin"/>
        </w:r>
        <w:r>
          <w:rPr>
            <w:noProof/>
            <w:webHidden/>
          </w:rPr>
          <w:instrText xml:space="preserve"> PAGEREF _Toc305768507 \h </w:instrText>
        </w:r>
        <w:r>
          <w:rPr>
            <w:noProof/>
            <w:webHidden/>
          </w:rPr>
        </w:r>
        <w:r>
          <w:rPr>
            <w:noProof/>
            <w:webHidden/>
          </w:rPr>
          <w:fldChar w:fldCharType="separate"/>
        </w:r>
        <w:r>
          <w:rPr>
            <w:noProof/>
            <w:webHidden/>
          </w:rPr>
          <w:t>12</w:t>
        </w:r>
        <w:r>
          <w:rPr>
            <w:noProof/>
            <w:webHidden/>
          </w:rPr>
          <w:fldChar w:fldCharType="end"/>
        </w:r>
      </w:hyperlink>
    </w:p>
    <w:p w:rsidR="006C61EC" w:rsidRDefault="006C61EC">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05768508" w:history="1">
        <w:r w:rsidRPr="00281D78">
          <w:rPr>
            <w:rStyle w:val="Hyperlink"/>
            <w:noProof/>
          </w:rPr>
          <w:t>3.4.</w:t>
        </w:r>
        <w:r>
          <w:rPr>
            <w:rFonts w:asciiTheme="minorHAnsi" w:eastAsiaTheme="minorEastAsia" w:hAnsiTheme="minorHAnsi" w:cstheme="minorBidi"/>
            <w:smallCaps w:val="0"/>
            <w:noProof/>
            <w:sz w:val="22"/>
            <w:szCs w:val="22"/>
            <w:lang w:eastAsia="en-GB"/>
          </w:rPr>
          <w:tab/>
        </w:r>
        <w:r w:rsidRPr="00281D78">
          <w:rPr>
            <w:rStyle w:val="Hyperlink"/>
            <w:noProof/>
          </w:rPr>
          <w:t>Other institutions: EBRD, EIB, World Bank, OECD, UNECE</w:t>
        </w:r>
        <w:r>
          <w:rPr>
            <w:noProof/>
            <w:webHidden/>
          </w:rPr>
          <w:tab/>
        </w:r>
        <w:r>
          <w:rPr>
            <w:noProof/>
            <w:webHidden/>
          </w:rPr>
          <w:fldChar w:fldCharType="begin"/>
        </w:r>
        <w:r>
          <w:rPr>
            <w:noProof/>
            <w:webHidden/>
          </w:rPr>
          <w:instrText xml:space="preserve"> PAGEREF _Toc305768508 \h </w:instrText>
        </w:r>
        <w:r>
          <w:rPr>
            <w:noProof/>
            <w:webHidden/>
          </w:rPr>
        </w:r>
        <w:r>
          <w:rPr>
            <w:noProof/>
            <w:webHidden/>
          </w:rPr>
          <w:fldChar w:fldCharType="separate"/>
        </w:r>
        <w:r>
          <w:rPr>
            <w:noProof/>
            <w:webHidden/>
          </w:rPr>
          <w:t>13</w:t>
        </w:r>
        <w:r>
          <w:rPr>
            <w:noProof/>
            <w:webHidden/>
          </w:rPr>
          <w:fldChar w:fldCharType="end"/>
        </w:r>
      </w:hyperlink>
    </w:p>
    <w:p w:rsidR="006C61EC" w:rsidRDefault="006C61EC">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05768509" w:history="1">
        <w:r w:rsidRPr="00281D78">
          <w:rPr>
            <w:rStyle w:val="Hyperlink"/>
            <w:noProof/>
          </w:rPr>
          <w:t>3.4.1.</w:t>
        </w:r>
        <w:r>
          <w:rPr>
            <w:rFonts w:asciiTheme="minorHAnsi" w:eastAsiaTheme="minorEastAsia" w:hAnsiTheme="minorHAnsi" w:cstheme="minorBidi"/>
            <w:i w:val="0"/>
            <w:iCs w:val="0"/>
            <w:noProof/>
            <w:sz w:val="22"/>
            <w:szCs w:val="22"/>
            <w:lang w:eastAsia="en-GB"/>
          </w:rPr>
          <w:tab/>
        </w:r>
        <w:r w:rsidRPr="00281D78">
          <w:rPr>
            <w:rStyle w:val="Hyperlink"/>
            <w:noProof/>
          </w:rPr>
          <w:t>European Bank for Reconstruction and Development (EBRD)</w:t>
        </w:r>
        <w:r>
          <w:rPr>
            <w:noProof/>
            <w:webHidden/>
          </w:rPr>
          <w:tab/>
        </w:r>
        <w:r>
          <w:rPr>
            <w:noProof/>
            <w:webHidden/>
          </w:rPr>
          <w:fldChar w:fldCharType="begin"/>
        </w:r>
        <w:r>
          <w:rPr>
            <w:noProof/>
            <w:webHidden/>
          </w:rPr>
          <w:instrText xml:space="preserve"> PAGEREF _Toc305768509 \h </w:instrText>
        </w:r>
        <w:r>
          <w:rPr>
            <w:noProof/>
            <w:webHidden/>
          </w:rPr>
        </w:r>
        <w:r>
          <w:rPr>
            <w:noProof/>
            <w:webHidden/>
          </w:rPr>
          <w:fldChar w:fldCharType="separate"/>
        </w:r>
        <w:r>
          <w:rPr>
            <w:noProof/>
            <w:webHidden/>
          </w:rPr>
          <w:t>13</w:t>
        </w:r>
        <w:r>
          <w:rPr>
            <w:noProof/>
            <w:webHidden/>
          </w:rPr>
          <w:fldChar w:fldCharType="end"/>
        </w:r>
      </w:hyperlink>
    </w:p>
    <w:p w:rsidR="006C61EC" w:rsidRDefault="006C61EC">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05768510" w:history="1">
        <w:r w:rsidRPr="00281D78">
          <w:rPr>
            <w:rStyle w:val="Hyperlink"/>
            <w:noProof/>
          </w:rPr>
          <w:t>3.4.2.</w:t>
        </w:r>
        <w:r>
          <w:rPr>
            <w:rFonts w:asciiTheme="minorHAnsi" w:eastAsiaTheme="minorEastAsia" w:hAnsiTheme="minorHAnsi" w:cstheme="minorBidi"/>
            <w:i w:val="0"/>
            <w:iCs w:val="0"/>
            <w:noProof/>
            <w:sz w:val="22"/>
            <w:szCs w:val="22"/>
            <w:lang w:eastAsia="en-GB"/>
          </w:rPr>
          <w:tab/>
        </w:r>
        <w:r w:rsidRPr="00281D78">
          <w:rPr>
            <w:rStyle w:val="Hyperlink"/>
            <w:noProof/>
          </w:rPr>
          <w:t>European Investment Bank (EIB)</w:t>
        </w:r>
        <w:r>
          <w:rPr>
            <w:noProof/>
            <w:webHidden/>
          </w:rPr>
          <w:tab/>
        </w:r>
        <w:r>
          <w:rPr>
            <w:noProof/>
            <w:webHidden/>
          </w:rPr>
          <w:fldChar w:fldCharType="begin"/>
        </w:r>
        <w:r>
          <w:rPr>
            <w:noProof/>
            <w:webHidden/>
          </w:rPr>
          <w:instrText xml:space="preserve"> PAGEREF _Toc305768510 \h </w:instrText>
        </w:r>
        <w:r>
          <w:rPr>
            <w:noProof/>
            <w:webHidden/>
          </w:rPr>
        </w:r>
        <w:r>
          <w:rPr>
            <w:noProof/>
            <w:webHidden/>
          </w:rPr>
          <w:fldChar w:fldCharType="separate"/>
        </w:r>
        <w:r>
          <w:rPr>
            <w:noProof/>
            <w:webHidden/>
          </w:rPr>
          <w:t>13</w:t>
        </w:r>
        <w:r>
          <w:rPr>
            <w:noProof/>
            <w:webHidden/>
          </w:rPr>
          <w:fldChar w:fldCharType="end"/>
        </w:r>
      </w:hyperlink>
    </w:p>
    <w:p w:rsidR="006C61EC" w:rsidRDefault="006C61EC">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05768511" w:history="1">
        <w:r w:rsidRPr="00281D78">
          <w:rPr>
            <w:rStyle w:val="Hyperlink"/>
            <w:noProof/>
          </w:rPr>
          <w:t>3.4.3.</w:t>
        </w:r>
        <w:r>
          <w:rPr>
            <w:rFonts w:asciiTheme="minorHAnsi" w:eastAsiaTheme="minorEastAsia" w:hAnsiTheme="minorHAnsi" w:cstheme="minorBidi"/>
            <w:i w:val="0"/>
            <w:iCs w:val="0"/>
            <w:noProof/>
            <w:sz w:val="22"/>
            <w:szCs w:val="22"/>
            <w:lang w:eastAsia="en-GB"/>
          </w:rPr>
          <w:tab/>
        </w:r>
        <w:r w:rsidRPr="00281D78">
          <w:rPr>
            <w:rStyle w:val="Hyperlink"/>
            <w:noProof/>
          </w:rPr>
          <w:t>World Bank group</w:t>
        </w:r>
        <w:r>
          <w:rPr>
            <w:noProof/>
            <w:webHidden/>
          </w:rPr>
          <w:tab/>
        </w:r>
        <w:r>
          <w:rPr>
            <w:noProof/>
            <w:webHidden/>
          </w:rPr>
          <w:fldChar w:fldCharType="begin"/>
        </w:r>
        <w:r>
          <w:rPr>
            <w:noProof/>
            <w:webHidden/>
          </w:rPr>
          <w:instrText xml:space="preserve"> PAGEREF _Toc305768511 \h </w:instrText>
        </w:r>
        <w:r>
          <w:rPr>
            <w:noProof/>
            <w:webHidden/>
          </w:rPr>
        </w:r>
        <w:r>
          <w:rPr>
            <w:noProof/>
            <w:webHidden/>
          </w:rPr>
          <w:fldChar w:fldCharType="separate"/>
        </w:r>
        <w:r>
          <w:rPr>
            <w:noProof/>
            <w:webHidden/>
          </w:rPr>
          <w:t>13</w:t>
        </w:r>
        <w:r>
          <w:rPr>
            <w:noProof/>
            <w:webHidden/>
          </w:rPr>
          <w:fldChar w:fldCharType="end"/>
        </w:r>
      </w:hyperlink>
    </w:p>
    <w:p w:rsidR="006C61EC" w:rsidRDefault="006C61EC">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05768512" w:history="1">
        <w:r w:rsidRPr="00281D78">
          <w:rPr>
            <w:rStyle w:val="Hyperlink"/>
            <w:noProof/>
          </w:rPr>
          <w:t>3.4.4.</w:t>
        </w:r>
        <w:r>
          <w:rPr>
            <w:rFonts w:asciiTheme="minorHAnsi" w:eastAsiaTheme="minorEastAsia" w:hAnsiTheme="minorHAnsi" w:cstheme="minorBidi"/>
            <w:i w:val="0"/>
            <w:iCs w:val="0"/>
            <w:noProof/>
            <w:sz w:val="22"/>
            <w:szCs w:val="22"/>
            <w:lang w:eastAsia="en-GB"/>
          </w:rPr>
          <w:tab/>
        </w:r>
        <w:r w:rsidRPr="00281D78">
          <w:rPr>
            <w:rStyle w:val="Hyperlink"/>
            <w:noProof/>
          </w:rPr>
          <w:t>OECD</w:t>
        </w:r>
        <w:r>
          <w:rPr>
            <w:noProof/>
            <w:webHidden/>
          </w:rPr>
          <w:tab/>
        </w:r>
        <w:r>
          <w:rPr>
            <w:noProof/>
            <w:webHidden/>
          </w:rPr>
          <w:fldChar w:fldCharType="begin"/>
        </w:r>
        <w:r>
          <w:rPr>
            <w:noProof/>
            <w:webHidden/>
          </w:rPr>
          <w:instrText xml:space="preserve"> PAGEREF _Toc305768512 \h </w:instrText>
        </w:r>
        <w:r>
          <w:rPr>
            <w:noProof/>
            <w:webHidden/>
          </w:rPr>
        </w:r>
        <w:r>
          <w:rPr>
            <w:noProof/>
            <w:webHidden/>
          </w:rPr>
          <w:fldChar w:fldCharType="separate"/>
        </w:r>
        <w:r>
          <w:rPr>
            <w:noProof/>
            <w:webHidden/>
          </w:rPr>
          <w:t>14</w:t>
        </w:r>
        <w:r>
          <w:rPr>
            <w:noProof/>
            <w:webHidden/>
          </w:rPr>
          <w:fldChar w:fldCharType="end"/>
        </w:r>
      </w:hyperlink>
    </w:p>
    <w:p w:rsidR="006C61EC" w:rsidRDefault="006C61EC">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05768513" w:history="1">
        <w:r w:rsidRPr="00281D78">
          <w:rPr>
            <w:rStyle w:val="Hyperlink"/>
            <w:noProof/>
          </w:rPr>
          <w:t>3.4.5.</w:t>
        </w:r>
        <w:r>
          <w:rPr>
            <w:rFonts w:asciiTheme="minorHAnsi" w:eastAsiaTheme="minorEastAsia" w:hAnsiTheme="minorHAnsi" w:cstheme="minorBidi"/>
            <w:i w:val="0"/>
            <w:iCs w:val="0"/>
            <w:noProof/>
            <w:sz w:val="22"/>
            <w:szCs w:val="22"/>
            <w:lang w:eastAsia="en-GB"/>
          </w:rPr>
          <w:tab/>
        </w:r>
        <w:r w:rsidRPr="00281D78">
          <w:rPr>
            <w:rStyle w:val="Hyperlink"/>
            <w:noProof/>
          </w:rPr>
          <w:t>UNECE</w:t>
        </w:r>
        <w:r>
          <w:rPr>
            <w:noProof/>
            <w:webHidden/>
          </w:rPr>
          <w:tab/>
        </w:r>
        <w:r>
          <w:rPr>
            <w:noProof/>
            <w:webHidden/>
          </w:rPr>
          <w:fldChar w:fldCharType="begin"/>
        </w:r>
        <w:r>
          <w:rPr>
            <w:noProof/>
            <w:webHidden/>
          </w:rPr>
          <w:instrText xml:space="preserve"> PAGEREF _Toc305768513 \h </w:instrText>
        </w:r>
        <w:r>
          <w:rPr>
            <w:noProof/>
            <w:webHidden/>
          </w:rPr>
        </w:r>
        <w:r>
          <w:rPr>
            <w:noProof/>
            <w:webHidden/>
          </w:rPr>
          <w:fldChar w:fldCharType="separate"/>
        </w:r>
        <w:r>
          <w:rPr>
            <w:noProof/>
            <w:webHidden/>
          </w:rPr>
          <w:t>14</w:t>
        </w:r>
        <w:r>
          <w:rPr>
            <w:noProof/>
            <w:webHidden/>
          </w:rPr>
          <w:fldChar w:fldCharType="end"/>
        </w:r>
      </w:hyperlink>
    </w:p>
    <w:p w:rsidR="006C61EC" w:rsidRDefault="006C61EC">
      <w:pPr>
        <w:pStyle w:val="TOC1"/>
        <w:tabs>
          <w:tab w:val="left" w:pos="440"/>
          <w:tab w:val="right" w:leader="dot" w:pos="9628"/>
        </w:tabs>
        <w:rPr>
          <w:rFonts w:asciiTheme="minorHAnsi" w:eastAsiaTheme="minorEastAsia" w:hAnsiTheme="minorHAnsi" w:cstheme="minorBidi"/>
          <w:b w:val="0"/>
          <w:bCs w:val="0"/>
          <w:caps w:val="0"/>
          <w:noProof/>
          <w:sz w:val="22"/>
          <w:szCs w:val="22"/>
          <w:lang w:eastAsia="en-GB"/>
        </w:rPr>
      </w:pPr>
      <w:hyperlink w:anchor="_Toc305768514" w:history="1">
        <w:r w:rsidRPr="00281D78">
          <w:rPr>
            <w:rStyle w:val="Hyperlink"/>
            <w:noProof/>
          </w:rPr>
          <w:t>4.</w:t>
        </w:r>
        <w:r>
          <w:rPr>
            <w:rFonts w:asciiTheme="minorHAnsi" w:eastAsiaTheme="minorEastAsia" w:hAnsiTheme="minorHAnsi" w:cstheme="minorBidi"/>
            <w:b w:val="0"/>
            <w:bCs w:val="0"/>
            <w:caps w:val="0"/>
            <w:noProof/>
            <w:sz w:val="22"/>
            <w:szCs w:val="22"/>
            <w:lang w:eastAsia="en-GB"/>
          </w:rPr>
          <w:tab/>
        </w:r>
        <w:r w:rsidRPr="00281D78">
          <w:rPr>
            <w:rStyle w:val="Hyperlink"/>
            <w:noProof/>
          </w:rPr>
          <w:t>Sectoral trends: waste management</w:t>
        </w:r>
        <w:r>
          <w:rPr>
            <w:noProof/>
            <w:webHidden/>
          </w:rPr>
          <w:tab/>
        </w:r>
        <w:r>
          <w:rPr>
            <w:noProof/>
            <w:webHidden/>
          </w:rPr>
          <w:fldChar w:fldCharType="begin"/>
        </w:r>
        <w:r>
          <w:rPr>
            <w:noProof/>
            <w:webHidden/>
          </w:rPr>
          <w:instrText xml:space="preserve"> PAGEREF _Toc305768514 \h </w:instrText>
        </w:r>
        <w:r>
          <w:rPr>
            <w:noProof/>
            <w:webHidden/>
          </w:rPr>
        </w:r>
        <w:r>
          <w:rPr>
            <w:noProof/>
            <w:webHidden/>
          </w:rPr>
          <w:fldChar w:fldCharType="separate"/>
        </w:r>
        <w:r>
          <w:rPr>
            <w:noProof/>
            <w:webHidden/>
          </w:rPr>
          <w:t>14</w:t>
        </w:r>
        <w:r>
          <w:rPr>
            <w:noProof/>
            <w:webHidden/>
          </w:rPr>
          <w:fldChar w:fldCharType="end"/>
        </w:r>
      </w:hyperlink>
    </w:p>
    <w:p w:rsidR="006C61EC" w:rsidRDefault="006C61EC">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05768515" w:history="1">
        <w:r w:rsidRPr="00281D78">
          <w:rPr>
            <w:rStyle w:val="Hyperlink"/>
            <w:noProof/>
          </w:rPr>
          <w:t>4.1.</w:t>
        </w:r>
        <w:r>
          <w:rPr>
            <w:rFonts w:asciiTheme="minorHAnsi" w:eastAsiaTheme="minorEastAsia" w:hAnsiTheme="minorHAnsi" w:cstheme="minorBidi"/>
            <w:smallCaps w:val="0"/>
            <w:noProof/>
            <w:sz w:val="22"/>
            <w:szCs w:val="22"/>
            <w:lang w:eastAsia="en-GB"/>
          </w:rPr>
          <w:tab/>
        </w:r>
        <w:r w:rsidRPr="00281D78">
          <w:rPr>
            <w:rStyle w:val="Hyperlink"/>
            <w:noProof/>
          </w:rPr>
          <w:t>EU</w:t>
        </w:r>
        <w:r>
          <w:rPr>
            <w:noProof/>
            <w:webHidden/>
          </w:rPr>
          <w:tab/>
        </w:r>
        <w:r>
          <w:rPr>
            <w:noProof/>
            <w:webHidden/>
          </w:rPr>
          <w:fldChar w:fldCharType="begin"/>
        </w:r>
        <w:r>
          <w:rPr>
            <w:noProof/>
            <w:webHidden/>
          </w:rPr>
          <w:instrText xml:space="preserve"> PAGEREF _Toc305768515 \h </w:instrText>
        </w:r>
        <w:r>
          <w:rPr>
            <w:noProof/>
            <w:webHidden/>
          </w:rPr>
        </w:r>
        <w:r>
          <w:rPr>
            <w:noProof/>
            <w:webHidden/>
          </w:rPr>
          <w:fldChar w:fldCharType="separate"/>
        </w:r>
        <w:r>
          <w:rPr>
            <w:noProof/>
            <w:webHidden/>
          </w:rPr>
          <w:t>14</w:t>
        </w:r>
        <w:r>
          <w:rPr>
            <w:noProof/>
            <w:webHidden/>
          </w:rPr>
          <w:fldChar w:fldCharType="end"/>
        </w:r>
      </w:hyperlink>
    </w:p>
    <w:p w:rsidR="006C61EC" w:rsidRDefault="006C61EC">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05768516" w:history="1">
        <w:r w:rsidRPr="00281D78">
          <w:rPr>
            <w:rStyle w:val="Hyperlink"/>
            <w:noProof/>
          </w:rPr>
          <w:t>4.1.1.</w:t>
        </w:r>
        <w:r>
          <w:rPr>
            <w:rFonts w:asciiTheme="minorHAnsi" w:eastAsiaTheme="minorEastAsia" w:hAnsiTheme="minorHAnsi" w:cstheme="minorBidi"/>
            <w:i w:val="0"/>
            <w:iCs w:val="0"/>
            <w:noProof/>
            <w:sz w:val="22"/>
            <w:szCs w:val="22"/>
            <w:lang w:eastAsia="en-GB"/>
          </w:rPr>
          <w:tab/>
        </w:r>
        <w:r w:rsidRPr="00281D78">
          <w:rPr>
            <w:rStyle w:val="Hyperlink"/>
            <w:noProof/>
          </w:rPr>
          <w:t>EU sector policies</w:t>
        </w:r>
        <w:r>
          <w:rPr>
            <w:noProof/>
            <w:webHidden/>
          </w:rPr>
          <w:tab/>
        </w:r>
        <w:r>
          <w:rPr>
            <w:noProof/>
            <w:webHidden/>
          </w:rPr>
          <w:fldChar w:fldCharType="begin"/>
        </w:r>
        <w:r>
          <w:rPr>
            <w:noProof/>
            <w:webHidden/>
          </w:rPr>
          <w:instrText xml:space="preserve"> PAGEREF _Toc305768516 \h </w:instrText>
        </w:r>
        <w:r>
          <w:rPr>
            <w:noProof/>
            <w:webHidden/>
          </w:rPr>
        </w:r>
        <w:r>
          <w:rPr>
            <w:noProof/>
            <w:webHidden/>
          </w:rPr>
          <w:fldChar w:fldCharType="separate"/>
        </w:r>
        <w:r>
          <w:rPr>
            <w:noProof/>
            <w:webHidden/>
          </w:rPr>
          <w:t>14</w:t>
        </w:r>
        <w:r>
          <w:rPr>
            <w:noProof/>
            <w:webHidden/>
          </w:rPr>
          <w:fldChar w:fldCharType="end"/>
        </w:r>
      </w:hyperlink>
    </w:p>
    <w:p w:rsidR="006C61EC" w:rsidRDefault="006C61EC">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05768517" w:history="1">
        <w:r w:rsidRPr="00281D78">
          <w:rPr>
            <w:rStyle w:val="Hyperlink"/>
            <w:noProof/>
          </w:rPr>
          <w:t>4.1.2.</w:t>
        </w:r>
        <w:r>
          <w:rPr>
            <w:rFonts w:asciiTheme="minorHAnsi" w:eastAsiaTheme="minorEastAsia" w:hAnsiTheme="minorHAnsi" w:cstheme="minorBidi"/>
            <w:i w:val="0"/>
            <w:iCs w:val="0"/>
            <w:noProof/>
            <w:sz w:val="22"/>
            <w:szCs w:val="22"/>
            <w:lang w:eastAsia="en-GB"/>
          </w:rPr>
          <w:tab/>
        </w:r>
        <w:r w:rsidRPr="00281D78">
          <w:rPr>
            <w:rStyle w:val="Hyperlink"/>
            <w:noProof/>
          </w:rPr>
          <w:t>EU accession process and neighbourhood policies</w:t>
        </w:r>
        <w:r>
          <w:rPr>
            <w:noProof/>
            <w:webHidden/>
          </w:rPr>
          <w:tab/>
        </w:r>
        <w:r>
          <w:rPr>
            <w:noProof/>
            <w:webHidden/>
          </w:rPr>
          <w:fldChar w:fldCharType="begin"/>
        </w:r>
        <w:r>
          <w:rPr>
            <w:noProof/>
            <w:webHidden/>
          </w:rPr>
          <w:instrText xml:space="preserve"> PAGEREF _Toc305768517 \h </w:instrText>
        </w:r>
        <w:r>
          <w:rPr>
            <w:noProof/>
            <w:webHidden/>
          </w:rPr>
        </w:r>
        <w:r>
          <w:rPr>
            <w:noProof/>
            <w:webHidden/>
          </w:rPr>
          <w:fldChar w:fldCharType="separate"/>
        </w:r>
        <w:r>
          <w:rPr>
            <w:noProof/>
            <w:webHidden/>
          </w:rPr>
          <w:t>14</w:t>
        </w:r>
        <w:r>
          <w:rPr>
            <w:noProof/>
            <w:webHidden/>
          </w:rPr>
          <w:fldChar w:fldCharType="end"/>
        </w:r>
      </w:hyperlink>
    </w:p>
    <w:p w:rsidR="006C61EC" w:rsidRDefault="006C61EC">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05768518" w:history="1">
        <w:r w:rsidRPr="00281D78">
          <w:rPr>
            <w:rStyle w:val="Hyperlink"/>
            <w:noProof/>
          </w:rPr>
          <w:t>4.2.</w:t>
        </w:r>
        <w:r>
          <w:rPr>
            <w:rFonts w:asciiTheme="minorHAnsi" w:eastAsiaTheme="minorEastAsia" w:hAnsiTheme="minorHAnsi" w:cstheme="minorBidi"/>
            <w:smallCaps w:val="0"/>
            <w:noProof/>
            <w:sz w:val="22"/>
            <w:szCs w:val="22"/>
            <w:lang w:eastAsia="en-GB"/>
          </w:rPr>
          <w:tab/>
        </w:r>
        <w:r w:rsidRPr="00281D78">
          <w:rPr>
            <w:rStyle w:val="Hyperlink"/>
            <w:noProof/>
          </w:rPr>
          <w:t>Development banks</w:t>
        </w:r>
        <w:r>
          <w:rPr>
            <w:noProof/>
            <w:webHidden/>
          </w:rPr>
          <w:tab/>
        </w:r>
        <w:r>
          <w:rPr>
            <w:noProof/>
            <w:webHidden/>
          </w:rPr>
          <w:fldChar w:fldCharType="begin"/>
        </w:r>
        <w:r>
          <w:rPr>
            <w:noProof/>
            <w:webHidden/>
          </w:rPr>
          <w:instrText xml:space="preserve"> PAGEREF _Toc305768518 \h </w:instrText>
        </w:r>
        <w:r>
          <w:rPr>
            <w:noProof/>
            <w:webHidden/>
          </w:rPr>
        </w:r>
        <w:r>
          <w:rPr>
            <w:noProof/>
            <w:webHidden/>
          </w:rPr>
          <w:fldChar w:fldCharType="separate"/>
        </w:r>
        <w:r>
          <w:rPr>
            <w:noProof/>
            <w:webHidden/>
          </w:rPr>
          <w:t>16</w:t>
        </w:r>
        <w:r>
          <w:rPr>
            <w:noProof/>
            <w:webHidden/>
          </w:rPr>
          <w:fldChar w:fldCharType="end"/>
        </w:r>
      </w:hyperlink>
    </w:p>
    <w:p w:rsidR="006C61EC" w:rsidRDefault="006C61EC">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05768519" w:history="1">
        <w:r w:rsidRPr="00281D78">
          <w:rPr>
            <w:rStyle w:val="Hyperlink"/>
            <w:noProof/>
          </w:rPr>
          <w:t>4.2.1.</w:t>
        </w:r>
        <w:r>
          <w:rPr>
            <w:rFonts w:asciiTheme="minorHAnsi" w:eastAsiaTheme="minorEastAsia" w:hAnsiTheme="minorHAnsi" w:cstheme="minorBidi"/>
            <w:i w:val="0"/>
            <w:iCs w:val="0"/>
            <w:noProof/>
            <w:sz w:val="22"/>
            <w:szCs w:val="22"/>
            <w:lang w:eastAsia="en-GB"/>
          </w:rPr>
          <w:tab/>
        </w:r>
        <w:r w:rsidRPr="00281D78">
          <w:rPr>
            <w:rStyle w:val="Hyperlink"/>
            <w:noProof/>
          </w:rPr>
          <w:t>EIB</w:t>
        </w:r>
        <w:r>
          <w:rPr>
            <w:noProof/>
            <w:webHidden/>
          </w:rPr>
          <w:tab/>
        </w:r>
        <w:r>
          <w:rPr>
            <w:noProof/>
            <w:webHidden/>
          </w:rPr>
          <w:fldChar w:fldCharType="begin"/>
        </w:r>
        <w:r>
          <w:rPr>
            <w:noProof/>
            <w:webHidden/>
          </w:rPr>
          <w:instrText xml:space="preserve"> PAGEREF _Toc305768519 \h </w:instrText>
        </w:r>
        <w:r>
          <w:rPr>
            <w:noProof/>
            <w:webHidden/>
          </w:rPr>
        </w:r>
        <w:r>
          <w:rPr>
            <w:noProof/>
            <w:webHidden/>
          </w:rPr>
          <w:fldChar w:fldCharType="separate"/>
        </w:r>
        <w:r>
          <w:rPr>
            <w:noProof/>
            <w:webHidden/>
          </w:rPr>
          <w:t>16</w:t>
        </w:r>
        <w:r>
          <w:rPr>
            <w:noProof/>
            <w:webHidden/>
          </w:rPr>
          <w:fldChar w:fldCharType="end"/>
        </w:r>
      </w:hyperlink>
    </w:p>
    <w:p w:rsidR="006C61EC" w:rsidRDefault="006C61EC">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05768520" w:history="1">
        <w:r w:rsidRPr="00281D78">
          <w:rPr>
            <w:rStyle w:val="Hyperlink"/>
            <w:noProof/>
          </w:rPr>
          <w:t>4.2.2.</w:t>
        </w:r>
        <w:r>
          <w:rPr>
            <w:rFonts w:asciiTheme="minorHAnsi" w:eastAsiaTheme="minorEastAsia" w:hAnsiTheme="minorHAnsi" w:cstheme="minorBidi"/>
            <w:i w:val="0"/>
            <w:iCs w:val="0"/>
            <w:noProof/>
            <w:sz w:val="22"/>
            <w:szCs w:val="22"/>
            <w:lang w:eastAsia="en-GB"/>
          </w:rPr>
          <w:tab/>
        </w:r>
        <w:r w:rsidRPr="00281D78">
          <w:rPr>
            <w:rStyle w:val="Hyperlink"/>
            <w:noProof/>
          </w:rPr>
          <w:t>EBRD</w:t>
        </w:r>
        <w:r>
          <w:rPr>
            <w:noProof/>
            <w:webHidden/>
          </w:rPr>
          <w:tab/>
        </w:r>
        <w:r>
          <w:rPr>
            <w:noProof/>
            <w:webHidden/>
          </w:rPr>
          <w:fldChar w:fldCharType="begin"/>
        </w:r>
        <w:r>
          <w:rPr>
            <w:noProof/>
            <w:webHidden/>
          </w:rPr>
          <w:instrText xml:space="preserve"> PAGEREF _Toc305768520 \h </w:instrText>
        </w:r>
        <w:r>
          <w:rPr>
            <w:noProof/>
            <w:webHidden/>
          </w:rPr>
        </w:r>
        <w:r>
          <w:rPr>
            <w:noProof/>
            <w:webHidden/>
          </w:rPr>
          <w:fldChar w:fldCharType="separate"/>
        </w:r>
        <w:r>
          <w:rPr>
            <w:noProof/>
            <w:webHidden/>
          </w:rPr>
          <w:t>16</w:t>
        </w:r>
        <w:r>
          <w:rPr>
            <w:noProof/>
            <w:webHidden/>
          </w:rPr>
          <w:fldChar w:fldCharType="end"/>
        </w:r>
      </w:hyperlink>
    </w:p>
    <w:p w:rsidR="006C61EC" w:rsidRDefault="006C61EC">
      <w:pPr>
        <w:pStyle w:val="TOC4"/>
        <w:tabs>
          <w:tab w:val="left" w:pos="1540"/>
          <w:tab w:val="right" w:leader="dot" w:pos="9628"/>
        </w:tabs>
        <w:rPr>
          <w:rFonts w:asciiTheme="minorHAnsi" w:eastAsiaTheme="minorEastAsia" w:hAnsiTheme="minorHAnsi" w:cstheme="minorBidi"/>
          <w:noProof/>
          <w:sz w:val="22"/>
          <w:szCs w:val="22"/>
          <w:lang w:eastAsia="en-GB"/>
        </w:rPr>
      </w:pPr>
      <w:hyperlink w:anchor="_Toc305768521" w:history="1">
        <w:r w:rsidRPr="00281D78">
          <w:rPr>
            <w:rStyle w:val="Hyperlink"/>
            <w:noProof/>
          </w:rPr>
          <w:t>Table 4.</w:t>
        </w:r>
        <w:r>
          <w:rPr>
            <w:rFonts w:asciiTheme="minorHAnsi" w:eastAsiaTheme="minorEastAsia" w:hAnsiTheme="minorHAnsi" w:cstheme="minorBidi"/>
            <w:noProof/>
            <w:sz w:val="22"/>
            <w:szCs w:val="22"/>
            <w:lang w:eastAsia="en-GB"/>
          </w:rPr>
          <w:tab/>
        </w:r>
        <w:r w:rsidRPr="00281D78">
          <w:rPr>
            <w:rStyle w:val="Hyperlink"/>
            <w:noProof/>
          </w:rPr>
          <w:t>EBRD projects in waste management in region</w:t>
        </w:r>
        <w:r>
          <w:rPr>
            <w:noProof/>
            <w:webHidden/>
          </w:rPr>
          <w:tab/>
        </w:r>
        <w:r>
          <w:rPr>
            <w:noProof/>
            <w:webHidden/>
          </w:rPr>
          <w:fldChar w:fldCharType="begin"/>
        </w:r>
        <w:r>
          <w:rPr>
            <w:noProof/>
            <w:webHidden/>
          </w:rPr>
          <w:instrText xml:space="preserve"> PAGEREF _Toc305768521 \h </w:instrText>
        </w:r>
        <w:r>
          <w:rPr>
            <w:noProof/>
            <w:webHidden/>
          </w:rPr>
        </w:r>
        <w:r>
          <w:rPr>
            <w:noProof/>
            <w:webHidden/>
          </w:rPr>
          <w:fldChar w:fldCharType="separate"/>
        </w:r>
        <w:r>
          <w:rPr>
            <w:noProof/>
            <w:webHidden/>
          </w:rPr>
          <w:t>16</w:t>
        </w:r>
        <w:r>
          <w:rPr>
            <w:noProof/>
            <w:webHidden/>
          </w:rPr>
          <w:fldChar w:fldCharType="end"/>
        </w:r>
      </w:hyperlink>
    </w:p>
    <w:p w:rsidR="006C61EC" w:rsidRDefault="006C61EC">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05768522" w:history="1">
        <w:r w:rsidRPr="00281D78">
          <w:rPr>
            <w:rStyle w:val="Hyperlink"/>
            <w:noProof/>
          </w:rPr>
          <w:t>4.2.4.</w:t>
        </w:r>
        <w:r>
          <w:rPr>
            <w:rFonts w:asciiTheme="minorHAnsi" w:eastAsiaTheme="minorEastAsia" w:hAnsiTheme="minorHAnsi" w:cstheme="minorBidi"/>
            <w:i w:val="0"/>
            <w:iCs w:val="0"/>
            <w:noProof/>
            <w:sz w:val="22"/>
            <w:szCs w:val="22"/>
            <w:lang w:eastAsia="en-GB"/>
          </w:rPr>
          <w:tab/>
        </w:r>
        <w:r w:rsidRPr="00281D78">
          <w:rPr>
            <w:rStyle w:val="Hyperlink"/>
            <w:noProof/>
          </w:rPr>
          <w:t>World Bank</w:t>
        </w:r>
        <w:r>
          <w:rPr>
            <w:noProof/>
            <w:webHidden/>
          </w:rPr>
          <w:tab/>
        </w:r>
        <w:r>
          <w:rPr>
            <w:noProof/>
            <w:webHidden/>
          </w:rPr>
          <w:fldChar w:fldCharType="begin"/>
        </w:r>
        <w:r>
          <w:rPr>
            <w:noProof/>
            <w:webHidden/>
          </w:rPr>
          <w:instrText xml:space="preserve"> PAGEREF _Toc305768522 \h </w:instrText>
        </w:r>
        <w:r>
          <w:rPr>
            <w:noProof/>
            <w:webHidden/>
          </w:rPr>
        </w:r>
        <w:r>
          <w:rPr>
            <w:noProof/>
            <w:webHidden/>
          </w:rPr>
          <w:fldChar w:fldCharType="separate"/>
        </w:r>
        <w:r>
          <w:rPr>
            <w:noProof/>
            <w:webHidden/>
          </w:rPr>
          <w:t>19</w:t>
        </w:r>
        <w:r>
          <w:rPr>
            <w:noProof/>
            <w:webHidden/>
          </w:rPr>
          <w:fldChar w:fldCharType="end"/>
        </w:r>
      </w:hyperlink>
    </w:p>
    <w:p w:rsidR="006C61EC" w:rsidRDefault="006C61EC">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05768523" w:history="1">
        <w:r w:rsidRPr="00281D78">
          <w:rPr>
            <w:rStyle w:val="Hyperlink"/>
            <w:noProof/>
          </w:rPr>
          <w:t>4.3.</w:t>
        </w:r>
        <w:r>
          <w:rPr>
            <w:rFonts w:asciiTheme="minorHAnsi" w:eastAsiaTheme="minorEastAsia" w:hAnsiTheme="minorHAnsi" w:cstheme="minorBidi"/>
            <w:smallCaps w:val="0"/>
            <w:noProof/>
            <w:sz w:val="22"/>
            <w:szCs w:val="22"/>
            <w:lang w:eastAsia="en-GB"/>
          </w:rPr>
          <w:tab/>
        </w:r>
        <w:r w:rsidRPr="00281D78">
          <w:rPr>
            <w:rStyle w:val="Hyperlink"/>
            <w:noProof/>
          </w:rPr>
          <w:t>OECD and UNECE</w:t>
        </w:r>
        <w:r>
          <w:rPr>
            <w:noProof/>
            <w:webHidden/>
          </w:rPr>
          <w:tab/>
        </w:r>
        <w:r>
          <w:rPr>
            <w:noProof/>
            <w:webHidden/>
          </w:rPr>
          <w:fldChar w:fldCharType="begin"/>
        </w:r>
        <w:r>
          <w:rPr>
            <w:noProof/>
            <w:webHidden/>
          </w:rPr>
          <w:instrText xml:space="preserve"> PAGEREF _Toc305768523 \h </w:instrText>
        </w:r>
        <w:r>
          <w:rPr>
            <w:noProof/>
            <w:webHidden/>
          </w:rPr>
        </w:r>
        <w:r>
          <w:rPr>
            <w:noProof/>
            <w:webHidden/>
          </w:rPr>
          <w:fldChar w:fldCharType="separate"/>
        </w:r>
        <w:r>
          <w:rPr>
            <w:noProof/>
            <w:webHidden/>
          </w:rPr>
          <w:t>19</w:t>
        </w:r>
        <w:r>
          <w:rPr>
            <w:noProof/>
            <w:webHidden/>
          </w:rPr>
          <w:fldChar w:fldCharType="end"/>
        </w:r>
      </w:hyperlink>
    </w:p>
    <w:p w:rsidR="006C61EC" w:rsidRDefault="006C61EC">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05768524" w:history="1">
        <w:r w:rsidRPr="00281D78">
          <w:rPr>
            <w:rStyle w:val="Hyperlink"/>
            <w:noProof/>
          </w:rPr>
          <w:t>4.3.1.</w:t>
        </w:r>
        <w:r>
          <w:rPr>
            <w:rFonts w:asciiTheme="minorHAnsi" w:eastAsiaTheme="minorEastAsia" w:hAnsiTheme="minorHAnsi" w:cstheme="minorBidi"/>
            <w:i w:val="0"/>
            <w:iCs w:val="0"/>
            <w:noProof/>
            <w:sz w:val="22"/>
            <w:szCs w:val="22"/>
            <w:lang w:eastAsia="en-GB"/>
          </w:rPr>
          <w:tab/>
        </w:r>
        <w:r w:rsidRPr="00281D78">
          <w:rPr>
            <w:rStyle w:val="Hyperlink"/>
            <w:noProof/>
          </w:rPr>
          <w:t>OECD</w:t>
        </w:r>
        <w:r>
          <w:rPr>
            <w:noProof/>
            <w:webHidden/>
          </w:rPr>
          <w:tab/>
        </w:r>
        <w:r>
          <w:rPr>
            <w:noProof/>
            <w:webHidden/>
          </w:rPr>
          <w:fldChar w:fldCharType="begin"/>
        </w:r>
        <w:r>
          <w:rPr>
            <w:noProof/>
            <w:webHidden/>
          </w:rPr>
          <w:instrText xml:space="preserve"> PAGEREF _Toc305768524 \h </w:instrText>
        </w:r>
        <w:r>
          <w:rPr>
            <w:noProof/>
            <w:webHidden/>
          </w:rPr>
        </w:r>
        <w:r>
          <w:rPr>
            <w:noProof/>
            <w:webHidden/>
          </w:rPr>
          <w:fldChar w:fldCharType="separate"/>
        </w:r>
        <w:r>
          <w:rPr>
            <w:noProof/>
            <w:webHidden/>
          </w:rPr>
          <w:t>19</w:t>
        </w:r>
        <w:r>
          <w:rPr>
            <w:noProof/>
            <w:webHidden/>
          </w:rPr>
          <w:fldChar w:fldCharType="end"/>
        </w:r>
      </w:hyperlink>
    </w:p>
    <w:p w:rsidR="006C61EC" w:rsidRDefault="006C61EC">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05768525" w:history="1">
        <w:r w:rsidRPr="00281D78">
          <w:rPr>
            <w:rStyle w:val="Hyperlink"/>
            <w:noProof/>
          </w:rPr>
          <w:t>4.3.2.</w:t>
        </w:r>
        <w:r>
          <w:rPr>
            <w:rFonts w:asciiTheme="minorHAnsi" w:eastAsiaTheme="minorEastAsia" w:hAnsiTheme="minorHAnsi" w:cstheme="minorBidi"/>
            <w:i w:val="0"/>
            <w:iCs w:val="0"/>
            <w:noProof/>
            <w:sz w:val="22"/>
            <w:szCs w:val="22"/>
            <w:lang w:eastAsia="en-GB"/>
          </w:rPr>
          <w:tab/>
        </w:r>
        <w:r w:rsidRPr="00281D78">
          <w:rPr>
            <w:rStyle w:val="Hyperlink"/>
            <w:noProof/>
          </w:rPr>
          <w:t>UNECE</w:t>
        </w:r>
        <w:r>
          <w:rPr>
            <w:noProof/>
            <w:webHidden/>
          </w:rPr>
          <w:tab/>
        </w:r>
        <w:r>
          <w:rPr>
            <w:noProof/>
            <w:webHidden/>
          </w:rPr>
          <w:fldChar w:fldCharType="begin"/>
        </w:r>
        <w:r>
          <w:rPr>
            <w:noProof/>
            <w:webHidden/>
          </w:rPr>
          <w:instrText xml:space="preserve"> PAGEREF _Toc305768525 \h </w:instrText>
        </w:r>
        <w:r>
          <w:rPr>
            <w:noProof/>
            <w:webHidden/>
          </w:rPr>
        </w:r>
        <w:r>
          <w:rPr>
            <w:noProof/>
            <w:webHidden/>
          </w:rPr>
          <w:fldChar w:fldCharType="separate"/>
        </w:r>
        <w:r>
          <w:rPr>
            <w:noProof/>
            <w:webHidden/>
          </w:rPr>
          <w:t>20</w:t>
        </w:r>
        <w:r>
          <w:rPr>
            <w:noProof/>
            <w:webHidden/>
          </w:rPr>
          <w:fldChar w:fldCharType="end"/>
        </w:r>
      </w:hyperlink>
    </w:p>
    <w:p w:rsidR="006C61EC" w:rsidRDefault="006C61EC">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05768526" w:history="1">
        <w:r w:rsidRPr="00281D78">
          <w:rPr>
            <w:rStyle w:val="Hyperlink"/>
            <w:noProof/>
          </w:rPr>
          <w:t>4.4.</w:t>
        </w:r>
        <w:r>
          <w:rPr>
            <w:rFonts w:asciiTheme="minorHAnsi" w:eastAsiaTheme="minorEastAsia" w:hAnsiTheme="minorHAnsi" w:cstheme="minorBidi"/>
            <w:smallCaps w:val="0"/>
            <w:noProof/>
            <w:sz w:val="22"/>
            <w:szCs w:val="22"/>
            <w:lang w:eastAsia="en-GB"/>
          </w:rPr>
          <w:tab/>
        </w:r>
        <w:r w:rsidRPr="00281D78">
          <w:rPr>
            <w:rStyle w:val="Hyperlink"/>
            <w:noProof/>
          </w:rPr>
          <w:t>Multinational company activity</w:t>
        </w:r>
        <w:r>
          <w:rPr>
            <w:noProof/>
            <w:webHidden/>
          </w:rPr>
          <w:tab/>
        </w:r>
        <w:r>
          <w:rPr>
            <w:noProof/>
            <w:webHidden/>
          </w:rPr>
          <w:fldChar w:fldCharType="begin"/>
        </w:r>
        <w:r>
          <w:rPr>
            <w:noProof/>
            <w:webHidden/>
          </w:rPr>
          <w:instrText xml:space="preserve"> PAGEREF _Toc305768526 \h </w:instrText>
        </w:r>
        <w:r>
          <w:rPr>
            <w:noProof/>
            <w:webHidden/>
          </w:rPr>
        </w:r>
        <w:r>
          <w:rPr>
            <w:noProof/>
            <w:webHidden/>
          </w:rPr>
          <w:fldChar w:fldCharType="separate"/>
        </w:r>
        <w:r>
          <w:rPr>
            <w:noProof/>
            <w:webHidden/>
          </w:rPr>
          <w:t>20</w:t>
        </w:r>
        <w:r>
          <w:rPr>
            <w:noProof/>
            <w:webHidden/>
          </w:rPr>
          <w:fldChar w:fldCharType="end"/>
        </w:r>
      </w:hyperlink>
    </w:p>
    <w:p w:rsidR="006C61EC" w:rsidRDefault="006C61EC">
      <w:pPr>
        <w:pStyle w:val="TOC4"/>
        <w:tabs>
          <w:tab w:val="left" w:pos="1540"/>
          <w:tab w:val="right" w:leader="dot" w:pos="9628"/>
        </w:tabs>
        <w:rPr>
          <w:rFonts w:asciiTheme="minorHAnsi" w:eastAsiaTheme="minorEastAsia" w:hAnsiTheme="minorHAnsi" w:cstheme="minorBidi"/>
          <w:noProof/>
          <w:sz w:val="22"/>
          <w:szCs w:val="22"/>
          <w:lang w:eastAsia="en-GB"/>
        </w:rPr>
      </w:pPr>
      <w:hyperlink w:anchor="_Toc305768527" w:history="1">
        <w:r w:rsidRPr="00281D78">
          <w:rPr>
            <w:rStyle w:val="Hyperlink"/>
            <w:noProof/>
          </w:rPr>
          <w:t>Table 6.</w:t>
        </w:r>
        <w:r>
          <w:rPr>
            <w:rFonts w:asciiTheme="minorHAnsi" w:eastAsiaTheme="minorEastAsia" w:hAnsiTheme="minorHAnsi" w:cstheme="minorBidi"/>
            <w:noProof/>
            <w:sz w:val="22"/>
            <w:szCs w:val="22"/>
            <w:lang w:eastAsia="en-GB"/>
          </w:rPr>
          <w:tab/>
        </w:r>
        <w:r w:rsidRPr="00281D78">
          <w:rPr>
            <w:rStyle w:val="Hyperlink"/>
            <w:noProof/>
          </w:rPr>
          <w:t>Waste multinationals active in EP or enlargement countries</w:t>
        </w:r>
        <w:r>
          <w:rPr>
            <w:noProof/>
            <w:webHidden/>
          </w:rPr>
          <w:tab/>
        </w:r>
        <w:r>
          <w:rPr>
            <w:noProof/>
            <w:webHidden/>
          </w:rPr>
          <w:fldChar w:fldCharType="begin"/>
        </w:r>
        <w:r>
          <w:rPr>
            <w:noProof/>
            <w:webHidden/>
          </w:rPr>
          <w:instrText xml:space="preserve"> PAGEREF _Toc305768527 \h </w:instrText>
        </w:r>
        <w:r>
          <w:rPr>
            <w:noProof/>
            <w:webHidden/>
          </w:rPr>
        </w:r>
        <w:r>
          <w:rPr>
            <w:noProof/>
            <w:webHidden/>
          </w:rPr>
          <w:fldChar w:fldCharType="separate"/>
        </w:r>
        <w:r>
          <w:rPr>
            <w:noProof/>
            <w:webHidden/>
          </w:rPr>
          <w:t>20</w:t>
        </w:r>
        <w:r>
          <w:rPr>
            <w:noProof/>
            <w:webHidden/>
          </w:rPr>
          <w:fldChar w:fldCharType="end"/>
        </w:r>
      </w:hyperlink>
    </w:p>
    <w:p w:rsidR="006C61EC" w:rsidRDefault="006C61EC">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05768528" w:history="1">
        <w:r w:rsidRPr="00281D78">
          <w:rPr>
            <w:rStyle w:val="Hyperlink"/>
            <w:noProof/>
          </w:rPr>
          <w:t>4.4.1.</w:t>
        </w:r>
        <w:r>
          <w:rPr>
            <w:rFonts w:asciiTheme="minorHAnsi" w:eastAsiaTheme="minorEastAsia" w:hAnsiTheme="minorHAnsi" w:cstheme="minorBidi"/>
            <w:i w:val="0"/>
            <w:iCs w:val="0"/>
            <w:noProof/>
            <w:sz w:val="22"/>
            <w:szCs w:val="22"/>
            <w:lang w:eastAsia="en-GB"/>
          </w:rPr>
          <w:tab/>
        </w:r>
        <w:r w:rsidRPr="00281D78">
          <w:rPr>
            <w:rStyle w:val="Hyperlink"/>
            <w:noProof/>
          </w:rPr>
          <w:t>FCC</w:t>
        </w:r>
        <w:r>
          <w:rPr>
            <w:noProof/>
            <w:webHidden/>
          </w:rPr>
          <w:tab/>
        </w:r>
        <w:r>
          <w:rPr>
            <w:noProof/>
            <w:webHidden/>
          </w:rPr>
          <w:fldChar w:fldCharType="begin"/>
        </w:r>
        <w:r>
          <w:rPr>
            <w:noProof/>
            <w:webHidden/>
          </w:rPr>
          <w:instrText xml:space="preserve"> PAGEREF _Toc305768528 \h </w:instrText>
        </w:r>
        <w:r>
          <w:rPr>
            <w:noProof/>
            <w:webHidden/>
          </w:rPr>
        </w:r>
        <w:r>
          <w:rPr>
            <w:noProof/>
            <w:webHidden/>
          </w:rPr>
          <w:fldChar w:fldCharType="separate"/>
        </w:r>
        <w:r>
          <w:rPr>
            <w:noProof/>
            <w:webHidden/>
          </w:rPr>
          <w:t>20</w:t>
        </w:r>
        <w:r>
          <w:rPr>
            <w:noProof/>
            <w:webHidden/>
          </w:rPr>
          <w:fldChar w:fldCharType="end"/>
        </w:r>
      </w:hyperlink>
    </w:p>
    <w:p w:rsidR="006C61EC" w:rsidRDefault="006C61EC">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05768529" w:history="1">
        <w:r w:rsidRPr="00281D78">
          <w:rPr>
            <w:rStyle w:val="Hyperlink"/>
            <w:noProof/>
          </w:rPr>
          <w:t>4.4.2.</w:t>
        </w:r>
        <w:r>
          <w:rPr>
            <w:rFonts w:asciiTheme="minorHAnsi" w:eastAsiaTheme="minorEastAsia" w:hAnsiTheme="minorHAnsi" w:cstheme="minorBidi"/>
            <w:i w:val="0"/>
            <w:iCs w:val="0"/>
            <w:noProof/>
            <w:sz w:val="22"/>
            <w:szCs w:val="22"/>
            <w:lang w:eastAsia="en-GB"/>
          </w:rPr>
          <w:tab/>
        </w:r>
        <w:r w:rsidRPr="00281D78">
          <w:rPr>
            <w:rStyle w:val="Hyperlink"/>
            <w:noProof/>
          </w:rPr>
          <w:t>Remondis:  Ukraine</w:t>
        </w:r>
        <w:r>
          <w:rPr>
            <w:noProof/>
            <w:webHidden/>
          </w:rPr>
          <w:tab/>
        </w:r>
        <w:r>
          <w:rPr>
            <w:noProof/>
            <w:webHidden/>
          </w:rPr>
          <w:fldChar w:fldCharType="begin"/>
        </w:r>
        <w:r>
          <w:rPr>
            <w:noProof/>
            <w:webHidden/>
          </w:rPr>
          <w:instrText xml:space="preserve"> PAGEREF _Toc305768529 \h </w:instrText>
        </w:r>
        <w:r>
          <w:rPr>
            <w:noProof/>
            <w:webHidden/>
          </w:rPr>
        </w:r>
        <w:r>
          <w:rPr>
            <w:noProof/>
            <w:webHidden/>
          </w:rPr>
          <w:fldChar w:fldCharType="separate"/>
        </w:r>
        <w:r>
          <w:rPr>
            <w:noProof/>
            <w:webHidden/>
          </w:rPr>
          <w:t>20</w:t>
        </w:r>
        <w:r>
          <w:rPr>
            <w:noProof/>
            <w:webHidden/>
          </w:rPr>
          <w:fldChar w:fldCharType="end"/>
        </w:r>
      </w:hyperlink>
    </w:p>
    <w:p w:rsidR="006C61EC" w:rsidRDefault="006C61EC">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05768530" w:history="1">
        <w:r w:rsidRPr="00281D78">
          <w:rPr>
            <w:rStyle w:val="Hyperlink"/>
            <w:noProof/>
          </w:rPr>
          <w:t>4.4.3.</w:t>
        </w:r>
        <w:r>
          <w:rPr>
            <w:rFonts w:asciiTheme="minorHAnsi" w:eastAsiaTheme="minorEastAsia" w:hAnsiTheme="minorHAnsi" w:cstheme="minorBidi"/>
            <w:i w:val="0"/>
            <w:iCs w:val="0"/>
            <w:noProof/>
            <w:sz w:val="22"/>
            <w:szCs w:val="22"/>
            <w:lang w:eastAsia="en-GB"/>
          </w:rPr>
          <w:tab/>
        </w:r>
        <w:r w:rsidRPr="00281D78">
          <w:rPr>
            <w:rStyle w:val="Hyperlink"/>
            <w:noProof/>
          </w:rPr>
          <w:t>Veolia: Ukraine</w:t>
        </w:r>
        <w:r>
          <w:rPr>
            <w:noProof/>
            <w:webHidden/>
          </w:rPr>
          <w:tab/>
        </w:r>
        <w:r>
          <w:rPr>
            <w:noProof/>
            <w:webHidden/>
          </w:rPr>
          <w:fldChar w:fldCharType="begin"/>
        </w:r>
        <w:r>
          <w:rPr>
            <w:noProof/>
            <w:webHidden/>
          </w:rPr>
          <w:instrText xml:space="preserve"> PAGEREF _Toc305768530 \h </w:instrText>
        </w:r>
        <w:r>
          <w:rPr>
            <w:noProof/>
            <w:webHidden/>
          </w:rPr>
        </w:r>
        <w:r>
          <w:rPr>
            <w:noProof/>
            <w:webHidden/>
          </w:rPr>
          <w:fldChar w:fldCharType="separate"/>
        </w:r>
        <w:r>
          <w:rPr>
            <w:noProof/>
            <w:webHidden/>
          </w:rPr>
          <w:t>21</w:t>
        </w:r>
        <w:r>
          <w:rPr>
            <w:noProof/>
            <w:webHidden/>
          </w:rPr>
          <w:fldChar w:fldCharType="end"/>
        </w:r>
      </w:hyperlink>
    </w:p>
    <w:p w:rsidR="006C61EC" w:rsidRDefault="006C61EC">
      <w:pPr>
        <w:pStyle w:val="TOC1"/>
        <w:tabs>
          <w:tab w:val="left" w:pos="440"/>
          <w:tab w:val="right" w:leader="dot" w:pos="9628"/>
        </w:tabs>
        <w:rPr>
          <w:rFonts w:asciiTheme="minorHAnsi" w:eastAsiaTheme="minorEastAsia" w:hAnsiTheme="minorHAnsi" w:cstheme="minorBidi"/>
          <w:b w:val="0"/>
          <w:bCs w:val="0"/>
          <w:caps w:val="0"/>
          <w:noProof/>
          <w:sz w:val="22"/>
          <w:szCs w:val="22"/>
          <w:lang w:eastAsia="en-GB"/>
        </w:rPr>
      </w:pPr>
      <w:hyperlink w:anchor="_Toc305768531" w:history="1">
        <w:r w:rsidRPr="00281D78">
          <w:rPr>
            <w:rStyle w:val="Hyperlink"/>
            <w:noProof/>
          </w:rPr>
          <w:t>5.</w:t>
        </w:r>
        <w:r>
          <w:rPr>
            <w:rFonts w:asciiTheme="minorHAnsi" w:eastAsiaTheme="minorEastAsia" w:hAnsiTheme="minorHAnsi" w:cstheme="minorBidi"/>
            <w:b w:val="0"/>
            <w:bCs w:val="0"/>
            <w:caps w:val="0"/>
            <w:noProof/>
            <w:sz w:val="22"/>
            <w:szCs w:val="22"/>
            <w:lang w:eastAsia="en-GB"/>
          </w:rPr>
          <w:tab/>
        </w:r>
        <w:r w:rsidRPr="00281D78">
          <w:rPr>
            <w:rStyle w:val="Hyperlink"/>
            <w:noProof/>
          </w:rPr>
          <w:t>Sectoral trends: Energy</w:t>
        </w:r>
        <w:r>
          <w:rPr>
            <w:noProof/>
            <w:webHidden/>
          </w:rPr>
          <w:tab/>
        </w:r>
        <w:r>
          <w:rPr>
            <w:noProof/>
            <w:webHidden/>
          </w:rPr>
          <w:fldChar w:fldCharType="begin"/>
        </w:r>
        <w:r>
          <w:rPr>
            <w:noProof/>
            <w:webHidden/>
          </w:rPr>
          <w:instrText xml:space="preserve"> PAGEREF _Toc305768531 \h </w:instrText>
        </w:r>
        <w:r>
          <w:rPr>
            <w:noProof/>
            <w:webHidden/>
          </w:rPr>
        </w:r>
        <w:r>
          <w:rPr>
            <w:noProof/>
            <w:webHidden/>
          </w:rPr>
          <w:fldChar w:fldCharType="separate"/>
        </w:r>
        <w:r>
          <w:rPr>
            <w:noProof/>
            <w:webHidden/>
          </w:rPr>
          <w:t>21</w:t>
        </w:r>
        <w:r>
          <w:rPr>
            <w:noProof/>
            <w:webHidden/>
          </w:rPr>
          <w:fldChar w:fldCharType="end"/>
        </w:r>
      </w:hyperlink>
    </w:p>
    <w:p w:rsidR="006C61EC" w:rsidRDefault="006C61EC">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05768532" w:history="1">
        <w:r w:rsidRPr="00281D78">
          <w:rPr>
            <w:rStyle w:val="Hyperlink"/>
            <w:noProof/>
          </w:rPr>
          <w:t>5.1.</w:t>
        </w:r>
        <w:r>
          <w:rPr>
            <w:rFonts w:asciiTheme="minorHAnsi" w:eastAsiaTheme="minorEastAsia" w:hAnsiTheme="minorHAnsi" w:cstheme="minorBidi"/>
            <w:smallCaps w:val="0"/>
            <w:noProof/>
            <w:sz w:val="22"/>
            <w:szCs w:val="22"/>
            <w:lang w:eastAsia="en-GB"/>
          </w:rPr>
          <w:tab/>
        </w:r>
        <w:r w:rsidRPr="00281D78">
          <w:rPr>
            <w:rStyle w:val="Hyperlink"/>
            <w:noProof/>
          </w:rPr>
          <w:t>EU policies and instruments</w:t>
        </w:r>
        <w:r>
          <w:rPr>
            <w:noProof/>
            <w:webHidden/>
          </w:rPr>
          <w:tab/>
        </w:r>
        <w:r>
          <w:rPr>
            <w:noProof/>
            <w:webHidden/>
          </w:rPr>
          <w:fldChar w:fldCharType="begin"/>
        </w:r>
        <w:r>
          <w:rPr>
            <w:noProof/>
            <w:webHidden/>
          </w:rPr>
          <w:instrText xml:space="preserve"> PAGEREF _Toc305768532 \h </w:instrText>
        </w:r>
        <w:r>
          <w:rPr>
            <w:noProof/>
            <w:webHidden/>
          </w:rPr>
        </w:r>
        <w:r>
          <w:rPr>
            <w:noProof/>
            <w:webHidden/>
          </w:rPr>
          <w:fldChar w:fldCharType="separate"/>
        </w:r>
        <w:r>
          <w:rPr>
            <w:noProof/>
            <w:webHidden/>
          </w:rPr>
          <w:t>21</w:t>
        </w:r>
        <w:r>
          <w:rPr>
            <w:noProof/>
            <w:webHidden/>
          </w:rPr>
          <w:fldChar w:fldCharType="end"/>
        </w:r>
      </w:hyperlink>
    </w:p>
    <w:p w:rsidR="006C61EC" w:rsidRDefault="006C61EC">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05768533" w:history="1">
        <w:r w:rsidRPr="00281D78">
          <w:rPr>
            <w:rStyle w:val="Hyperlink"/>
            <w:noProof/>
          </w:rPr>
          <w:t>5.1.1.</w:t>
        </w:r>
        <w:r>
          <w:rPr>
            <w:rFonts w:asciiTheme="minorHAnsi" w:eastAsiaTheme="minorEastAsia" w:hAnsiTheme="minorHAnsi" w:cstheme="minorBidi"/>
            <w:i w:val="0"/>
            <w:iCs w:val="0"/>
            <w:noProof/>
            <w:sz w:val="22"/>
            <w:szCs w:val="22"/>
            <w:lang w:eastAsia="en-GB"/>
          </w:rPr>
          <w:tab/>
        </w:r>
        <w:r w:rsidRPr="00281D78">
          <w:rPr>
            <w:rStyle w:val="Hyperlink"/>
            <w:noProof/>
          </w:rPr>
          <w:t>Energy Community Treaty</w:t>
        </w:r>
        <w:r>
          <w:rPr>
            <w:noProof/>
            <w:webHidden/>
          </w:rPr>
          <w:tab/>
        </w:r>
        <w:r>
          <w:rPr>
            <w:noProof/>
            <w:webHidden/>
          </w:rPr>
          <w:fldChar w:fldCharType="begin"/>
        </w:r>
        <w:r>
          <w:rPr>
            <w:noProof/>
            <w:webHidden/>
          </w:rPr>
          <w:instrText xml:space="preserve"> PAGEREF _Toc305768533 \h </w:instrText>
        </w:r>
        <w:r>
          <w:rPr>
            <w:noProof/>
            <w:webHidden/>
          </w:rPr>
        </w:r>
        <w:r>
          <w:rPr>
            <w:noProof/>
            <w:webHidden/>
          </w:rPr>
          <w:fldChar w:fldCharType="separate"/>
        </w:r>
        <w:r>
          <w:rPr>
            <w:noProof/>
            <w:webHidden/>
          </w:rPr>
          <w:t>21</w:t>
        </w:r>
        <w:r>
          <w:rPr>
            <w:noProof/>
            <w:webHidden/>
          </w:rPr>
          <w:fldChar w:fldCharType="end"/>
        </w:r>
      </w:hyperlink>
    </w:p>
    <w:p w:rsidR="006C61EC" w:rsidRDefault="006C61EC">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05768534" w:history="1">
        <w:r w:rsidRPr="00281D78">
          <w:rPr>
            <w:rStyle w:val="Hyperlink"/>
            <w:noProof/>
          </w:rPr>
          <w:t>5.1.2.</w:t>
        </w:r>
        <w:r>
          <w:rPr>
            <w:rFonts w:asciiTheme="minorHAnsi" w:eastAsiaTheme="minorEastAsia" w:hAnsiTheme="minorHAnsi" w:cstheme="minorBidi"/>
            <w:i w:val="0"/>
            <w:iCs w:val="0"/>
            <w:noProof/>
            <w:sz w:val="22"/>
            <w:szCs w:val="22"/>
            <w:lang w:eastAsia="en-GB"/>
          </w:rPr>
          <w:tab/>
        </w:r>
        <w:r w:rsidRPr="00281D78">
          <w:rPr>
            <w:rStyle w:val="Hyperlink"/>
            <w:noProof/>
          </w:rPr>
          <w:t>Energy Charter Treaty</w:t>
        </w:r>
        <w:r>
          <w:rPr>
            <w:noProof/>
            <w:webHidden/>
          </w:rPr>
          <w:tab/>
        </w:r>
        <w:r>
          <w:rPr>
            <w:noProof/>
            <w:webHidden/>
          </w:rPr>
          <w:fldChar w:fldCharType="begin"/>
        </w:r>
        <w:r>
          <w:rPr>
            <w:noProof/>
            <w:webHidden/>
          </w:rPr>
          <w:instrText xml:space="preserve"> PAGEREF _Toc305768534 \h </w:instrText>
        </w:r>
        <w:r>
          <w:rPr>
            <w:noProof/>
            <w:webHidden/>
          </w:rPr>
        </w:r>
        <w:r>
          <w:rPr>
            <w:noProof/>
            <w:webHidden/>
          </w:rPr>
          <w:fldChar w:fldCharType="separate"/>
        </w:r>
        <w:r>
          <w:rPr>
            <w:noProof/>
            <w:webHidden/>
          </w:rPr>
          <w:t>21</w:t>
        </w:r>
        <w:r>
          <w:rPr>
            <w:noProof/>
            <w:webHidden/>
          </w:rPr>
          <w:fldChar w:fldCharType="end"/>
        </w:r>
      </w:hyperlink>
    </w:p>
    <w:p w:rsidR="006C61EC" w:rsidRDefault="006C61EC">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05768535" w:history="1">
        <w:r w:rsidRPr="00281D78">
          <w:rPr>
            <w:rStyle w:val="Hyperlink"/>
            <w:noProof/>
          </w:rPr>
          <w:t>5.1.3.</w:t>
        </w:r>
        <w:r>
          <w:rPr>
            <w:rFonts w:asciiTheme="minorHAnsi" w:eastAsiaTheme="minorEastAsia" w:hAnsiTheme="minorHAnsi" w:cstheme="minorBidi"/>
            <w:i w:val="0"/>
            <w:iCs w:val="0"/>
            <w:noProof/>
            <w:sz w:val="22"/>
            <w:szCs w:val="22"/>
            <w:lang w:eastAsia="en-GB"/>
          </w:rPr>
          <w:tab/>
        </w:r>
        <w:r w:rsidRPr="00281D78">
          <w:rPr>
            <w:rStyle w:val="Hyperlink"/>
            <w:noProof/>
          </w:rPr>
          <w:t>2020 energy strategy</w:t>
        </w:r>
        <w:r>
          <w:rPr>
            <w:noProof/>
            <w:webHidden/>
          </w:rPr>
          <w:tab/>
        </w:r>
        <w:r>
          <w:rPr>
            <w:noProof/>
            <w:webHidden/>
          </w:rPr>
          <w:fldChar w:fldCharType="begin"/>
        </w:r>
        <w:r>
          <w:rPr>
            <w:noProof/>
            <w:webHidden/>
          </w:rPr>
          <w:instrText xml:space="preserve"> PAGEREF _Toc305768535 \h </w:instrText>
        </w:r>
        <w:r>
          <w:rPr>
            <w:noProof/>
            <w:webHidden/>
          </w:rPr>
        </w:r>
        <w:r>
          <w:rPr>
            <w:noProof/>
            <w:webHidden/>
          </w:rPr>
          <w:fldChar w:fldCharType="separate"/>
        </w:r>
        <w:r>
          <w:rPr>
            <w:noProof/>
            <w:webHidden/>
          </w:rPr>
          <w:t>21</w:t>
        </w:r>
        <w:r>
          <w:rPr>
            <w:noProof/>
            <w:webHidden/>
          </w:rPr>
          <w:fldChar w:fldCharType="end"/>
        </w:r>
      </w:hyperlink>
    </w:p>
    <w:p w:rsidR="006C61EC" w:rsidRDefault="006C61EC">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05768536" w:history="1">
        <w:r w:rsidRPr="00281D78">
          <w:rPr>
            <w:rStyle w:val="Hyperlink"/>
            <w:noProof/>
          </w:rPr>
          <w:t>5.2.</w:t>
        </w:r>
        <w:r>
          <w:rPr>
            <w:rFonts w:asciiTheme="minorHAnsi" w:eastAsiaTheme="minorEastAsia" w:hAnsiTheme="minorHAnsi" w:cstheme="minorBidi"/>
            <w:smallCaps w:val="0"/>
            <w:noProof/>
            <w:sz w:val="22"/>
            <w:szCs w:val="22"/>
            <w:lang w:eastAsia="en-GB"/>
          </w:rPr>
          <w:tab/>
        </w:r>
        <w:r w:rsidRPr="00281D78">
          <w:rPr>
            <w:rStyle w:val="Hyperlink"/>
            <w:noProof/>
          </w:rPr>
          <w:t>EU Neighbourhood policy</w:t>
        </w:r>
        <w:r>
          <w:rPr>
            <w:noProof/>
            <w:webHidden/>
          </w:rPr>
          <w:tab/>
        </w:r>
        <w:r>
          <w:rPr>
            <w:noProof/>
            <w:webHidden/>
          </w:rPr>
          <w:fldChar w:fldCharType="begin"/>
        </w:r>
        <w:r>
          <w:rPr>
            <w:noProof/>
            <w:webHidden/>
          </w:rPr>
          <w:instrText xml:space="preserve"> PAGEREF _Toc305768536 \h </w:instrText>
        </w:r>
        <w:r>
          <w:rPr>
            <w:noProof/>
            <w:webHidden/>
          </w:rPr>
        </w:r>
        <w:r>
          <w:rPr>
            <w:noProof/>
            <w:webHidden/>
          </w:rPr>
          <w:fldChar w:fldCharType="separate"/>
        </w:r>
        <w:r>
          <w:rPr>
            <w:noProof/>
            <w:webHidden/>
          </w:rPr>
          <w:t>22</w:t>
        </w:r>
        <w:r>
          <w:rPr>
            <w:noProof/>
            <w:webHidden/>
          </w:rPr>
          <w:fldChar w:fldCharType="end"/>
        </w:r>
      </w:hyperlink>
    </w:p>
    <w:p w:rsidR="006C61EC" w:rsidRDefault="006C61EC">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05768537" w:history="1">
        <w:r w:rsidRPr="00281D78">
          <w:rPr>
            <w:rStyle w:val="Hyperlink"/>
            <w:noProof/>
            <w:lang w:eastAsia="en-GB"/>
          </w:rPr>
          <w:t>5.2.1.</w:t>
        </w:r>
        <w:r>
          <w:rPr>
            <w:rFonts w:asciiTheme="minorHAnsi" w:eastAsiaTheme="minorEastAsia" w:hAnsiTheme="minorHAnsi" w:cstheme="minorBidi"/>
            <w:i w:val="0"/>
            <w:iCs w:val="0"/>
            <w:noProof/>
            <w:sz w:val="22"/>
            <w:szCs w:val="22"/>
            <w:lang w:eastAsia="en-GB"/>
          </w:rPr>
          <w:tab/>
        </w:r>
        <w:r w:rsidRPr="00281D78">
          <w:rPr>
            <w:rStyle w:val="Hyperlink"/>
            <w:noProof/>
            <w:lang w:eastAsia="en-GB"/>
          </w:rPr>
          <w:t>Armenia ENP progress report</w:t>
        </w:r>
        <w:r>
          <w:rPr>
            <w:noProof/>
            <w:webHidden/>
          </w:rPr>
          <w:tab/>
        </w:r>
        <w:r>
          <w:rPr>
            <w:noProof/>
            <w:webHidden/>
          </w:rPr>
          <w:fldChar w:fldCharType="begin"/>
        </w:r>
        <w:r>
          <w:rPr>
            <w:noProof/>
            <w:webHidden/>
          </w:rPr>
          <w:instrText xml:space="preserve"> PAGEREF _Toc305768537 \h </w:instrText>
        </w:r>
        <w:r>
          <w:rPr>
            <w:noProof/>
            <w:webHidden/>
          </w:rPr>
        </w:r>
        <w:r>
          <w:rPr>
            <w:noProof/>
            <w:webHidden/>
          </w:rPr>
          <w:fldChar w:fldCharType="separate"/>
        </w:r>
        <w:r>
          <w:rPr>
            <w:noProof/>
            <w:webHidden/>
          </w:rPr>
          <w:t>22</w:t>
        </w:r>
        <w:r>
          <w:rPr>
            <w:noProof/>
            <w:webHidden/>
          </w:rPr>
          <w:fldChar w:fldCharType="end"/>
        </w:r>
      </w:hyperlink>
    </w:p>
    <w:p w:rsidR="006C61EC" w:rsidRDefault="006C61EC">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05768538" w:history="1">
        <w:r w:rsidRPr="00281D78">
          <w:rPr>
            <w:rStyle w:val="Hyperlink"/>
            <w:noProof/>
            <w:lang w:eastAsia="en-GB"/>
          </w:rPr>
          <w:t>5.2.2.</w:t>
        </w:r>
        <w:r>
          <w:rPr>
            <w:rFonts w:asciiTheme="minorHAnsi" w:eastAsiaTheme="minorEastAsia" w:hAnsiTheme="minorHAnsi" w:cstheme="minorBidi"/>
            <w:i w:val="0"/>
            <w:iCs w:val="0"/>
            <w:noProof/>
            <w:sz w:val="22"/>
            <w:szCs w:val="22"/>
            <w:lang w:eastAsia="en-GB"/>
          </w:rPr>
          <w:tab/>
        </w:r>
        <w:r w:rsidRPr="00281D78">
          <w:rPr>
            <w:rStyle w:val="Hyperlink"/>
            <w:noProof/>
            <w:lang w:eastAsia="en-GB"/>
          </w:rPr>
          <w:t>Moldova ENP progress report</w:t>
        </w:r>
        <w:r>
          <w:rPr>
            <w:noProof/>
            <w:webHidden/>
          </w:rPr>
          <w:tab/>
        </w:r>
        <w:r>
          <w:rPr>
            <w:noProof/>
            <w:webHidden/>
          </w:rPr>
          <w:fldChar w:fldCharType="begin"/>
        </w:r>
        <w:r>
          <w:rPr>
            <w:noProof/>
            <w:webHidden/>
          </w:rPr>
          <w:instrText xml:space="preserve"> PAGEREF _Toc305768538 \h </w:instrText>
        </w:r>
        <w:r>
          <w:rPr>
            <w:noProof/>
            <w:webHidden/>
          </w:rPr>
        </w:r>
        <w:r>
          <w:rPr>
            <w:noProof/>
            <w:webHidden/>
          </w:rPr>
          <w:fldChar w:fldCharType="separate"/>
        </w:r>
        <w:r>
          <w:rPr>
            <w:noProof/>
            <w:webHidden/>
          </w:rPr>
          <w:t>22</w:t>
        </w:r>
        <w:r>
          <w:rPr>
            <w:noProof/>
            <w:webHidden/>
          </w:rPr>
          <w:fldChar w:fldCharType="end"/>
        </w:r>
      </w:hyperlink>
    </w:p>
    <w:p w:rsidR="006C61EC" w:rsidRDefault="006C61EC">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05768539" w:history="1">
        <w:r w:rsidRPr="00281D78">
          <w:rPr>
            <w:rStyle w:val="Hyperlink"/>
            <w:noProof/>
          </w:rPr>
          <w:t>5.3.</w:t>
        </w:r>
        <w:r>
          <w:rPr>
            <w:rFonts w:asciiTheme="minorHAnsi" w:eastAsiaTheme="minorEastAsia" w:hAnsiTheme="minorHAnsi" w:cstheme="minorBidi"/>
            <w:smallCaps w:val="0"/>
            <w:noProof/>
            <w:sz w:val="22"/>
            <w:szCs w:val="22"/>
            <w:lang w:eastAsia="en-GB"/>
          </w:rPr>
          <w:tab/>
        </w:r>
        <w:r w:rsidRPr="00281D78">
          <w:rPr>
            <w:rStyle w:val="Hyperlink"/>
            <w:noProof/>
          </w:rPr>
          <w:t>Development banks,  OECD and UNECE</w:t>
        </w:r>
        <w:r>
          <w:rPr>
            <w:noProof/>
            <w:webHidden/>
          </w:rPr>
          <w:tab/>
        </w:r>
        <w:r>
          <w:rPr>
            <w:noProof/>
            <w:webHidden/>
          </w:rPr>
          <w:fldChar w:fldCharType="begin"/>
        </w:r>
        <w:r>
          <w:rPr>
            <w:noProof/>
            <w:webHidden/>
          </w:rPr>
          <w:instrText xml:space="preserve"> PAGEREF _Toc305768539 \h </w:instrText>
        </w:r>
        <w:r>
          <w:rPr>
            <w:noProof/>
            <w:webHidden/>
          </w:rPr>
        </w:r>
        <w:r>
          <w:rPr>
            <w:noProof/>
            <w:webHidden/>
          </w:rPr>
          <w:fldChar w:fldCharType="separate"/>
        </w:r>
        <w:r>
          <w:rPr>
            <w:noProof/>
            <w:webHidden/>
          </w:rPr>
          <w:t>23</w:t>
        </w:r>
        <w:r>
          <w:rPr>
            <w:noProof/>
            <w:webHidden/>
          </w:rPr>
          <w:fldChar w:fldCharType="end"/>
        </w:r>
      </w:hyperlink>
    </w:p>
    <w:p w:rsidR="006C61EC" w:rsidRDefault="006C61EC">
      <w:pPr>
        <w:pStyle w:val="TOC4"/>
        <w:tabs>
          <w:tab w:val="left" w:pos="1540"/>
          <w:tab w:val="right" w:leader="dot" w:pos="9628"/>
        </w:tabs>
        <w:rPr>
          <w:rFonts w:asciiTheme="minorHAnsi" w:eastAsiaTheme="minorEastAsia" w:hAnsiTheme="minorHAnsi" w:cstheme="minorBidi"/>
          <w:noProof/>
          <w:sz w:val="22"/>
          <w:szCs w:val="22"/>
          <w:lang w:eastAsia="en-GB"/>
        </w:rPr>
      </w:pPr>
      <w:hyperlink w:anchor="_Toc305768540" w:history="1">
        <w:r w:rsidRPr="00281D78">
          <w:rPr>
            <w:rStyle w:val="Hyperlink"/>
            <w:noProof/>
          </w:rPr>
          <w:t>Table 7.</w:t>
        </w:r>
        <w:r>
          <w:rPr>
            <w:rFonts w:asciiTheme="minorHAnsi" w:eastAsiaTheme="minorEastAsia" w:hAnsiTheme="minorHAnsi" w:cstheme="minorBidi"/>
            <w:noProof/>
            <w:sz w:val="22"/>
            <w:szCs w:val="22"/>
            <w:lang w:eastAsia="en-GB"/>
          </w:rPr>
          <w:tab/>
        </w:r>
        <w:r w:rsidRPr="00281D78">
          <w:rPr>
            <w:rStyle w:val="Hyperlink"/>
            <w:noProof/>
          </w:rPr>
          <w:t>EIB projects in electricity in the region</w:t>
        </w:r>
        <w:r>
          <w:rPr>
            <w:noProof/>
            <w:webHidden/>
          </w:rPr>
          <w:tab/>
        </w:r>
        <w:r>
          <w:rPr>
            <w:noProof/>
            <w:webHidden/>
          </w:rPr>
          <w:fldChar w:fldCharType="begin"/>
        </w:r>
        <w:r>
          <w:rPr>
            <w:noProof/>
            <w:webHidden/>
          </w:rPr>
          <w:instrText xml:space="preserve"> PAGEREF _Toc305768540 \h </w:instrText>
        </w:r>
        <w:r>
          <w:rPr>
            <w:noProof/>
            <w:webHidden/>
          </w:rPr>
        </w:r>
        <w:r>
          <w:rPr>
            <w:noProof/>
            <w:webHidden/>
          </w:rPr>
          <w:fldChar w:fldCharType="separate"/>
        </w:r>
        <w:r>
          <w:rPr>
            <w:noProof/>
            <w:webHidden/>
          </w:rPr>
          <w:t>23</w:t>
        </w:r>
        <w:r>
          <w:rPr>
            <w:noProof/>
            <w:webHidden/>
          </w:rPr>
          <w:fldChar w:fldCharType="end"/>
        </w:r>
      </w:hyperlink>
    </w:p>
    <w:p w:rsidR="006C61EC" w:rsidRDefault="006C61EC">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05768541" w:history="1">
        <w:r w:rsidRPr="00281D78">
          <w:rPr>
            <w:rStyle w:val="Hyperlink"/>
            <w:rFonts w:ascii="Cambria" w:hAnsi="Cambria"/>
            <w:noProof/>
            <w:lang w:val="en-US" w:bidi="en-US"/>
          </w:rPr>
          <w:t>5.4.</w:t>
        </w:r>
        <w:r>
          <w:rPr>
            <w:rFonts w:asciiTheme="minorHAnsi" w:eastAsiaTheme="minorEastAsia" w:hAnsiTheme="minorHAnsi" w:cstheme="minorBidi"/>
            <w:smallCaps w:val="0"/>
            <w:noProof/>
            <w:sz w:val="22"/>
            <w:szCs w:val="22"/>
            <w:lang w:eastAsia="en-GB"/>
          </w:rPr>
          <w:tab/>
        </w:r>
        <w:r w:rsidRPr="00281D78">
          <w:rPr>
            <w:rStyle w:val="Hyperlink"/>
            <w:noProof/>
          </w:rPr>
          <w:t>Croatia</w:t>
        </w:r>
        <w:r>
          <w:rPr>
            <w:noProof/>
            <w:webHidden/>
          </w:rPr>
          <w:tab/>
        </w:r>
        <w:r>
          <w:rPr>
            <w:noProof/>
            <w:webHidden/>
          </w:rPr>
          <w:fldChar w:fldCharType="begin"/>
        </w:r>
        <w:r>
          <w:rPr>
            <w:noProof/>
            <w:webHidden/>
          </w:rPr>
          <w:instrText xml:space="preserve"> PAGEREF _Toc305768541 \h </w:instrText>
        </w:r>
        <w:r>
          <w:rPr>
            <w:noProof/>
            <w:webHidden/>
          </w:rPr>
        </w:r>
        <w:r>
          <w:rPr>
            <w:noProof/>
            <w:webHidden/>
          </w:rPr>
          <w:fldChar w:fldCharType="separate"/>
        </w:r>
        <w:r>
          <w:rPr>
            <w:noProof/>
            <w:webHidden/>
          </w:rPr>
          <w:t>23</w:t>
        </w:r>
        <w:r>
          <w:rPr>
            <w:noProof/>
            <w:webHidden/>
          </w:rPr>
          <w:fldChar w:fldCharType="end"/>
        </w:r>
      </w:hyperlink>
    </w:p>
    <w:p w:rsidR="006C61EC" w:rsidRDefault="006C61EC">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05768542" w:history="1">
        <w:r w:rsidRPr="00281D78">
          <w:rPr>
            <w:rStyle w:val="Hyperlink"/>
            <w:noProof/>
          </w:rPr>
          <w:t>5.4.1.</w:t>
        </w:r>
        <w:r>
          <w:rPr>
            <w:rFonts w:asciiTheme="minorHAnsi" w:eastAsiaTheme="minorEastAsia" w:hAnsiTheme="minorHAnsi" w:cstheme="minorBidi"/>
            <w:i w:val="0"/>
            <w:iCs w:val="0"/>
            <w:noProof/>
            <w:sz w:val="22"/>
            <w:szCs w:val="22"/>
            <w:lang w:eastAsia="en-GB"/>
          </w:rPr>
          <w:tab/>
        </w:r>
        <w:r w:rsidRPr="00281D78">
          <w:rPr>
            <w:rStyle w:val="Hyperlink"/>
            <w:noProof/>
          </w:rPr>
          <w:t>Electricity</w:t>
        </w:r>
        <w:r>
          <w:rPr>
            <w:noProof/>
            <w:webHidden/>
          </w:rPr>
          <w:tab/>
        </w:r>
        <w:r>
          <w:rPr>
            <w:noProof/>
            <w:webHidden/>
          </w:rPr>
          <w:fldChar w:fldCharType="begin"/>
        </w:r>
        <w:r>
          <w:rPr>
            <w:noProof/>
            <w:webHidden/>
          </w:rPr>
          <w:instrText xml:space="preserve"> PAGEREF _Toc305768542 \h </w:instrText>
        </w:r>
        <w:r>
          <w:rPr>
            <w:noProof/>
            <w:webHidden/>
          </w:rPr>
        </w:r>
        <w:r>
          <w:rPr>
            <w:noProof/>
            <w:webHidden/>
          </w:rPr>
          <w:fldChar w:fldCharType="separate"/>
        </w:r>
        <w:r>
          <w:rPr>
            <w:noProof/>
            <w:webHidden/>
          </w:rPr>
          <w:t>23</w:t>
        </w:r>
        <w:r>
          <w:rPr>
            <w:noProof/>
            <w:webHidden/>
          </w:rPr>
          <w:fldChar w:fldCharType="end"/>
        </w:r>
      </w:hyperlink>
    </w:p>
    <w:p w:rsidR="006C61EC" w:rsidRDefault="006C61EC">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05768543" w:history="1">
        <w:r w:rsidRPr="00281D78">
          <w:rPr>
            <w:rStyle w:val="Hyperlink"/>
            <w:noProof/>
          </w:rPr>
          <w:t>5.4.2.</w:t>
        </w:r>
        <w:r>
          <w:rPr>
            <w:rFonts w:asciiTheme="minorHAnsi" w:eastAsiaTheme="minorEastAsia" w:hAnsiTheme="minorHAnsi" w:cstheme="minorBidi"/>
            <w:i w:val="0"/>
            <w:iCs w:val="0"/>
            <w:noProof/>
            <w:sz w:val="22"/>
            <w:szCs w:val="22"/>
            <w:lang w:eastAsia="en-GB"/>
          </w:rPr>
          <w:tab/>
        </w:r>
        <w:r w:rsidRPr="00281D78">
          <w:rPr>
            <w:rStyle w:val="Hyperlink"/>
            <w:noProof/>
          </w:rPr>
          <w:t>Gas</w:t>
        </w:r>
        <w:r>
          <w:rPr>
            <w:noProof/>
            <w:webHidden/>
          </w:rPr>
          <w:tab/>
        </w:r>
        <w:r>
          <w:rPr>
            <w:noProof/>
            <w:webHidden/>
          </w:rPr>
          <w:fldChar w:fldCharType="begin"/>
        </w:r>
        <w:r>
          <w:rPr>
            <w:noProof/>
            <w:webHidden/>
          </w:rPr>
          <w:instrText xml:space="preserve"> PAGEREF _Toc305768543 \h </w:instrText>
        </w:r>
        <w:r>
          <w:rPr>
            <w:noProof/>
            <w:webHidden/>
          </w:rPr>
        </w:r>
        <w:r>
          <w:rPr>
            <w:noProof/>
            <w:webHidden/>
          </w:rPr>
          <w:fldChar w:fldCharType="separate"/>
        </w:r>
        <w:r>
          <w:rPr>
            <w:noProof/>
            <w:webHidden/>
          </w:rPr>
          <w:t>24</w:t>
        </w:r>
        <w:r>
          <w:rPr>
            <w:noProof/>
            <w:webHidden/>
          </w:rPr>
          <w:fldChar w:fldCharType="end"/>
        </w:r>
      </w:hyperlink>
    </w:p>
    <w:p w:rsidR="006C61EC" w:rsidRDefault="006C61EC">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05768544" w:history="1">
        <w:r w:rsidRPr="00281D78">
          <w:rPr>
            <w:rStyle w:val="Hyperlink"/>
            <w:noProof/>
          </w:rPr>
          <w:t>5.5.</w:t>
        </w:r>
        <w:r>
          <w:rPr>
            <w:rFonts w:asciiTheme="minorHAnsi" w:eastAsiaTheme="minorEastAsia" w:hAnsiTheme="minorHAnsi" w:cstheme="minorBidi"/>
            <w:smallCaps w:val="0"/>
            <w:noProof/>
            <w:sz w:val="22"/>
            <w:szCs w:val="22"/>
            <w:lang w:eastAsia="en-GB"/>
          </w:rPr>
          <w:tab/>
        </w:r>
        <w:r w:rsidRPr="00281D78">
          <w:rPr>
            <w:rStyle w:val="Hyperlink"/>
            <w:noProof/>
          </w:rPr>
          <w:t>Serbia</w:t>
        </w:r>
        <w:r>
          <w:rPr>
            <w:noProof/>
            <w:webHidden/>
          </w:rPr>
          <w:tab/>
        </w:r>
        <w:r>
          <w:rPr>
            <w:noProof/>
            <w:webHidden/>
          </w:rPr>
          <w:fldChar w:fldCharType="begin"/>
        </w:r>
        <w:r>
          <w:rPr>
            <w:noProof/>
            <w:webHidden/>
          </w:rPr>
          <w:instrText xml:space="preserve"> PAGEREF _Toc305768544 \h </w:instrText>
        </w:r>
        <w:r>
          <w:rPr>
            <w:noProof/>
            <w:webHidden/>
          </w:rPr>
        </w:r>
        <w:r>
          <w:rPr>
            <w:noProof/>
            <w:webHidden/>
          </w:rPr>
          <w:fldChar w:fldCharType="separate"/>
        </w:r>
        <w:r>
          <w:rPr>
            <w:noProof/>
            <w:webHidden/>
          </w:rPr>
          <w:t>24</w:t>
        </w:r>
        <w:r>
          <w:rPr>
            <w:noProof/>
            <w:webHidden/>
          </w:rPr>
          <w:fldChar w:fldCharType="end"/>
        </w:r>
      </w:hyperlink>
    </w:p>
    <w:p w:rsidR="006C61EC" w:rsidRDefault="006C61EC">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05768545" w:history="1">
        <w:r w:rsidRPr="00281D78">
          <w:rPr>
            <w:rStyle w:val="Hyperlink"/>
            <w:noProof/>
          </w:rPr>
          <w:t>5.5.1.</w:t>
        </w:r>
        <w:r>
          <w:rPr>
            <w:rFonts w:asciiTheme="minorHAnsi" w:eastAsiaTheme="minorEastAsia" w:hAnsiTheme="minorHAnsi" w:cstheme="minorBidi"/>
            <w:i w:val="0"/>
            <w:iCs w:val="0"/>
            <w:noProof/>
            <w:sz w:val="22"/>
            <w:szCs w:val="22"/>
            <w:lang w:eastAsia="en-GB"/>
          </w:rPr>
          <w:tab/>
        </w:r>
        <w:r w:rsidRPr="00281D78">
          <w:rPr>
            <w:rStyle w:val="Hyperlink"/>
            <w:noProof/>
          </w:rPr>
          <w:t>Electricity</w:t>
        </w:r>
        <w:r>
          <w:rPr>
            <w:noProof/>
            <w:webHidden/>
          </w:rPr>
          <w:tab/>
        </w:r>
        <w:r>
          <w:rPr>
            <w:noProof/>
            <w:webHidden/>
          </w:rPr>
          <w:fldChar w:fldCharType="begin"/>
        </w:r>
        <w:r>
          <w:rPr>
            <w:noProof/>
            <w:webHidden/>
          </w:rPr>
          <w:instrText xml:space="preserve"> PAGEREF _Toc305768545 \h </w:instrText>
        </w:r>
        <w:r>
          <w:rPr>
            <w:noProof/>
            <w:webHidden/>
          </w:rPr>
        </w:r>
        <w:r>
          <w:rPr>
            <w:noProof/>
            <w:webHidden/>
          </w:rPr>
          <w:fldChar w:fldCharType="separate"/>
        </w:r>
        <w:r>
          <w:rPr>
            <w:noProof/>
            <w:webHidden/>
          </w:rPr>
          <w:t>24</w:t>
        </w:r>
        <w:r>
          <w:rPr>
            <w:noProof/>
            <w:webHidden/>
          </w:rPr>
          <w:fldChar w:fldCharType="end"/>
        </w:r>
      </w:hyperlink>
    </w:p>
    <w:p w:rsidR="006C61EC" w:rsidRDefault="006C61EC">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05768546" w:history="1">
        <w:r w:rsidRPr="00281D78">
          <w:rPr>
            <w:rStyle w:val="Hyperlink"/>
            <w:noProof/>
          </w:rPr>
          <w:t>5.5.2.</w:t>
        </w:r>
        <w:r>
          <w:rPr>
            <w:rFonts w:asciiTheme="minorHAnsi" w:eastAsiaTheme="minorEastAsia" w:hAnsiTheme="minorHAnsi" w:cstheme="minorBidi"/>
            <w:i w:val="0"/>
            <w:iCs w:val="0"/>
            <w:noProof/>
            <w:sz w:val="22"/>
            <w:szCs w:val="22"/>
            <w:lang w:eastAsia="en-GB"/>
          </w:rPr>
          <w:tab/>
        </w:r>
        <w:r w:rsidRPr="00281D78">
          <w:rPr>
            <w:rStyle w:val="Hyperlink"/>
            <w:noProof/>
          </w:rPr>
          <w:t>Gas</w:t>
        </w:r>
        <w:r>
          <w:rPr>
            <w:noProof/>
            <w:webHidden/>
          </w:rPr>
          <w:tab/>
        </w:r>
        <w:r>
          <w:rPr>
            <w:noProof/>
            <w:webHidden/>
          </w:rPr>
          <w:fldChar w:fldCharType="begin"/>
        </w:r>
        <w:r>
          <w:rPr>
            <w:noProof/>
            <w:webHidden/>
          </w:rPr>
          <w:instrText xml:space="preserve"> PAGEREF _Toc305768546 \h </w:instrText>
        </w:r>
        <w:r>
          <w:rPr>
            <w:noProof/>
            <w:webHidden/>
          </w:rPr>
        </w:r>
        <w:r>
          <w:rPr>
            <w:noProof/>
            <w:webHidden/>
          </w:rPr>
          <w:fldChar w:fldCharType="separate"/>
        </w:r>
        <w:r>
          <w:rPr>
            <w:noProof/>
            <w:webHidden/>
          </w:rPr>
          <w:t>24</w:t>
        </w:r>
        <w:r>
          <w:rPr>
            <w:noProof/>
            <w:webHidden/>
          </w:rPr>
          <w:fldChar w:fldCharType="end"/>
        </w:r>
      </w:hyperlink>
    </w:p>
    <w:p w:rsidR="006C61EC" w:rsidRDefault="006C61EC">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05768547" w:history="1">
        <w:r w:rsidRPr="00281D78">
          <w:rPr>
            <w:rStyle w:val="Hyperlink"/>
            <w:noProof/>
          </w:rPr>
          <w:t>5.6.</w:t>
        </w:r>
        <w:r>
          <w:rPr>
            <w:rFonts w:asciiTheme="minorHAnsi" w:eastAsiaTheme="minorEastAsia" w:hAnsiTheme="minorHAnsi" w:cstheme="minorBidi"/>
            <w:smallCaps w:val="0"/>
            <w:noProof/>
            <w:sz w:val="22"/>
            <w:szCs w:val="22"/>
            <w:lang w:eastAsia="en-GB"/>
          </w:rPr>
          <w:tab/>
        </w:r>
        <w:r w:rsidRPr="00281D78">
          <w:rPr>
            <w:rStyle w:val="Hyperlink"/>
            <w:noProof/>
          </w:rPr>
          <w:t>Macedonia</w:t>
        </w:r>
        <w:r>
          <w:rPr>
            <w:noProof/>
            <w:webHidden/>
          </w:rPr>
          <w:tab/>
        </w:r>
        <w:r>
          <w:rPr>
            <w:noProof/>
            <w:webHidden/>
          </w:rPr>
          <w:fldChar w:fldCharType="begin"/>
        </w:r>
        <w:r>
          <w:rPr>
            <w:noProof/>
            <w:webHidden/>
          </w:rPr>
          <w:instrText xml:space="preserve"> PAGEREF _Toc305768547 \h </w:instrText>
        </w:r>
        <w:r>
          <w:rPr>
            <w:noProof/>
            <w:webHidden/>
          </w:rPr>
        </w:r>
        <w:r>
          <w:rPr>
            <w:noProof/>
            <w:webHidden/>
          </w:rPr>
          <w:fldChar w:fldCharType="separate"/>
        </w:r>
        <w:r>
          <w:rPr>
            <w:noProof/>
            <w:webHidden/>
          </w:rPr>
          <w:t>25</w:t>
        </w:r>
        <w:r>
          <w:rPr>
            <w:noProof/>
            <w:webHidden/>
          </w:rPr>
          <w:fldChar w:fldCharType="end"/>
        </w:r>
      </w:hyperlink>
    </w:p>
    <w:p w:rsidR="006C61EC" w:rsidRDefault="006C61EC">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05768548" w:history="1">
        <w:r w:rsidRPr="00281D78">
          <w:rPr>
            <w:rStyle w:val="Hyperlink"/>
            <w:noProof/>
          </w:rPr>
          <w:t>5.6.1.</w:t>
        </w:r>
        <w:r>
          <w:rPr>
            <w:rFonts w:asciiTheme="minorHAnsi" w:eastAsiaTheme="minorEastAsia" w:hAnsiTheme="minorHAnsi" w:cstheme="minorBidi"/>
            <w:i w:val="0"/>
            <w:iCs w:val="0"/>
            <w:noProof/>
            <w:sz w:val="22"/>
            <w:szCs w:val="22"/>
            <w:lang w:eastAsia="en-GB"/>
          </w:rPr>
          <w:tab/>
        </w:r>
        <w:r w:rsidRPr="00281D78">
          <w:rPr>
            <w:rStyle w:val="Hyperlink"/>
            <w:noProof/>
          </w:rPr>
          <w:t>Electricity</w:t>
        </w:r>
        <w:r>
          <w:rPr>
            <w:noProof/>
            <w:webHidden/>
          </w:rPr>
          <w:tab/>
        </w:r>
        <w:r>
          <w:rPr>
            <w:noProof/>
            <w:webHidden/>
          </w:rPr>
          <w:fldChar w:fldCharType="begin"/>
        </w:r>
        <w:r>
          <w:rPr>
            <w:noProof/>
            <w:webHidden/>
          </w:rPr>
          <w:instrText xml:space="preserve"> PAGEREF _Toc305768548 \h </w:instrText>
        </w:r>
        <w:r>
          <w:rPr>
            <w:noProof/>
            <w:webHidden/>
          </w:rPr>
        </w:r>
        <w:r>
          <w:rPr>
            <w:noProof/>
            <w:webHidden/>
          </w:rPr>
          <w:fldChar w:fldCharType="separate"/>
        </w:r>
        <w:r>
          <w:rPr>
            <w:noProof/>
            <w:webHidden/>
          </w:rPr>
          <w:t>25</w:t>
        </w:r>
        <w:r>
          <w:rPr>
            <w:noProof/>
            <w:webHidden/>
          </w:rPr>
          <w:fldChar w:fldCharType="end"/>
        </w:r>
      </w:hyperlink>
    </w:p>
    <w:p w:rsidR="006C61EC" w:rsidRDefault="006C61EC">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05768549" w:history="1">
        <w:r w:rsidRPr="00281D78">
          <w:rPr>
            <w:rStyle w:val="Hyperlink"/>
            <w:noProof/>
          </w:rPr>
          <w:t>5.6.2.</w:t>
        </w:r>
        <w:r>
          <w:rPr>
            <w:rFonts w:asciiTheme="minorHAnsi" w:eastAsiaTheme="minorEastAsia" w:hAnsiTheme="minorHAnsi" w:cstheme="minorBidi"/>
            <w:i w:val="0"/>
            <w:iCs w:val="0"/>
            <w:noProof/>
            <w:sz w:val="22"/>
            <w:szCs w:val="22"/>
            <w:lang w:eastAsia="en-GB"/>
          </w:rPr>
          <w:tab/>
        </w:r>
        <w:r w:rsidRPr="00281D78">
          <w:rPr>
            <w:rStyle w:val="Hyperlink"/>
            <w:noProof/>
          </w:rPr>
          <w:t>Gas</w:t>
        </w:r>
        <w:r>
          <w:rPr>
            <w:noProof/>
            <w:webHidden/>
          </w:rPr>
          <w:tab/>
        </w:r>
        <w:r>
          <w:rPr>
            <w:noProof/>
            <w:webHidden/>
          </w:rPr>
          <w:fldChar w:fldCharType="begin"/>
        </w:r>
        <w:r>
          <w:rPr>
            <w:noProof/>
            <w:webHidden/>
          </w:rPr>
          <w:instrText xml:space="preserve"> PAGEREF _Toc305768549 \h </w:instrText>
        </w:r>
        <w:r>
          <w:rPr>
            <w:noProof/>
            <w:webHidden/>
          </w:rPr>
        </w:r>
        <w:r>
          <w:rPr>
            <w:noProof/>
            <w:webHidden/>
          </w:rPr>
          <w:fldChar w:fldCharType="separate"/>
        </w:r>
        <w:r>
          <w:rPr>
            <w:noProof/>
            <w:webHidden/>
          </w:rPr>
          <w:t>25</w:t>
        </w:r>
        <w:r>
          <w:rPr>
            <w:noProof/>
            <w:webHidden/>
          </w:rPr>
          <w:fldChar w:fldCharType="end"/>
        </w:r>
      </w:hyperlink>
    </w:p>
    <w:p w:rsidR="006C61EC" w:rsidRDefault="006C61EC">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05768550" w:history="1">
        <w:r w:rsidRPr="00281D78">
          <w:rPr>
            <w:rStyle w:val="Hyperlink"/>
            <w:noProof/>
          </w:rPr>
          <w:t>5.7.</w:t>
        </w:r>
        <w:r>
          <w:rPr>
            <w:rFonts w:asciiTheme="minorHAnsi" w:eastAsiaTheme="minorEastAsia" w:hAnsiTheme="minorHAnsi" w:cstheme="minorBidi"/>
            <w:smallCaps w:val="0"/>
            <w:noProof/>
            <w:sz w:val="22"/>
            <w:szCs w:val="22"/>
            <w:lang w:eastAsia="en-GB"/>
          </w:rPr>
          <w:tab/>
        </w:r>
        <w:r w:rsidRPr="00281D78">
          <w:rPr>
            <w:rStyle w:val="Hyperlink"/>
            <w:noProof/>
          </w:rPr>
          <w:t>Montenegro</w:t>
        </w:r>
        <w:r>
          <w:rPr>
            <w:noProof/>
            <w:webHidden/>
          </w:rPr>
          <w:tab/>
        </w:r>
        <w:r>
          <w:rPr>
            <w:noProof/>
            <w:webHidden/>
          </w:rPr>
          <w:fldChar w:fldCharType="begin"/>
        </w:r>
        <w:r>
          <w:rPr>
            <w:noProof/>
            <w:webHidden/>
          </w:rPr>
          <w:instrText xml:space="preserve"> PAGEREF _Toc305768550 \h </w:instrText>
        </w:r>
        <w:r>
          <w:rPr>
            <w:noProof/>
            <w:webHidden/>
          </w:rPr>
        </w:r>
        <w:r>
          <w:rPr>
            <w:noProof/>
            <w:webHidden/>
          </w:rPr>
          <w:fldChar w:fldCharType="separate"/>
        </w:r>
        <w:r>
          <w:rPr>
            <w:noProof/>
            <w:webHidden/>
          </w:rPr>
          <w:t>26</w:t>
        </w:r>
        <w:r>
          <w:rPr>
            <w:noProof/>
            <w:webHidden/>
          </w:rPr>
          <w:fldChar w:fldCharType="end"/>
        </w:r>
      </w:hyperlink>
    </w:p>
    <w:p w:rsidR="006C61EC" w:rsidRDefault="006C61EC">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05768551" w:history="1">
        <w:r w:rsidRPr="00281D78">
          <w:rPr>
            <w:rStyle w:val="Hyperlink"/>
            <w:noProof/>
          </w:rPr>
          <w:t>5.7.1.</w:t>
        </w:r>
        <w:r>
          <w:rPr>
            <w:rFonts w:asciiTheme="minorHAnsi" w:eastAsiaTheme="minorEastAsia" w:hAnsiTheme="minorHAnsi" w:cstheme="minorBidi"/>
            <w:i w:val="0"/>
            <w:iCs w:val="0"/>
            <w:noProof/>
            <w:sz w:val="22"/>
            <w:szCs w:val="22"/>
            <w:lang w:eastAsia="en-GB"/>
          </w:rPr>
          <w:tab/>
        </w:r>
        <w:r w:rsidRPr="00281D78">
          <w:rPr>
            <w:rStyle w:val="Hyperlink"/>
            <w:noProof/>
          </w:rPr>
          <w:t>Electricity</w:t>
        </w:r>
        <w:r>
          <w:rPr>
            <w:noProof/>
            <w:webHidden/>
          </w:rPr>
          <w:tab/>
        </w:r>
        <w:r>
          <w:rPr>
            <w:noProof/>
            <w:webHidden/>
          </w:rPr>
          <w:fldChar w:fldCharType="begin"/>
        </w:r>
        <w:r>
          <w:rPr>
            <w:noProof/>
            <w:webHidden/>
          </w:rPr>
          <w:instrText xml:space="preserve"> PAGEREF _Toc305768551 \h </w:instrText>
        </w:r>
        <w:r>
          <w:rPr>
            <w:noProof/>
            <w:webHidden/>
          </w:rPr>
        </w:r>
        <w:r>
          <w:rPr>
            <w:noProof/>
            <w:webHidden/>
          </w:rPr>
          <w:fldChar w:fldCharType="separate"/>
        </w:r>
        <w:r>
          <w:rPr>
            <w:noProof/>
            <w:webHidden/>
          </w:rPr>
          <w:t>26</w:t>
        </w:r>
        <w:r>
          <w:rPr>
            <w:noProof/>
            <w:webHidden/>
          </w:rPr>
          <w:fldChar w:fldCharType="end"/>
        </w:r>
      </w:hyperlink>
    </w:p>
    <w:p w:rsidR="006C61EC" w:rsidRDefault="006C61EC">
      <w:pPr>
        <w:pStyle w:val="TOC3"/>
        <w:tabs>
          <w:tab w:val="left" w:pos="1100"/>
          <w:tab w:val="right" w:leader="dot" w:pos="9628"/>
        </w:tabs>
        <w:rPr>
          <w:rFonts w:asciiTheme="minorHAnsi" w:eastAsiaTheme="minorEastAsia" w:hAnsiTheme="minorHAnsi" w:cstheme="minorBidi"/>
          <w:i w:val="0"/>
          <w:iCs w:val="0"/>
          <w:noProof/>
          <w:sz w:val="22"/>
          <w:szCs w:val="22"/>
          <w:lang w:eastAsia="en-GB"/>
        </w:rPr>
      </w:pPr>
      <w:hyperlink w:anchor="_Toc305768552" w:history="1">
        <w:r w:rsidRPr="00281D78">
          <w:rPr>
            <w:rStyle w:val="Hyperlink"/>
            <w:rFonts w:ascii="Cambria" w:hAnsi="Cambria"/>
            <w:noProof/>
          </w:rPr>
          <w:t>5.7.2.</w:t>
        </w:r>
        <w:r>
          <w:rPr>
            <w:rFonts w:asciiTheme="minorHAnsi" w:eastAsiaTheme="minorEastAsia" w:hAnsiTheme="minorHAnsi" w:cstheme="minorBidi"/>
            <w:i w:val="0"/>
            <w:iCs w:val="0"/>
            <w:noProof/>
            <w:sz w:val="22"/>
            <w:szCs w:val="22"/>
            <w:lang w:eastAsia="en-GB"/>
          </w:rPr>
          <w:tab/>
        </w:r>
        <w:r w:rsidRPr="00281D78">
          <w:rPr>
            <w:rStyle w:val="Hyperlink"/>
            <w:noProof/>
          </w:rPr>
          <w:t>Gas</w:t>
        </w:r>
        <w:r>
          <w:rPr>
            <w:noProof/>
            <w:webHidden/>
          </w:rPr>
          <w:tab/>
        </w:r>
        <w:r>
          <w:rPr>
            <w:noProof/>
            <w:webHidden/>
          </w:rPr>
          <w:fldChar w:fldCharType="begin"/>
        </w:r>
        <w:r>
          <w:rPr>
            <w:noProof/>
            <w:webHidden/>
          </w:rPr>
          <w:instrText xml:space="preserve"> PAGEREF _Toc305768552 \h </w:instrText>
        </w:r>
        <w:r>
          <w:rPr>
            <w:noProof/>
            <w:webHidden/>
          </w:rPr>
        </w:r>
        <w:r>
          <w:rPr>
            <w:noProof/>
            <w:webHidden/>
          </w:rPr>
          <w:fldChar w:fldCharType="separate"/>
        </w:r>
        <w:r>
          <w:rPr>
            <w:noProof/>
            <w:webHidden/>
          </w:rPr>
          <w:t>26</w:t>
        </w:r>
        <w:r>
          <w:rPr>
            <w:noProof/>
            <w:webHidden/>
          </w:rPr>
          <w:fldChar w:fldCharType="end"/>
        </w:r>
      </w:hyperlink>
    </w:p>
    <w:p w:rsidR="006C61EC" w:rsidRDefault="006C61EC">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05768553" w:history="1">
        <w:r w:rsidRPr="00281D78">
          <w:rPr>
            <w:rStyle w:val="Hyperlink"/>
            <w:rFonts w:ascii="Cambria" w:hAnsi="Cambria"/>
            <w:noProof/>
          </w:rPr>
          <w:t>5.8.</w:t>
        </w:r>
        <w:r>
          <w:rPr>
            <w:rFonts w:asciiTheme="minorHAnsi" w:eastAsiaTheme="minorEastAsia" w:hAnsiTheme="minorHAnsi" w:cstheme="minorBidi"/>
            <w:smallCaps w:val="0"/>
            <w:noProof/>
            <w:sz w:val="22"/>
            <w:szCs w:val="22"/>
            <w:lang w:eastAsia="en-GB"/>
          </w:rPr>
          <w:tab/>
        </w:r>
        <w:r w:rsidRPr="00281D78">
          <w:rPr>
            <w:rStyle w:val="Hyperlink"/>
            <w:noProof/>
          </w:rPr>
          <w:t>Kosovo</w:t>
        </w:r>
        <w:r>
          <w:rPr>
            <w:noProof/>
            <w:webHidden/>
          </w:rPr>
          <w:tab/>
        </w:r>
        <w:r>
          <w:rPr>
            <w:noProof/>
            <w:webHidden/>
          </w:rPr>
          <w:fldChar w:fldCharType="begin"/>
        </w:r>
        <w:r>
          <w:rPr>
            <w:noProof/>
            <w:webHidden/>
          </w:rPr>
          <w:instrText xml:space="preserve"> PAGEREF _Toc305768553 \h </w:instrText>
        </w:r>
        <w:r>
          <w:rPr>
            <w:noProof/>
            <w:webHidden/>
          </w:rPr>
        </w:r>
        <w:r>
          <w:rPr>
            <w:noProof/>
            <w:webHidden/>
          </w:rPr>
          <w:fldChar w:fldCharType="separate"/>
        </w:r>
        <w:r>
          <w:rPr>
            <w:noProof/>
            <w:webHidden/>
          </w:rPr>
          <w:t>26</w:t>
        </w:r>
        <w:r>
          <w:rPr>
            <w:noProof/>
            <w:webHidden/>
          </w:rPr>
          <w:fldChar w:fldCharType="end"/>
        </w:r>
      </w:hyperlink>
    </w:p>
    <w:p w:rsidR="006C61EC" w:rsidRDefault="006C61EC">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05768554" w:history="1">
        <w:r w:rsidRPr="00281D78">
          <w:rPr>
            <w:rStyle w:val="Hyperlink"/>
            <w:noProof/>
          </w:rPr>
          <w:t>5.8.1.</w:t>
        </w:r>
        <w:r>
          <w:rPr>
            <w:rFonts w:asciiTheme="minorHAnsi" w:eastAsiaTheme="minorEastAsia" w:hAnsiTheme="minorHAnsi" w:cstheme="minorBidi"/>
            <w:i w:val="0"/>
            <w:iCs w:val="0"/>
            <w:noProof/>
            <w:sz w:val="22"/>
            <w:szCs w:val="22"/>
            <w:lang w:eastAsia="en-GB"/>
          </w:rPr>
          <w:tab/>
        </w:r>
        <w:r w:rsidRPr="00281D78">
          <w:rPr>
            <w:rStyle w:val="Hyperlink"/>
            <w:noProof/>
          </w:rPr>
          <w:t>Electricity</w:t>
        </w:r>
        <w:r>
          <w:rPr>
            <w:noProof/>
            <w:webHidden/>
          </w:rPr>
          <w:tab/>
        </w:r>
        <w:r>
          <w:rPr>
            <w:noProof/>
            <w:webHidden/>
          </w:rPr>
          <w:fldChar w:fldCharType="begin"/>
        </w:r>
        <w:r>
          <w:rPr>
            <w:noProof/>
            <w:webHidden/>
          </w:rPr>
          <w:instrText xml:space="preserve"> PAGEREF _Toc305768554 \h </w:instrText>
        </w:r>
        <w:r>
          <w:rPr>
            <w:noProof/>
            <w:webHidden/>
          </w:rPr>
        </w:r>
        <w:r>
          <w:rPr>
            <w:noProof/>
            <w:webHidden/>
          </w:rPr>
          <w:fldChar w:fldCharType="separate"/>
        </w:r>
        <w:r>
          <w:rPr>
            <w:noProof/>
            <w:webHidden/>
          </w:rPr>
          <w:t>26</w:t>
        </w:r>
        <w:r>
          <w:rPr>
            <w:noProof/>
            <w:webHidden/>
          </w:rPr>
          <w:fldChar w:fldCharType="end"/>
        </w:r>
      </w:hyperlink>
    </w:p>
    <w:p w:rsidR="006C61EC" w:rsidRDefault="006C61EC">
      <w:pPr>
        <w:pStyle w:val="TOC3"/>
        <w:tabs>
          <w:tab w:val="left" w:pos="1100"/>
          <w:tab w:val="right" w:leader="dot" w:pos="9628"/>
        </w:tabs>
        <w:rPr>
          <w:rFonts w:asciiTheme="minorHAnsi" w:eastAsiaTheme="minorEastAsia" w:hAnsiTheme="minorHAnsi" w:cstheme="minorBidi"/>
          <w:i w:val="0"/>
          <w:iCs w:val="0"/>
          <w:noProof/>
          <w:sz w:val="22"/>
          <w:szCs w:val="22"/>
          <w:lang w:eastAsia="en-GB"/>
        </w:rPr>
      </w:pPr>
      <w:hyperlink w:anchor="_Toc305768555" w:history="1">
        <w:r w:rsidRPr="00281D78">
          <w:rPr>
            <w:rStyle w:val="Hyperlink"/>
            <w:rFonts w:ascii="Cambria" w:hAnsi="Cambria"/>
            <w:noProof/>
          </w:rPr>
          <w:t>5.8.2.</w:t>
        </w:r>
        <w:r>
          <w:rPr>
            <w:rFonts w:asciiTheme="minorHAnsi" w:eastAsiaTheme="minorEastAsia" w:hAnsiTheme="minorHAnsi" w:cstheme="minorBidi"/>
            <w:i w:val="0"/>
            <w:iCs w:val="0"/>
            <w:noProof/>
            <w:sz w:val="22"/>
            <w:szCs w:val="22"/>
            <w:lang w:eastAsia="en-GB"/>
          </w:rPr>
          <w:tab/>
        </w:r>
        <w:r w:rsidRPr="00281D78">
          <w:rPr>
            <w:rStyle w:val="Hyperlink"/>
            <w:noProof/>
          </w:rPr>
          <w:t>Gas</w:t>
        </w:r>
        <w:r>
          <w:rPr>
            <w:noProof/>
            <w:webHidden/>
          </w:rPr>
          <w:tab/>
        </w:r>
        <w:r>
          <w:rPr>
            <w:noProof/>
            <w:webHidden/>
          </w:rPr>
          <w:fldChar w:fldCharType="begin"/>
        </w:r>
        <w:r>
          <w:rPr>
            <w:noProof/>
            <w:webHidden/>
          </w:rPr>
          <w:instrText xml:space="preserve"> PAGEREF _Toc305768555 \h </w:instrText>
        </w:r>
        <w:r>
          <w:rPr>
            <w:noProof/>
            <w:webHidden/>
          </w:rPr>
        </w:r>
        <w:r>
          <w:rPr>
            <w:noProof/>
            <w:webHidden/>
          </w:rPr>
          <w:fldChar w:fldCharType="separate"/>
        </w:r>
        <w:r>
          <w:rPr>
            <w:noProof/>
            <w:webHidden/>
          </w:rPr>
          <w:t>26</w:t>
        </w:r>
        <w:r>
          <w:rPr>
            <w:noProof/>
            <w:webHidden/>
          </w:rPr>
          <w:fldChar w:fldCharType="end"/>
        </w:r>
      </w:hyperlink>
    </w:p>
    <w:p w:rsidR="006C61EC" w:rsidRDefault="006C61EC">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05768556" w:history="1">
        <w:r w:rsidRPr="00281D78">
          <w:rPr>
            <w:rStyle w:val="Hyperlink"/>
            <w:rFonts w:ascii="Cambria" w:hAnsi="Cambria"/>
            <w:noProof/>
          </w:rPr>
          <w:t>5.9.</w:t>
        </w:r>
        <w:r>
          <w:rPr>
            <w:rFonts w:asciiTheme="minorHAnsi" w:eastAsiaTheme="minorEastAsia" w:hAnsiTheme="minorHAnsi" w:cstheme="minorBidi"/>
            <w:smallCaps w:val="0"/>
            <w:noProof/>
            <w:sz w:val="22"/>
            <w:szCs w:val="22"/>
            <w:lang w:eastAsia="en-GB"/>
          </w:rPr>
          <w:tab/>
        </w:r>
        <w:r w:rsidRPr="00281D78">
          <w:rPr>
            <w:rStyle w:val="Hyperlink"/>
            <w:noProof/>
          </w:rPr>
          <w:t>Bosnia &amp; Herzegovina</w:t>
        </w:r>
        <w:r>
          <w:rPr>
            <w:noProof/>
            <w:webHidden/>
          </w:rPr>
          <w:tab/>
        </w:r>
        <w:r>
          <w:rPr>
            <w:noProof/>
            <w:webHidden/>
          </w:rPr>
          <w:fldChar w:fldCharType="begin"/>
        </w:r>
        <w:r>
          <w:rPr>
            <w:noProof/>
            <w:webHidden/>
          </w:rPr>
          <w:instrText xml:space="preserve"> PAGEREF _Toc305768556 \h </w:instrText>
        </w:r>
        <w:r>
          <w:rPr>
            <w:noProof/>
            <w:webHidden/>
          </w:rPr>
        </w:r>
        <w:r>
          <w:rPr>
            <w:noProof/>
            <w:webHidden/>
          </w:rPr>
          <w:fldChar w:fldCharType="separate"/>
        </w:r>
        <w:r>
          <w:rPr>
            <w:noProof/>
            <w:webHidden/>
          </w:rPr>
          <w:t>26</w:t>
        </w:r>
        <w:r>
          <w:rPr>
            <w:noProof/>
            <w:webHidden/>
          </w:rPr>
          <w:fldChar w:fldCharType="end"/>
        </w:r>
      </w:hyperlink>
    </w:p>
    <w:p w:rsidR="006C61EC" w:rsidRDefault="006C61EC">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05768557" w:history="1">
        <w:r w:rsidRPr="00281D78">
          <w:rPr>
            <w:rStyle w:val="Hyperlink"/>
            <w:noProof/>
          </w:rPr>
          <w:t>5.9.1.</w:t>
        </w:r>
        <w:r>
          <w:rPr>
            <w:rFonts w:asciiTheme="minorHAnsi" w:eastAsiaTheme="minorEastAsia" w:hAnsiTheme="minorHAnsi" w:cstheme="minorBidi"/>
            <w:i w:val="0"/>
            <w:iCs w:val="0"/>
            <w:noProof/>
            <w:sz w:val="22"/>
            <w:szCs w:val="22"/>
            <w:lang w:eastAsia="en-GB"/>
          </w:rPr>
          <w:tab/>
        </w:r>
        <w:r w:rsidRPr="00281D78">
          <w:rPr>
            <w:rStyle w:val="Hyperlink"/>
            <w:noProof/>
          </w:rPr>
          <w:t>Electricity</w:t>
        </w:r>
        <w:r>
          <w:rPr>
            <w:noProof/>
            <w:webHidden/>
          </w:rPr>
          <w:tab/>
        </w:r>
        <w:r>
          <w:rPr>
            <w:noProof/>
            <w:webHidden/>
          </w:rPr>
          <w:fldChar w:fldCharType="begin"/>
        </w:r>
        <w:r>
          <w:rPr>
            <w:noProof/>
            <w:webHidden/>
          </w:rPr>
          <w:instrText xml:space="preserve"> PAGEREF _Toc305768557 \h </w:instrText>
        </w:r>
        <w:r>
          <w:rPr>
            <w:noProof/>
            <w:webHidden/>
          </w:rPr>
        </w:r>
        <w:r>
          <w:rPr>
            <w:noProof/>
            <w:webHidden/>
          </w:rPr>
          <w:fldChar w:fldCharType="separate"/>
        </w:r>
        <w:r>
          <w:rPr>
            <w:noProof/>
            <w:webHidden/>
          </w:rPr>
          <w:t>26</w:t>
        </w:r>
        <w:r>
          <w:rPr>
            <w:noProof/>
            <w:webHidden/>
          </w:rPr>
          <w:fldChar w:fldCharType="end"/>
        </w:r>
      </w:hyperlink>
    </w:p>
    <w:p w:rsidR="006C61EC" w:rsidRDefault="006C61EC">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05768558" w:history="1">
        <w:r w:rsidRPr="00281D78">
          <w:rPr>
            <w:rStyle w:val="Hyperlink"/>
            <w:noProof/>
          </w:rPr>
          <w:t>5.9.2.</w:t>
        </w:r>
        <w:r>
          <w:rPr>
            <w:rFonts w:asciiTheme="minorHAnsi" w:eastAsiaTheme="minorEastAsia" w:hAnsiTheme="minorHAnsi" w:cstheme="minorBidi"/>
            <w:i w:val="0"/>
            <w:iCs w:val="0"/>
            <w:noProof/>
            <w:sz w:val="22"/>
            <w:szCs w:val="22"/>
            <w:lang w:eastAsia="en-GB"/>
          </w:rPr>
          <w:tab/>
        </w:r>
        <w:r w:rsidRPr="00281D78">
          <w:rPr>
            <w:rStyle w:val="Hyperlink"/>
            <w:noProof/>
          </w:rPr>
          <w:t>Gas</w:t>
        </w:r>
        <w:r>
          <w:rPr>
            <w:noProof/>
            <w:webHidden/>
          </w:rPr>
          <w:tab/>
        </w:r>
        <w:r>
          <w:rPr>
            <w:noProof/>
            <w:webHidden/>
          </w:rPr>
          <w:fldChar w:fldCharType="begin"/>
        </w:r>
        <w:r>
          <w:rPr>
            <w:noProof/>
            <w:webHidden/>
          </w:rPr>
          <w:instrText xml:space="preserve"> PAGEREF _Toc305768558 \h </w:instrText>
        </w:r>
        <w:r>
          <w:rPr>
            <w:noProof/>
            <w:webHidden/>
          </w:rPr>
        </w:r>
        <w:r>
          <w:rPr>
            <w:noProof/>
            <w:webHidden/>
          </w:rPr>
          <w:fldChar w:fldCharType="separate"/>
        </w:r>
        <w:r>
          <w:rPr>
            <w:noProof/>
            <w:webHidden/>
          </w:rPr>
          <w:t>27</w:t>
        </w:r>
        <w:r>
          <w:rPr>
            <w:noProof/>
            <w:webHidden/>
          </w:rPr>
          <w:fldChar w:fldCharType="end"/>
        </w:r>
      </w:hyperlink>
    </w:p>
    <w:p w:rsidR="006C61EC" w:rsidRDefault="006C61EC">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05768559" w:history="1">
        <w:r w:rsidRPr="00281D78">
          <w:rPr>
            <w:rStyle w:val="Hyperlink"/>
            <w:noProof/>
          </w:rPr>
          <w:t>5.10.</w:t>
        </w:r>
        <w:r>
          <w:rPr>
            <w:rFonts w:asciiTheme="minorHAnsi" w:eastAsiaTheme="minorEastAsia" w:hAnsiTheme="minorHAnsi" w:cstheme="minorBidi"/>
            <w:smallCaps w:val="0"/>
            <w:noProof/>
            <w:sz w:val="22"/>
            <w:szCs w:val="22"/>
            <w:lang w:eastAsia="en-GB"/>
          </w:rPr>
          <w:tab/>
        </w:r>
        <w:r w:rsidRPr="00281D78">
          <w:rPr>
            <w:rStyle w:val="Hyperlink"/>
            <w:noProof/>
          </w:rPr>
          <w:t>Albania</w:t>
        </w:r>
        <w:r>
          <w:rPr>
            <w:noProof/>
            <w:webHidden/>
          </w:rPr>
          <w:tab/>
        </w:r>
        <w:r>
          <w:rPr>
            <w:noProof/>
            <w:webHidden/>
          </w:rPr>
          <w:fldChar w:fldCharType="begin"/>
        </w:r>
        <w:r>
          <w:rPr>
            <w:noProof/>
            <w:webHidden/>
          </w:rPr>
          <w:instrText xml:space="preserve"> PAGEREF _Toc305768559 \h </w:instrText>
        </w:r>
        <w:r>
          <w:rPr>
            <w:noProof/>
            <w:webHidden/>
          </w:rPr>
        </w:r>
        <w:r>
          <w:rPr>
            <w:noProof/>
            <w:webHidden/>
          </w:rPr>
          <w:fldChar w:fldCharType="separate"/>
        </w:r>
        <w:r>
          <w:rPr>
            <w:noProof/>
            <w:webHidden/>
          </w:rPr>
          <w:t>27</w:t>
        </w:r>
        <w:r>
          <w:rPr>
            <w:noProof/>
            <w:webHidden/>
          </w:rPr>
          <w:fldChar w:fldCharType="end"/>
        </w:r>
      </w:hyperlink>
    </w:p>
    <w:p w:rsidR="006C61EC" w:rsidRDefault="006C61EC">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05768560" w:history="1">
        <w:r w:rsidRPr="00281D78">
          <w:rPr>
            <w:rStyle w:val="Hyperlink"/>
            <w:noProof/>
          </w:rPr>
          <w:t>5.11.</w:t>
        </w:r>
        <w:r>
          <w:rPr>
            <w:rFonts w:asciiTheme="minorHAnsi" w:eastAsiaTheme="minorEastAsia" w:hAnsiTheme="minorHAnsi" w:cstheme="minorBidi"/>
            <w:smallCaps w:val="0"/>
            <w:noProof/>
            <w:sz w:val="22"/>
            <w:szCs w:val="22"/>
            <w:lang w:eastAsia="en-GB"/>
          </w:rPr>
          <w:tab/>
        </w:r>
        <w:r w:rsidRPr="00281D78">
          <w:rPr>
            <w:rStyle w:val="Hyperlink"/>
            <w:noProof/>
          </w:rPr>
          <w:t>Electricity</w:t>
        </w:r>
        <w:r>
          <w:rPr>
            <w:noProof/>
            <w:webHidden/>
          </w:rPr>
          <w:tab/>
        </w:r>
        <w:r>
          <w:rPr>
            <w:noProof/>
            <w:webHidden/>
          </w:rPr>
          <w:fldChar w:fldCharType="begin"/>
        </w:r>
        <w:r>
          <w:rPr>
            <w:noProof/>
            <w:webHidden/>
          </w:rPr>
          <w:instrText xml:space="preserve"> PAGEREF _Toc305768560 \h </w:instrText>
        </w:r>
        <w:r>
          <w:rPr>
            <w:noProof/>
            <w:webHidden/>
          </w:rPr>
        </w:r>
        <w:r>
          <w:rPr>
            <w:noProof/>
            <w:webHidden/>
          </w:rPr>
          <w:fldChar w:fldCharType="separate"/>
        </w:r>
        <w:r>
          <w:rPr>
            <w:noProof/>
            <w:webHidden/>
          </w:rPr>
          <w:t>27</w:t>
        </w:r>
        <w:r>
          <w:rPr>
            <w:noProof/>
            <w:webHidden/>
          </w:rPr>
          <w:fldChar w:fldCharType="end"/>
        </w:r>
      </w:hyperlink>
    </w:p>
    <w:p w:rsidR="006C61EC" w:rsidRDefault="006C61EC">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05768561" w:history="1">
        <w:r w:rsidRPr="00281D78">
          <w:rPr>
            <w:rStyle w:val="Hyperlink"/>
            <w:noProof/>
          </w:rPr>
          <w:t>5.11.1.</w:t>
        </w:r>
        <w:r>
          <w:rPr>
            <w:rFonts w:asciiTheme="minorHAnsi" w:eastAsiaTheme="minorEastAsia" w:hAnsiTheme="minorHAnsi" w:cstheme="minorBidi"/>
            <w:i w:val="0"/>
            <w:iCs w:val="0"/>
            <w:noProof/>
            <w:sz w:val="22"/>
            <w:szCs w:val="22"/>
            <w:lang w:eastAsia="en-GB"/>
          </w:rPr>
          <w:tab/>
        </w:r>
        <w:r w:rsidRPr="00281D78">
          <w:rPr>
            <w:rStyle w:val="Hyperlink"/>
            <w:noProof/>
          </w:rPr>
          <w:t>Gas</w:t>
        </w:r>
        <w:r>
          <w:rPr>
            <w:noProof/>
            <w:webHidden/>
          </w:rPr>
          <w:tab/>
        </w:r>
        <w:r>
          <w:rPr>
            <w:noProof/>
            <w:webHidden/>
          </w:rPr>
          <w:fldChar w:fldCharType="begin"/>
        </w:r>
        <w:r>
          <w:rPr>
            <w:noProof/>
            <w:webHidden/>
          </w:rPr>
          <w:instrText xml:space="preserve"> PAGEREF _Toc305768561 \h </w:instrText>
        </w:r>
        <w:r>
          <w:rPr>
            <w:noProof/>
            <w:webHidden/>
          </w:rPr>
        </w:r>
        <w:r>
          <w:rPr>
            <w:noProof/>
            <w:webHidden/>
          </w:rPr>
          <w:fldChar w:fldCharType="separate"/>
        </w:r>
        <w:r>
          <w:rPr>
            <w:noProof/>
            <w:webHidden/>
          </w:rPr>
          <w:t>27</w:t>
        </w:r>
        <w:r>
          <w:rPr>
            <w:noProof/>
            <w:webHidden/>
          </w:rPr>
          <w:fldChar w:fldCharType="end"/>
        </w:r>
      </w:hyperlink>
    </w:p>
    <w:p w:rsidR="006C61EC" w:rsidRDefault="006C61EC">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05768562" w:history="1">
        <w:r w:rsidRPr="00281D78">
          <w:rPr>
            <w:rStyle w:val="Hyperlink"/>
            <w:rFonts w:ascii="Cambria" w:hAnsi="Cambria"/>
            <w:noProof/>
            <w:lang w:val="en-US" w:bidi="en-US"/>
          </w:rPr>
          <w:t>5.12.</w:t>
        </w:r>
        <w:r>
          <w:rPr>
            <w:rFonts w:asciiTheme="minorHAnsi" w:eastAsiaTheme="minorEastAsia" w:hAnsiTheme="minorHAnsi" w:cstheme="minorBidi"/>
            <w:smallCaps w:val="0"/>
            <w:noProof/>
            <w:sz w:val="22"/>
            <w:szCs w:val="22"/>
            <w:lang w:eastAsia="en-GB"/>
          </w:rPr>
          <w:tab/>
        </w:r>
        <w:r w:rsidRPr="00281D78">
          <w:rPr>
            <w:rStyle w:val="Hyperlink"/>
            <w:noProof/>
          </w:rPr>
          <w:t>Armenia</w:t>
        </w:r>
        <w:r>
          <w:rPr>
            <w:noProof/>
            <w:webHidden/>
          </w:rPr>
          <w:tab/>
        </w:r>
        <w:r>
          <w:rPr>
            <w:noProof/>
            <w:webHidden/>
          </w:rPr>
          <w:fldChar w:fldCharType="begin"/>
        </w:r>
        <w:r>
          <w:rPr>
            <w:noProof/>
            <w:webHidden/>
          </w:rPr>
          <w:instrText xml:space="preserve"> PAGEREF _Toc305768562 \h </w:instrText>
        </w:r>
        <w:r>
          <w:rPr>
            <w:noProof/>
            <w:webHidden/>
          </w:rPr>
        </w:r>
        <w:r>
          <w:rPr>
            <w:noProof/>
            <w:webHidden/>
          </w:rPr>
          <w:fldChar w:fldCharType="separate"/>
        </w:r>
        <w:r>
          <w:rPr>
            <w:noProof/>
            <w:webHidden/>
          </w:rPr>
          <w:t>27</w:t>
        </w:r>
        <w:r>
          <w:rPr>
            <w:noProof/>
            <w:webHidden/>
          </w:rPr>
          <w:fldChar w:fldCharType="end"/>
        </w:r>
      </w:hyperlink>
    </w:p>
    <w:p w:rsidR="006C61EC" w:rsidRDefault="006C61EC">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05768563" w:history="1">
        <w:r w:rsidRPr="00281D78">
          <w:rPr>
            <w:rStyle w:val="Hyperlink"/>
            <w:noProof/>
          </w:rPr>
          <w:t>5.12.1.</w:t>
        </w:r>
        <w:r>
          <w:rPr>
            <w:rFonts w:asciiTheme="minorHAnsi" w:eastAsiaTheme="minorEastAsia" w:hAnsiTheme="minorHAnsi" w:cstheme="minorBidi"/>
            <w:i w:val="0"/>
            <w:iCs w:val="0"/>
            <w:noProof/>
            <w:sz w:val="22"/>
            <w:szCs w:val="22"/>
            <w:lang w:eastAsia="en-GB"/>
          </w:rPr>
          <w:tab/>
        </w:r>
        <w:r w:rsidRPr="00281D78">
          <w:rPr>
            <w:rStyle w:val="Hyperlink"/>
            <w:noProof/>
          </w:rPr>
          <w:t>Electricity</w:t>
        </w:r>
        <w:r>
          <w:rPr>
            <w:noProof/>
            <w:webHidden/>
          </w:rPr>
          <w:tab/>
        </w:r>
        <w:r>
          <w:rPr>
            <w:noProof/>
            <w:webHidden/>
          </w:rPr>
          <w:fldChar w:fldCharType="begin"/>
        </w:r>
        <w:r>
          <w:rPr>
            <w:noProof/>
            <w:webHidden/>
          </w:rPr>
          <w:instrText xml:space="preserve"> PAGEREF _Toc305768563 \h </w:instrText>
        </w:r>
        <w:r>
          <w:rPr>
            <w:noProof/>
            <w:webHidden/>
          </w:rPr>
        </w:r>
        <w:r>
          <w:rPr>
            <w:noProof/>
            <w:webHidden/>
          </w:rPr>
          <w:fldChar w:fldCharType="separate"/>
        </w:r>
        <w:r>
          <w:rPr>
            <w:noProof/>
            <w:webHidden/>
          </w:rPr>
          <w:t>27</w:t>
        </w:r>
        <w:r>
          <w:rPr>
            <w:noProof/>
            <w:webHidden/>
          </w:rPr>
          <w:fldChar w:fldCharType="end"/>
        </w:r>
      </w:hyperlink>
    </w:p>
    <w:p w:rsidR="006C61EC" w:rsidRDefault="006C61EC">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05768564" w:history="1">
        <w:r w:rsidRPr="00281D78">
          <w:rPr>
            <w:rStyle w:val="Hyperlink"/>
            <w:noProof/>
          </w:rPr>
          <w:t>5.12.2.</w:t>
        </w:r>
        <w:r>
          <w:rPr>
            <w:rFonts w:asciiTheme="minorHAnsi" w:eastAsiaTheme="minorEastAsia" w:hAnsiTheme="minorHAnsi" w:cstheme="minorBidi"/>
            <w:i w:val="0"/>
            <w:iCs w:val="0"/>
            <w:noProof/>
            <w:sz w:val="22"/>
            <w:szCs w:val="22"/>
            <w:lang w:eastAsia="en-GB"/>
          </w:rPr>
          <w:tab/>
        </w:r>
        <w:r w:rsidRPr="00281D78">
          <w:rPr>
            <w:rStyle w:val="Hyperlink"/>
            <w:noProof/>
          </w:rPr>
          <w:t>Gas</w:t>
        </w:r>
        <w:r>
          <w:rPr>
            <w:noProof/>
            <w:webHidden/>
          </w:rPr>
          <w:tab/>
        </w:r>
        <w:r>
          <w:rPr>
            <w:noProof/>
            <w:webHidden/>
          </w:rPr>
          <w:fldChar w:fldCharType="begin"/>
        </w:r>
        <w:r>
          <w:rPr>
            <w:noProof/>
            <w:webHidden/>
          </w:rPr>
          <w:instrText xml:space="preserve"> PAGEREF _Toc305768564 \h </w:instrText>
        </w:r>
        <w:r>
          <w:rPr>
            <w:noProof/>
            <w:webHidden/>
          </w:rPr>
        </w:r>
        <w:r>
          <w:rPr>
            <w:noProof/>
            <w:webHidden/>
          </w:rPr>
          <w:fldChar w:fldCharType="separate"/>
        </w:r>
        <w:r>
          <w:rPr>
            <w:noProof/>
            <w:webHidden/>
          </w:rPr>
          <w:t>28</w:t>
        </w:r>
        <w:r>
          <w:rPr>
            <w:noProof/>
            <w:webHidden/>
          </w:rPr>
          <w:fldChar w:fldCharType="end"/>
        </w:r>
      </w:hyperlink>
    </w:p>
    <w:p w:rsidR="006C61EC" w:rsidRDefault="006C61EC">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05768565" w:history="1">
        <w:r w:rsidRPr="00281D78">
          <w:rPr>
            <w:rStyle w:val="Hyperlink"/>
            <w:noProof/>
          </w:rPr>
          <w:t>5.13.</w:t>
        </w:r>
        <w:r>
          <w:rPr>
            <w:rFonts w:asciiTheme="minorHAnsi" w:eastAsiaTheme="minorEastAsia" w:hAnsiTheme="minorHAnsi" w:cstheme="minorBidi"/>
            <w:smallCaps w:val="0"/>
            <w:noProof/>
            <w:sz w:val="22"/>
            <w:szCs w:val="22"/>
            <w:lang w:eastAsia="en-GB"/>
          </w:rPr>
          <w:tab/>
        </w:r>
        <w:r w:rsidRPr="00281D78">
          <w:rPr>
            <w:rStyle w:val="Hyperlink"/>
            <w:noProof/>
          </w:rPr>
          <w:t>Azerbaijan</w:t>
        </w:r>
        <w:r>
          <w:rPr>
            <w:noProof/>
            <w:webHidden/>
          </w:rPr>
          <w:tab/>
        </w:r>
        <w:r>
          <w:rPr>
            <w:noProof/>
            <w:webHidden/>
          </w:rPr>
          <w:fldChar w:fldCharType="begin"/>
        </w:r>
        <w:r>
          <w:rPr>
            <w:noProof/>
            <w:webHidden/>
          </w:rPr>
          <w:instrText xml:space="preserve"> PAGEREF _Toc305768565 \h </w:instrText>
        </w:r>
        <w:r>
          <w:rPr>
            <w:noProof/>
            <w:webHidden/>
          </w:rPr>
        </w:r>
        <w:r>
          <w:rPr>
            <w:noProof/>
            <w:webHidden/>
          </w:rPr>
          <w:fldChar w:fldCharType="separate"/>
        </w:r>
        <w:r>
          <w:rPr>
            <w:noProof/>
            <w:webHidden/>
          </w:rPr>
          <w:t>29</w:t>
        </w:r>
        <w:r>
          <w:rPr>
            <w:noProof/>
            <w:webHidden/>
          </w:rPr>
          <w:fldChar w:fldCharType="end"/>
        </w:r>
      </w:hyperlink>
    </w:p>
    <w:p w:rsidR="006C61EC" w:rsidRDefault="006C61EC">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05768566" w:history="1">
        <w:r w:rsidRPr="00281D78">
          <w:rPr>
            <w:rStyle w:val="Hyperlink"/>
            <w:noProof/>
          </w:rPr>
          <w:t>5.13.1.</w:t>
        </w:r>
        <w:r>
          <w:rPr>
            <w:rFonts w:asciiTheme="minorHAnsi" w:eastAsiaTheme="minorEastAsia" w:hAnsiTheme="minorHAnsi" w:cstheme="minorBidi"/>
            <w:i w:val="0"/>
            <w:iCs w:val="0"/>
            <w:noProof/>
            <w:sz w:val="22"/>
            <w:szCs w:val="22"/>
            <w:lang w:eastAsia="en-GB"/>
          </w:rPr>
          <w:tab/>
        </w:r>
        <w:r w:rsidRPr="00281D78">
          <w:rPr>
            <w:rStyle w:val="Hyperlink"/>
            <w:noProof/>
          </w:rPr>
          <w:t>Electricity</w:t>
        </w:r>
        <w:r>
          <w:rPr>
            <w:noProof/>
            <w:webHidden/>
          </w:rPr>
          <w:tab/>
        </w:r>
        <w:r>
          <w:rPr>
            <w:noProof/>
            <w:webHidden/>
          </w:rPr>
          <w:fldChar w:fldCharType="begin"/>
        </w:r>
        <w:r>
          <w:rPr>
            <w:noProof/>
            <w:webHidden/>
          </w:rPr>
          <w:instrText xml:space="preserve"> PAGEREF _Toc305768566 \h </w:instrText>
        </w:r>
        <w:r>
          <w:rPr>
            <w:noProof/>
            <w:webHidden/>
          </w:rPr>
        </w:r>
        <w:r>
          <w:rPr>
            <w:noProof/>
            <w:webHidden/>
          </w:rPr>
          <w:fldChar w:fldCharType="separate"/>
        </w:r>
        <w:r>
          <w:rPr>
            <w:noProof/>
            <w:webHidden/>
          </w:rPr>
          <w:t>29</w:t>
        </w:r>
        <w:r>
          <w:rPr>
            <w:noProof/>
            <w:webHidden/>
          </w:rPr>
          <w:fldChar w:fldCharType="end"/>
        </w:r>
      </w:hyperlink>
    </w:p>
    <w:p w:rsidR="006C61EC" w:rsidRDefault="006C61EC">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05768567" w:history="1">
        <w:r w:rsidRPr="00281D78">
          <w:rPr>
            <w:rStyle w:val="Hyperlink"/>
            <w:noProof/>
          </w:rPr>
          <w:t>5.13.2.</w:t>
        </w:r>
        <w:r>
          <w:rPr>
            <w:rFonts w:asciiTheme="minorHAnsi" w:eastAsiaTheme="minorEastAsia" w:hAnsiTheme="minorHAnsi" w:cstheme="minorBidi"/>
            <w:i w:val="0"/>
            <w:iCs w:val="0"/>
            <w:noProof/>
            <w:sz w:val="22"/>
            <w:szCs w:val="22"/>
            <w:lang w:eastAsia="en-GB"/>
          </w:rPr>
          <w:tab/>
        </w:r>
        <w:r w:rsidRPr="00281D78">
          <w:rPr>
            <w:rStyle w:val="Hyperlink"/>
            <w:noProof/>
          </w:rPr>
          <w:t>Gas</w:t>
        </w:r>
        <w:r>
          <w:rPr>
            <w:noProof/>
            <w:webHidden/>
          </w:rPr>
          <w:tab/>
        </w:r>
        <w:r>
          <w:rPr>
            <w:noProof/>
            <w:webHidden/>
          </w:rPr>
          <w:fldChar w:fldCharType="begin"/>
        </w:r>
        <w:r>
          <w:rPr>
            <w:noProof/>
            <w:webHidden/>
          </w:rPr>
          <w:instrText xml:space="preserve"> PAGEREF _Toc305768567 \h </w:instrText>
        </w:r>
        <w:r>
          <w:rPr>
            <w:noProof/>
            <w:webHidden/>
          </w:rPr>
        </w:r>
        <w:r>
          <w:rPr>
            <w:noProof/>
            <w:webHidden/>
          </w:rPr>
          <w:fldChar w:fldCharType="separate"/>
        </w:r>
        <w:r>
          <w:rPr>
            <w:noProof/>
            <w:webHidden/>
          </w:rPr>
          <w:t>29</w:t>
        </w:r>
        <w:r>
          <w:rPr>
            <w:noProof/>
            <w:webHidden/>
          </w:rPr>
          <w:fldChar w:fldCharType="end"/>
        </w:r>
      </w:hyperlink>
    </w:p>
    <w:p w:rsidR="006C61EC" w:rsidRDefault="006C61EC">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05768568" w:history="1">
        <w:r w:rsidRPr="00281D78">
          <w:rPr>
            <w:rStyle w:val="Hyperlink"/>
            <w:noProof/>
          </w:rPr>
          <w:t>5.14.</w:t>
        </w:r>
        <w:r>
          <w:rPr>
            <w:rFonts w:asciiTheme="minorHAnsi" w:eastAsiaTheme="minorEastAsia" w:hAnsiTheme="minorHAnsi" w:cstheme="minorBidi"/>
            <w:smallCaps w:val="0"/>
            <w:noProof/>
            <w:sz w:val="22"/>
            <w:szCs w:val="22"/>
            <w:lang w:eastAsia="en-GB"/>
          </w:rPr>
          <w:tab/>
        </w:r>
        <w:r w:rsidRPr="00281D78">
          <w:rPr>
            <w:rStyle w:val="Hyperlink"/>
            <w:noProof/>
          </w:rPr>
          <w:t>Belarus</w:t>
        </w:r>
        <w:r>
          <w:rPr>
            <w:noProof/>
            <w:webHidden/>
          </w:rPr>
          <w:tab/>
        </w:r>
        <w:r>
          <w:rPr>
            <w:noProof/>
            <w:webHidden/>
          </w:rPr>
          <w:fldChar w:fldCharType="begin"/>
        </w:r>
        <w:r>
          <w:rPr>
            <w:noProof/>
            <w:webHidden/>
          </w:rPr>
          <w:instrText xml:space="preserve"> PAGEREF _Toc305768568 \h </w:instrText>
        </w:r>
        <w:r>
          <w:rPr>
            <w:noProof/>
            <w:webHidden/>
          </w:rPr>
        </w:r>
        <w:r>
          <w:rPr>
            <w:noProof/>
            <w:webHidden/>
          </w:rPr>
          <w:fldChar w:fldCharType="separate"/>
        </w:r>
        <w:r>
          <w:rPr>
            <w:noProof/>
            <w:webHidden/>
          </w:rPr>
          <w:t>29</w:t>
        </w:r>
        <w:r>
          <w:rPr>
            <w:noProof/>
            <w:webHidden/>
          </w:rPr>
          <w:fldChar w:fldCharType="end"/>
        </w:r>
      </w:hyperlink>
    </w:p>
    <w:p w:rsidR="006C61EC" w:rsidRDefault="006C61EC">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05768569" w:history="1">
        <w:r w:rsidRPr="00281D78">
          <w:rPr>
            <w:rStyle w:val="Hyperlink"/>
            <w:noProof/>
          </w:rPr>
          <w:t>5.14.1.</w:t>
        </w:r>
        <w:r>
          <w:rPr>
            <w:rFonts w:asciiTheme="minorHAnsi" w:eastAsiaTheme="minorEastAsia" w:hAnsiTheme="minorHAnsi" w:cstheme="minorBidi"/>
            <w:i w:val="0"/>
            <w:iCs w:val="0"/>
            <w:noProof/>
            <w:sz w:val="22"/>
            <w:szCs w:val="22"/>
            <w:lang w:eastAsia="en-GB"/>
          </w:rPr>
          <w:tab/>
        </w:r>
        <w:r w:rsidRPr="00281D78">
          <w:rPr>
            <w:rStyle w:val="Hyperlink"/>
            <w:noProof/>
          </w:rPr>
          <w:t>Electricity</w:t>
        </w:r>
        <w:r>
          <w:rPr>
            <w:noProof/>
            <w:webHidden/>
          </w:rPr>
          <w:tab/>
        </w:r>
        <w:r>
          <w:rPr>
            <w:noProof/>
            <w:webHidden/>
          </w:rPr>
          <w:fldChar w:fldCharType="begin"/>
        </w:r>
        <w:r>
          <w:rPr>
            <w:noProof/>
            <w:webHidden/>
          </w:rPr>
          <w:instrText xml:space="preserve"> PAGEREF _Toc305768569 \h </w:instrText>
        </w:r>
        <w:r>
          <w:rPr>
            <w:noProof/>
            <w:webHidden/>
          </w:rPr>
        </w:r>
        <w:r>
          <w:rPr>
            <w:noProof/>
            <w:webHidden/>
          </w:rPr>
          <w:fldChar w:fldCharType="separate"/>
        </w:r>
        <w:r>
          <w:rPr>
            <w:noProof/>
            <w:webHidden/>
          </w:rPr>
          <w:t>29</w:t>
        </w:r>
        <w:r>
          <w:rPr>
            <w:noProof/>
            <w:webHidden/>
          </w:rPr>
          <w:fldChar w:fldCharType="end"/>
        </w:r>
      </w:hyperlink>
    </w:p>
    <w:p w:rsidR="006C61EC" w:rsidRDefault="006C61EC">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05768570" w:history="1">
        <w:r w:rsidRPr="00281D78">
          <w:rPr>
            <w:rStyle w:val="Hyperlink"/>
            <w:noProof/>
          </w:rPr>
          <w:t>5.14.2.</w:t>
        </w:r>
        <w:r>
          <w:rPr>
            <w:rFonts w:asciiTheme="minorHAnsi" w:eastAsiaTheme="minorEastAsia" w:hAnsiTheme="minorHAnsi" w:cstheme="minorBidi"/>
            <w:i w:val="0"/>
            <w:iCs w:val="0"/>
            <w:noProof/>
            <w:sz w:val="22"/>
            <w:szCs w:val="22"/>
            <w:lang w:eastAsia="en-GB"/>
          </w:rPr>
          <w:tab/>
        </w:r>
        <w:r w:rsidRPr="00281D78">
          <w:rPr>
            <w:rStyle w:val="Hyperlink"/>
            <w:noProof/>
          </w:rPr>
          <w:t>Gas</w:t>
        </w:r>
        <w:r>
          <w:rPr>
            <w:noProof/>
            <w:webHidden/>
          </w:rPr>
          <w:tab/>
        </w:r>
        <w:r>
          <w:rPr>
            <w:noProof/>
            <w:webHidden/>
          </w:rPr>
          <w:fldChar w:fldCharType="begin"/>
        </w:r>
        <w:r>
          <w:rPr>
            <w:noProof/>
            <w:webHidden/>
          </w:rPr>
          <w:instrText xml:space="preserve"> PAGEREF _Toc305768570 \h </w:instrText>
        </w:r>
        <w:r>
          <w:rPr>
            <w:noProof/>
            <w:webHidden/>
          </w:rPr>
        </w:r>
        <w:r>
          <w:rPr>
            <w:noProof/>
            <w:webHidden/>
          </w:rPr>
          <w:fldChar w:fldCharType="separate"/>
        </w:r>
        <w:r>
          <w:rPr>
            <w:noProof/>
            <w:webHidden/>
          </w:rPr>
          <w:t>30</w:t>
        </w:r>
        <w:r>
          <w:rPr>
            <w:noProof/>
            <w:webHidden/>
          </w:rPr>
          <w:fldChar w:fldCharType="end"/>
        </w:r>
      </w:hyperlink>
    </w:p>
    <w:p w:rsidR="006C61EC" w:rsidRDefault="006C61EC">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05768571" w:history="1">
        <w:r w:rsidRPr="00281D78">
          <w:rPr>
            <w:rStyle w:val="Hyperlink"/>
            <w:noProof/>
          </w:rPr>
          <w:t>5.15.</w:t>
        </w:r>
        <w:r>
          <w:rPr>
            <w:rFonts w:asciiTheme="minorHAnsi" w:eastAsiaTheme="minorEastAsia" w:hAnsiTheme="minorHAnsi" w:cstheme="minorBidi"/>
            <w:smallCaps w:val="0"/>
            <w:noProof/>
            <w:sz w:val="22"/>
            <w:szCs w:val="22"/>
            <w:lang w:eastAsia="en-GB"/>
          </w:rPr>
          <w:tab/>
        </w:r>
        <w:r w:rsidRPr="00281D78">
          <w:rPr>
            <w:rStyle w:val="Hyperlink"/>
            <w:noProof/>
          </w:rPr>
          <w:t>Georgia</w:t>
        </w:r>
        <w:r>
          <w:rPr>
            <w:noProof/>
            <w:webHidden/>
          </w:rPr>
          <w:tab/>
        </w:r>
        <w:r>
          <w:rPr>
            <w:noProof/>
            <w:webHidden/>
          </w:rPr>
          <w:fldChar w:fldCharType="begin"/>
        </w:r>
        <w:r>
          <w:rPr>
            <w:noProof/>
            <w:webHidden/>
          </w:rPr>
          <w:instrText xml:space="preserve"> PAGEREF _Toc305768571 \h </w:instrText>
        </w:r>
        <w:r>
          <w:rPr>
            <w:noProof/>
            <w:webHidden/>
          </w:rPr>
        </w:r>
        <w:r>
          <w:rPr>
            <w:noProof/>
            <w:webHidden/>
          </w:rPr>
          <w:fldChar w:fldCharType="separate"/>
        </w:r>
        <w:r>
          <w:rPr>
            <w:noProof/>
            <w:webHidden/>
          </w:rPr>
          <w:t>30</w:t>
        </w:r>
        <w:r>
          <w:rPr>
            <w:noProof/>
            <w:webHidden/>
          </w:rPr>
          <w:fldChar w:fldCharType="end"/>
        </w:r>
      </w:hyperlink>
    </w:p>
    <w:p w:rsidR="006C61EC" w:rsidRDefault="006C61EC">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05768572" w:history="1">
        <w:r w:rsidRPr="00281D78">
          <w:rPr>
            <w:rStyle w:val="Hyperlink"/>
            <w:noProof/>
          </w:rPr>
          <w:t>5.15.1.</w:t>
        </w:r>
        <w:r>
          <w:rPr>
            <w:rFonts w:asciiTheme="minorHAnsi" w:eastAsiaTheme="minorEastAsia" w:hAnsiTheme="minorHAnsi" w:cstheme="minorBidi"/>
            <w:i w:val="0"/>
            <w:iCs w:val="0"/>
            <w:noProof/>
            <w:sz w:val="22"/>
            <w:szCs w:val="22"/>
            <w:lang w:eastAsia="en-GB"/>
          </w:rPr>
          <w:tab/>
        </w:r>
        <w:r w:rsidRPr="00281D78">
          <w:rPr>
            <w:rStyle w:val="Hyperlink"/>
            <w:noProof/>
          </w:rPr>
          <w:t>Electricity</w:t>
        </w:r>
        <w:r>
          <w:rPr>
            <w:noProof/>
            <w:webHidden/>
          </w:rPr>
          <w:tab/>
        </w:r>
        <w:r>
          <w:rPr>
            <w:noProof/>
            <w:webHidden/>
          </w:rPr>
          <w:fldChar w:fldCharType="begin"/>
        </w:r>
        <w:r>
          <w:rPr>
            <w:noProof/>
            <w:webHidden/>
          </w:rPr>
          <w:instrText xml:space="preserve"> PAGEREF _Toc305768572 \h </w:instrText>
        </w:r>
        <w:r>
          <w:rPr>
            <w:noProof/>
            <w:webHidden/>
          </w:rPr>
        </w:r>
        <w:r>
          <w:rPr>
            <w:noProof/>
            <w:webHidden/>
          </w:rPr>
          <w:fldChar w:fldCharType="separate"/>
        </w:r>
        <w:r>
          <w:rPr>
            <w:noProof/>
            <w:webHidden/>
          </w:rPr>
          <w:t>30</w:t>
        </w:r>
        <w:r>
          <w:rPr>
            <w:noProof/>
            <w:webHidden/>
          </w:rPr>
          <w:fldChar w:fldCharType="end"/>
        </w:r>
      </w:hyperlink>
    </w:p>
    <w:p w:rsidR="006C61EC" w:rsidRDefault="006C61EC">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05768573" w:history="1">
        <w:r w:rsidRPr="00281D78">
          <w:rPr>
            <w:rStyle w:val="Hyperlink"/>
            <w:noProof/>
          </w:rPr>
          <w:t>5.15.2.</w:t>
        </w:r>
        <w:r>
          <w:rPr>
            <w:rFonts w:asciiTheme="minorHAnsi" w:eastAsiaTheme="minorEastAsia" w:hAnsiTheme="minorHAnsi" w:cstheme="minorBidi"/>
            <w:i w:val="0"/>
            <w:iCs w:val="0"/>
            <w:noProof/>
            <w:sz w:val="22"/>
            <w:szCs w:val="22"/>
            <w:lang w:eastAsia="en-GB"/>
          </w:rPr>
          <w:tab/>
        </w:r>
        <w:r w:rsidRPr="00281D78">
          <w:rPr>
            <w:rStyle w:val="Hyperlink"/>
            <w:noProof/>
          </w:rPr>
          <w:t>Gas</w:t>
        </w:r>
        <w:r>
          <w:rPr>
            <w:noProof/>
            <w:webHidden/>
          </w:rPr>
          <w:tab/>
        </w:r>
        <w:r>
          <w:rPr>
            <w:noProof/>
            <w:webHidden/>
          </w:rPr>
          <w:fldChar w:fldCharType="begin"/>
        </w:r>
        <w:r>
          <w:rPr>
            <w:noProof/>
            <w:webHidden/>
          </w:rPr>
          <w:instrText xml:space="preserve"> PAGEREF _Toc305768573 \h </w:instrText>
        </w:r>
        <w:r>
          <w:rPr>
            <w:noProof/>
            <w:webHidden/>
          </w:rPr>
        </w:r>
        <w:r>
          <w:rPr>
            <w:noProof/>
            <w:webHidden/>
          </w:rPr>
          <w:fldChar w:fldCharType="separate"/>
        </w:r>
        <w:r>
          <w:rPr>
            <w:noProof/>
            <w:webHidden/>
          </w:rPr>
          <w:t>30</w:t>
        </w:r>
        <w:r>
          <w:rPr>
            <w:noProof/>
            <w:webHidden/>
          </w:rPr>
          <w:fldChar w:fldCharType="end"/>
        </w:r>
      </w:hyperlink>
    </w:p>
    <w:p w:rsidR="006C61EC" w:rsidRDefault="006C61EC">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05768574" w:history="1">
        <w:r w:rsidRPr="00281D78">
          <w:rPr>
            <w:rStyle w:val="Hyperlink"/>
            <w:noProof/>
          </w:rPr>
          <w:t>5.16.</w:t>
        </w:r>
        <w:r>
          <w:rPr>
            <w:rFonts w:asciiTheme="minorHAnsi" w:eastAsiaTheme="minorEastAsia" w:hAnsiTheme="minorHAnsi" w:cstheme="minorBidi"/>
            <w:smallCaps w:val="0"/>
            <w:noProof/>
            <w:sz w:val="22"/>
            <w:szCs w:val="22"/>
            <w:lang w:eastAsia="en-GB"/>
          </w:rPr>
          <w:tab/>
        </w:r>
        <w:r w:rsidRPr="00281D78">
          <w:rPr>
            <w:rStyle w:val="Hyperlink"/>
            <w:noProof/>
          </w:rPr>
          <w:t>Moldova</w:t>
        </w:r>
        <w:r>
          <w:rPr>
            <w:noProof/>
            <w:webHidden/>
          </w:rPr>
          <w:tab/>
        </w:r>
        <w:r>
          <w:rPr>
            <w:noProof/>
            <w:webHidden/>
          </w:rPr>
          <w:fldChar w:fldCharType="begin"/>
        </w:r>
        <w:r>
          <w:rPr>
            <w:noProof/>
            <w:webHidden/>
          </w:rPr>
          <w:instrText xml:space="preserve"> PAGEREF _Toc305768574 \h </w:instrText>
        </w:r>
        <w:r>
          <w:rPr>
            <w:noProof/>
            <w:webHidden/>
          </w:rPr>
        </w:r>
        <w:r>
          <w:rPr>
            <w:noProof/>
            <w:webHidden/>
          </w:rPr>
          <w:fldChar w:fldCharType="separate"/>
        </w:r>
        <w:r>
          <w:rPr>
            <w:noProof/>
            <w:webHidden/>
          </w:rPr>
          <w:t>31</w:t>
        </w:r>
        <w:r>
          <w:rPr>
            <w:noProof/>
            <w:webHidden/>
          </w:rPr>
          <w:fldChar w:fldCharType="end"/>
        </w:r>
      </w:hyperlink>
    </w:p>
    <w:p w:rsidR="006C61EC" w:rsidRDefault="006C61EC">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05768575" w:history="1">
        <w:r w:rsidRPr="00281D78">
          <w:rPr>
            <w:rStyle w:val="Hyperlink"/>
            <w:noProof/>
          </w:rPr>
          <w:t>5.16.1.</w:t>
        </w:r>
        <w:r>
          <w:rPr>
            <w:rFonts w:asciiTheme="minorHAnsi" w:eastAsiaTheme="minorEastAsia" w:hAnsiTheme="minorHAnsi" w:cstheme="minorBidi"/>
            <w:i w:val="0"/>
            <w:iCs w:val="0"/>
            <w:noProof/>
            <w:sz w:val="22"/>
            <w:szCs w:val="22"/>
            <w:lang w:eastAsia="en-GB"/>
          </w:rPr>
          <w:tab/>
        </w:r>
        <w:r w:rsidRPr="00281D78">
          <w:rPr>
            <w:rStyle w:val="Hyperlink"/>
            <w:noProof/>
          </w:rPr>
          <w:t>Electricity</w:t>
        </w:r>
        <w:r>
          <w:rPr>
            <w:noProof/>
            <w:webHidden/>
          </w:rPr>
          <w:tab/>
        </w:r>
        <w:r>
          <w:rPr>
            <w:noProof/>
            <w:webHidden/>
          </w:rPr>
          <w:fldChar w:fldCharType="begin"/>
        </w:r>
        <w:r>
          <w:rPr>
            <w:noProof/>
            <w:webHidden/>
          </w:rPr>
          <w:instrText xml:space="preserve"> PAGEREF _Toc305768575 \h </w:instrText>
        </w:r>
        <w:r>
          <w:rPr>
            <w:noProof/>
            <w:webHidden/>
          </w:rPr>
        </w:r>
        <w:r>
          <w:rPr>
            <w:noProof/>
            <w:webHidden/>
          </w:rPr>
          <w:fldChar w:fldCharType="separate"/>
        </w:r>
        <w:r>
          <w:rPr>
            <w:noProof/>
            <w:webHidden/>
          </w:rPr>
          <w:t>31</w:t>
        </w:r>
        <w:r>
          <w:rPr>
            <w:noProof/>
            <w:webHidden/>
          </w:rPr>
          <w:fldChar w:fldCharType="end"/>
        </w:r>
      </w:hyperlink>
    </w:p>
    <w:p w:rsidR="006C61EC" w:rsidRDefault="006C61EC">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05768576" w:history="1">
        <w:r w:rsidRPr="00281D78">
          <w:rPr>
            <w:rStyle w:val="Hyperlink"/>
            <w:noProof/>
          </w:rPr>
          <w:t>5.16.2.</w:t>
        </w:r>
        <w:r>
          <w:rPr>
            <w:rFonts w:asciiTheme="minorHAnsi" w:eastAsiaTheme="minorEastAsia" w:hAnsiTheme="minorHAnsi" w:cstheme="minorBidi"/>
            <w:i w:val="0"/>
            <w:iCs w:val="0"/>
            <w:noProof/>
            <w:sz w:val="22"/>
            <w:szCs w:val="22"/>
            <w:lang w:eastAsia="en-GB"/>
          </w:rPr>
          <w:tab/>
        </w:r>
        <w:r w:rsidRPr="00281D78">
          <w:rPr>
            <w:rStyle w:val="Hyperlink"/>
            <w:noProof/>
          </w:rPr>
          <w:t>Gas</w:t>
        </w:r>
        <w:r>
          <w:rPr>
            <w:noProof/>
            <w:webHidden/>
          </w:rPr>
          <w:tab/>
        </w:r>
        <w:r>
          <w:rPr>
            <w:noProof/>
            <w:webHidden/>
          </w:rPr>
          <w:fldChar w:fldCharType="begin"/>
        </w:r>
        <w:r>
          <w:rPr>
            <w:noProof/>
            <w:webHidden/>
          </w:rPr>
          <w:instrText xml:space="preserve"> PAGEREF _Toc305768576 \h </w:instrText>
        </w:r>
        <w:r>
          <w:rPr>
            <w:noProof/>
            <w:webHidden/>
          </w:rPr>
        </w:r>
        <w:r>
          <w:rPr>
            <w:noProof/>
            <w:webHidden/>
          </w:rPr>
          <w:fldChar w:fldCharType="separate"/>
        </w:r>
        <w:r>
          <w:rPr>
            <w:noProof/>
            <w:webHidden/>
          </w:rPr>
          <w:t>31</w:t>
        </w:r>
        <w:r>
          <w:rPr>
            <w:noProof/>
            <w:webHidden/>
          </w:rPr>
          <w:fldChar w:fldCharType="end"/>
        </w:r>
      </w:hyperlink>
    </w:p>
    <w:p w:rsidR="006C61EC" w:rsidRDefault="006C61EC">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05768577" w:history="1">
        <w:r w:rsidRPr="00281D78">
          <w:rPr>
            <w:rStyle w:val="Hyperlink"/>
            <w:noProof/>
          </w:rPr>
          <w:t>5.17.</w:t>
        </w:r>
        <w:r>
          <w:rPr>
            <w:rFonts w:asciiTheme="minorHAnsi" w:eastAsiaTheme="minorEastAsia" w:hAnsiTheme="minorHAnsi" w:cstheme="minorBidi"/>
            <w:smallCaps w:val="0"/>
            <w:noProof/>
            <w:sz w:val="22"/>
            <w:szCs w:val="22"/>
            <w:lang w:eastAsia="en-GB"/>
          </w:rPr>
          <w:tab/>
        </w:r>
        <w:r w:rsidRPr="00281D78">
          <w:rPr>
            <w:rStyle w:val="Hyperlink"/>
            <w:noProof/>
          </w:rPr>
          <w:t>Ukraine</w:t>
        </w:r>
        <w:r>
          <w:rPr>
            <w:noProof/>
            <w:webHidden/>
          </w:rPr>
          <w:tab/>
        </w:r>
        <w:r>
          <w:rPr>
            <w:noProof/>
            <w:webHidden/>
          </w:rPr>
          <w:fldChar w:fldCharType="begin"/>
        </w:r>
        <w:r>
          <w:rPr>
            <w:noProof/>
            <w:webHidden/>
          </w:rPr>
          <w:instrText xml:space="preserve"> PAGEREF _Toc305768577 \h </w:instrText>
        </w:r>
        <w:r>
          <w:rPr>
            <w:noProof/>
            <w:webHidden/>
          </w:rPr>
        </w:r>
        <w:r>
          <w:rPr>
            <w:noProof/>
            <w:webHidden/>
          </w:rPr>
          <w:fldChar w:fldCharType="separate"/>
        </w:r>
        <w:r>
          <w:rPr>
            <w:noProof/>
            <w:webHidden/>
          </w:rPr>
          <w:t>31</w:t>
        </w:r>
        <w:r>
          <w:rPr>
            <w:noProof/>
            <w:webHidden/>
          </w:rPr>
          <w:fldChar w:fldCharType="end"/>
        </w:r>
      </w:hyperlink>
    </w:p>
    <w:p w:rsidR="006C61EC" w:rsidRDefault="006C61EC">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05768578" w:history="1">
        <w:r w:rsidRPr="00281D78">
          <w:rPr>
            <w:rStyle w:val="Hyperlink"/>
            <w:noProof/>
          </w:rPr>
          <w:t>5.17.1.</w:t>
        </w:r>
        <w:r>
          <w:rPr>
            <w:rFonts w:asciiTheme="minorHAnsi" w:eastAsiaTheme="minorEastAsia" w:hAnsiTheme="minorHAnsi" w:cstheme="minorBidi"/>
            <w:i w:val="0"/>
            <w:iCs w:val="0"/>
            <w:noProof/>
            <w:sz w:val="22"/>
            <w:szCs w:val="22"/>
            <w:lang w:eastAsia="en-GB"/>
          </w:rPr>
          <w:tab/>
        </w:r>
        <w:r w:rsidRPr="00281D78">
          <w:rPr>
            <w:rStyle w:val="Hyperlink"/>
            <w:noProof/>
          </w:rPr>
          <w:t>Electricity</w:t>
        </w:r>
        <w:r>
          <w:rPr>
            <w:noProof/>
            <w:webHidden/>
          </w:rPr>
          <w:tab/>
        </w:r>
        <w:r>
          <w:rPr>
            <w:noProof/>
            <w:webHidden/>
          </w:rPr>
          <w:fldChar w:fldCharType="begin"/>
        </w:r>
        <w:r>
          <w:rPr>
            <w:noProof/>
            <w:webHidden/>
          </w:rPr>
          <w:instrText xml:space="preserve"> PAGEREF _Toc305768578 \h </w:instrText>
        </w:r>
        <w:r>
          <w:rPr>
            <w:noProof/>
            <w:webHidden/>
          </w:rPr>
        </w:r>
        <w:r>
          <w:rPr>
            <w:noProof/>
            <w:webHidden/>
          </w:rPr>
          <w:fldChar w:fldCharType="separate"/>
        </w:r>
        <w:r>
          <w:rPr>
            <w:noProof/>
            <w:webHidden/>
          </w:rPr>
          <w:t>31</w:t>
        </w:r>
        <w:r>
          <w:rPr>
            <w:noProof/>
            <w:webHidden/>
          </w:rPr>
          <w:fldChar w:fldCharType="end"/>
        </w:r>
      </w:hyperlink>
    </w:p>
    <w:p w:rsidR="006C61EC" w:rsidRDefault="006C61EC">
      <w:pPr>
        <w:pStyle w:val="TOC4"/>
        <w:tabs>
          <w:tab w:val="left" w:pos="1540"/>
          <w:tab w:val="right" w:leader="dot" w:pos="9628"/>
        </w:tabs>
        <w:rPr>
          <w:rFonts w:asciiTheme="minorHAnsi" w:eastAsiaTheme="minorEastAsia" w:hAnsiTheme="minorHAnsi" w:cstheme="minorBidi"/>
          <w:noProof/>
          <w:sz w:val="22"/>
          <w:szCs w:val="22"/>
          <w:lang w:eastAsia="en-GB"/>
        </w:rPr>
      </w:pPr>
      <w:hyperlink w:anchor="_Toc305768579" w:history="1">
        <w:r w:rsidRPr="00281D78">
          <w:rPr>
            <w:rStyle w:val="Hyperlink"/>
            <w:rFonts w:ascii="Calibri" w:hAnsi="Calibri"/>
            <w:noProof/>
          </w:rPr>
          <w:t>Table 8.</w:t>
        </w:r>
        <w:r>
          <w:rPr>
            <w:rFonts w:asciiTheme="minorHAnsi" w:eastAsiaTheme="minorEastAsia" w:hAnsiTheme="minorHAnsi" w:cstheme="minorBidi"/>
            <w:noProof/>
            <w:sz w:val="22"/>
            <w:szCs w:val="22"/>
            <w:lang w:eastAsia="en-GB"/>
          </w:rPr>
          <w:tab/>
        </w:r>
        <w:r w:rsidRPr="00281D78">
          <w:rPr>
            <w:rStyle w:val="Hyperlink"/>
            <w:rFonts w:ascii="Calibri" w:hAnsi="Calibri"/>
            <w:i/>
            <w:noProof/>
          </w:rPr>
          <w:t>Electricity distribution companies in Ukraine</w:t>
        </w:r>
        <w:r>
          <w:rPr>
            <w:noProof/>
            <w:webHidden/>
          </w:rPr>
          <w:tab/>
        </w:r>
        <w:r>
          <w:rPr>
            <w:noProof/>
            <w:webHidden/>
          </w:rPr>
          <w:fldChar w:fldCharType="begin"/>
        </w:r>
        <w:r>
          <w:rPr>
            <w:noProof/>
            <w:webHidden/>
          </w:rPr>
          <w:instrText xml:space="preserve"> PAGEREF _Toc305768579 \h </w:instrText>
        </w:r>
        <w:r>
          <w:rPr>
            <w:noProof/>
            <w:webHidden/>
          </w:rPr>
        </w:r>
        <w:r>
          <w:rPr>
            <w:noProof/>
            <w:webHidden/>
          </w:rPr>
          <w:fldChar w:fldCharType="separate"/>
        </w:r>
        <w:r>
          <w:rPr>
            <w:noProof/>
            <w:webHidden/>
          </w:rPr>
          <w:t>32</w:t>
        </w:r>
        <w:r>
          <w:rPr>
            <w:noProof/>
            <w:webHidden/>
          </w:rPr>
          <w:fldChar w:fldCharType="end"/>
        </w:r>
      </w:hyperlink>
    </w:p>
    <w:p w:rsidR="006C61EC" w:rsidRDefault="006C61EC">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05768580" w:history="1">
        <w:r w:rsidRPr="00281D78">
          <w:rPr>
            <w:rStyle w:val="Hyperlink"/>
            <w:noProof/>
          </w:rPr>
          <w:t>5.17.2.</w:t>
        </w:r>
        <w:r>
          <w:rPr>
            <w:rFonts w:asciiTheme="minorHAnsi" w:eastAsiaTheme="minorEastAsia" w:hAnsiTheme="minorHAnsi" w:cstheme="minorBidi"/>
            <w:i w:val="0"/>
            <w:iCs w:val="0"/>
            <w:noProof/>
            <w:sz w:val="22"/>
            <w:szCs w:val="22"/>
            <w:lang w:eastAsia="en-GB"/>
          </w:rPr>
          <w:tab/>
        </w:r>
        <w:r w:rsidRPr="00281D78">
          <w:rPr>
            <w:rStyle w:val="Hyperlink"/>
            <w:noProof/>
          </w:rPr>
          <w:t>Gas</w:t>
        </w:r>
        <w:r>
          <w:rPr>
            <w:noProof/>
            <w:webHidden/>
          </w:rPr>
          <w:tab/>
        </w:r>
        <w:r>
          <w:rPr>
            <w:noProof/>
            <w:webHidden/>
          </w:rPr>
          <w:fldChar w:fldCharType="begin"/>
        </w:r>
        <w:r>
          <w:rPr>
            <w:noProof/>
            <w:webHidden/>
          </w:rPr>
          <w:instrText xml:space="preserve"> PAGEREF _Toc305768580 \h </w:instrText>
        </w:r>
        <w:r>
          <w:rPr>
            <w:noProof/>
            <w:webHidden/>
          </w:rPr>
        </w:r>
        <w:r>
          <w:rPr>
            <w:noProof/>
            <w:webHidden/>
          </w:rPr>
          <w:fldChar w:fldCharType="separate"/>
        </w:r>
        <w:r>
          <w:rPr>
            <w:noProof/>
            <w:webHidden/>
          </w:rPr>
          <w:t>33</w:t>
        </w:r>
        <w:r>
          <w:rPr>
            <w:noProof/>
            <w:webHidden/>
          </w:rPr>
          <w:fldChar w:fldCharType="end"/>
        </w:r>
      </w:hyperlink>
    </w:p>
    <w:p w:rsidR="006C61EC" w:rsidRDefault="006C61EC">
      <w:pPr>
        <w:pStyle w:val="TOC1"/>
        <w:tabs>
          <w:tab w:val="left" w:pos="440"/>
          <w:tab w:val="right" w:leader="dot" w:pos="9628"/>
        </w:tabs>
        <w:rPr>
          <w:rFonts w:asciiTheme="minorHAnsi" w:eastAsiaTheme="minorEastAsia" w:hAnsiTheme="minorHAnsi" w:cstheme="minorBidi"/>
          <w:b w:val="0"/>
          <w:bCs w:val="0"/>
          <w:caps w:val="0"/>
          <w:noProof/>
          <w:sz w:val="22"/>
          <w:szCs w:val="22"/>
          <w:lang w:eastAsia="en-GB"/>
        </w:rPr>
      </w:pPr>
      <w:hyperlink w:anchor="_Toc305768581" w:history="1">
        <w:r w:rsidRPr="00281D78">
          <w:rPr>
            <w:rStyle w:val="Hyperlink"/>
            <w:noProof/>
          </w:rPr>
          <w:t>6.</w:t>
        </w:r>
        <w:r>
          <w:rPr>
            <w:rFonts w:asciiTheme="minorHAnsi" w:eastAsiaTheme="minorEastAsia" w:hAnsiTheme="minorHAnsi" w:cstheme="minorBidi"/>
            <w:b w:val="0"/>
            <w:bCs w:val="0"/>
            <w:caps w:val="0"/>
            <w:noProof/>
            <w:sz w:val="22"/>
            <w:szCs w:val="22"/>
            <w:lang w:eastAsia="en-GB"/>
          </w:rPr>
          <w:tab/>
        </w:r>
        <w:r w:rsidRPr="00281D78">
          <w:rPr>
            <w:rStyle w:val="Hyperlink"/>
            <w:noProof/>
          </w:rPr>
          <w:t>Sectoral trends: Water</w:t>
        </w:r>
        <w:r>
          <w:rPr>
            <w:noProof/>
            <w:webHidden/>
          </w:rPr>
          <w:tab/>
        </w:r>
        <w:r>
          <w:rPr>
            <w:noProof/>
            <w:webHidden/>
          </w:rPr>
          <w:fldChar w:fldCharType="begin"/>
        </w:r>
        <w:r>
          <w:rPr>
            <w:noProof/>
            <w:webHidden/>
          </w:rPr>
          <w:instrText xml:space="preserve"> PAGEREF _Toc305768581 \h </w:instrText>
        </w:r>
        <w:r>
          <w:rPr>
            <w:noProof/>
            <w:webHidden/>
          </w:rPr>
        </w:r>
        <w:r>
          <w:rPr>
            <w:noProof/>
            <w:webHidden/>
          </w:rPr>
          <w:fldChar w:fldCharType="separate"/>
        </w:r>
        <w:r>
          <w:rPr>
            <w:noProof/>
            <w:webHidden/>
          </w:rPr>
          <w:t>34</w:t>
        </w:r>
        <w:r>
          <w:rPr>
            <w:noProof/>
            <w:webHidden/>
          </w:rPr>
          <w:fldChar w:fldCharType="end"/>
        </w:r>
      </w:hyperlink>
    </w:p>
    <w:p w:rsidR="006C61EC" w:rsidRDefault="006C61EC">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05768582" w:history="1">
        <w:r w:rsidRPr="00281D78">
          <w:rPr>
            <w:rStyle w:val="Hyperlink"/>
            <w:noProof/>
          </w:rPr>
          <w:t>6.1.</w:t>
        </w:r>
        <w:r>
          <w:rPr>
            <w:rFonts w:asciiTheme="minorHAnsi" w:eastAsiaTheme="minorEastAsia" w:hAnsiTheme="minorHAnsi" w:cstheme="minorBidi"/>
            <w:smallCaps w:val="0"/>
            <w:noProof/>
            <w:sz w:val="22"/>
            <w:szCs w:val="22"/>
            <w:lang w:eastAsia="en-GB"/>
          </w:rPr>
          <w:tab/>
        </w:r>
        <w:r w:rsidRPr="00281D78">
          <w:rPr>
            <w:rStyle w:val="Hyperlink"/>
            <w:noProof/>
          </w:rPr>
          <w:t>EU policies</w:t>
        </w:r>
        <w:r>
          <w:rPr>
            <w:noProof/>
            <w:webHidden/>
          </w:rPr>
          <w:tab/>
        </w:r>
        <w:r>
          <w:rPr>
            <w:noProof/>
            <w:webHidden/>
          </w:rPr>
          <w:fldChar w:fldCharType="begin"/>
        </w:r>
        <w:r>
          <w:rPr>
            <w:noProof/>
            <w:webHidden/>
          </w:rPr>
          <w:instrText xml:space="preserve"> PAGEREF _Toc305768582 \h </w:instrText>
        </w:r>
        <w:r>
          <w:rPr>
            <w:noProof/>
            <w:webHidden/>
          </w:rPr>
        </w:r>
        <w:r>
          <w:rPr>
            <w:noProof/>
            <w:webHidden/>
          </w:rPr>
          <w:fldChar w:fldCharType="separate"/>
        </w:r>
        <w:r>
          <w:rPr>
            <w:noProof/>
            <w:webHidden/>
          </w:rPr>
          <w:t>34</w:t>
        </w:r>
        <w:r>
          <w:rPr>
            <w:noProof/>
            <w:webHidden/>
          </w:rPr>
          <w:fldChar w:fldCharType="end"/>
        </w:r>
      </w:hyperlink>
    </w:p>
    <w:p w:rsidR="006C61EC" w:rsidRDefault="006C61EC">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05768583" w:history="1">
        <w:r w:rsidRPr="00281D78">
          <w:rPr>
            <w:rStyle w:val="Hyperlink"/>
            <w:noProof/>
          </w:rPr>
          <w:t>6.2.</w:t>
        </w:r>
        <w:r>
          <w:rPr>
            <w:rFonts w:asciiTheme="minorHAnsi" w:eastAsiaTheme="minorEastAsia" w:hAnsiTheme="minorHAnsi" w:cstheme="minorBidi"/>
            <w:smallCaps w:val="0"/>
            <w:noProof/>
            <w:sz w:val="22"/>
            <w:szCs w:val="22"/>
            <w:lang w:eastAsia="en-GB"/>
          </w:rPr>
          <w:tab/>
        </w:r>
        <w:r w:rsidRPr="00281D78">
          <w:rPr>
            <w:rStyle w:val="Hyperlink"/>
            <w:noProof/>
          </w:rPr>
          <w:t>Development banks</w:t>
        </w:r>
        <w:r>
          <w:rPr>
            <w:noProof/>
            <w:webHidden/>
          </w:rPr>
          <w:tab/>
        </w:r>
        <w:r>
          <w:rPr>
            <w:noProof/>
            <w:webHidden/>
          </w:rPr>
          <w:fldChar w:fldCharType="begin"/>
        </w:r>
        <w:r>
          <w:rPr>
            <w:noProof/>
            <w:webHidden/>
          </w:rPr>
          <w:instrText xml:space="preserve"> PAGEREF _Toc305768583 \h </w:instrText>
        </w:r>
        <w:r>
          <w:rPr>
            <w:noProof/>
            <w:webHidden/>
          </w:rPr>
        </w:r>
        <w:r>
          <w:rPr>
            <w:noProof/>
            <w:webHidden/>
          </w:rPr>
          <w:fldChar w:fldCharType="separate"/>
        </w:r>
        <w:r>
          <w:rPr>
            <w:noProof/>
            <w:webHidden/>
          </w:rPr>
          <w:t>34</w:t>
        </w:r>
        <w:r>
          <w:rPr>
            <w:noProof/>
            <w:webHidden/>
          </w:rPr>
          <w:fldChar w:fldCharType="end"/>
        </w:r>
      </w:hyperlink>
    </w:p>
    <w:p w:rsidR="006C61EC" w:rsidRDefault="006C61EC">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05768584" w:history="1">
        <w:r w:rsidRPr="00281D78">
          <w:rPr>
            <w:rStyle w:val="Hyperlink"/>
            <w:noProof/>
          </w:rPr>
          <w:t>6.2.1.</w:t>
        </w:r>
        <w:r>
          <w:rPr>
            <w:rFonts w:asciiTheme="minorHAnsi" w:eastAsiaTheme="minorEastAsia" w:hAnsiTheme="minorHAnsi" w:cstheme="minorBidi"/>
            <w:i w:val="0"/>
            <w:iCs w:val="0"/>
            <w:noProof/>
            <w:sz w:val="22"/>
            <w:szCs w:val="22"/>
            <w:lang w:eastAsia="en-GB"/>
          </w:rPr>
          <w:tab/>
        </w:r>
        <w:r w:rsidRPr="00281D78">
          <w:rPr>
            <w:rStyle w:val="Hyperlink"/>
            <w:noProof/>
          </w:rPr>
          <w:t>EIB</w:t>
        </w:r>
        <w:r>
          <w:rPr>
            <w:noProof/>
            <w:webHidden/>
          </w:rPr>
          <w:tab/>
        </w:r>
        <w:r>
          <w:rPr>
            <w:noProof/>
            <w:webHidden/>
          </w:rPr>
          <w:fldChar w:fldCharType="begin"/>
        </w:r>
        <w:r>
          <w:rPr>
            <w:noProof/>
            <w:webHidden/>
          </w:rPr>
          <w:instrText xml:space="preserve"> PAGEREF _Toc305768584 \h </w:instrText>
        </w:r>
        <w:r>
          <w:rPr>
            <w:noProof/>
            <w:webHidden/>
          </w:rPr>
        </w:r>
        <w:r>
          <w:rPr>
            <w:noProof/>
            <w:webHidden/>
          </w:rPr>
          <w:fldChar w:fldCharType="separate"/>
        </w:r>
        <w:r>
          <w:rPr>
            <w:noProof/>
            <w:webHidden/>
          </w:rPr>
          <w:t>34</w:t>
        </w:r>
        <w:r>
          <w:rPr>
            <w:noProof/>
            <w:webHidden/>
          </w:rPr>
          <w:fldChar w:fldCharType="end"/>
        </w:r>
      </w:hyperlink>
    </w:p>
    <w:p w:rsidR="006C61EC" w:rsidRDefault="006C61EC">
      <w:pPr>
        <w:pStyle w:val="TOC4"/>
        <w:tabs>
          <w:tab w:val="left" w:pos="1540"/>
          <w:tab w:val="right" w:leader="dot" w:pos="9628"/>
        </w:tabs>
        <w:rPr>
          <w:rFonts w:asciiTheme="minorHAnsi" w:eastAsiaTheme="minorEastAsia" w:hAnsiTheme="minorHAnsi" w:cstheme="minorBidi"/>
          <w:noProof/>
          <w:sz w:val="22"/>
          <w:szCs w:val="22"/>
          <w:lang w:eastAsia="en-GB"/>
        </w:rPr>
      </w:pPr>
      <w:hyperlink w:anchor="_Toc305768585" w:history="1">
        <w:r w:rsidRPr="00281D78">
          <w:rPr>
            <w:rStyle w:val="Hyperlink"/>
            <w:noProof/>
          </w:rPr>
          <w:t>Table 9.</w:t>
        </w:r>
        <w:r>
          <w:rPr>
            <w:rFonts w:asciiTheme="minorHAnsi" w:eastAsiaTheme="minorEastAsia" w:hAnsiTheme="minorHAnsi" w:cstheme="minorBidi"/>
            <w:noProof/>
            <w:sz w:val="22"/>
            <w:szCs w:val="22"/>
            <w:lang w:eastAsia="en-GB"/>
          </w:rPr>
          <w:tab/>
        </w:r>
        <w:r w:rsidRPr="00281D78">
          <w:rPr>
            <w:rStyle w:val="Hyperlink"/>
            <w:noProof/>
          </w:rPr>
          <w:t>EIB projects in water and sanitation in the region</w:t>
        </w:r>
        <w:r>
          <w:rPr>
            <w:noProof/>
            <w:webHidden/>
          </w:rPr>
          <w:tab/>
        </w:r>
        <w:r>
          <w:rPr>
            <w:noProof/>
            <w:webHidden/>
          </w:rPr>
          <w:fldChar w:fldCharType="begin"/>
        </w:r>
        <w:r>
          <w:rPr>
            <w:noProof/>
            <w:webHidden/>
          </w:rPr>
          <w:instrText xml:space="preserve"> PAGEREF _Toc305768585 \h </w:instrText>
        </w:r>
        <w:r>
          <w:rPr>
            <w:noProof/>
            <w:webHidden/>
          </w:rPr>
        </w:r>
        <w:r>
          <w:rPr>
            <w:noProof/>
            <w:webHidden/>
          </w:rPr>
          <w:fldChar w:fldCharType="separate"/>
        </w:r>
        <w:r>
          <w:rPr>
            <w:noProof/>
            <w:webHidden/>
          </w:rPr>
          <w:t>34</w:t>
        </w:r>
        <w:r>
          <w:rPr>
            <w:noProof/>
            <w:webHidden/>
          </w:rPr>
          <w:fldChar w:fldCharType="end"/>
        </w:r>
      </w:hyperlink>
    </w:p>
    <w:p w:rsidR="006C61EC" w:rsidRDefault="006C61EC">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05768586" w:history="1">
        <w:r w:rsidRPr="00281D78">
          <w:rPr>
            <w:rStyle w:val="Hyperlink"/>
            <w:noProof/>
          </w:rPr>
          <w:t>6.2.2.</w:t>
        </w:r>
        <w:r>
          <w:rPr>
            <w:rFonts w:asciiTheme="minorHAnsi" w:eastAsiaTheme="minorEastAsia" w:hAnsiTheme="minorHAnsi" w:cstheme="minorBidi"/>
            <w:i w:val="0"/>
            <w:iCs w:val="0"/>
            <w:noProof/>
            <w:sz w:val="22"/>
            <w:szCs w:val="22"/>
            <w:lang w:eastAsia="en-GB"/>
          </w:rPr>
          <w:tab/>
        </w:r>
        <w:r w:rsidRPr="00281D78">
          <w:rPr>
            <w:rStyle w:val="Hyperlink"/>
            <w:noProof/>
          </w:rPr>
          <w:t>EBRD: public finance and private water companies</w:t>
        </w:r>
        <w:r>
          <w:rPr>
            <w:noProof/>
            <w:webHidden/>
          </w:rPr>
          <w:tab/>
        </w:r>
        <w:r>
          <w:rPr>
            <w:noProof/>
            <w:webHidden/>
          </w:rPr>
          <w:fldChar w:fldCharType="begin"/>
        </w:r>
        <w:r>
          <w:rPr>
            <w:noProof/>
            <w:webHidden/>
          </w:rPr>
          <w:instrText xml:space="preserve"> PAGEREF _Toc305768586 \h </w:instrText>
        </w:r>
        <w:r>
          <w:rPr>
            <w:noProof/>
            <w:webHidden/>
          </w:rPr>
        </w:r>
        <w:r>
          <w:rPr>
            <w:noProof/>
            <w:webHidden/>
          </w:rPr>
          <w:fldChar w:fldCharType="separate"/>
        </w:r>
        <w:r>
          <w:rPr>
            <w:noProof/>
            <w:webHidden/>
          </w:rPr>
          <w:t>34</w:t>
        </w:r>
        <w:r>
          <w:rPr>
            <w:noProof/>
            <w:webHidden/>
          </w:rPr>
          <w:fldChar w:fldCharType="end"/>
        </w:r>
      </w:hyperlink>
    </w:p>
    <w:p w:rsidR="006C61EC" w:rsidRDefault="006C61EC">
      <w:pPr>
        <w:pStyle w:val="TOC4"/>
        <w:tabs>
          <w:tab w:val="left" w:pos="1760"/>
          <w:tab w:val="right" w:leader="dot" w:pos="9628"/>
        </w:tabs>
        <w:rPr>
          <w:rFonts w:asciiTheme="minorHAnsi" w:eastAsiaTheme="minorEastAsia" w:hAnsiTheme="minorHAnsi" w:cstheme="minorBidi"/>
          <w:noProof/>
          <w:sz w:val="22"/>
          <w:szCs w:val="22"/>
          <w:lang w:eastAsia="en-GB"/>
        </w:rPr>
      </w:pPr>
      <w:hyperlink w:anchor="_Toc305768587" w:history="1">
        <w:r w:rsidRPr="00281D78">
          <w:rPr>
            <w:rStyle w:val="Hyperlink"/>
            <w:noProof/>
          </w:rPr>
          <w:t>Table 10.</w:t>
        </w:r>
        <w:r>
          <w:rPr>
            <w:rFonts w:asciiTheme="minorHAnsi" w:eastAsiaTheme="minorEastAsia" w:hAnsiTheme="minorHAnsi" w:cstheme="minorBidi"/>
            <w:noProof/>
            <w:sz w:val="22"/>
            <w:szCs w:val="22"/>
            <w:lang w:eastAsia="en-GB"/>
          </w:rPr>
          <w:tab/>
        </w:r>
        <w:r w:rsidRPr="00281D78">
          <w:rPr>
            <w:rStyle w:val="Hyperlink"/>
            <w:noProof/>
          </w:rPr>
          <w:t>EBRD public projects in water and sanitation in the region</w:t>
        </w:r>
        <w:r>
          <w:rPr>
            <w:noProof/>
            <w:webHidden/>
          </w:rPr>
          <w:tab/>
        </w:r>
        <w:r>
          <w:rPr>
            <w:noProof/>
            <w:webHidden/>
          </w:rPr>
          <w:fldChar w:fldCharType="begin"/>
        </w:r>
        <w:r>
          <w:rPr>
            <w:noProof/>
            <w:webHidden/>
          </w:rPr>
          <w:instrText xml:space="preserve"> PAGEREF _Toc305768587 \h </w:instrText>
        </w:r>
        <w:r>
          <w:rPr>
            <w:noProof/>
            <w:webHidden/>
          </w:rPr>
        </w:r>
        <w:r>
          <w:rPr>
            <w:noProof/>
            <w:webHidden/>
          </w:rPr>
          <w:fldChar w:fldCharType="separate"/>
        </w:r>
        <w:r>
          <w:rPr>
            <w:noProof/>
            <w:webHidden/>
          </w:rPr>
          <w:t>34</w:t>
        </w:r>
        <w:r>
          <w:rPr>
            <w:noProof/>
            <w:webHidden/>
          </w:rPr>
          <w:fldChar w:fldCharType="end"/>
        </w:r>
      </w:hyperlink>
    </w:p>
    <w:p w:rsidR="006C61EC" w:rsidRDefault="006C61EC">
      <w:pPr>
        <w:pStyle w:val="TOC4"/>
        <w:tabs>
          <w:tab w:val="left" w:pos="1760"/>
          <w:tab w:val="right" w:leader="dot" w:pos="9628"/>
        </w:tabs>
        <w:rPr>
          <w:rFonts w:asciiTheme="minorHAnsi" w:eastAsiaTheme="minorEastAsia" w:hAnsiTheme="minorHAnsi" w:cstheme="minorBidi"/>
          <w:noProof/>
          <w:sz w:val="22"/>
          <w:szCs w:val="22"/>
          <w:lang w:eastAsia="en-GB"/>
        </w:rPr>
      </w:pPr>
      <w:hyperlink w:anchor="_Toc305768588" w:history="1">
        <w:r w:rsidRPr="00281D78">
          <w:rPr>
            <w:rStyle w:val="Hyperlink"/>
            <w:noProof/>
          </w:rPr>
          <w:t>Table 11.</w:t>
        </w:r>
        <w:r>
          <w:rPr>
            <w:rFonts w:asciiTheme="minorHAnsi" w:eastAsiaTheme="minorEastAsia" w:hAnsiTheme="minorHAnsi" w:cstheme="minorBidi"/>
            <w:noProof/>
            <w:sz w:val="22"/>
            <w:szCs w:val="22"/>
            <w:lang w:eastAsia="en-GB"/>
          </w:rPr>
          <w:tab/>
        </w:r>
        <w:r w:rsidRPr="00281D78">
          <w:rPr>
            <w:rStyle w:val="Hyperlink"/>
            <w:noProof/>
          </w:rPr>
          <w:t>EBRD finance for private water, 1991-2009 € million</w:t>
        </w:r>
        <w:r>
          <w:rPr>
            <w:noProof/>
            <w:webHidden/>
          </w:rPr>
          <w:tab/>
        </w:r>
        <w:r>
          <w:rPr>
            <w:noProof/>
            <w:webHidden/>
          </w:rPr>
          <w:fldChar w:fldCharType="begin"/>
        </w:r>
        <w:r>
          <w:rPr>
            <w:noProof/>
            <w:webHidden/>
          </w:rPr>
          <w:instrText xml:space="preserve"> PAGEREF _Toc305768588 \h </w:instrText>
        </w:r>
        <w:r>
          <w:rPr>
            <w:noProof/>
            <w:webHidden/>
          </w:rPr>
        </w:r>
        <w:r>
          <w:rPr>
            <w:noProof/>
            <w:webHidden/>
          </w:rPr>
          <w:fldChar w:fldCharType="separate"/>
        </w:r>
        <w:r>
          <w:rPr>
            <w:noProof/>
            <w:webHidden/>
          </w:rPr>
          <w:t>35</w:t>
        </w:r>
        <w:r>
          <w:rPr>
            <w:noProof/>
            <w:webHidden/>
          </w:rPr>
          <w:fldChar w:fldCharType="end"/>
        </w:r>
      </w:hyperlink>
    </w:p>
    <w:p w:rsidR="006C61EC" w:rsidRDefault="006C61EC">
      <w:pPr>
        <w:pStyle w:val="TOC4"/>
        <w:tabs>
          <w:tab w:val="left" w:pos="1760"/>
          <w:tab w:val="right" w:leader="dot" w:pos="9628"/>
        </w:tabs>
        <w:rPr>
          <w:rFonts w:asciiTheme="minorHAnsi" w:eastAsiaTheme="minorEastAsia" w:hAnsiTheme="minorHAnsi" w:cstheme="minorBidi"/>
          <w:noProof/>
          <w:sz w:val="22"/>
          <w:szCs w:val="22"/>
          <w:lang w:eastAsia="en-GB"/>
        </w:rPr>
      </w:pPr>
      <w:hyperlink w:anchor="_Toc305768589" w:history="1">
        <w:r w:rsidRPr="00281D78">
          <w:rPr>
            <w:rStyle w:val="Hyperlink"/>
            <w:noProof/>
          </w:rPr>
          <w:t>Table 12.</w:t>
        </w:r>
        <w:r>
          <w:rPr>
            <w:rFonts w:asciiTheme="minorHAnsi" w:eastAsiaTheme="minorEastAsia" w:hAnsiTheme="minorHAnsi" w:cstheme="minorBidi"/>
            <w:noProof/>
            <w:sz w:val="22"/>
            <w:szCs w:val="22"/>
            <w:lang w:eastAsia="en-GB"/>
          </w:rPr>
          <w:tab/>
        </w:r>
        <w:r w:rsidRPr="00281D78">
          <w:rPr>
            <w:rStyle w:val="Hyperlink"/>
            <w:noProof/>
          </w:rPr>
          <w:t>EBRD equity investments1991-2009: heavily weighted to water</w:t>
        </w:r>
        <w:r>
          <w:rPr>
            <w:noProof/>
            <w:webHidden/>
          </w:rPr>
          <w:tab/>
        </w:r>
        <w:r>
          <w:rPr>
            <w:noProof/>
            <w:webHidden/>
          </w:rPr>
          <w:fldChar w:fldCharType="begin"/>
        </w:r>
        <w:r>
          <w:rPr>
            <w:noProof/>
            <w:webHidden/>
          </w:rPr>
          <w:instrText xml:space="preserve"> PAGEREF _Toc305768589 \h </w:instrText>
        </w:r>
        <w:r>
          <w:rPr>
            <w:noProof/>
            <w:webHidden/>
          </w:rPr>
        </w:r>
        <w:r>
          <w:rPr>
            <w:noProof/>
            <w:webHidden/>
          </w:rPr>
          <w:fldChar w:fldCharType="separate"/>
        </w:r>
        <w:r>
          <w:rPr>
            <w:noProof/>
            <w:webHidden/>
          </w:rPr>
          <w:t>35</w:t>
        </w:r>
        <w:r>
          <w:rPr>
            <w:noProof/>
            <w:webHidden/>
          </w:rPr>
          <w:fldChar w:fldCharType="end"/>
        </w:r>
      </w:hyperlink>
    </w:p>
    <w:p w:rsidR="006C61EC" w:rsidRDefault="006C61EC">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05768590" w:history="1">
        <w:r w:rsidRPr="00281D78">
          <w:rPr>
            <w:rStyle w:val="Hyperlink"/>
            <w:noProof/>
          </w:rPr>
          <w:t>6.3.</w:t>
        </w:r>
        <w:r>
          <w:rPr>
            <w:rFonts w:asciiTheme="minorHAnsi" w:eastAsiaTheme="minorEastAsia" w:hAnsiTheme="minorHAnsi" w:cstheme="minorBidi"/>
            <w:smallCaps w:val="0"/>
            <w:noProof/>
            <w:sz w:val="22"/>
            <w:szCs w:val="22"/>
            <w:lang w:eastAsia="en-GB"/>
          </w:rPr>
          <w:tab/>
        </w:r>
        <w:r w:rsidRPr="00281D78">
          <w:rPr>
            <w:rStyle w:val="Hyperlink"/>
            <w:noProof/>
          </w:rPr>
          <w:t>OECD/UNECE: Eastern strategy</w:t>
        </w:r>
        <w:r>
          <w:rPr>
            <w:noProof/>
            <w:webHidden/>
          </w:rPr>
          <w:tab/>
        </w:r>
        <w:r>
          <w:rPr>
            <w:noProof/>
            <w:webHidden/>
          </w:rPr>
          <w:fldChar w:fldCharType="begin"/>
        </w:r>
        <w:r>
          <w:rPr>
            <w:noProof/>
            <w:webHidden/>
          </w:rPr>
          <w:instrText xml:space="preserve"> PAGEREF _Toc305768590 \h </w:instrText>
        </w:r>
        <w:r>
          <w:rPr>
            <w:noProof/>
            <w:webHidden/>
          </w:rPr>
        </w:r>
        <w:r>
          <w:rPr>
            <w:noProof/>
            <w:webHidden/>
          </w:rPr>
          <w:fldChar w:fldCharType="separate"/>
        </w:r>
        <w:r>
          <w:rPr>
            <w:noProof/>
            <w:webHidden/>
          </w:rPr>
          <w:t>36</w:t>
        </w:r>
        <w:r>
          <w:rPr>
            <w:noProof/>
            <w:webHidden/>
          </w:rPr>
          <w:fldChar w:fldCharType="end"/>
        </w:r>
      </w:hyperlink>
    </w:p>
    <w:p w:rsidR="006C61EC" w:rsidRDefault="006C61EC">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05768591" w:history="1">
        <w:r w:rsidRPr="00281D78">
          <w:rPr>
            <w:rStyle w:val="Hyperlink"/>
            <w:noProof/>
          </w:rPr>
          <w:t>6.4.</w:t>
        </w:r>
        <w:r>
          <w:rPr>
            <w:rFonts w:asciiTheme="minorHAnsi" w:eastAsiaTheme="minorEastAsia" w:hAnsiTheme="minorHAnsi" w:cstheme="minorBidi"/>
            <w:smallCaps w:val="0"/>
            <w:noProof/>
            <w:sz w:val="22"/>
            <w:szCs w:val="22"/>
            <w:lang w:eastAsia="en-GB"/>
          </w:rPr>
          <w:tab/>
        </w:r>
        <w:r w:rsidRPr="00281D78">
          <w:rPr>
            <w:rStyle w:val="Hyperlink"/>
            <w:noProof/>
          </w:rPr>
          <w:t>Multinationals active in region</w:t>
        </w:r>
        <w:r>
          <w:rPr>
            <w:noProof/>
            <w:webHidden/>
          </w:rPr>
          <w:tab/>
        </w:r>
        <w:r>
          <w:rPr>
            <w:noProof/>
            <w:webHidden/>
          </w:rPr>
          <w:fldChar w:fldCharType="begin"/>
        </w:r>
        <w:r>
          <w:rPr>
            <w:noProof/>
            <w:webHidden/>
          </w:rPr>
          <w:instrText xml:space="preserve"> PAGEREF _Toc305768591 \h </w:instrText>
        </w:r>
        <w:r>
          <w:rPr>
            <w:noProof/>
            <w:webHidden/>
          </w:rPr>
        </w:r>
        <w:r>
          <w:rPr>
            <w:noProof/>
            <w:webHidden/>
          </w:rPr>
          <w:fldChar w:fldCharType="separate"/>
        </w:r>
        <w:r>
          <w:rPr>
            <w:noProof/>
            <w:webHidden/>
          </w:rPr>
          <w:t>36</w:t>
        </w:r>
        <w:r>
          <w:rPr>
            <w:noProof/>
            <w:webHidden/>
          </w:rPr>
          <w:fldChar w:fldCharType="end"/>
        </w:r>
      </w:hyperlink>
    </w:p>
    <w:p w:rsidR="006C61EC" w:rsidRDefault="006C61EC">
      <w:pPr>
        <w:pStyle w:val="TOC1"/>
        <w:tabs>
          <w:tab w:val="left" w:pos="440"/>
          <w:tab w:val="right" w:leader="dot" w:pos="9628"/>
        </w:tabs>
        <w:rPr>
          <w:rFonts w:asciiTheme="minorHAnsi" w:eastAsiaTheme="minorEastAsia" w:hAnsiTheme="minorHAnsi" w:cstheme="minorBidi"/>
          <w:b w:val="0"/>
          <w:bCs w:val="0"/>
          <w:caps w:val="0"/>
          <w:noProof/>
          <w:sz w:val="22"/>
          <w:szCs w:val="22"/>
          <w:lang w:eastAsia="en-GB"/>
        </w:rPr>
      </w:pPr>
      <w:hyperlink w:anchor="_Toc305768592" w:history="1">
        <w:r w:rsidRPr="00281D78">
          <w:rPr>
            <w:rStyle w:val="Hyperlink"/>
            <w:noProof/>
          </w:rPr>
          <w:t>7.</w:t>
        </w:r>
        <w:r>
          <w:rPr>
            <w:rFonts w:asciiTheme="minorHAnsi" w:eastAsiaTheme="minorEastAsia" w:hAnsiTheme="minorHAnsi" w:cstheme="minorBidi"/>
            <w:b w:val="0"/>
            <w:bCs w:val="0"/>
            <w:caps w:val="0"/>
            <w:noProof/>
            <w:sz w:val="22"/>
            <w:szCs w:val="22"/>
            <w:lang w:eastAsia="en-GB"/>
          </w:rPr>
          <w:tab/>
        </w:r>
        <w:r w:rsidRPr="00281D78">
          <w:rPr>
            <w:rStyle w:val="Hyperlink"/>
            <w:noProof/>
          </w:rPr>
          <w:t>Conclusions</w:t>
        </w:r>
        <w:r>
          <w:rPr>
            <w:noProof/>
            <w:webHidden/>
          </w:rPr>
          <w:tab/>
        </w:r>
        <w:r>
          <w:rPr>
            <w:noProof/>
            <w:webHidden/>
          </w:rPr>
          <w:fldChar w:fldCharType="begin"/>
        </w:r>
        <w:r>
          <w:rPr>
            <w:noProof/>
            <w:webHidden/>
          </w:rPr>
          <w:instrText xml:space="preserve"> PAGEREF _Toc305768592 \h </w:instrText>
        </w:r>
        <w:r>
          <w:rPr>
            <w:noProof/>
            <w:webHidden/>
          </w:rPr>
        </w:r>
        <w:r>
          <w:rPr>
            <w:noProof/>
            <w:webHidden/>
          </w:rPr>
          <w:fldChar w:fldCharType="separate"/>
        </w:r>
        <w:r>
          <w:rPr>
            <w:noProof/>
            <w:webHidden/>
          </w:rPr>
          <w:t>37</w:t>
        </w:r>
        <w:r>
          <w:rPr>
            <w:noProof/>
            <w:webHidden/>
          </w:rPr>
          <w:fldChar w:fldCharType="end"/>
        </w:r>
      </w:hyperlink>
    </w:p>
    <w:p w:rsidR="006C61EC" w:rsidRDefault="006C61EC">
      <w:pPr>
        <w:pStyle w:val="TOC4"/>
        <w:tabs>
          <w:tab w:val="left" w:pos="1760"/>
          <w:tab w:val="right" w:leader="dot" w:pos="9628"/>
        </w:tabs>
        <w:rPr>
          <w:rFonts w:asciiTheme="minorHAnsi" w:eastAsiaTheme="minorEastAsia" w:hAnsiTheme="minorHAnsi" w:cstheme="minorBidi"/>
          <w:noProof/>
          <w:sz w:val="22"/>
          <w:szCs w:val="22"/>
          <w:lang w:eastAsia="en-GB"/>
        </w:rPr>
      </w:pPr>
      <w:hyperlink w:anchor="_Toc305768593" w:history="1">
        <w:r w:rsidRPr="00281D78">
          <w:rPr>
            <w:rStyle w:val="Hyperlink"/>
            <w:noProof/>
          </w:rPr>
          <w:t>Table 13.</w:t>
        </w:r>
        <w:r>
          <w:rPr>
            <w:rFonts w:asciiTheme="minorHAnsi" w:eastAsiaTheme="minorEastAsia" w:hAnsiTheme="minorHAnsi" w:cstheme="minorBidi"/>
            <w:noProof/>
            <w:sz w:val="22"/>
            <w:szCs w:val="22"/>
            <w:lang w:eastAsia="en-GB"/>
          </w:rPr>
          <w:tab/>
        </w:r>
        <w:r w:rsidRPr="00281D78">
          <w:rPr>
            <w:rStyle w:val="Hyperlink"/>
            <w:noProof/>
          </w:rPr>
          <w:t>Privatised water operations in EECA</w:t>
        </w:r>
        <w:r>
          <w:rPr>
            <w:noProof/>
            <w:webHidden/>
          </w:rPr>
          <w:tab/>
        </w:r>
        <w:r>
          <w:rPr>
            <w:noProof/>
            <w:webHidden/>
          </w:rPr>
          <w:fldChar w:fldCharType="begin"/>
        </w:r>
        <w:r>
          <w:rPr>
            <w:noProof/>
            <w:webHidden/>
          </w:rPr>
          <w:instrText xml:space="preserve"> PAGEREF _Toc305768593 \h </w:instrText>
        </w:r>
        <w:r>
          <w:rPr>
            <w:noProof/>
            <w:webHidden/>
          </w:rPr>
        </w:r>
        <w:r>
          <w:rPr>
            <w:noProof/>
            <w:webHidden/>
          </w:rPr>
          <w:fldChar w:fldCharType="separate"/>
        </w:r>
        <w:r>
          <w:rPr>
            <w:noProof/>
            <w:webHidden/>
          </w:rPr>
          <w:t>38</w:t>
        </w:r>
        <w:r>
          <w:rPr>
            <w:noProof/>
            <w:webHidden/>
          </w:rPr>
          <w:fldChar w:fldCharType="end"/>
        </w:r>
      </w:hyperlink>
    </w:p>
    <w:p w:rsidR="006C61EC" w:rsidRDefault="006C61EC">
      <w:pPr>
        <w:pStyle w:val="TOC1"/>
        <w:tabs>
          <w:tab w:val="left" w:pos="440"/>
          <w:tab w:val="right" w:leader="dot" w:pos="9628"/>
        </w:tabs>
        <w:rPr>
          <w:rFonts w:asciiTheme="minorHAnsi" w:eastAsiaTheme="minorEastAsia" w:hAnsiTheme="minorHAnsi" w:cstheme="minorBidi"/>
          <w:b w:val="0"/>
          <w:bCs w:val="0"/>
          <w:caps w:val="0"/>
          <w:noProof/>
          <w:sz w:val="22"/>
          <w:szCs w:val="22"/>
          <w:lang w:eastAsia="en-GB"/>
        </w:rPr>
      </w:pPr>
      <w:hyperlink w:anchor="_Toc305768594" w:history="1">
        <w:r w:rsidRPr="00281D78">
          <w:rPr>
            <w:rStyle w:val="Hyperlink"/>
            <w:noProof/>
          </w:rPr>
          <w:t>8.</w:t>
        </w:r>
        <w:r>
          <w:rPr>
            <w:rFonts w:asciiTheme="minorHAnsi" w:eastAsiaTheme="minorEastAsia" w:hAnsiTheme="minorHAnsi" w:cstheme="minorBidi"/>
            <w:b w:val="0"/>
            <w:bCs w:val="0"/>
            <w:caps w:val="0"/>
            <w:noProof/>
            <w:sz w:val="22"/>
            <w:szCs w:val="22"/>
            <w:lang w:eastAsia="en-GB"/>
          </w:rPr>
          <w:tab/>
        </w:r>
        <w:r w:rsidRPr="00281D78">
          <w:rPr>
            <w:rStyle w:val="Hyperlink"/>
            <w:noProof/>
          </w:rPr>
          <w:t>Notes</w:t>
        </w:r>
        <w:r>
          <w:rPr>
            <w:noProof/>
            <w:webHidden/>
          </w:rPr>
          <w:tab/>
        </w:r>
        <w:r>
          <w:rPr>
            <w:noProof/>
            <w:webHidden/>
          </w:rPr>
          <w:fldChar w:fldCharType="begin"/>
        </w:r>
        <w:r>
          <w:rPr>
            <w:noProof/>
            <w:webHidden/>
          </w:rPr>
          <w:instrText xml:space="preserve"> PAGEREF _Toc305768594 \h </w:instrText>
        </w:r>
        <w:r>
          <w:rPr>
            <w:noProof/>
            <w:webHidden/>
          </w:rPr>
        </w:r>
        <w:r>
          <w:rPr>
            <w:noProof/>
            <w:webHidden/>
          </w:rPr>
          <w:fldChar w:fldCharType="separate"/>
        </w:r>
        <w:r>
          <w:rPr>
            <w:noProof/>
            <w:webHidden/>
          </w:rPr>
          <w:t>40</w:t>
        </w:r>
        <w:r>
          <w:rPr>
            <w:noProof/>
            <w:webHidden/>
          </w:rPr>
          <w:fldChar w:fldCharType="end"/>
        </w:r>
      </w:hyperlink>
    </w:p>
    <w:p w:rsidR="00B62A24" w:rsidRPr="00145C94" w:rsidRDefault="00F4142F" w:rsidP="00B62A24">
      <w:r>
        <w:rPr>
          <w:b/>
          <w:bCs/>
          <w:caps/>
          <w:sz w:val="20"/>
          <w:szCs w:val="20"/>
        </w:rPr>
        <w:fldChar w:fldCharType="end"/>
      </w:r>
      <w:r w:rsidR="00B62A24">
        <w:br w:type="page"/>
      </w:r>
    </w:p>
    <w:p w:rsidR="00046E77" w:rsidRDefault="00046E77" w:rsidP="00046E77">
      <w:pPr>
        <w:pStyle w:val="Heading1"/>
        <w:numPr>
          <w:ilvl w:val="0"/>
          <w:numId w:val="0"/>
        </w:numPr>
        <w:ind w:left="360" w:hanging="360"/>
      </w:pPr>
      <w:bookmarkStart w:id="1" w:name="_Toc282954316"/>
      <w:bookmarkStart w:id="2" w:name="_Toc305768490"/>
      <w:r>
        <w:lastRenderedPageBreak/>
        <w:t>Summary</w:t>
      </w:r>
      <w:bookmarkEnd w:id="2"/>
    </w:p>
    <w:p w:rsidR="00046E77" w:rsidRDefault="00046E77" w:rsidP="00046E77"/>
    <w:p w:rsidR="00930BE2" w:rsidRPr="00942493" w:rsidRDefault="00930BE2" w:rsidP="00942493">
      <w:pPr>
        <w:pStyle w:val="ListParagraph"/>
        <w:numPr>
          <w:ilvl w:val="0"/>
          <w:numId w:val="49"/>
        </w:numPr>
        <w:rPr>
          <w:sz w:val="24"/>
          <w:szCs w:val="24"/>
        </w:rPr>
      </w:pPr>
      <w:r w:rsidRPr="00942493">
        <w:rPr>
          <w:sz w:val="24"/>
          <w:szCs w:val="24"/>
        </w:rPr>
        <w:t>The accession and enlargement countries of the western Balkans, and the countries of the eastern neighbourhood, consist of 13 countries with a total population of 97 million, nearly all of which are middle income countries in transition.</w:t>
      </w:r>
    </w:p>
    <w:p w:rsidR="00930BE2" w:rsidRPr="00942493" w:rsidRDefault="00930BE2" w:rsidP="00901BB8">
      <w:pPr>
        <w:rPr>
          <w:sz w:val="24"/>
          <w:szCs w:val="24"/>
        </w:rPr>
      </w:pPr>
    </w:p>
    <w:p w:rsidR="00046E77" w:rsidRPr="00942493" w:rsidRDefault="00930BE2" w:rsidP="00942493">
      <w:pPr>
        <w:pStyle w:val="ListParagraph"/>
        <w:numPr>
          <w:ilvl w:val="0"/>
          <w:numId w:val="49"/>
        </w:numPr>
        <w:rPr>
          <w:sz w:val="24"/>
          <w:szCs w:val="24"/>
        </w:rPr>
      </w:pPr>
      <w:r w:rsidRPr="00942493">
        <w:rPr>
          <w:sz w:val="24"/>
          <w:szCs w:val="24"/>
        </w:rPr>
        <w:t xml:space="preserve">The EU 2020 strategy creates a new annual ‘semester’ of economic planning for EU member states,  based on central ‘integrated guidelines’ relating to economic growth and employment . It includes 5 headline targets and 7 flagship initiatives, and also a new tighter regime for monitoring compliance with the fiscal rules of the EU. </w:t>
      </w:r>
    </w:p>
    <w:p w:rsidR="00930BE2" w:rsidRPr="00942493" w:rsidRDefault="00930BE2" w:rsidP="00901BB8">
      <w:pPr>
        <w:rPr>
          <w:sz w:val="24"/>
          <w:szCs w:val="24"/>
        </w:rPr>
      </w:pPr>
    </w:p>
    <w:p w:rsidR="00930BE2" w:rsidRPr="00942493" w:rsidRDefault="00930BE2" w:rsidP="00942493">
      <w:pPr>
        <w:pStyle w:val="ListParagraph"/>
        <w:numPr>
          <w:ilvl w:val="0"/>
          <w:numId w:val="49"/>
        </w:numPr>
        <w:rPr>
          <w:sz w:val="24"/>
          <w:szCs w:val="24"/>
        </w:rPr>
      </w:pPr>
      <w:r w:rsidRPr="00942493">
        <w:rPr>
          <w:sz w:val="24"/>
          <w:szCs w:val="24"/>
        </w:rPr>
        <w:t xml:space="preserve">The cycle requires governments to consult with ‘local/regional authorities and relevant stakeholders’, and so </w:t>
      </w:r>
      <w:proofErr w:type="gramStart"/>
      <w:r w:rsidRPr="00942493">
        <w:rPr>
          <w:sz w:val="24"/>
          <w:szCs w:val="24"/>
        </w:rPr>
        <w:t>creates</w:t>
      </w:r>
      <w:proofErr w:type="gramEnd"/>
      <w:r w:rsidRPr="00942493">
        <w:rPr>
          <w:sz w:val="24"/>
          <w:szCs w:val="24"/>
        </w:rPr>
        <w:t xml:space="preserve"> new</w:t>
      </w:r>
      <w:r w:rsidR="00901BB8" w:rsidRPr="00942493">
        <w:rPr>
          <w:sz w:val="24"/>
          <w:szCs w:val="24"/>
        </w:rPr>
        <w:t xml:space="preserve"> mechanisms in which unions can participate. In the accession, enlargement and neighbourhood countries, the effects of the 2020 strategy will be felt through existing mechanisms such as the EU neighbourhood policy, the European Community Treaty (on energy), and the activities of development banks including the EIB and the EBRD, as well as influencing the sectoral policies. </w:t>
      </w:r>
    </w:p>
    <w:p w:rsidR="00046E77" w:rsidRPr="00942493" w:rsidRDefault="00046E77" w:rsidP="00901BB8">
      <w:pPr>
        <w:rPr>
          <w:sz w:val="24"/>
          <w:szCs w:val="24"/>
        </w:rPr>
      </w:pPr>
    </w:p>
    <w:p w:rsidR="00901BB8" w:rsidRPr="00942493" w:rsidRDefault="00901BB8" w:rsidP="00942493">
      <w:pPr>
        <w:pStyle w:val="ListParagraph"/>
        <w:numPr>
          <w:ilvl w:val="0"/>
          <w:numId w:val="49"/>
        </w:numPr>
        <w:rPr>
          <w:sz w:val="24"/>
          <w:szCs w:val="24"/>
        </w:rPr>
      </w:pPr>
      <w:r w:rsidRPr="00942493">
        <w:rPr>
          <w:sz w:val="24"/>
          <w:szCs w:val="24"/>
        </w:rPr>
        <w:t>The strategy includes 8 recurrent themes which potentially affect the energy, waste and water sectors in the region: climate change, resource efficiency, employment policies, innovation, fiscal policies, PPPs, and ‘structural reforms’. Of these, the policies on climate change and resource efficiency may stimulate employment in the waste sector, while reducing it in the electricity sector. The economic policy elements, especially fiscal constraints and PPPs, can be expected to have negative effects on employment in all sectors.</w:t>
      </w:r>
    </w:p>
    <w:p w:rsidR="00901BB8" w:rsidRPr="00942493" w:rsidRDefault="00901BB8" w:rsidP="00901BB8">
      <w:pPr>
        <w:rPr>
          <w:sz w:val="24"/>
          <w:szCs w:val="24"/>
        </w:rPr>
      </w:pPr>
    </w:p>
    <w:p w:rsidR="00E400F9" w:rsidRPr="00942493" w:rsidRDefault="00901BB8" w:rsidP="00942493">
      <w:pPr>
        <w:pStyle w:val="ListParagraph"/>
        <w:numPr>
          <w:ilvl w:val="0"/>
          <w:numId w:val="49"/>
        </w:numPr>
        <w:rPr>
          <w:sz w:val="24"/>
          <w:szCs w:val="24"/>
        </w:rPr>
      </w:pPr>
      <w:r w:rsidRPr="00942493">
        <w:rPr>
          <w:sz w:val="24"/>
          <w:szCs w:val="24"/>
        </w:rPr>
        <w:t xml:space="preserve">In the waste sector in the region, there is currently considerable activity by the development banks supporting investment in new </w:t>
      </w:r>
      <w:r w:rsidR="00E400F9" w:rsidRPr="00942493">
        <w:rPr>
          <w:sz w:val="24"/>
          <w:szCs w:val="24"/>
        </w:rPr>
        <w:t xml:space="preserve">systems for refuse collection and especially disposal, which broadly supports local policies which give strong priority to waste management. The banks want to see more PPPs and in particular user charges in this sector, both of which are likely to hold back development. There is very little activity by multinationals in waste management in the region, however, and so PPPs are unlikely to grow. </w:t>
      </w:r>
    </w:p>
    <w:p w:rsidR="00E400F9" w:rsidRPr="00942493" w:rsidRDefault="00E400F9" w:rsidP="00046E77">
      <w:pPr>
        <w:rPr>
          <w:sz w:val="24"/>
          <w:szCs w:val="24"/>
        </w:rPr>
      </w:pPr>
    </w:p>
    <w:p w:rsidR="00930BE2" w:rsidRPr="00942493" w:rsidRDefault="006F7092" w:rsidP="00942493">
      <w:pPr>
        <w:pStyle w:val="ListParagraph"/>
        <w:numPr>
          <w:ilvl w:val="0"/>
          <w:numId w:val="49"/>
        </w:numPr>
        <w:rPr>
          <w:sz w:val="24"/>
          <w:szCs w:val="24"/>
        </w:rPr>
      </w:pPr>
      <w:r>
        <w:rPr>
          <w:sz w:val="24"/>
          <w:szCs w:val="24"/>
        </w:rPr>
        <w:t>In energy,</w:t>
      </w:r>
      <w:r w:rsidR="00E400F9" w:rsidRPr="00942493">
        <w:rPr>
          <w:sz w:val="24"/>
          <w:szCs w:val="24"/>
        </w:rPr>
        <w:t xml:space="preserve"> the Energy Community Treaty</w:t>
      </w:r>
      <w:r>
        <w:rPr>
          <w:sz w:val="24"/>
          <w:szCs w:val="24"/>
        </w:rPr>
        <w:t xml:space="preserve"> already </w:t>
      </w:r>
      <w:r w:rsidR="00E400F9" w:rsidRPr="00942493">
        <w:rPr>
          <w:sz w:val="24"/>
          <w:szCs w:val="24"/>
        </w:rPr>
        <w:t xml:space="preserve">effectively requires the EU’s internal market in energy to be applied in other countries. Virtually all countries in the western Balkans have already signed it, and the countries in the eastern neighbourhood are beginning to join. There is large-scale </w:t>
      </w:r>
      <w:r>
        <w:rPr>
          <w:sz w:val="24"/>
          <w:szCs w:val="24"/>
        </w:rPr>
        <w:t xml:space="preserve">investment in networks </w:t>
      </w:r>
      <w:r w:rsidR="00E400F9" w:rsidRPr="00942493">
        <w:rPr>
          <w:sz w:val="24"/>
          <w:szCs w:val="24"/>
        </w:rPr>
        <w:t>by the banks, and the EU neighbourhood policy pays great attention to interconnection and full cost recovery. There is a mixed privatisation</w:t>
      </w:r>
      <w:r>
        <w:rPr>
          <w:sz w:val="24"/>
          <w:szCs w:val="24"/>
        </w:rPr>
        <w:t xml:space="preserve"> picture</w:t>
      </w:r>
      <w:r w:rsidR="00E400F9" w:rsidRPr="00942493">
        <w:rPr>
          <w:sz w:val="24"/>
          <w:szCs w:val="24"/>
        </w:rPr>
        <w:t xml:space="preserve">, with investments by local, Russian, </w:t>
      </w:r>
      <w:r>
        <w:rPr>
          <w:sz w:val="24"/>
          <w:szCs w:val="24"/>
        </w:rPr>
        <w:t xml:space="preserve">EU, and </w:t>
      </w:r>
      <w:r w:rsidR="00E400F9" w:rsidRPr="00942493">
        <w:rPr>
          <w:sz w:val="24"/>
          <w:szCs w:val="24"/>
        </w:rPr>
        <w:t xml:space="preserve">USA companies. </w:t>
      </w:r>
    </w:p>
    <w:p w:rsidR="00E400F9" w:rsidRPr="00942493" w:rsidRDefault="00E400F9" w:rsidP="00046E77">
      <w:pPr>
        <w:rPr>
          <w:sz w:val="24"/>
          <w:szCs w:val="24"/>
        </w:rPr>
      </w:pPr>
    </w:p>
    <w:p w:rsidR="00E400F9" w:rsidRPr="00942493" w:rsidRDefault="00E400F9" w:rsidP="00942493">
      <w:pPr>
        <w:pStyle w:val="ListParagraph"/>
        <w:numPr>
          <w:ilvl w:val="0"/>
          <w:numId w:val="49"/>
        </w:numPr>
        <w:rPr>
          <w:sz w:val="24"/>
          <w:szCs w:val="24"/>
        </w:rPr>
      </w:pPr>
      <w:r w:rsidRPr="00942493">
        <w:rPr>
          <w:sz w:val="24"/>
          <w:szCs w:val="24"/>
        </w:rPr>
        <w:t>In water, privatisation has an extremely high failure rate in this region, and there is now little activity by the west European water multinationals, except for Veolia, which has received substantial investments from the public development banks EBRD and the World Bank.</w:t>
      </w:r>
      <w:r w:rsidR="00942493" w:rsidRPr="00942493">
        <w:rPr>
          <w:sz w:val="24"/>
          <w:szCs w:val="24"/>
        </w:rPr>
        <w:t xml:space="preserve"> These investments are counter to the trend in policy of international bodies such as OECD and UNECE, which now favour regionalisation of public companies as much as PPPs. </w:t>
      </w:r>
    </w:p>
    <w:p w:rsidR="00942493" w:rsidRPr="00942493" w:rsidRDefault="00942493" w:rsidP="00046E77">
      <w:pPr>
        <w:rPr>
          <w:sz w:val="24"/>
          <w:szCs w:val="24"/>
        </w:rPr>
      </w:pPr>
    </w:p>
    <w:p w:rsidR="00942493" w:rsidRPr="00942493" w:rsidRDefault="00942493" w:rsidP="00942493">
      <w:pPr>
        <w:pStyle w:val="ListParagraph"/>
        <w:numPr>
          <w:ilvl w:val="0"/>
          <w:numId w:val="49"/>
        </w:numPr>
        <w:rPr>
          <w:sz w:val="24"/>
          <w:szCs w:val="24"/>
        </w:rPr>
      </w:pPr>
      <w:r w:rsidRPr="00942493">
        <w:rPr>
          <w:sz w:val="24"/>
          <w:szCs w:val="24"/>
        </w:rPr>
        <w:t xml:space="preserve">In conclusion, the (negative) employment effects of the tighter fiscal rules in the 2020 strategy </w:t>
      </w:r>
      <w:r w:rsidR="006F7092">
        <w:rPr>
          <w:sz w:val="24"/>
          <w:szCs w:val="24"/>
        </w:rPr>
        <w:t>will</w:t>
      </w:r>
      <w:r w:rsidRPr="00942493">
        <w:rPr>
          <w:sz w:val="24"/>
          <w:szCs w:val="24"/>
        </w:rPr>
        <w:t xml:space="preserve"> be felt most strongly in the accession and enlargement countries of the west Balkans.  The indirect influence of sectoral policies will be mixed: support for PPPs conflicts with trends, support for cost recovery may have negative effects, but policies in favour of resource efficiency may support the development of waste management services.</w:t>
      </w:r>
    </w:p>
    <w:p w:rsidR="00046E77" w:rsidRDefault="00046E77" w:rsidP="00046E77">
      <w:r>
        <w:br w:type="page"/>
      </w:r>
    </w:p>
    <w:p w:rsidR="00046E77" w:rsidRPr="00046E77" w:rsidRDefault="00046E77" w:rsidP="00046E77"/>
    <w:p w:rsidR="00F10ECB" w:rsidRDefault="00B62A24" w:rsidP="00B62A24">
      <w:pPr>
        <w:pStyle w:val="Heading1"/>
      </w:pPr>
      <w:bookmarkStart w:id="3" w:name="_Toc305768491"/>
      <w:r w:rsidRPr="00145C94">
        <w:t>Introduction</w:t>
      </w:r>
      <w:bookmarkEnd w:id="3"/>
    </w:p>
    <w:p w:rsidR="00B62A24" w:rsidRDefault="00F10ECB" w:rsidP="00F10ECB">
      <w:pPr>
        <w:pStyle w:val="Heading2"/>
      </w:pPr>
      <w:bookmarkStart w:id="4" w:name="_Toc305768492"/>
      <w:bookmarkEnd w:id="1"/>
      <w:r>
        <w:t>Countries</w:t>
      </w:r>
      <w:bookmarkEnd w:id="4"/>
    </w:p>
    <w:p w:rsidR="00B62A24" w:rsidRDefault="00B62A24" w:rsidP="00556D4D">
      <w:r w:rsidRPr="00557A3D">
        <w:t xml:space="preserve">The countries covered are </w:t>
      </w:r>
      <w:r>
        <w:t xml:space="preserve">defined as </w:t>
      </w:r>
      <w:r w:rsidRPr="00557A3D">
        <w:t xml:space="preserve">“Enlargement and Eastern Partnership countries”, </w:t>
      </w:r>
      <w:r>
        <w:t xml:space="preserve">a narrower definition than the Europe 2020 category </w:t>
      </w:r>
      <w:proofErr w:type="gramStart"/>
      <w:r>
        <w:t xml:space="preserve">of  </w:t>
      </w:r>
      <w:r w:rsidRPr="00557A3D">
        <w:t>“</w:t>
      </w:r>
      <w:proofErr w:type="gramEnd"/>
      <w:r w:rsidRPr="00557A3D">
        <w:t>candidate countries and our neighbourhood</w:t>
      </w:r>
      <w:r>
        <w:t xml:space="preserve">”. </w:t>
      </w:r>
      <w:r w:rsidRPr="00557A3D">
        <w:t xml:space="preserve">The paper </w:t>
      </w:r>
      <w:r w:rsidR="00F10ECB">
        <w:t xml:space="preserve">thus </w:t>
      </w:r>
      <w:r w:rsidRPr="00557A3D">
        <w:t>cover</w:t>
      </w:r>
      <w:r w:rsidR="00F10ECB">
        <w:t>s</w:t>
      </w:r>
      <w:r w:rsidRPr="00557A3D">
        <w:t xml:space="preserve"> eastern and south</w:t>
      </w:r>
      <w:r>
        <w:t>-</w:t>
      </w:r>
      <w:r w:rsidRPr="00557A3D">
        <w:t xml:space="preserve">eastern countries in these </w:t>
      </w:r>
      <w:r w:rsidR="00F10ECB">
        <w:t xml:space="preserve">two </w:t>
      </w:r>
      <w:r w:rsidRPr="00557A3D">
        <w:t>categories:</w:t>
      </w:r>
    </w:p>
    <w:p w:rsidR="00556D4D" w:rsidRPr="00557A3D" w:rsidRDefault="00556D4D" w:rsidP="00556D4D"/>
    <w:p w:rsidR="00B62A24" w:rsidRPr="00557A3D" w:rsidRDefault="00B62A24" w:rsidP="00556D4D">
      <w:pPr>
        <w:pStyle w:val="ListParagraph"/>
        <w:numPr>
          <w:ilvl w:val="0"/>
          <w:numId w:val="45"/>
        </w:numPr>
      </w:pPr>
      <w:r w:rsidRPr="00557A3D">
        <w:t xml:space="preserve">the ‘eastern </w:t>
      </w:r>
      <w:r w:rsidR="00437C53">
        <w:t xml:space="preserve"> </w:t>
      </w:r>
      <w:r w:rsidRPr="00557A3D">
        <w:t>partnership’ countries</w:t>
      </w:r>
      <w:r>
        <w:t xml:space="preserve">, i.e. the </w:t>
      </w:r>
      <w:r w:rsidRPr="00557A3D">
        <w:t xml:space="preserve"> Neighbourhood countries in the east,</w:t>
      </w:r>
      <w:r>
        <w:t xml:space="preserve"> marked yellow on the map below</w:t>
      </w:r>
      <w:r w:rsidRPr="00557A3D">
        <w:t xml:space="preserve">: </w:t>
      </w:r>
      <w:hyperlink r:id="rId13" w:tgtFrame="_parent" w:tooltip="Armenia" w:history="1">
        <w:r w:rsidRPr="00557A3D">
          <w:rPr>
            <w:rStyle w:val="Hyperlink"/>
          </w:rPr>
          <w:t>Armenia</w:t>
        </w:r>
      </w:hyperlink>
      <w:r w:rsidRPr="00557A3D">
        <w:t xml:space="preserve">, </w:t>
      </w:r>
      <w:hyperlink r:id="rId14" w:tooltip="Azerbaijan" w:history="1">
        <w:r w:rsidRPr="00557A3D">
          <w:rPr>
            <w:rStyle w:val="Hyperlink"/>
          </w:rPr>
          <w:t>Azerbaijan</w:t>
        </w:r>
      </w:hyperlink>
      <w:r w:rsidRPr="00557A3D">
        <w:t xml:space="preserve">, </w:t>
      </w:r>
      <w:hyperlink r:id="rId15" w:tooltip="Belarus" w:history="1">
        <w:r w:rsidRPr="00557A3D">
          <w:rPr>
            <w:rStyle w:val="Hyperlink"/>
          </w:rPr>
          <w:t>Belarus</w:t>
        </w:r>
      </w:hyperlink>
      <w:r w:rsidRPr="00557A3D">
        <w:t xml:space="preserve">, </w:t>
      </w:r>
      <w:hyperlink r:id="rId16" w:tooltip="Georgia" w:history="1">
        <w:r w:rsidRPr="00557A3D">
          <w:rPr>
            <w:rStyle w:val="Hyperlink"/>
          </w:rPr>
          <w:t>Georgia</w:t>
        </w:r>
      </w:hyperlink>
      <w:r w:rsidRPr="00557A3D">
        <w:t xml:space="preserve">, </w:t>
      </w:r>
      <w:hyperlink r:id="rId17" w:tooltip="Moldova" w:history="1">
        <w:r w:rsidRPr="00557A3D">
          <w:rPr>
            <w:rStyle w:val="Hyperlink"/>
          </w:rPr>
          <w:t>Moldova</w:t>
        </w:r>
      </w:hyperlink>
      <w:r w:rsidRPr="00557A3D">
        <w:t xml:space="preserve">, </w:t>
      </w:r>
      <w:hyperlink r:id="rId18" w:tooltip="Ukraine" w:history="1">
        <w:r w:rsidRPr="00557A3D">
          <w:rPr>
            <w:rStyle w:val="Hyperlink"/>
          </w:rPr>
          <w:t>Ukraine</w:t>
        </w:r>
      </w:hyperlink>
      <w:r w:rsidRPr="00557A3D">
        <w:t xml:space="preserve"> (</w:t>
      </w:r>
      <w:r>
        <w:t xml:space="preserve">but not other </w:t>
      </w:r>
      <w:r w:rsidRPr="00557A3D">
        <w:t xml:space="preserve"> ENP countries i.e. Algeria, Egypt, Israel, Jordan, Lebanon, Libya, Morocco, Occupied Palestinian Territory, Syria, Tunisia</w:t>
      </w:r>
      <w:r>
        <w:t>; nor Russia, which is outside the EP and ENP</w:t>
      </w:r>
      <w:r w:rsidRPr="00557A3D">
        <w:t>)</w:t>
      </w:r>
      <w:r w:rsidR="00437C53">
        <w:t>. None has yet applied for membership to the EU.</w:t>
      </w:r>
    </w:p>
    <w:p w:rsidR="00437C53" w:rsidRDefault="00B62A24" w:rsidP="00556D4D">
      <w:pPr>
        <w:pStyle w:val="ListParagraph"/>
        <w:numPr>
          <w:ilvl w:val="0"/>
          <w:numId w:val="45"/>
        </w:numPr>
      </w:pPr>
      <w:r w:rsidRPr="00270F4B">
        <w:t xml:space="preserve">Candidate and </w:t>
      </w:r>
      <w:r>
        <w:t>enlargement</w:t>
      </w:r>
      <w:r w:rsidRPr="00270F4B">
        <w:t xml:space="preserve"> countries in southeast Europe: </w:t>
      </w:r>
      <w:hyperlink r:id="rId19" w:tooltip="Albania" w:history="1">
        <w:r w:rsidRPr="00270F4B">
          <w:rPr>
            <w:rStyle w:val="Hyperlink"/>
          </w:rPr>
          <w:t>Albania</w:t>
        </w:r>
      </w:hyperlink>
      <w:r w:rsidRPr="00270F4B">
        <w:t xml:space="preserve">, </w:t>
      </w:r>
      <w:hyperlink r:id="rId20" w:tooltip="Bosnia and Herzegovina" w:history="1">
        <w:r w:rsidRPr="00270F4B">
          <w:rPr>
            <w:rStyle w:val="Hyperlink"/>
          </w:rPr>
          <w:t>Bosnia and Herzegovina</w:t>
        </w:r>
      </w:hyperlink>
      <w:r w:rsidRPr="00270F4B">
        <w:t xml:space="preserve">,  </w:t>
      </w:r>
      <w:hyperlink r:id="rId21" w:tooltip="Croatia" w:history="1">
        <w:r w:rsidRPr="00270F4B">
          <w:rPr>
            <w:rStyle w:val="Hyperlink"/>
          </w:rPr>
          <w:t>Croatia</w:t>
        </w:r>
      </w:hyperlink>
      <w:r w:rsidRPr="00270F4B">
        <w:t xml:space="preserve">, </w:t>
      </w:r>
      <w:hyperlink r:id="rId22" w:tooltip="the former Yugoslav Republic of Macedonia" w:history="1">
        <w:r w:rsidRPr="00270F4B">
          <w:rPr>
            <w:rStyle w:val="Hyperlink"/>
          </w:rPr>
          <w:t>FYR Macedonia</w:t>
        </w:r>
      </w:hyperlink>
      <w:r w:rsidRPr="00270F4B">
        <w:t xml:space="preserve">, </w:t>
      </w:r>
      <w:hyperlink r:id="rId23" w:tooltip="Montenegro" w:history="1">
        <w:r w:rsidRPr="00270F4B">
          <w:rPr>
            <w:rStyle w:val="Hyperlink"/>
          </w:rPr>
          <w:t>Montenegro</w:t>
        </w:r>
      </w:hyperlink>
      <w:r w:rsidRPr="00270F4B">
        <w:t xml:space="preserve">, </w:t>
      </w:r>
      <w:hyperlink r:id="rId24" w:tooltip="Serbia" w:history="1">
        <w:r w:rsidRPr="00270F4B">
          <w:rPr>
            <w:rStyle w:val="Hyperlink"/>
          </w:rPr>
          <w:t>Serbia</w:t>
        </w:r>
      </w:hyperlink>
      <w:r w:rsidRPr="00270F4B">
        <w:t>,</w:t>
      </w:r>
      <w:r>
        <w:t xml:space="preserve"> Kosovo </w:t>
      </w:r>
      <w:r w:rsidRPr="00270F4B">
        <w:t xml:space="preserve">(but not Iceland or Turkey). </w:t>
      </w:r>
    </w:p>
    <w:p w:rsidR="00437C53" w:rsidRDefault="00437C53" w:rsidP="00556D4D"/>
    <w:p w:rsidR="00B62A24" w:rsidRPr="00145C94" w:rsidRDefault="00B62A24" w:rsidP="00B62A24">
      <w:pPr>
        <w:pStyle w:val="Heading8"/>
      </w:pPr>
      <w:bookmarkStart w:id="5" w:name="_Toc282954317"/>
      <w:bookmarkStart w:id="6" w:name="_Toc305768493"/>
      <w:r w:rsidRPr="00145C94">
        <w:t>EU</w:t>
      </w:r>
      <w:r>
        <w:t xml:space="preserve"> enlargement and eastern partnership</w:t>
      </w:r>
      <w:r w:rsidRPr="00145C94">
        <w:t xml:space="preserve"> countries</w:t>
      </w:r>
      <w:bookmarkEnd w:id="5"/>
      <w:bookmarkEnd w:id="6"/>
    </w:p>
    <w:p w:rsidR="00B62A24" w:rsidRPr="00145C94" w:rsidRDefault="009C6C4C" w:rsidP="00B62A24">
      <w:pPr>
        <w:jc w:val="center"/>
        <w:rPr>
          <w:color w:val="000000"/>
        </w:rPr>
      </w:pPr>
      <w:r>
        <w:rPr>
          <w:noProof/>
          <w:lang w:eastAsia="en-GB"/>
        </w:rPr>
        <w:drawing>
          <wp:inline distT="0" distB="0" distL="0" distR="0">
            <wp:extent cx="5448331" cy="483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5466595" cy="4854920"/>
                    </a:xfrm>
                    <a:prstGeom prst="rect">
                      <a:avLst/>
                    </a:prstGeom>
                    <a:noFill/>
                    <a:ln w="9525">
                      <a:noFill/>
                      <a:miter lim="800000"/>
                      <a:headEnd/>
                      <a:tailEnd/>
                    </a:ln>
                  </pic:spPr>
                </pic:pic>
              </a:graphicData>
            </a:graphic>
          </wp:inline>
        </w:drawing>
      </w:r>
    </w:p>
    <w:p w:rsidR="00B62A24" w:rsidRPr="00E8475A" w:rsidRDefault="00B62A24" w:rsidP="00CE57FB">
      <w:pPr>
        <w:jc w:val="center"/>
        <w:rPr>
          <w:rFonts w:ascii="Calibri" w:hAnsi="Calibri" w:cs="Calibri"/>
          <w:sz w:val="18"/>
          <w:szCs w:val="18"/>
        </w:rPr>
      </w:pPr>
      <w:r w:rsidRPr="00E8475A">
        <w:rPr>
          <w:rFonts w:ascii="Calibri" w:hAnsi="Calibri" w:cs="Calibri"/>
          <w:sz w:val="18"/>
          <w:szCs w:val="18"/>
        </w:rPr>
        <w:t>Code: Dark blue=member states; yellow = eastern neighbourhood; light blue = enlargement and accession countries</w:t>
      </w:r>
    </w:p>
    <w:p w:rsidR="00CE57FB" w:rsidRDefault="00CE57FB" w:rsidP="00B62A24">
      <w:pPr>
        <w:rPr>
          <w:rFonts w:ascii="Lucida Sans Unicode" w:hAnsi="Lucida Sans Unicode" w:cs="Lucida Sans Unicode"/>
          <w:sz w:val="16"/>
          <w:szCs w:val="16"/>
        </w:rPr>
      </w:pPr>
    </w:p>
    <w:p w:rsidR="00CE57FB" w:rsidRPr="00335669" w:rsidRDefault="00CE57FB" w:rsidP="00335669">
      <w:pPr>
        <w:rPr>
          <w:lang w:eastAsia="zh-CN"/>
        </w:rPr>
      </w:pPr>
      <w:r w:rsidRPr="00335669">
        <w:rPr>
          <w:lang w:eastAsia="zh-CN"/>
        </w:rPr>
        <w:t>The total population of these countries is 97.5 million, of which Ukraine accounts for nearly half (45million).</w:t>
      </w:r>
    </w:p>
    <w:p w:rsidR="00CE57FB" w:rsidRPr="00335669" w:rsidRDefault="00CE57FB" w:rsidP="00335669">
      <w:pPr>
        <w:rPr>
          <w:lang w:eastAsia="zh-CN"/>
        </w:rPr>
      </w:pPr>
    </w:p>
    <w:p w:rsidR="00CE57FB" w:rsidRPr="00335669" w:rsidRDefault="00CE57FB" w:rsidP="00335669">
      <w:pPr>
        <w:rPr>
          <w:lang w:eastAsia="zh-CN"/>
        </w:rPr>
      </w:pPr>
      <w:r w:rsidRPr="00335669">
        <w:rPr>
          <w:lang w:eastAsia="zh-CN"/>
        </w:rPr>
        <w:t xml:space="preserve">They cover a wide range of economic </w:t>
      </w:r>
      <w:r w:rsidR="00CE3B2E">
        <w:rPr>
          <w:lang w:eastAsia="zh-CN"/>
        </w:rPr>
        <w:t>development</w:t>
      </w:r>
      <w:r w:rsidRPr="00335669">
        <w:rPr>
          <w:lang w:eastAsia="zh-CN"/>
        </w:rPr>
        <w:t xml:space="preserve">. The richest, by far, is Croatia, the only high income country, with a GDP per capita over $14,000, similar to Estonia or Hungary. This is about 10 times greater than the poorest, Moldova, </w:t>
      </w:r>
      <w:proofErr w:type="gramStart"/>
      <w:r w:rsidRPr="00335669">
        <w:rPr>
          <w:lang w:eastAsia="zh-CN"/>
        </w:rPr>
        <w:t>whose</w:t>
      </w:r>
      <w:proofErr w:type="gramEnd"/>
      <w:r w:rsidRPr="00335669">
        <w:rPr>
          <w:lang w:eastAsia="zh-CN"/>
        </w:rPr>
        <w:t xml:space="preserve"> GDP per capita ($1516) is below Egypt, Philippines, Honduras or Bolivia. Three other countries </w:t>
      </w:r>
      <w:r w:rsidR="00E9620C" w:rsidRPr="00335669">
        <w:rPr>
          <w:lang w:eastAsia="zh-CN"/>
        </w:rPr>
        <w:t xml:space="preserve">- Armenia, Georgia, and Ukraine - </w:t>
      </w:r>
      <w:r w:rsidRPr="00335669">
        <w:rPr>
          <w:lang w:eastAsia="zh-CN"/>
        </w:rPr>
        <w:t xml:space="preserve">are also lower middle income countries with GDP </w:t>
      </w:r>
      <w:r w:rsidRPr="00335669">
        <w:rPr>
          <w:lang w:eastAsia="zh-CN"/>
        </w:rPr>
        <w:lastRenderedPageBreak/>
        <w:t>per capita below $3,000</w:t>
      </w:r>
      <w:r w:rsidR="005026E6">
        <w:rPr>
          <w:lang w:eastAsia="zh-CN"/>
        </w:rPr>
        <w:t xml:space="preserve"> (</w:t>
      </w:r>
      <w:r w:rsidR="00E9620C" w:rsidRPr="00335669">
        <w:rPr>
          <w:lang w:eastAsia="zh-CN"/>
        </w:rPr>
        <w:t>lower than Tonga, Angola, Ecuador, El Salvador, Jordan, and China</w:t>
      </w:r>
      <w:r w:rsidR="005026E6">
        <w:rPr>
          <w:lang w:eastAsia="zh-CN"/>
        </w:rPr>
        <w:t>)</w:t>
      </w:r>
      <w:r w:rsidRPr="00335669">
        <w:rPr>
          <w:lang w:eastAsia="zh-CN"/>
        </w:rPr>
        <w:t xml:space="preserve">. </w:t>
      </w:r>
      <w:r w:rsidR="009722ED">
        <w:rPr>
          <w:rStyle w:val="EndnoteReference"/>
          <w:lang w:eastAsia="zh-CN"/>
        </w:rPr>
        <w:endnoteReference w:id="1"/>
      </w:r>
      <w:r w:rsidRPr="00335669">
        <w:rPr>
          <w:lang w:eastAsia="zh-CN"/>
        </w:rPr>
        <w:t xml:space="preserve"> The rest </w:t>
      </w:r>
      <w:r w:rsidR="00F8389D">
        <w:rPr>
          <w:lang w:eastAsia="zh-CN"/>
        </w:rPr>
        <w:t>(Albania, Azerbaijan, Belarus, Bosnia, Macedonia, Montenegro, and Serbia)</w:t>
      </w:r>
      <w:r w:rsidR="00F8389D" w:rsidRPr="00335669">
        <w:rPr>
          <w:lang w:eastAsia="zh-CN"/>
        </w:rPr>
        <w:t xml:space="preserve"> </w:t>
      </w:r>
      <w:r w:rsidRPr="00335669">
        <w:rPr>
          <w:lang w:eastAsia="zh-CN"/>
        </w:rPr>
        <w:t>are upper middle income countries</w:t>
      </w:r>
      <w:r w:rsidR="00F8389D">
        <w:rPr>
          <w:lang w:eastAsia="zh-CN"/>
        </w:rPr>
        <w:t>, on a similar level to Botswana, Jamaica, or Colombia</w:t>
      </w:r>
      <w:r w:rsidRPr="00335669">
        <w:rPr>
          <w:lang w:eastAsia="zh-CN"/>
        </w:rPr>
        <w:t xml:space="preserve">.   Ukraine is nevertheless much the largest economy, nearly twice the size of Croatia’s, because of its large population. </w:t>
      </w:r>
    </w:p>
    <w:p w:rsidR="00B62A24" w:rsidRPr="00335669" w:rsidRDefault="00B62A24" w:rsidP="00335669"/>
    <w:p w:rsidR="00CE57FB" w:rsidRDefault="00CE57FB" w:rsidP="00335669">
      <w:r w:rsidRPr="00335669">
        <w:t xml:space="preserve">There are unions affiliated to PSI/EPSU in all these countries, but the coverage </w:t>
      </w:r>
      <w:r w:rsidR="00B06F53">
        <w:t xml:space="preserve">is limited </w:t>
      </w:r>
      <w:r w:rsidRPr="00335669">
        <w:t xml:space="preserve">in the energy </w:t>
      </w:r>
      <w:proofErr w:type="gramStart"/>
      <w:r w:rsidRPr="00335669">
        <w:t>secto</w:t>
      </w:r>
      <w:r w:rsidR="00F8389D">
        <w:t>r  in</w:t>
      </w:r>
      <w:proofErr w:type="gramEnd"/>
      <w:r w:rsidR="00F8389D">
        <w:t xml:space="preserve"> the C</w:t>
      </w:r>
      <w:r w:rsidRPr="00335669">
        <w:t>aucasus countries (Armenia, Azerbaijan, Georgia) and in energy and municipal services in Belarus.</w:t>
      </w:r>
    </w:p>
    <w:p w:rsidR="00D13637" w:rsidRPr="00335669" w:rsidRDefault="00D13637" w:rsidP="006F494E"/>
    <w:p w:rsidR="00977AFE" w:rsidRDefault="006024E0" w:rsidP="002C2168">
      <w:pPr>
        <w:pStyle w:val="Heading7"/>
      </w:pPr>
      <w:bookmarkStart w:id="7" w:name="_Toc305768494"/>
      <w:r>
        <w:t xml:space="preserve">Population, </w:t>
      </w:r>
      <w:r w:rsidR="002C2168">
        <w:t>GDP</w:t>
      </w:r>
      <w:r>
        <w:t>, government spending and affiliated unions</w:t>
      </w:r>
      <w:bookmarkEnd w:id="7"/>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850"/>
        <w:gridCol w:w="993"/>
        <w:gridCol w:w="992"/>
        <w:gridCol w:w="992"/>
        <w:gridCol w:w="2126"/>
        <w:gridCol w:w="1134"/>
      </w:tblGrid>
      <w:tr w:rsidR="00437C53" w:rsidRPr="00A31C38" w:rsidTr="003557E3">
        <w:tc>
          <w:tcPr>
            <w:tcW w:w="2660" w:type="dxa"/>
            <w:shd w:val="clear" w:color="auto" w:fill="auto"/>
          </w:tcPr>
          <w:p w:rsidR="00437C53" w:rsidRPr="0087026D" w:rsidRDefault="00437C53" w:rsidP="009722ED">
            <w:pPr>
              <w:rPr>
                <w:rFonts w:ascii="Calibri" w:hAnsi="Calibri" w:cs="Calibri"/>
                <w:sz w:val="20"/>
                <w:szCs w:val="20"/>
              </w:rPr>
            </w:pPr>
          </w:p>
        </w:tc>
        <w:tc>
          <w:tcPr>
            <w:tcW w:w="850" w:type="dxa"/>
            <w:shd w:val="clear" w:color="auto" w:fill="auto"/>
          </w:tcPr>
          <w:p w:rsidR="00437C53" w:rsidRPr="0087026D" w:rsidRDefault="00437C53" w:rsidP="00E8475A">
            <w:pPr>
              <w:jc w:val="right"/>
              <w:rPr>
                <w:rFonts w:ascii="Calibri" w:hAnsi="Calibri" w:cs="Calibri"/>
                <w:sz w:val="20"/>
                <w:szCs w:val="20"/>
              </w:rPr>
            </w:pPr>
            <w:r w:rsidRPr="0087026D">
              <w:rPr>
                <w:rFonts w:ascii="Calibri" w:hAnsi="Calibri" w:cs="Calibri"/>
                <w:sz w:val="20"/>
                <w:szCs w:val="20"/>
              </w:rPr>
              <w:t>Population (m.)</w:t>
            </w:r>
          </w:p>
        </w:tc>
        <w:tc>
          <w:tcPr>
            <w:tcW w:w="993" w:type="dxa"/>
            <w:shd w:val="clear" w:color="auto" w:fill="auto"/>
          </w:tcPr>
          <w:p w:rsidR="00437C53" w:rsidRPr="0087026D" w:rsidRDefault="00437C53" w:rsidP="00E8475A">
            <w:pPr>
              <w:jc w:val="right"/>
              <w:rPr>
                <w:rFonts w:ascii="Calibri" w:hAnsi="Calibri" w:cs="Calibri"/>
                <w:sz w:val="20"/>
                <w:szCs w:val="20"/>
              </w:rPr>
            </w:pPr>
            <w:r w:rsidRPr="0087026D">
              <w:rPr>
                <w:rFonts w:ascii="Calibri" w:hAnsi="Calibri" w:cs="Calibri"/>
                <w:sz w:val="20"/>
                <w:szCs w:val="20"/>
              </w:rPr>
              <w:t>GDP per capita ($)</w:t>
            </w:r>
          </w:p>
        </w:tc>
        <w:tc>
          <w:tcPr>
            <w:tcW w:w="992" w:type="dxa"/>
            <w:shd w:val="clear" w:color="auto" w:fill="auto"/>
          </w:tcPr>
          <w:p w:rsidR="00437C53" w:rsidRPr="0087026D" w:rsidRDefault="00437C53" w:rsidP="00E8475A">
            <w:pPr>
              <w:jc w:val="right"/>
              <w:rPr>
                <w:rFonts w:ascii="Calibri" w:hAnsi="Calibri" w:cs="Calibri"/>
                <w:sz w:val="20"/>
                <w:szCs w:val="20"/>
              </w:rPr>
            </w:pPr>
            <w:r w:rsidRPr="0087026D">
              <w:rPr>
                <w:rFonts w:ascii="Calibri" w:hAnsi="Calibri" w:cs="Calibri"/>
                <w:sz w:val="20"/>
                <w:szCs w:val="20"/>
              </w:rPr>
              <w:t>Income group*</w:t>
            </w:r>
          </w:p>
          <w:p w:rsidR="00437C53" w:rsidRPr="0087026D" w:rsidRDefault="00437C53" w:rsidP="00E8475A">
            <w:pPr>
              <w:jc w:val="right"/>
              <w:rPr>
                <w:rFonts w:ascii="Calibri" w:hAnsi="Calibri" w:cs="Calibri"/>
                <w:sz w:val="20"/>
                <w:szCs w:val="20"/>
              </w:rPr>
            </w:pPr>
          </w:p>
        </w:tc>
        <w:tc>
          <w:tcPr>
            <w:tcW w:w="992" w:type="dxa"/>
            <w:shd w:val="clear" w:color="auto" w:fill="auto"/>
          </w:tcPr>
          <w:p w:rsidR="00437C53" w:rsidRPr="0087026D" w:rsidRDefault="00437C53" w:rsidP="00E8475A">
            <w:pPr>
              <w:jc w:val="right"/>
              <w:rPr>
                <w:rFonts w:ascii="Calibri" w:hAnsi="Calibri" w:cs="Calibri"/>
                <w:sz w:val="20"/>
                <w:szCs w:val="20"/>
              </w:rPr>
            </w:pPr>
            <w:r w:rsidRPr="0087026D">
              <w:rPr>
                <w:rFonts w:ascii="Calibri" w:hAnsi="Calibri" w:cs="Calibri"/>
                <w:sz w:val="20"/>
                <w:szCs w:val="20"/>
              </w:rPr>
              <w:t>Govt expenditure as % of GDP</w:t>
            </w:r>
          </w:p>
        </w:tc>
        <w:tc>
          <w:tcPr>
            <w:tcW w:w="2126" w:type="dxa"/>
          </w:tcPr>
          <w:p w:rsidR="00437C53" w:rsidRPr="0087026D" w:rsidRDefault="00437C53" w:rsidP="00E8475A">
            <w:pPr>
              <w:jc w:val="right"/>
              <w:rPr>
                <w:rFonts w:ascii="Calibri" w:hAnsi="Calibri" w:cs="Calibri"/>
                <w:sz w:val="20"/>
                <w:szCs w:val="20"/>
              </w:rPr>
            </w:pPr>
            <w:r w:rsidRPr="0087026D">
              <w:rPr>
                <w:rFonts w:ascii="Calibri" w:hAnsi="Calibri" w:cs="Calibri"/>
                <w:sz w:val="20"/>
                <w:szCs w:val="20"/>
              </w:rPr>
              <w:t>Currency</w:t>
            </w:r>
          </w:p>
        </w:tc>
        <w:tc>
          <w:tcPr>
            <w:tcW w:w="1134" w:type="dxa"/>
            <w:shd w:val="clear" w:color="auto" w:fill="auto"/>
          </w:tcPr>
          <w:p w:rsidR="00437C53" w:rsidRPr="0087026D" w:rsidRDefault="00437C53" w:rsidP="00437C53">
            <w:pPr>
              <w:jc w:val="right"/>
              <w:rPr>
                <w:rFonts w:ascii="Calibri" w:hAnsi="Calibri" w:cs="Calibri"/>
                <w:sz w:val="20"/>
                <w:szCs w:val="20"/>
              </w:rPr>
            </w:pPr>
            <w:r w:rsidRPr="0087026D">
              <w:rPr>
                <w:rFonts w:ascii="Calibri" w:hAnsi="Calibri" w:cs="Calibri"/>
                <w:sz w:val="20"/>
                <w:szCs w:val="20"/>
              </w:rPr>
              <w:t>PSI/EPSU affiliates**</w:t>
            </w:r>
          </w:p>
        </w:tc>
      </w:tr>
      <w:tr w:rsidR="00437C53" w:rsidRPr="00A31C38" w:rsidTr="003557E3">
        <w:tc>
          <w:tcPr>
            <w:tcW w:w="2660" w:type="dxa"/>
            <w:shd w:val="clear" w:color="auto" w:fill="auto"/>
          </w:tcPr>
          <w:p w:rsidR="00437C53" w:rsidRPr="0087026D" w:rsidRDefault="00437C53" w:rsidP="009722ED">
            <w:pPr>
              <w:rPr>
                <w:rFonts w:ascii="Calibri" w:hAnsi="Calibri" w:cs="Calibri"/>
                <w:sz w:val="20"/>
                <w:szCs w:val="20"/>
              </w:rPr>
            </w:pPr>
            <w:r w:rsidRPr="0087026D">
              <w:rPr>
                <w:rFonts w:ascii="Calibri" w:hAnsi="Calibri" w:cs="Calibri"/>
                <w:sz w:val="20"/>
                <w:szCs w:val="20"/>
              </w:rPr>
              <w:t xml:space="preserve"> Albania</w:t>
            </w:r>
          </w:p>
        </w:tc>
        <w:tc>
          <w:tcPr>
            <w:tcW w:w="850" w:type="dxa"/>
            <w:shd w:val="clear" w:color="auto" w:fill="auto"/>
          </w:tcPr>
          <w:p w:rsidR="00437C53" w:rsidRPr="0087026D" w:rsidRDefault="00437C53" w:rsidP="00E8475A">
            <w:pPr>
              <w:jc w:val="right"/>
              <w:rPr>
                <w:rFonts w:ascii="Calibri" w:hAnsi="Calibri" w:cs="Calibri"/>
                <w:sz w:val="20"/>
                <w:szCs w:val="20"/>
              </w:rPr>
            </w:pPr>
            <w:r w:rsidRPr="0087026D">
              <w:rPr>
                <w:rFonts w:ascii="Calibri" w:hAnsi="Calibri" w:cs="Calibri"/>
                <w:sz w:val="20"/>
                <w:szCs w:val="20"/>
              </w:rPr>
              <w:t>3.0</w:t>
            </w:r>
          </w:p>
        </w:tc>
        <w:tc>
          <w:tcPr>
            <w:tcW w:w="993" w:type="dxa"/>
            <w:shd w:val="clear" w:color="auto" w:fill="auto"/>
          </w:tcPr>
          <w:p w:rsidR="00437C53" w:rsidRPr="0087026D" w:rsidRDefault="00437C53" w:rsidP="00E8475A">
            <w:pPr>
              <w:jc w:val="right"/>
              <w:rPr>
                <w:rFonts w:ascii="Calibri" w:hAnsi="Calibri" w:cs="Calibri"/>
                <w:sz w:val="20"/>
                <w:szCs w:val="20"/>
              </w:rPr>
            </w:pPr>
            <w:r w:rsidRPr="0087026D">
              <w:rPr>
                <w:rFonts w:ascii="Calibri" w:hAnsi="Calibri" w:cs="Calibri"/>
                <w:sz w:val="20"/>
                <w:szCs w:val="20"/>
              </w:rPr>
              <w:t>3808</w:t>
            </w:r>
          </w:p>
        </w:tc>
        <w:tc>
          <w:tcPr>
            <w:tcW w:w="992" w:type="dxa"/>
            <w:shd w:val="clear" w:color="auto" w:fill="auto"/>
          </w:tcPr>
          <w:p w:rsidR="00437C53" w:rsidRPr="0087026D" w:rsidRDefault="00437C53" w:rsidP="00E8475A">
            <w:pPr>
              <w:jc w:val="right"/>
              <w:rPr>
                <w:rFonts w:ascii="Calibri" w:hAnsi="Calibri" w:cs="Calibri"/>
                <w:sz w:val="20"/>
                <w:szCs w:val="20"/>
              </w:rPr>
            </w:pPr>
            <w:r w:rsidRPr="0087026D">
              <w:rPr>
                <w:rFonts w:ascii="Calibri" w:hAnsi="Calibri" w:cs="Calibri"/>
                <w:sz w:val="20"/>
                <w:szCs w:val="20"/>
              </w:rPr>
              <w:t>MU</w:t>
            </w:r>
          </w:p>
        </w:tc>
        <w:tc>
          <w:tcPr>
            <w:tcW w:w="992" w:type="dxa"/>
            <w:shd w:val="clear" w:color="auto" w:fill="auto"/>
          </w:tcPr>
          <w:p w:rsidR="00437C53" w:rsidRPr="0087026D" w:rsidRDefault="00437C53" w:rsidP="00E8475A">
            <w:pPr>
              <w:jc w:val="right"/>
              <w:rPr>
                <w:rFonts w:ascii="Calibri" w:hAnsi="Calibri" w:cs="Calibri"/>
                <w:sz w:val="20"/>
                <w:szCs w:val="20"/>
              </w:rPr>
            </w:pPr>
            <w:r w:rsidRPr="0087026D">
              <w:rPr>
                <w:rFonts w:ascii="Calibri" w:hAnsi="Calibri" w:cs="Calibri"/>
                <w:sz w:val="20"/>
                <w:szCs w:val="20"/>
              </w:rPr>
              <w:t>21.9</w:t>
            </w:r>
          </w:p>
        </w:tc>
        <w:tc>
          <w:tcPr>
            <w:tcW w:w="2126" w:type="dxa"/>
          </w:tcPr>
          <w:p w:rsidR="00437C53" w:rsidRPr="0087026D" w:rsidRDefault="00437C53" w:rsidP="00437C53">
            <w:pPr>
              <w:rPr>
                <w:rFonts w:ascii="Calibri" w:hAnsi="Calibri" w:cs="Calibri"/>
                <w:sz w:val="20"/>
                <w:szCs w:val="20"/>
              </w:rPr>
            </w:pPr>
            <w:r w:rsidRPr="0087026D">
              <w:rPr>
                <w:rFonts w:ascii="Calibri" w:hAnsi="Calibri" w:cs="Calibri"/>
                <w:sz w:val="20"/>
                <w:szCs w:val="20"/>
              </w:rPr>
              <w:t>Lek</w:t>
            </w:r>
          </w:p>
        </w:tc>
        <w:tc>
          <w:tcPr>
            <w:tcW w:w="1134" w:type="dxa"/>
            <w:shd w:val="clear" w:color="auto" w:fill="auto"/>
          </w:tcPr>
          <w:p w:rsidR="00437C53" w:rsidRPr="0087026D" w:rsidRDefault="00437C53" w:rsidP="00E8475A">
            <w:pPr>
              <w:jc w:val="right"/>
              <w:rPr>
                <w:rFonts w:ascii="Calibri" w:hAnsi="Calibri" w:cs="Calibri"/>
                <w:sz w:val="20"/>
                <w:szCs w:val="20"/>
              </w:rPr>
            </w:pPr>
            <w:r w:rsidRPr="0087026D">
              <w:rPr>
                <w:rFonts w:ascii="Calibri" w:hAnsi="Calibri" w:cs="Calibri"/>
                <w:sz w:val="20"/>
                <w:szCs w:val="20"/>
              </w:rPr>
              <w:t>EHMO</w:t>
            </w:r>
          </w:p>
        </w:tc>
      </w:tr>
      <w:tr w:rsidR="00437C53" w:rsidRPr="00A31C38" w:rsidTr="003557E3">
        <w:tc>
          <w:tcPr>
            <w:tcW w:w="2660" w:type="dxa"/>
            <w:shd w:val="clear" w:color="auto" w:fill="auto"/>
          </w:tcPr>
          <w:p w:rsidR="00437C53" w:rsidRPr="0087026D" w:rsidRDefault="00437C53" w:rsidP="009722ED">
            <w:pPr>
              <w:rPr>
                <w:rFonts w:ascii="Calibri" w:hAnsi="Calibri" w:cs="Calibri"/>
                <w:sz w:val="20"/>
                <w:szCs w:val="20"/>
              </w:rPr>
            </w:pPr>
            <w:r w:rsidRPr="0087026D">
              <w:rPr>
                <w:rFonts w:ascii="Calibri" w:hAnsi="Calibri" w:cs="Calibri"/>
                <w:sz w:val="20"/>
                <w:szCs w:val="20"/>
              </w:rPr>
              <w:t>Armenia</w:t>
            </w:r>
          </w:p>
        </w:tc>
        <w:tc>
          <w:tcPr>
            <w:tcW w:w="850" w:type="dxa"/>
            <w:shd w:val="clear" w:color="auto" w:fill="auto"/>
          </w:tcPr>
          <w:p w:rsidR="00437C53" w:rsidRPr="0087026D" w:rsidRDefault="00437C53" w:rsidP="00E8475A">
            <w:pPr>
              <w:jc w:val="right"/>
              <w:rPr>
                <w:rFonts w:ascii="Calibri" w:hAnsi="Calibri" w:cs="Calibri"/>
                <w:sz w:val="20"/>
                <w:szCs w:val="20"/>
              </w:rPr>
            </w:pPr>
            <w:r w:rsidRPr="0087026D">
              <w:rPr>
                <w:rFonts w:ascii="Calibri" w:hAnsi="Calibri" w:cs="Calibri"/>
                <w:sz w:val="20"/>
                <w:szCs w:val="20"/>
              </w:rPr>
              <w:t>3.0</w:t>
            </w:r>
          </w:p>
        </w:tc>
        <w:tc>
          <w:tcPr>
            <w:tcW w:w="993" w:type="dxa"/>
            <w:shd w:val="clear" w:color="auto" w:fill="auto"/>
          </w:tcPr>
          <w:p w:rsidR="00437C53" w:rsidRPr="0087026D" w:rsidRDefault="00437C53" w:rsidP="00E8475A">
            <w:pPr>
              <w:jc w:val="right"/>
              <w:rPr>
                <w:rFonts w:ascii="Calibri" w:hAnsi="Calibri" w:cs="Calibri"/>
                <w:sz w:val="20"/>
                <w:szCs w:val="20"/>
              </w:rPr>
            </w:pPr>
            <w:r w:rsidRPr="0087026D">
              <w:rPr>
                <w:rFonts w:ascii="Calibri" w:hAnsi="Calibri" w:cs="Calibri"/>
                <w:sz w:val="20"/>
                <w:szCs w:val="20"/>
              </w:rPr>
              <w:t>2826</w:t>
            </w:r>
          </w:p>
        </w:tc>
        <w:tc>
          <w:tcPr>
            <w:tcW w:w="992" w:type="dxa"/>
            <w:shd w:val="clear" w:color="auto" w:fill="auto"/>
          </w:tcPr>
          <w:p w:rsidR="00437C53" w:rsidRPr="0087026D" w:rsidRDefault="00437C53" w:rsidP="00E8475A">
            <w:pPr>
              <w:jc w:val="right"/>
              <w:rPr>
                <w:rFonts w:ascii="Calibri" w:hAnsi="Calibri" w:cs="Calibri"/>
                <w:sz w:val="20"/>
                <w:szCs w:val="20"/>
              </w:rPr>
            </w:pPr>
            <w:r w:rsidRPr="0087026D">
              <w:rPr>
                <w:rFonts w:ascii="Calibri" w:hAnsi="Calibri" w:cs="Calibri"/>
                <w:sz w:val="20"/>
                <w:szCs w:val="20"/>
              </w:rPr>
              <w:t>ML</w:t>
            </w:r>
          </w:p>
        </w:tc>
        <w:tc>
          <w:tcPr>
            <w:tcW w:w="992" w:type="dxa"/>
            <w:shd w:val="clear" w:color="auto" w:fill="auto"/>
          </w:tcPr>
          <w:p w:rsidR="00437C53" w:rsidRPr="0087026D" w:rsidRDefault="00437C53" w:rsidP="00E8475A">
            <w:pPr>
              <w:jc w:val="right"/>
              <w:rPr>
                <w:rFonts w:ascii="Calibri" w:hAnsi="Calibri" w:cs="Calibri"/>
                <w:sz w:val="20"/>
                <w:szCs w:val="20"/>
              </w:rPr>
            </w:pPr>
            <w:r w:rsidRPr="0087026D">
              <w:rPr>
                <w:rFonts w:ascii="Calibri" w:hAnsi="Calibri" w:cs="Calibri"/>
                <w:sz w:val="20"/>
                <w:szCs w:val="20"/>
              </w:rPr>
              <w:t>20.7</w:t>
            </w:r>
          </w:p>
        </w:tc>
        <w:tc>
          <w:tcPr>
            <w:tcW w:w="2126" w:type="dxa"/>
          </w:tcPr>
          <w:p w:rsidR="00437C53" w:rsidRPr="0087026D" w:rsidRDefault="00437C53" w:rsidP="0087026D">
            <w:pPr>
              <w:rPr>
                <w:rFonts w:ascii="Calibri" w:hAnsi="Calibri" w:cs="Calibri"/>
                <w:sz w:val="20"/>
                <w:szCs w:val="20"/>
                <w:lang w:val="en-US" w:bidi="en-US"/>
              </w:rPr>
            </w:pPr>
            <w:r w:rsidRPr="0087026D">
              <w:rPr>
                <w:rFonts w:ascii="Calibri" w:hAnsi="Calibri" w:cs="Calibri"/>
                <w:sz w:val="20"/>
                <w:szCs w:val="20"/>
              </w:rPr>
              <w:t>Dram</w:t>
            </w:r>
          </w:p>
        </w:tc>
        <w:tc>
          <w:tcPr>
            <w:tcW w:w="1134" w:type="dxa"/>
            <w:shd w:val="clear" w:color="auto" w:fill="auto"/>
          </w:tcPr>
          <w:p w:rsidR="00437C53" w:rsidRPr="0087026D" w:rsidRDefault="00437C53" w:rsidP="00E8475A">
            <w:pPr>
              <w:jc w:val="right"/>
              <w:rPr>
                <w:rFonts w:ascii="Calibri" w:hAnsi="Calibri" w:cs="Calibri"/>
                <w:sz w:val="20"/>
                <w:szCs w:val="20"/>
              </w:rPr>
            </w:pPr>
            <w:r w:rsidRPr="0087026D">
              <w:rPr>
                <w:rFonts w:ascii="Calibri" w:hAnsi="Calibri" w:cs="Calibri"/>
                <w:sz w:val="20"/>
                <w:szCs w:val="20"/>
              </w:rPr>
              <w:t>HM</w:t>
            </w:r>
          </w:p>
        </w:tc>
      </w:tr>
      <w:tr w:rsidR="00437C53" w:rsidRPr="00A31C38" w:rsidTr="003557E3">
        <w:tc>
          <w:tcPr>
            <w:tcW w:w="2660" w:type="dxa"/>
            <w:shd w:val="clear" w:color="auto" w:fill="auto"/>
          </w:tcPr>
          <w:p w:rsidR="00437C53" w:rsidRPr="0087026D" w:rsidRDefault="00437C53" w:rsidP="009722ED">
            <w:pPr>
              <w:rPr>
                <w:rFonts w:ascii="Calibri" w:hAnsi="Calibri" w:cs="Calibri"/>
                <w:sz w:val="20"/>
                <w:szCs w:val="20"/>
              </w:rPr>
            </w:pPr>
            <w:r w:rsidRPr="0087026D">
              <w:rPr>
                <w:rFonts w:ascii="Calibri" w:hAnsi="Calibri" w:cs="Calibri"/>
                <w:sz w:val="20"/>
                <w:szCs w:val="20"/>
              </w:rPr>
              <w:t xml:space="preserve"> Azerbaijan</w:t>
            </w:r>
          </w:p>
        </w:tc>
        <w:tc>
          <w:tcPr>
            <w:tcW w:w="850" w:type="dxa"/>
            <w:shd w:val="clear" w:color="auto" w:fill="auto"/>
          </w:tcPr>
          <w:p w:rsidR="00437C53" w:rsidRPr="0087026D" w:rsidRDefault="00437C53" w:rsidP="00E8475A">
            <w:pPr>
              <w:jc w:val="right"/>
              <w:rPr>
                <w:rFonts w:ascii="Calibri" w:hAnsi="Calibri" w:cs="Calibri"/>
                <w:sz w:val="20"/>
                <w:szCs w:val="20"/>
              </w:rPr>
            </w:pPr>
            <w:r w:rsidRPr="0087026D">
              <w:rPr>
                <w:rFonts w:ascii="Calibri" w:hAnsi="Calibri" w:cs="Calibri"/>
                <w:sz w:val="20"/>
                <w:szCs w:val="20"/>
              </w:rPr>
              <w:t>8.3</w:t>
            </w:r>
          </w:p>
        </w:tc>
        <w:tc>
          <w:tcPr>
            <w:tcW w:w="993" w:type="dxa"/>
            <w:shd w:val="clear" w:color="auto" w:fill="auto"/>
          </w:tcPr>
          <w:p w:rsidR="00437C53" w:rsidRPr="0087026D" w:rsidRDefault="00437C53" w:rsidP="00E8475A">
            <w:pPr>
              <w:jc w:val="right"/>
              <w:rPr>
                <w:rFonts w:ascii="Calibri" w:hAnsi="Calibri" w:cs="Calibri"/>
                <w:sz w:val="20"/>
                <w:szCs w:val="20"/>
              </w:rPr>
            </w:pPr>
            <w:r w:rsidRPr="0087026D">
              <w:rPr>
                <w:rFonts w:ascii="Calibri" w:hAnsi="Calibri" w:cs="Calibri"/>
                <w:sz w:val="20"/>
                <w:szCs w:val="20"/>
              </w:rPr>
              <w:t>4899</w:t>
            </w:r>
          </w:p>
        </w:tc>
        <w:tc>
          <w:tcPr>
            <w:tcW w:w="992" w:type="dxa"/>
            <w:shd w:val="clear" w:color="auto" w:fill="auto"/>
          </w:tcPr>
          <w:p w:rsidR="00437C53" w:rsidRPr="0087026D" w:rsidRDefault="00437C53" w:rsidP="00E8475A">
            <w:pPr>
              <w:jc w:val="right"/>
              <w:rPr>
                <w:rFonts w:ascii="Calibri" w:hAnsi="Calibri" w:cs="Calibri"/>
                <w:sz w:val="20"/>
                <w:szCs w:val="20"/>
              </w:rPr>
            </w:pPr>
            <w:r w:rsidRPr="0087026D">
              <w:rPr>
                <w:rFonts w:ascii="Calibri" w:hAnsi="Calibri" w:cs="Calibri"/>
                <w:sz w:val="20"/>
                <w:szCs w:val="20"/>
              </w:rPr>
              <w:t>MU</w:t>
            </w:r>
          </w:p>
        </w:tc>
        <w:tc>
          <w:tcPr>
            <w:tcW w:w="992" w:type="dxa"/>
            <w:shd w:val="clear" w:color="auto" w:fill="auto"/>
          </w:tcPr>
          <w:p w:rsidR="00437C53" w:rsidRPr="0087026D" w:rsidRDefault="00437C53" w:rsidP="00E8475A">
            <w:pPr>
              <w:jc w:val="right"/>
              <w:rPr>
                <w:rFonts w:ascii="Calibri" w:hAnsi="Calibri" w:cs="Calibri"/>
                <w:sz w:val="20"/>
                <w:szCs w:val="20"/>
              </w:rPr>
            </w:pPr>
            <w:r w:rsidRPr="0087026D">
              <w:rPr>
                <w:rFonts w:ascii="Calibri" w:hAnsi="Calibri" w:cs="Calibri"/>
                <w:sz w:val="20"/>
                <w:szCs w:val="20"/>
              </w:rPr>
              <w:t>19.0</w:t>
            </w:r>
          </w:p>
        </w:tc>
        <w:tc>
          <w:tcPr>
            <w:tcW w:w="2126" w:type="dxa"/>
          </w:tcPr>
          <w:p w:rsidR="00437C53" w:rsidRPr="0087026D" w:rsidRDefault="00437C53" w:rsidP="0087026D">
            <w:pPr>
              <w:rPr>
                <w:rFonts w:ascii="Calibri" w:hAnsi="Calibri" w:cs="Calibri"/>
                <w:sz w:val="20"/>
                <w:szCs w:val="20"/>
                <w:lang w:val="en-US" w:bidi="en-US"/>
              </w:rPr>
            </w:pPr>
            <w:r w:rsidRPr="0087026D">
              <w:rPr>
                <w:rFonts w:ascii="Calibri" w:hAnsi="Calibri" w:cs="Calibri"/>
                <w:sz w:val="20"/>
                <w:szCs w:val="20"/>
              </w:rPr>
              <w:t>Manat</w:t>
            </w:r>
          </w:p>
        </w:tc>
        <w:tc>
          <w:tcPr>
            <w:tcW w:w="1134" w:type="dxa"/>
            <w:shd w:val="clear" w:color="auto" w:fill="auto"/>
          </w:tcPr>
          <w:p w:rsidR="00437C53" w:rsidRPr="0087026D" w:rsidRDefault="00437C53" w:rsidP="00E8475A">
            <w:pPr>
              <w:jc w:val="right"/>
              <w:rPr>
                <w:rFonts w:ascii="Calibri" w:hAnsi="Calibri" w:cs="Calibri"/>
                <w:sz w:val="20"/>
                <w:szCs w:val="20"/>
              </w:rPr>
            </w:pPr>
            <w:r w:rsidRPr="0087026D">
              <w:rPr>
                <w:rFonts w:ascii="Calibri" w:hAnsi="Calibri" w:cs="Calibri"/>
                <w:sz w:val="20"/>
                <w:szCs w:val="20"/>
              </w:rPr>
              <w:t>HMO</w:t>
            </w:r>
          </w:p>
        </w:tc>
      </w:tr>
      <w:tr w:rsidR="00437C53" w:rsidRPr="00A31C38" w:rsidTr="003557E3">
        <w:tc>
          <w:tcPr>
            <w:tcW w:w="2660" w:type="dxa"/>
            <w:shd w:val="clear" w:color="auto" w:fill="auto"/>
          </w:tcPr>
          <w:p w:rsidR="00437C53" w:rsidRPr="0087026D" w:rsidRDefault="00437C53" w:rsidP="009722ED">
            <w:pPr>
              <w:rPr>
                <w:rFonts w:ascii="Calibri" w:hAnsi="Calibri" w:cs="Calibri"/>
                <w:sz w:val="20"/>
                <w:szCs w:val="20"/>
              </w:rPr>
            </w:pPr>
            <w:r w:rsidRPr="0087026D">
              <w:rPr>
                <w:rFonts w:ascii="Calibri" w:hAnsi="Calibri" w:cs="Calibri"/>
                <w:sz w:val="20"/>
                <w:szCs w:val="20"/>
              </w:rPr>
              <w:t xml:space="preserve"> Belarus</w:t>
            </w:r>
          </w:p>
        </w:tc>
        <w:tc>
          <w:tcPr>
            <w:tcW w:w="850" w:type="dxa"/>
            <w:shd w:val="clear" w:color="auto" w:fill="auto"/>
          </w:tcPr>
          <w:p w:rsidR="00437C53" w:rsidRPr="0087026D" w:rsidRDefault="00437C53" w:rsidP="00E8475A">
            <w:pPr>
              <w:jc w:val="right"/>
              <w:rPr>
                <w:rFonts w:ascii="Calibri" w:hAnsi="Calibri" w:cs="Calibri"/>
                <w:sz w:val="20"/>
                <w:szCs w:val="20"/>
              </w:rPr>
            </w:pPr>
            <w:r w:rsidRPr="0087026D">
              <w:rPr>
                <w:rFonts w:ascii="Calibri" w:hAnsi="Calibri" w:cs="Calibri"/>
                <w:sz w:val="20"/>
                <w:szCs w:val="20"/>
              </w:rPr>
              <w:t>9.7</w:t>
            </w:r>
          </w:p>
        </w:tc>
        <w:tc>
          <w:tcPr>
            <w:tcW w:w="993" w:type="dxa"/>
            <w:shd w:val="clear" w:color="auto" w:fill="auto"/>
          </w:tcPr>
          <w:p w:rsidR="00437C53" w:rsidRPr="0087026D" w:rsidRDefault="00437C53" w:rsidP="00E8475A">
            <w:pPr>
              <w:jc w:val="right"/>
              <w:rPr>
                <w:rFonts w:ascii="Calibri" w:hAnsi="Calibri" w:cs="Calibri"/>
                <w:sz w:val="20"/>
                <w:szCs w:val="20"/>
              </w:rPr>
            </w:pPr>
            <w:r w:rsidRPr="0087026D">
              <w:rPr>
                <w:rFonts w:ascii="Calibri" w:hAnsi="Calibri" w:cs="Calibri"/>
                <w:sz w:val="20"/>
                <w:szCs w:val="20"/>
              </w:rPr>
              <w:t>5069</w:t>
            </w:r>
          </w:p>
        </w:tc>
        <w:tc>
          <w:tcPr>
            <w:tcW w:w="992" w:type="dxa"/>
            <w:shd w:val="clear" w:color="auto" w:fill="auto"/>
          </w:tcPr>
          <w:p w:rsidR="00437C53" w:rsidRPr="0087026D" w:rsidRDefault="00437C53" w:rsidP="00E8475A">
            <w:pPr>
              <w:jc w:val="right"/>
              <w:rPr>
                <w:rFonts w:ascii="Calibri" w:hAnsi="Calibri" w:cs="Calibri"/>
                <w:sz w:val="20"/>
                <w:szCs w:val="20"/>
              </w:rPr>
            </w:pPr>
            <w:r w:rsidRPr="0087026D">
              <w:rPr>
                <w:rFonts w:ascii="Calibri" w:hAnsi="Calibri" w:cs="Calibri"/>
                <w:sz w:val="20"/>
                <w:szCs w:val="20"/>
              </w:rPr>
              <w:t>MU</w:t>
            </w:r>
          </w:p>
        </w:tc>
        <w:tc>
          <w:tcPr>
            <w:tcW w:w="992" w:type="dxa"/>
            <w:shd w:val="clear" w:color="auto" w:fill="auto"/>
          </w:tcPr>
          <w:p w:rsidR="00437C53" w:rsidRPr="0087026D" w:rsidRDefault="00437C53" w:rsidP="00E8475A">
            <w:pPr>
              <w:jc w:val="right"/>
              <w:rPr>
                <w:rFonts w:ascii="Calibri" w:hAnsi="Calibri" w:cs="Calibri"/>
                <w:sz w:val="20"/>
                <w:szCs w:val="20"/>
              </w:rPr>
            </w:pPr>
            <w:r w:rsidRPr="0087026D">
              <w:rPr>
                <w:rFonts w:ascii="Calibri" w:hAnsi="Calibri" w:cs="Calibri"/>
                <w:sz w:val="20"/>
                <w:szCs w:val="20"/>
              </w:rPr>
              <w:t>34.0</w:t>
            </w:r>
          </w:p>
        </w:tc>
        <w:tc>
          <w:tcPr>
            <w:tcW w:w="2126" w:type="dxa"/>
          </w:tcPr>
          <w:p w:rsidR="00437C53" w:rsidRPr="0087026D" w:rsidRDefault="00437C53" w:rsidP="0087026D">
            <w:pPr>
              <w:rPr>
                <w:rFonts w:ascii="Calibri" w:hAnsi="Calibri" w:cs="Calibri"/>
                <w:sz w:val="20"/>
                <w:szCs w:val="20"/>
                <w:lang w:val="en-US" w:bidi="en-US"/>
              </w:rPr>
            </w:pPr>
            <w:r w:rsidRPr="0087026D">
              <w:rPr>
                <w:rFonts w:ascii="Calibri" w:hAnsi="Calibri" w:cs="Calibri"/>
                <w:sz w:val="20"/>
                <w:szCs w:val="20"/>
              </w:rPr>
              <w:t>Belarus Ruble</w:t>
            </w:r>
          </w:p>
        </w:tc>
        <w:tc>
          <w:tcPr>
            <w:tcW w:w="1134" w:type="dxa"/>
            <w:shd w:val="clear" w:color="auto" w:fill="auto"/>
          </w:tcPr>
          <w:p w:rsidR="00437C53" w:rsidRPr="0087026D" w:rsidRDefault="00437C53" w:rsidP="00E8475A">
            <w:pPr>
              <w:jc w:val="right"/>
              <w:rPr>
                <w:rFonts w:ascii="Calibri" w:hAnsi="Calibri" w:cs="Calibri"/>
                <w:sz w:val="20"/>
                <w:szCs w:val="20"/>
              </w:rPr>
            </w:pPr>
            <w:r w:rsidRPr="0087026D">
              <w:rPr>
                <w:rFonts w:ascii="Calibri" w:hAnsi="Calibri" w:cs="Calibri"/>
                <w:sz w:val="20"/>
                <w:szCs w:val="20"/>
              </w:rPr>
              <w:t>H</w:t>
            </w:r>
          </w:p>
        </w:tc>
      </w:tr>
      <w:tr w:rsidR="00437C53" w:rsidRPr="00A31C38" w:rsidTr="003557E3">
        <w:tc>
          <w:tcPr>
            <w:tcW w:w="2660" w:type="dxa"/>
            <w:shd w:val="clear" w:color="auto" w:fill="auto"/>
          </w:tcPr>
          <w:p w:rsidR="00437C53" w:rsidRPr="0087026D" w:rsidRDefault="00437C53" w:rsidP="009722ED">
            <w:pPr>
              <w:rPr>
                <w:rFonts w:ascii="Calibri" w:hAnsi="Calibri" w:cs="Calibri"/>
                <w:sz w:val="20"/>
                <w:szCs w:val="20"/>
              </w:rPr>
            </w:pPr>
            <w:r w:rsidRPr="0087026D">
              <w:rPr>
                <w:rFonts w:ascii="Calibri" w:hAnsi="Calibri" w:cs="Calibri"/>
                <w:sz w:val="20"/>
                <w:szCs w:val="20"/>
              </w:rPr>
              <w:t xml:space="preserve"> Bosnia and Herzegovina</w:t>
            </w:r>
          </w:p>
        </w:tc>
        <w:tc>
          <w:tcPr>
            <w:tcW w:w="850" w:type="dxa"/>
            <w:shd w:val="clear" w:color="auto" w:fill="auto"/>
          </w:tcPr>
          <w:p w:rsidR="00437C53" w:rsidRPr="0087026D" w:rsidRDefault="00437C53" w:rsidP="00E8475A">
            <w:pPr>
              <w:jc w:val="right"/>
              <w:rPr>
                <w:rFonts w:ascii="Calibri" w:hAnsi="Calibri" w:cs="Calibri"/>
                <w:sz w:val="20"/>
                <w:szCs w:val="20"/>
              </w:rPr>
            </w:pPr>
            <w:r w:rsidRPr="0087026D">
              <w:rPr>
                <w:rFonts w:ascii="Calibri" w:hAnsi="Calibri" w:cs="Calibri"/>
                <w:sz w:val="20"/>
                <w:szCs w:val="20"/>
              </w:rPr>
              <w:t>4.6</w:t>
            </w:r>
          </w:p>
        </w:tc>
        <w:tc>
          <w:tcPr>
            <w:tcW w:w="993" w:type="dxa"/>
            <w:shd w:val="clear" w:color="auto" w:fill="auto"/>
          </w:tcPr>
          <w:p w:rsidR="00437C53" w:rsidRPr="0087026D" w:rsidRDefault="00437C53" w:rsidP="00E8475A">
            <w:pPr>
              <w:jc w:val="right"/>
              <w:rPr>
                <w:rFonts w:ascii="Calibri" w:hAnsi="Calibri" w:cs="Calibri"/>
                <w:sz w:val="20"/>
                <w:szCs w:val="20"/>
              </w:rPr>
            </w:pPr>
            <w:r w:rsidRPr="0087026D">
              <w:rPr>
                <w:rFonts w:ascii="Calibri" w:hAnsi="Calibri" w:cs="Calibri"/>
                <w:sz w:val="20"/>
                <w:szCs w:val="20"/>
              </w:rPr>
              <w:t>4525</w:t>
            </w:r>
          </w:p>
        </w:tc>
        <w:tc>
          <w:tcPr>
            <w:tcW w:w="992" w:type="dxa"/>
            <w:shd w:val="clear" w:color="auto" w:fill="auto"/>
          </w:tcPr>
          <w:p w:rsidR="00437C53" w:rsidRPr="0087026D" w:rsidRDefault="00437C53" w:rsidP="00E8475A">
            <w:pPr>
              <w:jc w:val="right"/>
              <w:rPr>
                <w:rFonts w:ascii="Calibri" w:hAnsi="Calibri" w:cs="Calibri"/>
                <w:sz w:val="20"/>
                <w:szCs w:val="20"/>
              </w:rPr>
            </w:pPr>
            <w:r w:rsidRPr="0087026D">
              <w:rPr>
                <w:rFonts w:ascii="Calibri" w:hAnsi="Calibri" w:cs="Calibri"/>
                <w:sz w:val="20"/>
                <w:szCs w:val="20"/>
              </w:rPr>
              <w:t>MU</w:t>
            </w:r>
          </w:p>
        </w:tc>
        <w:tc>
          <w:tcPr>
            <w:tcW w:w="992" w:type="dxa"/>
            <w:shd w:val="clear" w:color="auto" w:fill="auto"/>
          </w:tcPr>
          <w:p w:rsidR="00437C53" w:rsidRPr="0087026D" w:rsidRDefault="00437C53" w:rsidP="00E8475A">
            <w:pPr>
              <w:jc w:val="right"/>
              <w:rPr>
                <w:rFonts w:ascii="Calibri" w:hAnsi="Calibri" w:cs="Calibri"/>
                <w:sz w:val="20"/>
                <w:szCs w:val="20"/>
              </w:rPr>
            </w:pPr>
            <w:r w:rsidRPr="0087026D">
              <w:rPr>
                <w:rFonts w:ascii="Calibri" w:hAnsi="Calibri" w:cs="Calibri"/>
                <w:sz w:val="20"/>
                <w:szCs w:val="20"/>
              </w:rPr>
              <w:t>38.9</w:t>
            </w:r>
          </w:p>
        </w:tc>
        <w:tc>
          <w:tcPr>
            <w:tcW w:w="2126" w:type="dxa"/>
          </w:tcPr>
          <w:p w:rsidR="00437C53" w:rsidRPr="0087026D" w:rsidRDefault="00437C53" w:rsidP="0087026D">
            <w:pPr>
              <w:rPr>
                <w:rFonts w:ascii="Calibri" w:hAnsi="Calibri" w:cs="Calibri"/>
                <w:sz w:val="20"/>
                <w:szCs w:val="20"/>
                <w:lang w:val="en-US" w:bidi="en-US"/>
              </w:rPr>
            </w:pPr>
            <w:r w:rsidRPr="0087026D">
              <w:rPr>
                <w:rFonts w:ascii="Calibri" w:hAnsi="Calibri" w:cs="Calibri"/>
                <w:sz w:val="20"/>
                <w:szCs w:val="20"/>
              </w:rPr>
              <w:t>Convertible Mark/Euro</w:t>
            </w:r>
          </w:p>
        </w:tc>
        <w:tc>
          <w:tcPr>
            <w:tcW w:w="1134" w:type="dxa"/>
            <w:shd w:val="clear" w:color="auto" w:fill="auto"/>
          </w:tcPr>
          <w:p w:rsidR="00437C53" w:rsidRPr="0087026D" w:rsidRDefault="00437C53" w:rsidP="00E8475A">
            <w:pPr>
              <w:jc w:val="right"/>
              <w:rPr>
                <w:rFonts w:ascii="Calibri" w:hAnsi="Calibri" w:cs="Calibri"/>
                <w:sz w:val="20"/>
                <w:szCs w:val="20"/>
              </w:rPr>
            </w:pPr>
            <w:r w:rsidRPr="0087026D">
              <w:rPr>
                <w:rFonts w:ascii="Calibri" w:hAnsi="Calibri" w:cs="Calibri"/>
                <w:sz w:val="20"/>
                <w:szCs w:val="20"/>
              </w:rPr>
              <w:t>EHMO</w:t>
            </w:r>
          </w:p>
        </w:tc>
      </w:tr>
      <w:tr w:rsidR="00437C53" w:rsidRPr="00E8475A" w:rsidTr="003557E3">
        <w:tc>
          <w:tcPr>
            <w:tcW w:w="2660" w:type="dxa"/>
            <w:shd w:val="clear" w:color="auto" w:fill="auto"/>
          </w:tcPr>
          <w:p w:rsidR="00437C53" w:rsidRPr="0087026D" w:rsidRDefault="00437C53" w:rsidP="009722ED">
            <w:pPr>
              <w:rPr>
                <w:rFonts w:ascii="Calibri" w:hAnsi="Calibri" w:cs="Calibri"/>
                <w:sz w:val="20"/>
                <w:szCs w:val="20"/>
                <w:lang w:val="es-ES_tradnl"/>
              </w:rPr>
            </w:pPr>
            <w:r w:rsidRPr="0087026D">
              <w:rPr>
                <w:rFonts w:ascii="Calibri" w:hAnsi="Calibri" w:cs="Calibri"/>
                <w:sz w:val="20"/>
                <w:szCs w:val="20"/>
              </w:rPr>
              <w:t xml:space="preserve"> </w:t>
            </w:r>
            <w:r w:rsidRPr="0087026D">
              <w:rPr>
                <w:rFonts w:ascii="Calibri" w:hAnsi="Calibri" w:cs="Calibri"/>
                <w:sz w:val="20"/>
                <w:szCs w:val="20"/>
                <w:lang w:val="es-ES_tradnl"/>
              </w:rPr>
              <w:t>Croatia</w:t>
            </w:r>
          </w:p>
        </w:tc>
        <w:tc>
          <w:tcPr>
            <w:tcW w:w="850" w:type="dxa"/>
            <w:shd w:val="clear" w:color="auto" w:fill="auto"/>
          </w:tcPr>
          <w:p w:rsidR="00437C53" w:rsidRPr="0087026D" w:rsidRDefault="00437C53" w:rsidP="00E8475A">
            <w:pPr>
              <w:jc w:val="right"/>
              <w:rPr>
                <w:rFonts w:ascii="Calibri" w:hAnsi="Calibri" w:cs="Calibri"/>
                <w:sz w:val="20"/>
                <w:szCs w:val="20"/>
              </w:rPr>
            </w:pPr>
            <w:r w:rsidRPr="0087026D">
              <w:rPr>
                <w:rFonts w:ascii="Calibri" w:hAnsi="Calibri" w:cs="Calibri"/>
                <w:sz w:val="20"/>
                <w:szCs w:val="20"/>
              </w:rPr>
              <w:t>4.5</w:t>
            </w:r>
          </w:p>
        </w:tc>
        <w:tc>
          <w:tcPr>
            <w:tcW w:w="993" w:type="dxa"/>
            <w:shd w:val="clear" w:color="auto" w:fill="auto"/>
          </w:tcPr>
          <w:p w:rsidR="00437C53" w:rsidRPr="0087026D" w:rsidRDefault="00437C53" w:rsidP="00E8475A">
            <w:pPr>
              <w:jc w:val="right"/>
              <w:rPr>
                <w:rFonts w:ascii="Calibri" w:hAnsi="Calibri" w:cs="Calibri"/>
                <w:sz w:val="20"/>
                <w:szCs w:val="20"/>
              </w:rPr>
            </w:pPr>
            <w:r w:rsidRPr="0087026D">
              <w:rPr>
                <w:rFonts w:ascii="Calibri" w:hAnsi="Calibri" w:cs="Calibri"/>
                <w:sz w:val="20"/>
                <w:szCs w:val="20"/>
              </w:rPr>
              <w:t>14222</w:t>
            </w:r>
          </w:p>
        </w:tc>
        <w:tc>
          <w:tcPr>
            <w:tcW w:w="992" w:type="dxa"/>
            <w:shd w:val="clear" w:color="auto" w:fill="auto"/>
          </w:tcPr>
          <w:p w:rsidR="00437C53" w:rsidRPr="0087026D" w:rsidRDefault="00437C53" w:rsidP="00E8475A">
            <w:pPr>
              <w:jc w:val="right"/>
              <w:rPr>
                <w:rFonts w:ascii="Calibri" w:hAnsi="Calibri" w:cs="Calibri"/>
                <w:sz w:val="20"/>
                <w:szCs w:val="20"/>
              </w:rPr>
            </w:pPr>
            <w:r w:rsidRPr="0087026D">
              <w:rPr>
                <w:rFonts w:ascii="Calibri" w:hAnsi="Calibri" w:cs="Calibri"/>
                <w:sz w:val="20"/>
                <w:szCs w:val="20"/>
              </w:rPr>
              <w:t>H</w:t>
            </w:r>
          </w:p>
        </w:tc>
        <w:tc>
          <w:tcPr>
            <w:tcW w:w="992" w:type="dxa"/>
            <w:shd w:val="clear" w:color="auto" w:fill="auto"/>
          </w:tcPr>
          <w:p w:rsidR="00437C53" w:rsidRPr="0087026D" w:rsidRDefault="00437C53" w:rsidP="00E8475A">
            <w:pPr>
              <w:jc w:val="right"/>
              <w:rPr>
                <w:rFonts w:ascii="Calibri" w:hAnsi="Calibri" w:cs="Calibri"/>
                <w:sz w:val="20"/>
                <w:szCs w:val="20"/>
              </w:rPr>
            </w:pPr>
            <w:r w:rsidRPr="0087026D">
              <w:rPr>
                <w:rFonts w:ascii="Calibri" w:hAnsi="Calibri" w:cs="Calibri"/>
                <w:sz w:val="20"/>
                <w:szCs w:val="20"/>
              </w:rPr>
              <w:t>34.7</w:t>
            </w:r>
          </w:p>
        </w:tc>
        <w:tc>
          <w:tcPr>
            <w:tcW w:w="2126" w:type="dxa"/>
          </w:tcPr>
          <w:p w:rsidR="00437C53" w:rsidRPr="0087026D" w:rsidRDefault="00437C53" w:rsidP="00437C53">
            <w:pPr>
              <w:rPr>
                <w:rFonts w:ascii="Calibri" w:hAnsi="Calibri" w:cs="Calibri"/>
                <w:sz w:val="20"/>
                <w:szCs w:val="20"/>
              </w:rPr>
            </w:pPr>
            <w:r w:rsidRPr="0087026D">
              <w:rPr>
                <w:rFonts w:ascii="Calibri" w:hAnsi="Calibri" w:cs="Calibri"/>
                <w:sz w:val="20"/>
                <w:szCs w:val="20"/>
              </w:rPr>
              <w:t>Kuna</w:t>
            </w:r>
          </w:p>
        </w:tc>
        <w:tc>
          <w:tcPr>
            <w:tcW w:w="1134" w:type="dxa"/>
            <w:shd w:val="clear" w:color="auto" w:fill="auto"/>
          </w:tcPr>
          <w:p w:rsidR="00437C53" w:rsidRPr="0087026D" w:rsidRDefault="00437C53" w:rsidP="00E8475A">
            <w:pPr>
              <w:jc w:val="right"/>
              <w:rPr>
                <w:rFonts w:ascii="Calibri" w:hAnsi="Calibri" w:cs="Calibri"/>
                <w:sz w:val="20"/>
                <w:szCs w:val="20"/>
              </w:rPr>
            </w:pPr>
            <w:r w:rsidRPr="0087026D">
              <w:rPr>
                <w:rFonts w:ascii="Calibri" w:hAnsi="Calibri" w:cs="Calibri"/>
                <w:sz w:val="20"/>
                <w:szCs w:val="20"/>
              </w:rPr>
              <w:t>EHMO</w:t>
            </w:r>
          </w:p>
        </w:tc>
      </w:tr>
      <w:tr w:rsidR="00437C53" w:rsidRPr="00E8475A" w:rsidTr="003557E3">
        <w:tc>
          <w:tcPr>
            <w:tcW w:w="2660" w:type="dxa"/>
            <w:shd w:val="clear" w:color="auto" w:fill="auto"/>
          </w:tcPr>
          <w:p w:rsidR="00437C53" w:rsidRPr="0087026D" w:rsidRDefault="00437C53" w:rsidP="009722ED">
            <w:pPr>
              <w:rPr>
                <w:rFonts w:ascii="Calibri" w:hAnsi="Calibri" w:cs="Calibri"/>
                <w:sz w:val="20"/>
                <w:szCs w:val="20"/>
                <w:lang w:val="es-ES_tradnl"/>
              </w:rPr>
            </w:pPr>
            <w:r w:rsidRPr="0087026D">
              <w:rPr>
                <w:rFonts w:ascii="Calibri" w:hAnsi="Calibri" w:cs="Calibri"/>
                <w:sz w:val="20"/>
                <w:szCs w:val="20"/>
                <w:lang w:val="es-ES_tradnl"/>
              </w:rPr>
              <w:t xml:space="preserve"> FYR Macedonia</w:t>
            </w:r>
          </w:p>
        </w:tc>
        <w:tc>
          <w:tcPr>
            <w:tcW w:w="850" w:type="dxa"/>
            <w:shd w:val="clear" w:color="auto" w:fill="auto"/>
          </w:tcPr>
          <w:p w:rsidR="00437C53" w:rsidRPr="0087026D" w:rsidRDefault="00437C53" w:rsidP="00E8475A">
            <w:pPr>
              <w:jc w:val="right"/>
              <w:rPr>
                <w:rFonts w:ascii="Calibri" w:hAnsi="Calibri" w:cs="Calibri"/>
                <w:sz w:val="20"/>
                <w:szCs w:val="20"/>
                <w:lang w:val="es-ES_tradnl"/>
              </w:rPr>
            </w:pPr>
            <w:r w:rsidRPr="0087026D">
              <w:rPr>
                <w:rFonts w:ascii="Calibri" w:hAnsi="Calibri" w:cs="Calibri"/>
                <w:sz w:val="20"/>
                <w:szCs w:val="20"/>
                <w:lang w:val="es-ES_tradnl"/>
              </w:rPr>
              <w:t>2.1</w:t>
            </w:r>
          </w:p>
        </w:tc>
        <w:tc>
          <w:tcPr>
            <w:tcW w:w="993" w:type="dxa"/>
            <w:shd w:val="clear" w:color="auto" w:fill="auto"/>
          </w:tcPr>
          <w:p w:rsidR="00437C53" w:rsidRPr="0087026D" w:rsidRDefault="00437C53" w:rsidP="00E8475A">
            <w:pPr>
              <w:jc w:val="right"/>
              <w:rPr>
                <w:rFonts w:ascii="Calibri" w:hAnsi="Calibri" w:cs="Calibri"/>
                <w:sz w:val="20"/>
                <w:szCs w:val="20"/>
                <w:lang w:val="es-ES_tradnl"/>
              </w:rPr>
            </w:pPr>
            <w:r w:rsidRPr="0087026D">
              <w:rPr>
                <w:rFonts w:ascii="Calibri" w:hAnsi="Calibri" w:cs="Calibri"/>
                <w:sz w:val="20"/>
                <w:szCs w:val="20"/>
                <w:lang w:val="es-ES_tradnl"/>
              </w:rPr>
              <w:t>4515</w:t>
            </w:r>
          </w:p>
        </w:tc>
        <w:tc>
          <w:tcPr>
            <w:tcW w:w="992" w:type="dxa"/>
            <w:shd w:val="clear" w:color="auto" w:fill="auto"/>
          </w:tcPr>
          <w:p w:rsidR="00437C53" w:rsidRPr="0087026D" w:rsidRDefault="00437C53" w:rsidP="00E8475A">
            <w:pPr>
              <w:jc w:val="right"/>
              <w:rPr>
                <w:rFonts w:ascii="Calibri" w:hAnsi="Calibri" w:cs="Calibri"/>
                <w:sz w:val="20"/>
                <w:szCs w:val="20"/>
                <w:lang w:val="es-ES_tradnl"/>
              </w:rPr>
            </w:pPr>
            <w:r w:rsidRPr="0087026D">
              <w:rPr>
                <w:rFonts w:ascii="Calibri" w:hAnsi="Calibri" w:cs="Calibri"/>
                <w:sz w:val="20"/>
                <w:szCs w:val="20"/>
                <w:lang w:val="es-ES_tradnl"/>
              </w:rPr>
              <w:t>MU</w:t>
            </w:r>
          </w:p>
        </w:tc>
        <w:tc>
          <w:tcPr>
            <w:tcW w:w="992" w:type="dxa"/>
            <w:shd w:val="clear" w:color="auto" w:fill="auto"/>
          </w:tcPr>
          <w:p w:rsidR="00437C53" w:rsidRPr="0087026D" w:rsidRDefault="00437C53" w:rsidP="00E8475A">
            <w:pPr>
              <w:jc w:val="right"/>
              <w:rPr>
                <w:rFonts w:ascii="Calibri" w:hAnsi="Calibri" w:cs="Calibri"/>
                <w:sz w:val="20"/>
                <w:szCs w:val="20"/>
                <w:lang w:val="es-ES_tradnl"/>
              </w:rPr>
            </w:pPr>
            <w:r w:rsidRPr="0087026D">
              <w:rPr>
                <w:rFonts w:ascii="Calibri" w:hAnsi="Calibri" w:cs="Calibri"/>
                <w:sz w:val="20"/>
                <w:szCs w:val="20"/>
                <w:lang w:val="es-ES_tradnl"/>
              </w:rPr>
              <w:t>31.3</w:t>
            </w:r>
          </w:p>
        </w:tc>
        <w:tc>
          <w:tcPr>
            <w:tcW w:w="2126" w:type="dxa"/>
          </w:tcPr>
          <w:p w:rsidR="00437C53" w:rsidRPr="0087026D" w:rsidRDefault="00437C53" w:rsidP="00437C53">
            <w:pPr>
              <w:rPr>
                <w:rFonts w:ascii="Calibri" w:hAnsi="Calibri" w:cs="Calibri"/>
                <w:sz w:val="20"/>
                <w:szCs w:val="20"/>
                <w:lang w:val="es-ES_tradnl"/>
              </w:rPr>
            </w:pPr>
            <w:r w:rsidRPr="0087026D">
              <w:rPr>
                <w:rFonts w:ascii="Calibri" w:hAnsi="Calibri" w:cs="Calibri"/>
                <w:sz w:val="20"/>
                <w:szCs w:val="20"/>
              </w:rPr>
              <w:t>Macedonian Denar</w:t>
            </w:r>
          </w:p>
        </w:tc>
        <w:tc>
          <w:tcPr>
            <w:tcW w:w="1134" w:type="dxa"/>
            <w:shd w:val="clear" w:color="auto" w:fill="auto"/>
          </w:tcPr>
          <w:p w:rsidR="00437C53" w:rsidRPr="0087026D" w:rsidRDefault="00437C53" w:rsidP="00E8475A">
            <w:pPr>
              <w:jc w:val="right"/>
              <w:rPr>
                <w:rFonts w:ascii="Calibri" w:hAnsi="Calibri" w:cs="Calibri"/>
                <w:sz w:val="20"/>
                <w:szCs w:val="20"/>
                <w:lang w:val="es-ES_tradnl"/>
              </w:rPr>
            </w:pPr>
            <w:r w:rsidRPr="0087026D">
              <w:rPr>
                <w:rFonts w:ascii="Calibri" w:hAnsi="Calibri" w:cs="Calibri"/>
                <w:sz w:val="20"/>
                <w:szCs w:val="20"/>
                <w:lang w:val="es-ES_tradnl"/>
              </w:rPr>
              <w:t>EHMO</w:t>
            </w:r>
          </w:p>
        </w:tc>
      </w:tr>
      <w:tr w:rsidR="00437C53" w:rsidRPr="00A31C38" w:rsidTr="003557E3">
        <w:tc>
          <w:tcPr>
            <w:tcW w:w="2660" w:type="dxa"/>
            <w:shd w:val="clear" w:color="auto" w:fill="auto"/>
          </w:tcPr>
          <w:p w:rsidR="00437C53" w:rsidRPr="0087026D" w:rsidRDefault="00437C53" w:rsidP="009722ED">
            <w:pPr>
              <w:rPr>
                <w:rFonts w:ascii="Calibri" w:hAnsi="Calibri" w:cs="Calibri"/>
                <w:sz w:val="20"/>
                <w:szCs w:val="20"/>
              </w:rPr>
            </w:pPr>
            <w:r w:rsidRPr="0087026D">
              <w:rPr>
                <w:rFonts w:ascii="Calibri" w:hAnsi="Calibri" w:cs="Calibri"/>
                <w:sz w:val="20"/>
                <w:szCs w:val="20"/>
              </w:rPr>
              <w:t xml:space="preserve"> Georgia</w:t>
            </w:r>
          </w:p>
        </w:tc>
        <w:tc>
          <w:tcPr>
            <w:tcW w:w="850" w:type="dxa"/>
            <w:shd w:val="clear" w:color="auto" w:fill="auto"/>
          </w:tcPr>
          <w:p w:rsidR="00437C53" w:rsidRPr="0087026D" w:rsidRDefault="00437C53" w:rsidP="00E8475A">
            <w:pPr>
              <w:jc w:val="right"/>
              <w:rPr>
                <w:rFonts w:ascii="Calibri" w:hAnsi="Calibri" w:cs="Calibri"/>
                <w:sz w:val="20"/>
                <w:szCs w:val="20"/>
              </w:rPr>
            </w:pPr>
            <w:r w:rsidRPr="0087026D">
              <w:rPr>
                <w:rFonts w:ascii="Calibri" w:hAnsi="Calibri" w:cs="Calibri"/>
                <w:sz w:val="20"/>
                <w:szCs w:val="20"/>
              </w:rPr>
              <w:t>4.6</w:t>
            </w:r>
          </w:p>
        </w:tc>
        <w:tc>
          <w:tcPr>
            <w:tcW w:w="993" w:type="dxa"/>
            <w:shd w:val="clear" w:color="auto" w:fill="auto"/>
          </w:tcPr>
          <w:p w:rsidR="00437C53" w:rsidRPr="0087026D" w:rsidRDefault="00437C53" w:rsidP="00E8475A">
            <w:pPr>
              <w:jc w:val="right"/>
              <w:rPr>
                <w:rFonts w:ascii="Calibri" w:hAnsi="Calibri" w:cs="Calibri"/>
                <w:sz w:val="20"/>
                <w:szCs w:val="20"/>
              </w:rPr>
            </w:pPr>
            <w:r w:rsidRPr="0087026D">
              <w:rPr>
                <w:rFonts w:ascii="Calibri" w:hAnsi="Calibri" w:cs="Calibri"/>
                <w:sz w:val="20"/>
                <w:szCs w:val="20"/>
              </w:rPr>
              <w:t>2447</w:t>
            </w:r>
          </w:p>
        </w:tc>
        <w:tc>
          <w:tcPr>
            <w:tcW w:w="992" w:type="dxa"/>
            <w:shd w:val="clear" w:color="auto" w:fill="auto"/>
          </w:tcPr>
          <w:p w:rsidR="00437C53" w:rsidRPr="0087026D" w:rsidRDefault="00437C53" w:rsidP="00E8475A">
            <w:pPr>
              <w:jc w:val="right"/>
              <w:rPr>
                <w:rFonts w:ascii="Calibri" w:hAnsi="Calibri" w:cs="Calibri"/>
                <w:sz w:val="20"/>
                <w:szCs w:val="20"/>
              </w:rPr>
            </w:pPr>
            <w:r w:rsidRPr="0087026D">
              <w:rPr>
                <w:rFonts w:ascii="Calibri" w:hAnsi="Calibri" w:cs="Calibri"/>
                <w:sz w:val="20"/>
                <w:szCs w:val="20"/>
              </w:rPr>
              <w:t>ML</w:t>
            </w:r>
          </w:p>
        </w:tc>
        <w:tc>
          <w:tcPr>
            <w:tcW w:w="992" w:type="dxa"/>
            <w:shd w:val="clear" w:color="auto" w:fill="auto"/>
          </w:tcPr>
          <w:p w:rsidR="00437C53" w:rsidRPr="0087026D" w:rsidRDefault="00437C53" w:rsidP="00E8475A">
            <w:pPr>
              <w:jc w:val="right"/>
              <w:rPr>
                <w:rFonts w:ascii="Calibri" w:hAnsi="Calibri" w:cs="Calibri"/>
                <w:sz w:val="20"/>
                <w:szCs w:val="20"/>
              </w:rPr>
            </w:pPr>
            <w:r w:rsidRPr="0087026D">
              <w:rPr>
                <w:rFonts w:ascii="Calibri" w:hAnsi="Calibri" w:cs="Calibri"/>
                <w:sz w:val="20"/>
                <w:szCs w:val="20"/>
              </w:rPr>
              <w:t>29.1</w:t>
            </w:r>
          </w:p>
        </w:tc>
        <w:tc>
          <w:tcPr>
            <w:tcW w:w="2126" w:type="dxa"/>
          </w:tcPr>
          <w:p w:rsidR="00437C53" w:rsidRPr="0087026D" w:rsidRDefault="00437C53" w:rsidP="0087026D">
            <w:pPr>
              <w:rPr>
                <w:rFonts w:ascii="Calibri" w:hAnsi="Calibri" w:cs="Calibri"/>
                <w:sz w:val="20"/>
                <w:szCs w:val="20"/>
                <w:lang w:val="en-US" w:bidi="en-US"/>
              </w:rPr>
            </w:pPr>
            <w:r w:rsidRPr="0087026D">
              <w:rPr>
                <w:rFonts w:ascii="Calibri" w:hAnsi="Calibri" w:cs="Calibri"/>
                <w:sz w:val="20"/>
                <w:szCs w:val="20"/>
              </w:rPr>
              <w:t>Lari</w:t>
            </w:r>
          </w:p>
        </w:tc>
        <w:tc>
          <w:tcPr>
            <w:tcW w:w="1134" w:type="dxa"/>
            <w:shd w:val="clear" w:color="auto" w:fill="auto"/>
          </w:tcPr>
          <w:p w:rsidR="00437C53" w:rsidRPr="0087026D" w:rsidRDefault="00437C53" w:rsidP="00E8475A">
            <w:pPr>
              <w:jc w:val="right"/>
              <w:rPr>
                <w:rFonts w:ascii="Calibri" w:hAnsi="Calibri" w:cs="Calibri"/>
                <w:sz w:val="20"/>
                <w:szCs w:val="20"/>
              </w:rPr>
            </w:pPr>
            <w:r w:rsidRPr="0087026D">
              <w:rPr>
                <w:rFonts w:ascii="Calibri" w:hAnsi="Calibri" w:cs="Calibri"/>
                <w:sz w:val="20"/>
                <w:szCs w:val="20"/>
              </w:rPr>
              <w:t>HMO</w:t>
            </w:r>
          </w:p>
        </w:tc>
      </w:tr>
      <w:tr w:rsidR="00437C53" w:rsidRPr="00A31C38" w:rsidTr="003557E3">
        <w:tc>
          <w:tcPr>
            <w:tcW w:w="2660" w:type="dxa"/>
            <w:shd w:val="clear" w:color="auto" w:fill="auto"/>
          </w:tcPr>
          <w:p w:rsidR="00437C53" w:rsidRPr="0087026D" w:rsidRDefault="00437C53" w:rsidP="009722ED">
            <w:pPr>
              <w:rPr>
                <w:rFonts w:ascii="Calibri" w:hAnsi="Calibri" w:cs="Calibri"/>
                <w:sz w:val="20"/>
                <w:szCs w:val="20"/>
              </w:rPr>
            </w:pPr>
            <w:r w:rsidRPr="0087026D">
              <w:rPr>
                <w:rFonts w:ascii="Calibri" w:hAnsi="Calibri" w:cs="Calibri"/>
                <w:sz w:val="20"/>
                <w:szCs w:val="20"/>
              </w:rPr>
              <w:t xml:space="preserve"> Moldova</w:t>
            </w:r>
          </w:p>
        </w:tc>
        <w:tc>
          <w:tcPr>
            <w:tcW w:w="850" w:type="dxa"/>
            <w:shd w:val="clear" w:color="auto" w:fill="auto"/>
          </w:tcPr>
          <w:p w:rsidR="00437C53" w:rsidRPr="0087026D" w:rsidRDefault="00437C53" w:rsidP="00E8475A">
            <w:pPr>
              <w:jc w:val="right"/>
              <w:rPr>
                <w:rFonts w:ascii="Calibri" w:hAnsi="Calibri" w:cs="Calibri"/>
                <w:sz w:val="20"/>
                <w:szCs w:val="20"/>
              </w:rPr>
            </w:pPr>
            <w:r w:rsidRPr="0087026D">
              <w:rPr>
                <w:rFonts w:ascii="Calibri" w:hAnsi="Calibri" w:cs="Calibri"/>
                <w:sz w:val="20"/>
                <w:szCs w:val="20"/>
              </w:rPr>
              <w:t>4.3</w:t>
            </w:r>
          </w:p>
        </w:tc>
        <w:tc>
          <w:tcPr>
            <w:tcW w:w="993" w:type="dxa"/>
            <w:shd w:val="clear" w:color="auto" w:fill="auto"/>
          </w:tcPr>
          <w:p w:rsidR="00437C53" w:rsidRPr="0087026D" w:rsidRDefault="00437C53" w:rsidP="00E8475A">
            <w:pPr>
              <w:jc w:val="right"/>
              <w:rPr>
                <w:rFonts w:ascii="Calibri" w:hAnsi="Calibri" w:cs="Calibri"/>
                <w:sz w:val="20"/>
                <w:szCs w:val="20"/>
              </w:rPr>
            </w:pPr>
            <w:r w:rsidRPr="0087026D">
              <w:rPr>
                <w:rFonts w:ascii="Calibri" w:hAnsi="Calibri" w:cs="Calibri"/>
                <w:sz w:val="20"/>
                <w:szCs w:val="20"/>
              </w:rPr>
              <w:t>1516</w:t>
            </w:r>
          </w:p>
        </w:tc>
        <w:tc>
          <w:tcPr>
            <w:tcW w:w="992" w:type="dxa"/>
            <w:shd w:val="clear" w:color="auto" w:fill="auto"/>
          </w:tcPr>
          <w:p w:rsidR="00437C53" w:rsidRPr="0087026D" w:rsidRDefault="00437C53" w:rsidP="00E8475A">
            <w:pPr>
              <w:jc w:val="right"/>
              <w:rPr>
                <w:rFonts w:ascii="Calibri" w:hAnsi="Calibri" w:cs="Calibri"/>
                <w:sz w:val="20"/>
                <w:szCs w:val="20"/>
              </w:rPr>
            </w:pPr>
            <w:r w:rsidRPr="0087026D">
              <w:rPr>
                <w:rFonts w:ascii="Calibri" w:hAnsi="Calibri" w:cs="Calibri"/>
                <w:sz w:val="20"/>
                <w:szCs w:val="20"/>
              </w:rPr>
              <w:t>ML</w:t>
            </w:r>
          </w:p>
        </w:tc>
        <w:tc>
          <w:tcPr>
            <w:tcW w:w="992" w:type="dxa"/>
            <w:shd w:val="clear" w:color="auto" w:fill="auto"/>
          </w:tcPr>
          <w:p w:rsidR="00437C53" w:rsidRPr="0087026D" w:rsidRDefault="00437C53" w:rsidP="00E8475A">
            <w:pPr>
              <w:jc w:val="right"/>
              <w:rPr>
                <w:rFonts w:ascii="Calibri" w:hAnsi="Calibri" w:cs="Calibri"/>
                <w:sz w:val="20"/>
                <w:szCs w:val="20"/>
              </w:rPr>
            </w:pPr>
            <w:r w:rsidRPr="0087026D">
              <w:rPr>
                <w:rFonts w:ascii="Calibri" w:hAnsi="Calibri" w:cs="Calibri"/>
                <w:sz w:val="20"/>
                <w:szCs w:val="20"/>
              </w:rPr>
              <w:t>32.8</w:t>
            </w:r>
          </w:p>
        </w:tc>
        <w:tc>
          <w:tcPr>
            <w:tcW w:w="2126" w:type="dxa"/>
          </w:tcPr>
          <w:p w:rsidR="00437C53" w:rsidRPr="0087026D" w:rsidRDefault="00437C53" w:rsidP="0087026D">
            <w:pPr>
              <w:rPr>
                <w:rFonts w:ascii="Calibri" w:hAnsi="Calibri" w:cs="Calibri"/>
                <w:sz w:val="20"/>
                <w:szCs w:val="20"/>
                <w:lang w:val="en-US" w:bidi="en-US"/>
              </w:rPr>
            </w:pPr>
            <w:r w:rsidRPr="0087026D">
              <w:rPr>
                <w:rFonts w:ascii="Calibri" w:hAnsi="Calibri" w:cs="Calibri"/>
                <w:sz w:val="20"/>
                <w:szCs w:val="20"/>
              </w:rPr>
              <w:t>Moldovan Leu</w:t>
            </w:r>
          </w:p>
        </w:tc>
        <w:tc>
          <w:tcPr>
            <w:tcW w:w="1134" w:type="dxa"/>
            <w:shd w:val="clear" w:color="auto" w:fill="auto"/>
          </w:tcPr>
          <w:p w:rsidR="00437C53" w:rsidRPr="0087026D" w:rsidRDefault="00437C53" w:rsidP="00E8475A">
            <w:pPr>
              <w:jc w:val="right"/>
              <w:rPr>
                <w:rFonts w:ascii="Calibri" w:hAnsi="Calibri" w:cs="Calibri"/>
                <w:sz w:val="20"/>
                <w:szCs w:val="20"/>
              </w:rPr>
            </w:pPr>
            <w:r w:rsidRPr="0087026D">
              <w:rPr>
                <w:rFonts w:ascii="Calibri" w:hAnsi="Calibri" w:cs="Calibri"/>
                <w:sz w:val="20"/>
                <w:szCs w:val="20"/>
              </w:rPr>
              <w:t>EHMO</w:t>
            </w:r>
          </w:p>
        </w:tc>
      </w:tr>
      <w:tr w:rsidR="00437C53" w:rsidRPr="00E8475A" w:rsidTr="003557E3">
        <w:tc>
          <w:tcPr>
            <w:tcW w:w="2660" w:type="dxa"/>
            <w:shd w:val="clear" w:color="auto" w:fill="auto"/>
          </w:tcPr>
          <w:p w:rsidR="00437C53" w:rsidRPr="0087026D" w:rsidRDefault="00437C53" w:rsidP="009722ED">
            <w:pPr>
              <w:rPr>
                <w:rFonts w:ascii="Calibri" w:hAnsi="Calibri" w:cs="Calibri"/>
                <w:sz w:val="20"/>
                <w:szCs w:val="20"/>
                <w:lang w:val="es-ES_tradnl"/>
              </w:rPr>
            </w:pPr>
            <w:r w:rsidRPr="0087026D">
              <w:rPr>
                <w:rFonts w:ascii="Calibri" w:hAnsi="Calibri" w:cs="Calibri"/>
                <w:sz w:val="20"/>
                <w:szCs w:val="20"/>
                <w:lang w:val="es-ES_tradnl"/>
              </w:rPr>
              <w:t xml:space="preserve"> Montenegro</w:t>
            </w:r>
          </w:p>
        </w:tc>
        <w:tc>
          <w:tcPr>
            <w:tcW w:w="850" w:type="dxa"/>
            <w:shd w:val="clear" w:color="auto" w:fill="auto"/>
          </w:tcPr>
          <w:p w:rsidR="00437C53" w:rsidRPr="0087026D" w:rsidRDefault="00437C53" w:rsidP="00E8475A">
            <w:pPr>
              <w:jc w:val="right"/>
              <w:rPr>
                <w:rFonts w:ascii="Calibri" w:hAnsi="Calibri" w:cs="Calibri"/>
                <w:sz w:val="20"/>
                <w:szCs w:val="20"/>
                <w:lang w:val="es-ES_tradnl"/>
              </w:rPr>
            </w:pPr>
            <w:r w:rsidRPr="0087026D">
              <w:rPr>
                <w:rFonts w:ascii="Calibri" w:hAnsi="Calibri" w:cs="Calibri"/>
                <w:sz w:val="20"/>
                <w:szCs w:val="20"/>
                <w:lang w:val="es-ES_tradnl"/>
              </w:rPr>
              <w:t>0.7</w:t>
            </w:r>
          </w:p>
        </w:tc>
        <w:tc>
          <w:tcPr>
            <w:tcW w:w="993" w:type="dxa"/>
            <w:shd w:val="clear" w:color="auto" w:fill="auto"/>
          </w:tcPr>
          <w:p w:rsidR="00437C53" w:rsidRPr="0087026D" w:rsidRDefault="00437C53" w:rsidP="00E8475A">
            <w:pPr>
              <w:jc w:val="right"/>
              <w:rPr>
                <w:rFonts w:ascii="Calibri" w:hAnsi="Calibri" w:cs="Calibri"/>
                <w:sz w:val="20"/>
                <w:szCs w:val="20"/>
                <w:lang w:val="es-ES_tradnl"/>
              </w:rPr>
            </w:pPr>
            <w:r w:rsidRPr="0087026D">
              <w:rPr>
                <w:rFonts w:ascii="Calibri" w:hAnsi="Calibri" w:cs="Calibri"/>
                <w:sz w:val="20"/>
                <w:szCs w:val="20"/>
                <w:lang w:val="es-ES_tradnl"/>
              </w:rPr>
              <w:t>6635</w:t>
            </w:r>
          </w:p>
        </w:tc>
        <w:tc>
          <w:tcPr>
            <w:tcW w:w="992" w:type="dxa"/>
            <w:shd w:val="clear" w:color="auto" w:fill="auto"/>
          </w:tcPr>
          <w:p w:rsidR="00437C53" w:rsidRPr="0087026D" w:rsidRDefault="00437C53" w:rsidP="00E8475A">
            <w:pPr>
              <w:jc w:val="right"/>
              <w:rPr>
                <w:rFonts w:ascii="Calibri" w:hAnsi="Calibri" w:cs="Calibri"/>
                <w:sz w:val="20"/>
                <w:szCs w:val="20"/>
                <w:lang w:val="es-ES_tradnl"/>
              </w:rPr>
            </w:pPr>
            <w:r w:rsidRPr="0087026D">
              <w:rPr>
                <w:rFonts w:ascii="Calibri" w:hAnsi="Calibri" w:cs="Calibri"/>
                <w:sz w:val="20"/>
                <w:szCs w:val="20"/>
                <w:lang w:val="es-ES_tradnl"/>
              </w:rPr>
              <w:t>MU</w:t>
            </w:r>
          </w:p>
        </w:tc>
        <w:tc>
          <w:tcPr>
            <w:tcW w:w="992" w:type="dxa"/>
            <w:shd w:val="clear" w:color="auto" w:fill="auto"/>
          </w:tcPr>
          <w:p w:rsidR="00437C53" w:rsidRPr="0087026D" w:rsidRDefault="00437C53" w:rsidP="00E8475A">
            <w:pPr>
              <w:jc w:val="right"/>
              <w:rPr>
                <w:rFonts w:ascii="Calibri" w:hAnsi="Calibri" w:cs="Calibri"/>
                <w:sz w:val="20"/>
                <w:szCs w:val="20"/>
                <w:lang w:val="es-ES_tradnl"/>
              </w:rPr>
            </w:pPr>
            <w:r w:rsidRPr="0087026D">
              <w:rPr>
                <w:rFonts w:ascii="Calibri" w:hAnsi="Calibri" w:cs="Calibri"/>
                <w:sz w:val="20"/>
                <w:szCs w:val="20"/>
                <w:lang w:val="es-ES_tradnl"/>
              </w:rPr>
              <w:t>-</w:t>
            </w:r>
          </w:p>
        </w:tc>
        <w:tc>
          <w:tcPr>
            <w:tcW w:w="2126" w:type="dxa"/>
          </w:tcPr>
          <w:p w:rsidR="00437C53" w:rsidRPr="0087026D" w:rsidRDefault="00437C53" w:rsidP="00437C53">
            <w:pPr>
              <w:rPr>
                <w:rFonts w:ascii="Calibri" w:hAnsi="Calibri" w:cs="Calibri"/>
                <w:sz w:val="20"/>
                <w:szCs w:val="20"/>
                <w:lang w:val="en-US" w:bidi="en-US"/>
              </w:rPr>
            </w:pPr>
            <w:r w:rsidRPr="0087026D">
              <w:rPr>
                <w:rFonts w:ascii="Calibri" w:hAnsi="Calibri" w:cs="Calibri"/>
                <w:sz w:val="20"/>
                <w:szCs w:val="20"/>
              </w:rPr>
              <w:t xml:space="preserve">Euro </w:t>
            </w:r>
          </w:p>
        </w:tc>
        <w:tc>
          <w:tcPr>
            <w:tcW w:w="1134" w:type="dxa"/>
            <w:shd w:val="clear" w:color="auto" w:fill="auto"/>
          </w:tcPr>
          <w:p w:rsidR="00437C53" w:rsidRPr="0087026D" w:rsidRDefault="00437C53" w:rsidP="00E8475A">
            <w:pPr>
              <w:jc w:val="right"/>
              <w:rPr>
                <w:rFonts w:ascii="Calibri" w:hAnsi="Calibri" w:cs="Calibri"/>
                <w:sz w:val="20"/>
                <w:szCs w:val="20"/>
                <w:lang w:val="es-ES_tradnl"/>
              </w:rPr>
            </w:pPr>
            <w:r w:rsidRPr="0087026D">
              <w:rPr>
                <w:rFonts w:ascii="Calibri" w:hAnsi="Calibri" w:cs="Calibri"/>
                <w:sz w:val="20"/>
                <w:szCs w:val="20"/>
                <w:lang w:val="es-ES_tradnl"/>
              </w:rPr>
              <w:t>EMO</w:t>
            </w:r>
          </w:p>
        </w:tc>
      </w:tr>
      <w:tr w:rsidR="00437C53" w:rsidRPr="00E8475A" w:rsidTr="003557E3">
        <w:tc>
          <w:tcPr>
            <w:tcW w:w="2660" w:type="dxa"/>
            <w:shd w:val="clear" w:color="auto" w:fill="auto"/>
          </w:tcPr>
          <w:p w:rsidR="00437C53" w:rsidRPr="0087026D" w:rsidRDefault="00437C53" w:rsidP="009722ED">
            <w:pPr>
              <w:rPr>
                <w:rFonts w:ascii="Calibri" w:hAnsi="Calibri" w:cs="Calibri"/>
                <w:sz w:val="20"/>
                <w:szCs w:val="20"/>
                <w:lang w:val="es-ES_tradnl"/>
              </w:rPr>
            </w:pPr>
            <w:r w:rsidRPr="0087026D">
              <w:rPr>
                <w:rFonts w:ascii="Calibri" w:hAnsi="Calibri" w:cs="Calibri"/>
                <w:sz w:val="20"/>
                <w:szCs w:val="20"/>
                <w:lang w:val="es-ES_tradnl"/>
              </w:rPr>
              <w:t xml:space="preserve"> Serbia</w:t>
            </w:r>
          </w:p>
        </w:tc>
        <w:tc>
          <w:tcPr>
            <w:tcW w:w="850" w:type="dxa"/>
            <w:shd w:val="clear" w:color="auto" w:fill="auto"/>
          </w:tcPr>
          <w:p w:rsidR="00437C53" w:rsidRPr="0087026D" w:rsidRDefault="00437C53" w:rsidP="00E8475A">
            <w:pPr>
              <w:jc w:val="right"/>
              <w:rPr>
                <w:rFonts w:ascii="Calibri" w:hAnsi="Calibri" w:cs="Calibri"/>
                <w:sz w:val="20"/>
                <w:szCs w:val="20"/>
                <w:lang w:val="es-ES_tradnl"/>
              </w:rPr>
            </w:pPr>
            <w:r w:rsidRPr="0087026D">
              <w:rPr>
                <w:rFonts w:ascii="Calibri" w:hAnsi="Calibri" w:cs="Calibri"/>
                <w:sz w:val="20"/>
                <w:szCs w:val="20"/>
                <w:lang w:val="es-ES_tradnl"/>
              </w:rPr>
              <w:t>7.3</w:t>
            </w:r>
          </w:p>
        </w:tc>
        <w:tc>
          <w:tcPr>
            <w:tcW w:w="993" w:type="dxa"/>
            <w:shd w:val="clear" w:color="auto" w:fill="auto"/>
          </w:tcPr>
          <w:p w:rsidR="00437C53" w:rsidRPr="0087026D" w:rsidRDefault="00437C53" w:rsidP="00E8475A">
            <w:pPr>
              <w:jc w:val="right"/>
              <w:rPr>
                <w:rFonts w:ascii="Calibri" w:hAnsi="Calibri" w:cs="Calibri"/>
                <w:sz w:val="20"/>
                <w:szCs w:val="20"/>
                <w:lang w:val="es-ES_tradnl"/>
              </w:rPr>
            </w:pPr>
            <w:r w:rsidRPr="0087026D">
              <w:rPr>
                <w:rFonts w:ascii="Calibri" w:hAnsi="Calibri" w:cs="Calibri"/>
                <w:sz w:val="20"/>
                <w:szCs w:val="20"/>
                <w:lang w:val="es-ES_tradnl"/>
              </w:rPr>
              <w:t>5872</w:t>
            </w:r>
          </w:p>
        </w:tc>
        <w:tc>
          <w:tcPr>
            <w:tcW w:w="992" w:type="dxa"/>
            <w:shd w:val="clear" w:color="auto" w:fill="auto"/>
          </w:tcPr>
          <w:p w:rsidR="00437C53" w:rsidRPr="0087026D" w:rsidRDefault="00437C53" w:rsidP="00E8475A">
            <w:pPr>
              <w:jc w:val="right"/>
              <w:rPr>
                <w:rFonts w:ascii="Calibri" w:hAnsi="Calibri" w:cs="Calibri"/>
                <w:sz w:val="20"/>
                <w:szCs w:val="20"/>
                <w:lang w:val="es-ES_tradnl"/>
              </w:rPr>
            </w:pPr>
            <w:r w:rsidRPr="0087026D">
              <w:rPr>
                <w:rFonts w:ascii="Calibri" w:hAnsi="Calibri" w:cs="Calibri"/>
                <w:sz w:val="20"/>
                <w:szCs w:val="20"/>
                <w:lang w:val="es-ES_tradnl"/>
              </w:rPr>
              <w:t>MU</w:t>
            </w:r>
          </w:p>
        </w:tc>
        <w:tc>
          <w:tcPr>
            <w:tcW w:w="992" w:type="dxa"/>
            <w:shd w:val="clear" w:color="auto" w:fill="auto"/>
          </w:tcPr>
          <w:p w:rsidR="00437C53" w:rsidRPr="0087026D" w:rsidRDefault="00437C53" w:rsidP="00E8475A">
            <w:pPr>
              <w:jc w:val="right"/>
              <w:rPr>
                <w:rFonts w:ascii="Calibri" w:hAnsi="Calibri" w:cs="Calibri"/>
                <w:sz w:val="20"/>
                <w:szCs w:val="20"/>
                <w:lang w:val="es-ES_tradnl"/>
              </w:rPr>
            </w:pPr>
            <w:r w:rsidRPr="0087026D">
              <w:rPr>
                <w:rFonts w:ascii="Calibri" w:hAnsi="Calibri" w:cs="Calibri"/>
                <w:sz w:val="20"/>
                <w:szCs w:val="20"/>
                <w:lang w:val="es-ES_tradnl"/>
              </w:rPr>
              <w:t>38.3</w:t>
            </w:r>
          </w:p>
        </w:tc>
        <w:tc>
          <w:tcPr>
            <w:tcW w:w="2126" w:type="dxa"/>
          </w:tcPr>
          <w:p w:rsidR="00437C53" w:rsidRPr="0087026D" w:rsidRDefault="00437C53" w:rsidP="00437C53">
            <w:pPr>
              <w:rPr>
                <w:rFonts w:ascii="Calibri" w:hAnsi="Calibri" w:cs="Calibri"/>
                <w:sz w:val="20"/>
                <w:szCs w:val="20"/>
                <w:lang w:val="es-ES_tradnl"/>
              </w:rPr>
            </w:pPr>
            <w:r w:rsidRPr="0087026D">
              <w:rPr>
                <w:rFonts w:ascii="Calibri" w:hAnsi="Calibri" w:cs="Calibri"/>
                <w:sz w:val="20"/>
                <w:szCs w:val="20"/>
              </w:rPr>
              <w:t>Serbian Dinar</w:t>
            </w:r>
          </w:p>
        </w:tc>
        <w:tc>
          <w:tcPr>
            <w:tcW w:w="1134" w:type="dxa"/>
            <w:shd w:val="clear" w:color="auto" w:fill="auto"/>
          </w:tcPr>
          <w:p w:rsidR="00437C53" w:rsidRPr="0087026D" w:rsidRDefault="00437C53" w:rsidP="00E8475A">
            <w:pPr>
              <w:jc w:val="right"/>
              <w:rPr>
                <w:rFonts w:ascii="Calibri" w:hAnsi="Calibri" w:cs="Calibri"/>
                <w:sz w:val="20"/>
                <w:szCs w:val="20"/>
                <w:lang w:val="es-ES_tradnl"/>
              </w:rPr>
            </w:pPr>
            <w:r w:rsidRPr="0087026D">
              <w:rPr>
                <w:rFonts w:ascii="Calibri" w:hAnsi="Calibri" w:cs="Calibri"/>
                <w:sz w:val="20"/>
                <w:szCs w:val="20"/>
                <w:lang w:val="es-ES_tradnl"/>
              </w:rPr>
              <w:t>EHMO</w:t>
            </w:r>
          </w:p>
        </w:tc>
      </w:tr>
      <w:tr w:rsidR="00437C53" w:rsidRPr="00A31C38" w:rsidTr="003557E3">
        <w:tc>
          <w:tcPr>
            <w:tcW w:w="2660" w:type="dxa"/>
            <w:shd w:val="clear" w:color="auto" w:fill="auto"/>
          </w:tcPr>
          <w:p w:rsidR="00437C53" w:rsidRPr="0087026D" w:rsidRDefault="00437C53" w:rsidP="009722ED">
            <w:pPr>
              <w:rPr>
                <w:rFonts w:ascii="Calibri" w:hAnsi="Calibri" w:cs="Calibri"/>
                <w:sz w:val="20"/>
                <w:szCs w:val="20"/>
              </w:rPr>
            </w:pPr>
            <w:r w:rsidRPr="0087026D">
              <w:rPr>
                <w:rFonts w:ascii="Calibri" w:hAnsi="Calibri" w:cs="Calibri"/>
                <w:sz w:val="20"/>
                <w:szCs w:val="20"/>
              </w:rPr>
              <w:t xml:space="preserve"> Ukraine </w:t>
            </w:r>
          </w:p>
        </w:tc>
        <w:tc>
          <w:tcPr>
            <w:tcW w:w="850" w:type="dxa"/>
            <w:shd w:val="clear" w:color="auto" w:fill="auto"/>
          </w:tcPr>
          <w:p w:rsidR="00437C53" w:rsidRPr="0087026D" w:rsidRDefault="00437C53" w:rsidP="00E8475A">
            <w:pPr>
              <w:jc w:val="right"/>
              <w:rPr>
                <w:rFonts w:ascii="Calibri" w:hAnsi="Calibri" w:cs="Calibri"/>
                <w:sz w:val="20"/>
                <w:szCs w:val="20"/>
              </w:rPr>
            </w:pPr>
            <w:r w:rsidRPr="0087026D">
              <w:rPr>
                <w:rFonts w:ascii="Calibri" w:hAnsi="Calibri" w:cs="Calibri"/>
                <w:sz w:val="20"/>
                <w:szCs w:val="20"/>
              </w:rPr>
              <w:t>45.4</w:t>
            </w:r>
          </w:p>
        </w:tc>
        <w:tc>
          <w:tcPr>
            <w:tcW w:w="993" w:type="dxa"/>
            <w:shd w:val="clear" w:color="auto" w:fill="auto"/>
          </w:tcPr>
          <w:p w:rsidR="00437C53" w:rsidRPr="0087026D" w:rsidRDefault="00437C53" w:rsidP="00E8475A">
            <w:pPr>
              <w:jc w:val="right"/>
              <w:rPr>
                <w:rFonts w:ascii="Calibri" w:hAnsi="Calibri" w:cs="Calibri"/>
                <w:sz w:val="20"/>
                <w:szCs w:val="20"/>
              </w:rPr>
            </w:pPr>
            <w:r w:rsidRPr="0087026D">
              <w:rPr>
                <w:rFonts w:ascii="Calibri" w:hAnsi="Calibri" w:cs="Calibri"/>
                <w:sz w:val="20"/>
                <w:szCs w:val="20"/>
              </w:rPr>
              <w:t>2468</w:t>
            </w:r>
          </w:p>
        </w:tc>
        <w:tc>
          <w:tcPr>
            <w:tcW w:w="992" w:type="dxa"/>
            <w:shd w:val="clear" w:color="auto" w:fill="auto"/>
          </w:tcPr>
          <w:p w:rsidR="00437C53" w:rsidRPr="0087026D" w:rsidRDefault="00437C53" w:rsidP="00E8475A">
            <w:pPr>
              <w:jc w:val="right"/>
              <w:rPr>
                <w:rFonts w:ascii="Calibri" w:hAnsi="Calibri" w:cs="Calibri"/>
                <w:sz w:val="20"/>
                <w:szCs w:val="20"/>
              </w:rPr>
            </w:pPr>
            <w:r w:rsidRPr="0087026D">
              <w:rPr>
                <w:rFonts w:ascii="Calibri" w:hAnsi="Calibri" w:cs="Calibri"/>
                <w:sz w:val="20"/>
                <w:szCs w:val="20"/>
              </w:rPr>
              <w:t>ML</w:t>
            </w:r>
          </w:p>
        </w:tc>
        <w:tc>
          <w:tcPr>
            <w:tcW w:w="992" w:type="dxa"/>
            <w:shd w:val="clear" w:color="auto" w:fill="auto"/>
          </w:tcPr>
          <w:p w:rsidR="00437C53" w:rsidRPr="0087026D" w:rsidRDefault="00437C53" w:rsidP="00E8475A">
            <w:pPr>
              <w:jc w:val="right"/>
              <w:rPr>
                <w:rFonts w:ascii="Calibri" w:hAnsi="Calibri" w:cs="Calibri"/>
                <w:sz w:val="20"/>
                <w:szCs w:val="20"/>
              </w:rPr>
            </w:pPr>
            <w:r w:rsidRPr="0087026D">
              <w:rPr>
                <w:rFonts w:ascii="Calibri" w:hAnsi="Calibri" w:cs="Calibri"/>
                <w:sz w:val="20"/>
                <w:szCs w:val="20"/>
              </w:rPr>
              <w:t>37.3</w:t>
            </w:r>
          </w:p>
        </w:tc>
        <w:tc>
          <w:tcPr>
            <w:tcW w:w="2126" w:type="dxa"/>
          </w:tcPr>
          <w:p w:rsidR="00437C53" w:rsidRPr="0087026D" w:rsidRDefault="00437C53" w:rsidP="00437C53">
            <w:pPr>
              <w:rPr>
                <w:rFonts w:ascii="Calibri" w:hAnsi="Calibri" w:cs="Calibri"/>
                <w:sz w:val="20"/>
                <w:szCs w:val="20"/>
              </w:rPr>
            </w:pPr>
            <w:r w:rsidRPr="0087026D">
              <w:rPr>
                <w:rFonts w:ascii="Calibri" w:hAnsi="Calibri" w:cs="Calibri"/>
                <w:sz w:val="20"/>
                <w:szCs w:val="20"/>
              </w:rPr>
              <w:t>Hryvnia</w:t>
            </w:r>
          </w:p>
        </w:tc>
        <w:tc>
          <w:tcPr>
            <w:tcW w:w="1134" w:type="dxa"/>
            <w:shd w:val="clear" w:color="auto" w:fill="auto"/>
          </w:tcPr>
          <w:p w:rsidR="00437C53" w:rsidRPr="0087026D" w:rsidRDefault="00437C53" w:rsidP="00E8475A">
            <w:pPr>
              <w:jc w:val="right"/>
              <w:rPr>
                <w:rFonts w:ascii="Calibri" w:hAnsi="Calibri" w:cs="Calibri"/>
                <w:sz w:val="20"/>
                <w:szCs w:val="20"/>
              </w:rPr>
            </w:pPr>
            <w:r w:rsidRPr="0087026D">
              <w:rPr>
                <w:rFonts w:ascii="Calibri" w:hAnsi="Calibri" w:cs="Calibri"/>
                <w:sz w:val="20"/>
                <w:szCs w:val="20"/>
              </w:rPr>
              <w:t>EHMO</w:t>
            </w:r>
          </w:p>
        </w:tc>
      </w:tr>
    </w:tbl>
    <w:p w:rsidR="00BE11B3" w:rsidRDefault="00CE57FB" w:rsidP="002C2168">
      <w:pPr>
        <w:rPr>
          <w:rFonts w:ascii="Calibri" w:hAnsi="Calibri" w:cs="Calibri"/>
          <w:sz w:val="20"/>
          <w:szCs w:val="20"/>
        </w:rPr>
      </w:pPr>
      <w:r w:rsidRPr="00E8475A">
        <w:rPr>
          <w:rFonts w:ascii="Calibri" w:hAnsi="Calibri" w:cs="Calibri"/>
          <w:sz w:val="20"/>
          <w:szCs w:val="20"/>
        </w:rPr>
        <w:t>Source: World Bank and PSI data, through PSIRU website</w:t>
      </w:r>
      <w:r w:rsidR="009722ED" w:rsidRPr="00E8475A">
        <w:rPr>
          <w:rStyle w:val="EndnoteReference"/>
          <w:rFonts w:ascii="Calibri" w:hAnsi="Calibri" w:cs="Calibri"/>
          <w:sz w:val="20"/>
          <w:szCs w:val="20"/>
        </w:rPr>
        <w:endnoteReference w:id="2"/>
      </w:r>
    </w:p>
    <w:p w:rsidR="00437C53" w:rsidRPr="00E8475A" w:rsidRDefault="00437C53" w:rsidP="00437C53">
      <w:pPr>
        <w:rPr>
          <w:rFonts w:ascii="Calibri" w:hAnsi="Calibri" w:cs="Calibri"/>
          <w:sz w:val="20"/>
          <w:szCs w:val="20"/>
        </w:rPr>
      </w:pPr>
      <w:r>
        <w:rPr>
          <w:rFonts w:ascii="Calibri" w:hAnsi="Calibri" w:cs="Calibri"/>
          <w:sz w:val="20"/>
          <w:szCs w:val="20"/>
        </w:rPr>
        <w:t>*</w:t>
      </w:r>
      <w:r w:rsidRPr="00E8475A">
        <w:rPr>
          <w:rFonts w:ascii="Calibri" w:hAnsi="Calibri" w:cs="Calibri"/>
          <w:sz w:val="20"/>
          <w:szCs w:val="20"/>
        </w:rPr>
        <w:t>H</w:t>
      </w:r>
      <w:r>
        <w:rPr>
          <w:rFonts w:ascii="Calibri" w:hAnsi="Calibri" w:cs="Calibri"/>
          <w:sz w:val="20"/>
          <w:szCs w:val="20"/>
        </w:rPr>
        <w:t>igh, Middle-lower, Middle-upper ** Energy</w:t>
      </w:r>
      <w:proofErr w:type="gramStart"/>
      <w:r>
        <w:rPr>
          <w:rFonts w:ascii="Calibri" w:hAnsi="Calibri" w:cs="Calibri"/>
          <w:sz w:val="20"/>
          <w:szCs w:val="20"/>
        </w:rPr>
        <w:t>,Health</w:t>
      </w:r>
      <w:proofErr w:type="gramEnd"/>
      <w:r>
        <w:rPr>
          <w:rFonts w:ascii="Calibri" w:hAnsi="Calibri" w:cs="Calibri"/>
          <w:sz w:val="20"/>
          <w:szCs w:val="20"/>
        </w:rPr>
        <w:t>, Municipal, Other</w:t>
      </w:r>
    </w:p>
    <w:p w:rsidR="00CB23C3" w:rsidRDefault="00CB23C3" w:rsidP="00F777A0"/>
    <w:p w:rsidR="00F777A0" w:rsidRDefault="00CB23C3" w:rsidP="00F777A0">
      <w:r>
        <w:t xml:space="preserve">Most countries were </w:t>
      </w:r>
      <w:r w:rsidR="00F777A0">
        <w:t>badly hit by the economic crisis in 2009, but recovered in 2010</w:t>
      </w:r>
      <w:r>
        <w:t>,</w:t>
      </w:r>
      <w:r w:rsidR="00F777A0">
        <w:t xml:space="preserve"> and </w:t>
      </w:r>
      <w:r>
        <w:t>are</w:t>
      </w:r>
      <w:r w:rsidR="00F777A0">
        <w:t xml:space="preserve"> expected to continue to grow in 2011</w:t>
      </w:r>
      <w:r>
        <w:t xml:space="preserve">. This recovery </w:t>
      </w:r>
      <w:r w:rsidR="00F777A0">
        <w:t>mainly reflect</w:t>
      </w:r>
      <w:r>
        <w:t>s</w:t>
      </w:r>
      <w:r w:rsidR="00F777A0">
        <w:t xml:space="preserve"> the </w:t>
      </w:r>
      <w:r>
        <w:t xml:space="preserve">return to </w:t>
      </w:r>
      <w:r w:rsidR="00F777A0">
        <w:t xml:space="preserve">economic growth </w:t>
      </w:r>
      <w:proofErr w:type="gramStart"/>
      <w:r w:rsidR="00F777A0">
        <w:t>of  Russia</w:t>
      </w:r>
      <w:proofErr w:type="gramEnd"/>
      <w:r w:rsidR="00F777A0">
        <w:t xml:space="preserve"> and Turkey, the main economies in the region.</w:t>
      </w:r>
    </w:p>
    <w:p w:rsidR="00F777A0" w:rsidRDefault="00F777A0" w:rsidP="00F777A0"/>
    <w:p w:rsidR="00F777A0" w:rsidRPr="000032FE" w:rsidRDefault="00F777A0" w:rsidP="00F777A0">
      <w:pPr>
        <w:pStyle w:val="Heading7"/>
      </w:pPr>
      <w:bookmarkStart w:id="8" w:name="_Toc305768495"/>
      <w:r>
        <w:t>Crisis and economic growth 2009-2011</w:t>
      </w:r>
      <w:bookmarkEnd w:id="8"/>
    </w:p>
    <w:tbl>
      <w:tblPr>
        <w:tblW w:w="0" w:type="auto"/>
        <w:tblBorders>
          <w:top w:val="nil"/>
          <w:left w:val="nil"/>
          <w:bottom w:val="nil"/>
          <w:right w:val="nil"/>
        </w:tblBorders>
        <w:tblLayout w:type="fixed"/>
        <w:tblLook w:val="0000"/>
      </w:tblPr>
      <w:tblGrid>
        <w:gridCol w:w="2126"/>
        <w:gridCol w:w="1501"/>
        <w:gridCol w:w="1501"/>
        <w:gridCol w:w="1501"/>
      </w:tblGrid>
      <w:tr w:rsidR="00F777A0" w:rsidTr="00932B19">
        <w:trPr>
          <w:trHeight w:val="52"/>
        </w:trPr>
        <w:tc>
          <w:tcPr>
            <w:tcW w:w="2126" w:type="dxa"/>
            <w:tcBorders>
              <w:top w:val="single" w:sz="4" w:space="0" w:color="auto"/>
              <w:left w:val="single" w:sz="6" w:space="0" w:color="auto"/>
              <w:bottom w:val="single" w:sz="6" w:space="0" w:color="auto"/>
              <w:right w:val="single" w:sz="6" w:space="0" w:color="auto"/>
            </w:tcBorders>
          </w:tcPr>
          <w:p w:rsidR="00F777A0" w:rsidRPr="00F777A0" w:rsidRDefault="00F777A0" w:rsidP="00932B19">
            <w:pPr>
              <w:rPr>
                <w:rFonts w:ascii="Calibri" w:hAnsi="Calibri" w:cs="Calibri"/>
                <w:sz w:val="20"/>
                <w:szCs w:val="20"/>
              </w:rPr>
            </w:pPr>
            <w:r w:rsidRPr="00F777A0">
              <w:rPr>
                <w:rFonts w:ascii="Calibri" w:hAnsi="Calibri" w:cs="Calibri"/>
                <w:b/>
                <w:bCs/>
                <w:color w:val="233F5F"/>
                <w:sz w:val="20"/>
                <w:szCs w:val="20"/>
              </w:rPr>
              <w:t>Country</w:t>
            </w:r>
          </w:p>
        </w:tc>
        <w:tc>
          <w:tcPr>
            <w:tcW w:w="1501" w:type="dxa"/>
            <w:tcBorders>
              <w:top w:val="single" w:sz="4" w:space="0" w:color="auto"/>
              <w:left w:val="single" w:sz="6" w:space="0" w:color="auto"/>
              <w:bottom w:val="single" w:sz="6" w:space="0" w:color="auto"/>
              <w:right w:val="single" w:sz="6" w:space="0" w:color="auto"/>
            </w:tcBorders>
          </w:tcPr>
          <w:p w:rsidR="00F777A0" w:rsidRPr="00F777A0" w:rsidRDefault="00F777A0" w:rsidP="00932B19">
            <w:pPr>
              <w:jc w:val="right"/>
              <w:rPr>
                <w:rFonts w:ascii="Calibri" w:hAnsi="Calibri" w:cs="Calibri"/>
                <w:sz w:val="20"/>
                <w:szCs w:val="20"/>
              </w:rPr>
            </w:pPr>
            <w:r w:rsidRPr="00F777A0">
              <w:rPr>
                <w:rFonts w:ascii="Calibri" w:hAnsi="Calibri" w:cs="Calibri"/>
                <w:sz w:val="20"/>
                <w:szCs w:val="20"/>
              </w:rPr>
              <w:t>2009</w:t>
            </w:r>
          </w:p>
          <w:p w:rsidR="00F777A0" w:rsidRPr="00F777A0" w:rsidRDefault="00F777A0" w:rsidP="00932B19">
            <w:pPr>
              <w:jc w:val="right"/>
              <w:rPr>
                <w:rFonts w:ascii="Calibri" w:hAnsi="Calibri" w:cs="Calibri"/>
                <w:sz w:val="20"/>
                <w:szCs w:val="20"/>
              </w:rPr>
            </w:pPr>
            <w:r w:rsidRPr="00F777A0">
              <w:rPr>
                <w:rFonts w:ascii="Calibri" w:hAnsi="Calibri" w:cs="Calibri"/>
                <w:sz w:val="20"/>
                <w:szCs w:val="20"/>
              </w:rPr>
              <w:t>(actual)</w:t>
            </w:r>
          </w:p>
        </w:tc>
        <w:tc>
          <w:tcPr>
            <w:tcW w:w="1501" w:type="dxa"/>
            <w:tcBorders>
              <w:top w:val="single" w:sz="4" w:space="0" w:color="auto"/>
              <w:left w:val="single" w:sz="6" w:space="0" w:color="auto"/>
              <w:bottom w:val="single" w:sz="6" w:space="0" w:color="auto"/>
              <w:right w:val="single" w:sz="6" w:space="0" w:color="auto"/>
            </w:tcBorders>
          </w:tcPr>
          <w:p w:rsidR="00F777A0" w:rsidRPr="00F777A0" w:rsidRDefault="00F777A0" w:rsidP="00932B19">
            <w:pPr>
              <w:jc w:val="right"/>
              <w:rPr>
                <w:rFonts w:ascii="Calibri" w:hAnsi="Calibri" w:cs="Calibri"/>
                <w:sz w:val="20"/>
                <w:szCs w:val="20"/>
              </w:rPr>
            </w:pPr>
            <w:r w:rsidRPr="00F777A0">
              <w:rPr>
                <w:rFonts w:ascii="Calibri" w:hAnsi="Calibri" w:cs="Calibri"/>
                <w:sz w:val="20"/>
                <w:szCs w:val="20"/>
              </w:rPr>
              <w:t>2010</w:t>
            </w:r>
          </w:p>
          <w:p w:rsidR="00F777A0" w:rsidRPr="00F777A0" w:rsidRDefault="00F777A0" w:rsidP="00932B19">
            <w:pPr>
              <w:jc w:val="right"/>
              <w:rPr>
                <w:rFonts w:ascii="Calibri" w:hAnsi="Calibri" w:cs="Calibri"/>
                <w:sz w:val="20"/>
                <w:szCs w:val="20"/>
              </w:rPr>
            </w:pPr>
            <w:r w:rsidRPr="00F777A0">
              <w:rPr>
                <w:rFonts w:ascii="Calibri" w:hAnsi="Calibri" w:cs="Calibri"/>
                <w:sz w:val="20"/>
                <w:szCs w:val="20"/>
              </w:rPr>
              <w:t>(estimated)</w:t>
            </w:r>
          </w:p>
        </w:tc>
        <w:tc>
          <w:tcPr>
            <w:tcW w:w="1501" w:type="dxa"/>
            <w:tcBorders>
              <w:top w:val="single" w:sz="4" w:space="0" w:color="auto"/>
              <w:left w:val="single" w:sz="6" w:space="0" w:color="auto"/>
              <w:bottom w:val="single" w:sz="6" w:space="0" w:color="auto"/>
              <w:right w:val="single" w:sz="6" w:space="0" w:color="auto"/>
            </w:tcBorders>
          </w:tcPr>
          <w:p w:rsidR="00F777A0" w:rsidRPr="00F777A0" w:rsidRDefault="00F777A0" w:rsidP="00932B19">
            <w:pPr>
              <w:jc w:val="right"/>
              <w:rPr>
                <w:rFonts w:ascii="Calibri" w:hAnsi="Calibri" w:cs="Calibri"/>
                <w:sz w:val="20"/>
                <w:szCs w:val="20"/>
              </w:rPr>
            </w:pPr>
            <w:r w:rsidRPr="00F777A0">
              <w:rPr>
                <w:rFonts w:ascii="Calibri" w:hAnsi="Calibri" w:cs="Calibri"/>
                <w:sz w:val="20"/>
                <w:szCs w:val="20"/>
              </w:rPr>
              <w:t>2011</w:t>
            </w:r>
          </w:p>
          <w:p w:rsidR="00F777A0" w:rsidRPr="00F777A0" w:rsidRDefault="00F777A0" w:rsidP="00932B19">
            <w:pPr>
              <w:jc w:val="right"/>
              <w:rPr>
                <w:rFonts w:ascii="Calibri" w:hAnsi="Calibri" w:cs="Calibri"/>
                <w:sz w:val="20"/>
                <w:szCs w:val="20"/>
              </w:rPr>
            </w:pPr>
            <w:r w:rsidRPr="00F777A0">
              <w:rPr>
                <w:rFonts w:ascii="Calibri" w:hAnsi="Calibri" w:cs="Calibri"/>
                <w:sz w:val="20"/>
                <w:szCs w:val="20"/>
              </w:rPr>
              <w:t>(forecast)</w:t>
            </w:r>
          </w:p>
        </w:tc>
      </w:tr>
      <w:tr w:rsidR="00F777A0" w:rsidTr="00932B19">
        <w:trPr>
          <w:trHeight w:val="96"/>
        </w:trPr>
        <w:tc>
          <w:tcPr>
            <w:tcW w:w="2126" w:type="dxa"/>
            <w:tcBorders>
              <w:top w:val="single" w:sz="6" w:space="0" w:color="auto"/>
              <w:left w:val="single" w:sz="6" w:space="0" w:color="auto"/>
              <w:bottom w:val="single" w:sz="6" w:space="0" w:color="auto"/>
              <w:right w:val="single" w:sz="6" w:space="0" w:color="auto"/>
            </w:tcBorders>
          </w:tcPr>
          <w:p w:rsidR="00F777A0" w:rsidRPr="00F777A0" w:rsidRDefault="00F777A0" w:rsidP="00932B19">
            <w:pPr>
              <w:rPr>
                <w:rFonts w:ascii="Calibri" w:hAnsi="Calibri" w:cs="Calibri"/>
                <w:color w:val="233F5F"/>
                <w:sz w:val="20"/>
                <w:szCs w:val="20"/>
              </w:rPr>
            </w:pPr>
            <w:r w:rsidRPr="00F777A0">
              <w:rPr>
                <w:rFonts w:ascii="Calibri" w:hAnsi="Calibri" w:cs="Calibri"/>
                <w:b/>
                <w:bCs/>
                <w:color w:val="233F5F"/>
                <w:sz w:val="20"/>
                <w:szCs w:val="20"/>
              </w:rPr>
              <w:t>Albania</w:t>
            </w:r>
          </w:p>
        </w:tc>
        <w:tc>
          <w:tcPr>
            <w:tcW w:w="1501" w:type="dxa"/>
            <w:tcBorders>
              <w:top w:val="single" w:sz="6" w:space="0" w:color="auto"/>
              <w:left w:val="single" w:sz="6" w:space="0" w:color="auto"/>
              <w:bottom w:val="single" w:sz="6" w:space="0" w:color="auto"/>
              <w:right w:val="single" w:sz="6" w:space="0" w:color="auto"/>
            </w:tcBorders>
            <w:vAlign w:val="center"/>
          </w:tcPr>
          <w:p w:rsidR="00F777A0" w:rsidRPr="00F777A0" w:rsidRDefault="00F777A0" w:rsidP="00932B19">
            <w:pPr>
              <w:jc w:val="right"/>
              <w:rPr>
                <w:rFonts w:ascii="Calibri" w:hAnsi="Calibri" w:cs="Calibri"/>
                <w:color w:val="233F5F"/>
                <w:sz w:val="20"/>
                <w:szCs w:val="20"/>
              </w:rPr>
            </w:pPr>
            <w:r w:rsidRPr="00F777A0">
              <w:rPr>
                <w:rFonts w:ascii="Calibri" w:hAnsi="Calibri" w:cs="Calibri"/>
                <w:color w:val="233F5F"/>
                <w:sz w:val="20"/>
                <w:szCs w:val="20"/>
              </w:rPr>
              <w:t xml:space="preserve">2.5 </w:t>
            </w:r>
          </w:p>
        </w:tc>
        <w:tc>
          <w:tcPr>
            <w:tcW w:w="1501" w:type="dxa"/>
            <w:tcBorders>
              <w:top w:val="single" w:sz="6" w:space="0" w:color="auto"/>
              <w:left w:val="single" w:sz="6" w:space="0" w:color="auto"/>
              <w:bottom w:val="single" w:sz="6" w:space="0" w:color="auto"/>
              <w:right w:val="single" w:sz="6" w:space="0" w:color="auto"/>
            </w:tcBorders>
            <w:vAlign w:val="center"/>
          </w:tcPr>
          <w:p w:rsidR="00F777A0" w:rsidRPr="00F777A0" w:rsidRDefault="00F777A0" w:rsidP="00932B19">
            <w:pPr>
              <w:jc w:val="right"/>
              <w:rPr>
                <w:rFonts w:ascii="Calibri" w:hAnsi="Calibri" w:cs="Calibri"/>
                <w:color w:val="233F5F"/>
                <w:sz w:val="20"/>
                <w:szCs w:val="20"/>
              </w:rPr>
            </w:pPr>
            <w:r w:rsidRPr="00F777A0">
              <w:rPr>
                <w:rFonts w:ascii="Calibri" w:hAnsi="Calibri" w:cs="Calibri"/>
                <w:color w:val="233F5F"/>
                <w:sz w:val="20"/>
                <w:szCs w:val="20"/>
              </w:rPr>
              <w:t xml:space="preserve">3.0 </w:t>
            </w:r>
          </w:p>
        </w:tc>
        <w:tc>
          <w:tcPr>
            <w:tcW w:w="1501" w:type="dxa"/>
            <w:tcBorders>
              <w:top w:val="single" w:sz="6" w:space="0" w:color="auto"/>
              <w:left w:val="single" w:sz="6" w:space="0" w:color="auto"/>
              <w:bottom w:val="single" w:sz="6" w:space="0" w:color="auto"/>
              <w:right w:val="single" w:sz="6" w:space="0" w:color="auto"/>
            </w:tcBorders>
            <w:vAlign w:val="center"/>
          </w:tcPr>
          <w:p w:rsidR="00F777A0" w:rsidRPr="00F777A0" w:rsidRDefault="00F777A0" w:rsidP="00932B19">
            <w:pPr>
              <w:jc w:val="right"/>
              <w:rPr>
                <w:rFonts w:ascii="Calibri" w:hAnsi="Calibri" w:cs="Calibri"/>
                <w:color w:val="233F5F"/>
                <w:sz w:val="20"/>
                <w:szCs w:val="20"/>
              </w:rPr>
            </w:pPr>
            <w:r w:rsidRPr="00F777A0">
              <w:rPr>
                <w:rFonts w:ascii="Calibri" w:hAnsi="Calibri" w:cs="Calibri"/>
                <w:color w:val="233F5F"/>
                <w:sz w:val="20"/>
                <w:szCs w:val="20"/>
              </w:rPr>
              <w:t xml:space="preserve">3.7 </w:t>
            </w:r>
          </w:p>
        </w:tc>
      </w:tr>
      <w:tr w:rsidR="00F777A0" w:rsidTr="00932B19">
        <w:trPr>
          <w:trHeight w:val="97"/>
        </w:trPr>
        <w:tc>
          <w:tcPr>
            <w:tcW w:w="2126" w:type="dxa"/>
            <w:tcBorders>
              <w:top w:val="single" w:sz="6" w:space="0" w:color="auto"/>
              <w:left w:val="single" w:sz="6" w:space="0" w:color="auto"/>
              <w:bottom w:val="single" w:sz="6" w:space="0" w:color="auto"/>
              <w:right w:val="single" w:sz="6" w:space="0" w:color="auto"/>
            </w:tcBorders>
          </w:tcPr>
          <w:p w:rsidR="00F777A0" w:rsidRPr="00F777A0" w:rsidRDefault="00F777A0" w:rsidP="00932B19">
            <w:pPr>
              <w:rPr>
                <w:rFonts w:ascii="Calibri" w:hAnsi="Calibri" w:cs="Calibri"/>
                <w:color w:val="233F5F"/>
                <w:sz w:val="20"/>
                <w:szCs w:val="20"/>
              </w:rPr>
            </w:pPr>
            <w:r w:rsidRPr="00F777A0">
              <w:rPr>
                <w:rFonts w:ascii="Calibri" w:hAnsi="Calibri" w:cs="Calibri"/>
                <w:b/>
                <w:bCs/>
                <w:color w:val="233F5F"/>
                <w:sz w:val="20"/>
                <w:szCs w:val="20"/>
              </w:rPr>
              <w:t>Armenia</w:t>
            </w:r>
          </w:p>
        </w:tc>
        <w:tc>
          <w:tcPr>
            <w:tcW w:w="1501" w:type="dxa"/>
            <w:tcBorders>
              <w:top w:val="single" w:sz="6" w:space="0" w:color="auto"/>
              <w:left w:val="single" w:sz="6" w:space="0" w:color="auto"/>
              <w:bottom w:val="single" w:sz="6" w:space="0" w:color="auto"/>
              <w:right w:val="single" w:sz="6" w:space="0" w:color="auto"/>
            </w:tcBorders>
            <w:vAlign w:val="center"/>
          </w:tcPr>
          <w:p w:rsidR="00F777A0" w:rsidRPr="00F777A0" w:rsidRDefault="00F777A0" w:rsidP="00932B19">
            <w:pPr>
              <w:jc w:val="right"/>
              <w:rPr>
                <w:rFonts w:ascii="Calibri" w:hAnsi="Calibri" w:cs="Calibri"/>
                <w:color w:val="233F5F"/>
                <w:sz w:val="20"/>
                <w:szCs w:val="20"/>
              </w:rPr>
            </w:pPr>
            <w:r w:rsidRPr="00F777A0">
              <w:rPr>
                <w:rFonts w:ascii="Calibri" w:hAnsi="Calibri" w:cs="Calibri"/>
                <w:color w:val="233F5F"/>
                <w:sz w:val="20"/>
                <w:szCs w:val="20"/>
              </w:rPr>
              <w:t xml:space="preserve">-14.4 </w:t>
            </w:r>
          </w:p>
        </w:tc>
        <w:tc>
          <w:tcPr>
            <w:tcW w:w="1501" w:type="dxa"/>
            <w:tcBorders>
              <w:top w:val="single" w:sz="6" w:space="0" w:color="auto"/>
              <w:left w:val="single" w:sz="6" w:space="0" w:color="auto"/>
              <w:bottom w:val="single" w:sz="6" w:space="0" w:color="auto"/>
              <w:right w:val="single" w:sz="6" w:space="0" w:color="auto"/>
            </w:tcBorders>
            <w:vAlign w:val="center"/>
          </w:tcPr>
          <w:p w:rsidR="00F777A0" w:rsidRPr="00F777A0" w:rsidRDefault="00F777A0" w:rsidP="00932B19">
            <w:pPr>
              <w:jc w:val="right"/>
              <w:rPr>
                <w:rFonts w:ascii="Calibri" w:hAnsi="Calibri" w:cs="Calibri"/>
                <w:color w:val="233F5F"/>
                <w:sz w:val="20"/>
                <w:szCs w:val="20"/>
              </w:rPr>
            </w:pPr>
            <w:r w:rsidRPr="00F777A0">
              <w:rPr>
                <w:rFonts w:ascii="Calibri" w:hAnsi="Calibri" w:cs="Calibri"/>
                <w:color w:val="233F5F"/>
                <w:sz w:val="20"/>
                <w:szCs w:val="20"/>
              </w:rPr>
              <w:t xml:space="preserve">4.0 </w:t>
            </w:r>
          </w:p>
        </w:tc>
        <w:tc>
          <w:tcPr>
            <w:tcW w:w="1501" w:type="dxa"/>
            <w:tcBorders>
              <w:top w:val="single" w:sz="6" w:space="0" w:color="auto"/>
              <w:left w:val="single" w:sz="6" w:space="0" w:color="auto"/>
              <w:bottom w:val="single" w:sz="6" w:space="0" w:color="auto"/>
              <w:right w:val="single" w:sz="6" w:space="0" w:color="auto"/>
            </w:tcBorders>
            <w:vAlign w:val="center"/>
          </w:tcPr>
          <w:p w:rsidR="00F777A0" w:rsidRPr="00F777A0" w:rsidRDefault="00F777A0" w:rsidP="00932B19">
            <w:pPr>
              <w:jc w:val="right"/>
              <w:rPr>
                <w:rFonts w:ascii="Calibri" w:hAnsi="Calibri" w:cs="Calibri"/>
                <w:color w:val="233F5F"/>
                <w:sz w:val="20"/>
                <w:szCs w:val="20"/>
              </w:rPr>
            </w:pPr>
            <w:r w:rsidRPr="00F777A0">
              <w:rPr>
                <w:rFonts w:ascii="Calibri" w:hAnsi="Calibri" w:cs="Calibri"/>
                <w:color w:val="233F5F"/>
                <w:sz w:val="20"/>
                <w:szCs w:val="20"/>
              </w:rPr>
              <w:t xml:space="preserve">4.6 </w:t>
            </w:r>
          </w:p>
        </w:tc>
      </w:tr>
      <w:tr w:rsidR="00F777A0" w:rsidTr="00932B19">
        <w:trPr>
          <w:trHeight w:val="88"/>
        </w:trPr>
        <w:tc>
          <w:tcPr>
            <w:tcW w:w="2126" w:type="dxa"/>
            <w:tcBorders>
              <w:top w:val="single" w:sz="6" w:space="0" w:color="auto"/>
              <w:left w:val="single" w:sz="6" w:space="0" w:color="auto"/>
              <w:bottom w:val="single" w:sz="6" w:space="0" w:color="auto"/>
              <w:right w:val="single" w:sz="6" w:space="0" w:color="auto"/>
            </w:tcBorders>
          </w:tcPr>
          <w:p w:rsidR="00F777A0" w:rsidRPr="00F777A0" w:rsidRDefault="00F777A0" w:rsidP="00932B19">
            <w:pPr>
              <w:rPr>
                <w:rFonts w:ascii="Calibri" w:hAnsi="Calibri" w:cs="Calibri"/>
                <w:color w:val="233F5F"/>
                <w:sz w:val="20"/>
                <w:szCs w:val="20"/>
              </w:rPr>
            </w:pPr>
            <w:r w:rsidRPr="00F777A0">
              <w:rPr>
                <w:rFonts w:ascii="Calibri" w:hAnsi="Calibri" w:cs="Calibri"/>
                <w:b/>
                <w:bCs/>
                <w:color w:val="233F5F"/>
                <w:sz w:val="20"/>
                <w:szCs w:val="20"/>
              </w:rPr>
              <w:t>Azerbaijan</w:t>
            </w:r>
          </w:p>
        </w:tc>
        <w:tc>
          <w:tcPr>
            <w:tcW w:w="1501" w:type="dxa"/>
            <w:tcBorders>
              <w:top w:val="single" w:sz="6" w:space="0" w:color="auto"/>
              <w:left w:val="single" w:sz="6" w:space="0" w:color="auto"/>
              <w:bottom w:val="single" w:sz="6" w:space="0" w:color="auto"/>
              <w:right w:val="single" w:sz="6" w:space="0" w:color="auto"/>
            </w:tcBorders>
            <w:vAlign w:val="center"/>
          </w:tcPr>
          <w:p w:rsidR="00F777A0" w:rsidRPr="00F777A0" w:rsidRDefault="00F777A0" w:rsidP="00932B19">
            <w:pPr>
              <w:jc w:val="right"/>
              <w:rPr>
                <w:rFonts w:ascii="Calibri" w:hAnsi="Calibri" w:cs="Calibri"/>
                <w:color w:val="233F5F"/>
                <w:sz w:val="20"/>
                <w:szCs w:val="20"/>
              </w:rPr>
            </w:pPr>
            <w:r w:rsidRPr="00F777A0">
              <w:rPr>
                <w:rFonts w:ascii="Calibri" w:hAnsi="Calibri" w:cs="Calibri"/>
                <w:color w:val="233F5F"/>
                <w:sz w:val="20"/>
                <w:szCs w:val="20"/>
              </w:rPr>
              <w:t xml:space="preserve">9.3 </w:t>
            </w:r>
          </w:p>
        </w:tc>
        <w:tc>
          <w:tcPr>
            <w:tcW w:w="1501" w:type="dxa"/>
            <w:tcBorders>
              <w:top w:val="single" w:sz="6" w:space="0" w:color="auto"/>
              <w:left w:val="single" w:sz="6" w:space="0" w:color="auto"/>
              <w:bottom w:val="single" w:sz="6" w:space="0" w:color="auto"/>
              <w:right w:val="single" w:sz="6" w:space="0" w:color="auto"/>
            </w:tcBorders>
            <w:vAlign w:val="center"/>
          </w:tcPr>
          <w:p w:rsidR="00F777A0" w:rsidRPr="00F777A0" w:rsidRDefault="00F777A0" w:rsidP="00932B19">
            <w:pPr>
              <w:jc w:val="right"/>
              <w:rPr>
                <w:rFonts w:ascii="Calibri" w:hAnsi="Calibri" w:cs="Calibri"/>
                <w:color w:val="233F5F"/>
                <w:sz w:val="20"/>
                <w:szCs w:val="20"/>
              </w:rPr>
            </w:pPr>
            <w:r w:rsidRPr="00F777A0">
              <w:rPr>
                <w:rFonts w:ascii="Calibri" w:hAnsi="Calibri" w:cs="Calibri"/>
                <w:color w:val="233F5F"/>
                <w:sz w:val="20"/>
                <w:szCs w:val="20"/>
              </w:rPr>
              <w:t xml:space="preserve">3.7 </w:t>
            </w:r>
          </w:p>
        </w:tc>
        <w:tc>
          <w:tcPr>
            <w:tcW w:w="1501" w:type="dxa"/>
            <w:tcBorders>
              <w:top w:val="single" w:sz="6" w:space="0" w:color="auto"/>
              <w:left w:val="single" w:sz="6" w:space="0" w:color="auto"/>
              <w:bottom w:val="single" w:sz="6" w:space="0" w:color="auto"/>
              <w:right w:val="single" w:sz="6" w:space="0" w:color="auto"/>
            </w:tcBorders>
            <w:vAlign w:val="center"/>
          </w:tcPr>
          <w:p w:rsidR="00F777A0" w:rsidRPr="00F777A0" w:rsidRDefault="00F777A0" w:rsidP="00932B19">
            <w:pPr>
              <w:jc w:val="right"/>
              <w:rPr>
                <w:rFonts w:ascii="Calibri" w:hAnsi="Calibri" w:cs="Calibri"/>
                <w:color w:val="233F5F"/>
                <w:sz w:val="20"/>
                <w:szCs w:val="20"/>
              </w:rPr>
            </w:pPr>
            <w:r w:rsidRPr="00F777A0">
              <w:rPr>
                <w:rFonts w:ascii="Calibri" w:hAnsi="Calibri" w:cs="Calibri"/>
                <w:color w:val="233F5F"/>
                <w:sz w:val="20"/>
                <w:szCs w:val="20"/>
              </w:rPr>
              <w:t xml:space="preserve">3.5 </w:t>
            </w:r>
          </w:p>
        </w:tc>
      </w:tr>
      <w:tr w:rsidR="00F777A0" w:rsidTr="00932B19">
        <w:trPr>
          <w:trHeight w:val="97"/>
        </w:trPr>
        <w:tc>
          <w:tcPr>
            <w:tcW w:w="2126" w:type="dxa"/>
            <w:tcBorders>
              <w:top w:val="single" w:sz="6" w:space="0" w:color="auto"/>
              <w:left w:val="single" w:sz="6" w:space="0" w:color="auto"/>
              <w:bottom w:val="single" w:sz="6" w:space="0" w:color="auto"/>
              <w:right w:val="single" w:sz="6" w:space="0" w:color="auto"/>
            </w:tcBorders>
          </w:tcPr>
          <w:p w:rsidR="00F777A0" w:rsidRPr="00F777A0" w:rsidRDefault="00F777A0" w:rsidP="00932B19">
            <w:pPr>
              <w:rPr>
                <w:rFonts w:ascii="Calibri" w:hAnsi="Calibri" w:cs="Calibri"/>
                <w:color w:val="233F5F"/>
                <w:sz w:val="20"/>
                <w:szCs w:val="20"/>
              </w:rPr>
            </w:pPr>
            <w:r w:rsidRPr="00F777A0">
              <w:rPr>
                <w:rFonts w:ascii="Calibri" w:hAnsi="Calibri" w:cs="Calibri"/>
                <w:b/>
                <w:bCs/>
                <w:color w:val="233F5F"/>
                <w:sz w:val="20"/>
                <w:szCs w:val="20"/>
              </w:rPr>
              <w:t>Belarus</w:t>
            </w:r>
          </w:p>
        </w:tc>
        <w:tc>
          <w:tcPr>
            <w:tcW w:w="1501" w:type="dxa"/>
            <w:tcBorders>
              <w:top w:val="single" w:sz="6" w:space="0" w:color="auto"/>
              <w:left w:val="single" w:sz="6" w:space="0" w:color="auto"/>
              <w:bottom w:val="single" w:sz="6" w:space="0" w:color="auto"/>
              <w:right w:val="single" w:sz="6" w:space="0" w:color="auto"/>
            </w:tcBorders>
            <w:vAlign w:val="center"/>
          </w:tcPr>
          <w:p w:rsidR="00F777A0" w:rsidRPr="00F777A0" w:rsidRDefault="00F777A0" w:rsidP="00932B19">
            <w:pPr>
              <w:jc w:val="right"/>
              <w:rPr>
                <w:rFonts w:ascii="Calibri" w:hAnsi="Calibri" w:cs="Calibri"/>
                <w:color w:val="233F5F"/>
                <w:sz w:val="20"/>
                <w:szCs w:val="20"/>
              </w:rPr>
            </w:pPr>
            <w:r w:rsidRPr="00F777A0">
              <w:rPr>
                <w:rFonts w:ascii="Calibri" w:hAnsi="Calibri" w:cs="Calibri"/>
                <w:color w:val="233F5F"/>
                <w:sz w:val="20"/>
                <w:szCs w:val="20"/>
              </w:rPr>
              <w:t xml:space="preserve">0.2 </w:t>
            </w:r>
          </w:p>
        </w:tc>
        <w:tc>
          <w:tcPr>
            <w:tcW w:w="1501" w:type="dxa"/>
            <w:tcBorders>
              <w:top w:val="single" w:sz="6" w:space="0" w:color="auto"/>
              <w:left w:val="single" w:sz="6" w:space="0" w:color="auto"/>
              <w:bottom w:val="single" w:sz="6" w:space="0" w:color="auto"/>
              <w:right w:val="single" w:sz="6" w:space="0" w:color="auto"/>
            </w:tcBorders>
            <w:vAlign w:val="center"/>
          </w:tcPr>
          <w:p w:rsidR="00F777A0" w:rsidRPr="00F777A0" w:rsidRDefault="00F777A0" w:rsidP="00932B19">
            <w:pPr>
              <w:jc w:val="right"/>
              <w:rPr>
                <w:rFonts w:ascii="Calibri" w:hAnsi="Calibri" w:cs="Calibri"/>
                <w:color w:val="233F5F"/>
                <w:sz w:val="20"/>
                <w:szCs w:val="20"/>
              </w:rPr>
            </w:pPr>
            <w:r w:rsidRPr="00F777A0">
              <w:rPr>
                <w:rFonts w:ascii="Calibri" w:hAnsi="Calibri" w:cs="Calibri"/>
                <w:color w:val="233F5F"/>
                <w:sz w:val="20"/>
                <w:szCs w:val="20"/>
              </w:rPr>
              <w:t xml:space="preserve">7.0 </w:t>
            </w:r>
          </w:p>
        </w:tc>
        <w:tc>
          <w:tcPr>
            <w:tcW w:w="1501" w:type="dxa"/>
            <w:tcBorders>
              <w:top w:val="single" w:sz="6" w:space="0" w:color="auto"/>
              <w:left w:val="single" w:sz="6" w:space="0" w:color="auto"/>
              <w:bottom w:val="single" w:sz="6" w:space="0" w:color="auto"/>
              <w:right w:val="single" w:sz="6" w:space="0" w:color="auto"/>
            </w:tcBorders>
            <w:vAlign w:val="center"/>
          </w:tcPr>
          <w:p w:rsidR="00F777A0" w:rsidRPr="00F777A0" w:rsidRDefault="00F777A0" w:rsidP="00932B19">
            <w:pPr>
              <w:jc w:val="right"/>
              <w:rPr>
                <w:rFonts w:ascii="Calibri" w:hAnsi="Calibri" w:cs="Calibri"/>
                <w:color w:val="233F5F"/>
                <w:sz w:val="20"/>
                <w:szCs w:val="20"/>
              </w:rPr>
            </w:pPr>
            <w:r w:rsidRPr="00F777A0">
              <w:rPr>
                <w:rFonts w:ascii="Calibri" w:hAnsi="Calibri" w:cs="Calibri"/>
                <w:color w:val="233F5F"/>
                <w:sz w:val="20"/>
                <w:szCs w:val="20"/>
              </w:rPr>
              <w:t xml:space="preserve">6.0 </w:t>
            </w:r>
          </w:p>
        </w:tc>
      </w:tr>
      <w:tr w:rsidR="00F777A0" w:rsidTr="00932B19">
        <w:trPr>
          <w:trHeight w:val="88"/>
        </w:trPr>
        <w:tc>
          <w:tcPr>
            <w:tcW w:w="2126" w:type="dxa"/>
            <w:tcBorders>
              <w:top w:val="single" w:sz="6" w:space="0" w:color="auto"/>
              <w:left w:val="single" w:sz="6" w:space="0" w:color="auto"/>
              <w:bottom w:val="single" w:sz="6" w:space="0" w:color="auto"/>
              <w:right w:val="single" w:sz="6" w:space="0" w:color="auto"/>
            </w:tcBorders>
          </w:tcPr>
          <w:p w:rsidR="00F777A0" w:rsidRPr="00F777A0" w:rsidRDefault="00F777A0" w:rsidP="00932B19">
            <w:pPr>
              <w:rPr>
                <w:rFonts w:ascii="Calibri" w:hAnsi="Calibri" w:cs="Calibri"/>
                <w:color w:val="233F5F"/>
                <w:sz w:val="20"/>
                <w:szCs w:val="20"/>
              </w:rPr>
            </w:pPr>
            <w:r w:rsidRPr="00F777A0">
              <w:rPr>
                <w:rFonts w:ascii="Calibri" w:hAnsi="Calibri" w:cs="Calibri"/>
                <w:b/>
                <w:bCs/>
                <w:color w:val="233F5F"/>
                <w:sz w:val="20"/>
                <w:szCs w:val="20"/>
              </w:rPr>
              <w:t>Georgia</w:t>
            </w:r>
          </w:p>
        </w:tc>
        <w:tc>
          <w:tcPr>
            <w:tcW w:w="1501" w:type="dxa"/>
            <w:tcBorders>
              <w:top w:val="single" w:sz="6" w:space="0" w:color="auto"/>
              <w:left w:val="single" w:sz="6" w:space="0" w:color="auto"/>
              <w:bottom w:val="single" w:sz="6" w:space="0" w:color="auto"/>
              <w:right w:val="single" w:sz="6" w:space="0" w:color="auto"/>
            </w:tcBorders>
            <w:vAlign w:val="center"/>
          </w:tcPr>
          <w:p w:rsidR="00F777A0" w:rsidRPr="00F777A0" w:rsidRDefault="00F777A0" w:rsidP="00932B19">
            <w:pPr>
              <w:jc w:val="right"/>
              <w:rPr>
                <w:rFonts w:ascii="Calibri" w:hAnsi="Calibri" w:cs="Calibri"/>
                <w:color w:val="233F5F"/>
                <w:sz w:val="20"/>
                <w:szCs w:val="20"/>
              </w:rPr>
            </w:pPr>
            <w:r w:rsidRPr="00F777A0">
              <w:rPr>
                <w:rFonts w:ascii="Calibri" w:hAnsi="Calibri" w:cs="Calibri"/>
                <w:color w:val="233F5F"/>
                <w:sz w:val="20"/>
                <w:szCs w:val="20"/>
              </w:rPr>
              <w:t xml:space="preserve">-3.9 </w:t>
            </w:r>
          </w:p>
        </w:tc>
        <w:tc>
          <w:tcPr>
            <w:tcW w:w="1501" w:type="dxa"/>
            <w:tcBorders>
              <w:top w:val="single" w:sz="6" w:space="0" w:color="auto"/>
              <w:left w:val="single" w:sz="6" w:space="0" w:color="auto"/>
              <w:bottom w:val="single" w:sz="6" w:space="0" w:color="auto"/>
              <w:right w:val="single" w:sz="6" w:space="0" w:color="auto"/>
            </w:tcBorders>
            <w:vAlign w:val="center"/>
          </w:tcPr>
          <w:p w:rsidR="00F777A0" w:rsidRPr="00F777A0" w:rsidRDefault="00F777A0" w:rsidP="00932B19">
            <w:pPr>
              <w:jc w:val="right"/>
              <w:rPr>
                <w:rFonts w:ascii="Calibri" w:hAnsi="Calibri" w:cs="Calibri"/>
                <w:color w:val="233F5F"/>
                <w:sz w:val="20"/>
                <w:szCs w:val="20"/>
              </w:rPr>
            </w:pPr>
            <w:r w:rsidRPr="00F777A0">
              <w:rPr>
                <w:rFonts w:ascii="Calibri" w:hAnsi="Calibri" w:cs="Calibri"/>
                <w:color w:val="233F5F"/>
                <w:sz w:val="20"/>
                <w:szCs w:val="20"/>
              </w:rPr>
              <w:t xml:space="preserve">5.5 </w:t>
            </w:r>
          </w:p>
        </w:tc>
        <w:tc>
          <w:tcPr>
            <w:tcW w:w="1501" w:type="dxa"/>
            <w:tcBorders>
              <w:top w:val="single" w:sz="6" w:space="0" w:color="auto"/>
              <w:left w:val="single" w:sz="6" w:space="0" w:color="auto"/>
              <w:bottom w:val="single" w:sz="6" w:space="0" w:color="auto"/>
              <w:right w:val="single" w:sz="6" w:space="0" w:color="auto"/>
            </w:tcBorders>
            <w:vAlign w:val="center"/>
          </w:tcPr>
          <w:p w:rsidR="00F777A0" w:rsidRPr="00F777A0" w:rsidRDefault="00F777A0" w:rsidP="00932B19">
            <w:pPr>
              <w:jc w:val="right"/>
              <w:rPr>
                <w:rFonts w:ascii="Calibri" w:hAnsi="Calibri" w:cs="Calibri"/>
                <w:color w:val="233F5F"/>
                <w:sz w:val="20"/>
                <w:szCs w:val="20"/>
              </w:rPr>
            </w:pPr>
            <w:r w:rsidRPr="00F777A0">
              <w:rPr>
                <w:rFonts w:ascii="Calibri" w:hAnsi="Calibri" w:cs="Calibri"/>
                <w:color w:val="233F5F"/>
                <w:sz w:val="20"/>
                <w:szCs w:val="20"/>
              </w:rPr>
              <w:t xml:space="preserve">4.0 </w:t>
            </w:r>
          </w:p>
        </w:tc>
      </w:tr>
      <w:tr w:rsidR="00F777A0" w:rsidTr="00932B19">
        <w:trPr>
          <w:trHeight w:val="97"/>
        </w:trPr>
        <w:tc>
          <w:tcPr>
            <w:tcW w:w="2126" w:type="dxa"/>
            <w:tcBorders>
              <w:top w:val="single" w:sz="6" w:space="0" w:color="auto"/>
              <w:left w:val="single" w:sz="6" w:space="0" w:color="auto"/>
              <w:bottom w:val="single" w:sz="6" w:space="0" w:color="auto"/>
              <w:right w:val="single" w:sz="6" w:space="0" w:color="auto"/>
            </w:tcBorders>
            <w:vAlign w:val="center"/>
          </w:tcPr>
          <w:p w:rsidR="00F777A0" w:rsidRPr="00F777A0" w:rsidRDefault="00F777A0" w:rsidP="00932B19">
            <w:pPr>
              <w:rPr>
                <w:rFonts w:ascii="Calibri" w:hAnsi="Calibri" w:cs="Calibri"/>
                <w:color w:val="233F5F"/>
                <w:sz w:val="20"/>
                <w:szCs w:val="20"/>
              </w:rPr>
            </w:pPr>
            <w:r w:rsidRPr="00F777A0">
              <w:rPr>
                <w:rFonts w:ascii="Calibri" w:hAnsi="Calibri" w:cs="Calibri"/>
                <w:b/>
                <w:bCs/>
                <w:color w:val="233F5F"/>
                <w:sz w:val="20"/>
                <w:szCs w:val="20"/>
              </w:rPr>
              <w:t xml:space="preserve">Kosovo </w:t>
            </w:r>
          </w:p>
        </w:tc>
        <w:tc>
          <w:tcPr>
            <w:tcW w:w="1501" w:type="dxa"/>
            <w:tcBorders>
              <w:top w:val="single" w:sz="6" w:space="0" w:color="auto"/>
              <w:left w:val="single" w:sz="6" w:space="0" w:color="auto"/>
              <w:bottom w:val="single" w:sz="6" w:space="0" w:color="auto"/>
              <w:right w:val="single" w:sz="6" w:space="0" w:color="auto"/>
            </w:tcBorders>
            <w:vAlign w:val="center"/>
          </w:tcPr>
          <w:p w:rsidR="00F777A0" w:rsidRPr="00F777A0" w:rsidRDefault="00F777A0" w:rsidP="00932B19">
            <w:pPr>
              <w:jc w:val="right"/>
              <w:rPr>
                <w:rFonts w:ascii="Calibri" w:hAnsi="Calibri" w:cs="Calibri"/>
                <w:color w:val="233F5F"/>
                <w:sz w:val="20"/>
                <w:szCs w:val="20"/>
              </w:rPr>
            </w:pPr>
            <w:r w:rsidRPr="00F777A0">
              <w:rPr>
                <w:rFonts w:ascii="Calibri" w:hAnsi="Calibri" w:cs="Calibri"/>
                <w:color w:val="233F5F"/>
                <w:sz w:val="20"/>
                <w:szCs w:val="20"/>
              </w:rPr>
              <w:t xml:space="preserve">2.9 </w:t>
            </w:r>
          </w:p>
        </w:tc>
        <w:tc>
          <w:tcPr>
            <w:tcW w:w="1501" w:type="dxa"/>
            <w:tcBorders>
              <w:top w:val="single" w:sz="6" w:space="0" w:color="auto"/>
              <w:left w:val="single" w:sz="6" w:space="0" w:color="auto"/>
              <w:bottom w:val="single" w:sz="6" w:space="0" w:color="auto"/>
              <w:right w:val="single" w:sz="6" w:space="0" w:color="auto"/>
            </w:tcBorders>
            <w:vAlign w:val="center"/>
          </w:tcPr>
          <w:p w:rsidR="00F777A0" w:rsidRPr="00F777A0" w:rsidRDefault="00F777A0" w:rsidP="00932B19">
            <w:pPr>
              <w:jc w:val="right"/>
              <w:rPr>
                <w:rFonts w:ascii="Calibri" w:hAnsi="Calibri" w:cs="Calibri"/>
                <w:color w:val="233F5F"/>
                <w:sz w:val="20"/>
                <w:szCs w:val="20"/>
              </w:rPr>
            </w:pPr>
            <w:r w:rsidRPr="00F777A0">
              <w:rPr>
                <w:rFonts w:ascii="Calibri" w:hAnsi="Calibri" w:cs="Calibri"/>
                <w:color w:val="233F5F"/>
                <w:sz w:val="20"/>
                <w:szCs w:val="20"/>
              </w:rPr>
              <w:t xml:space="preserve">4.3 </w:t>
            </w:r>
          </w:p>
        </w:tc>
        <w:tc>
          <w:tcPr>
            <w:tcW w:w="1501" w:type="dxa"/>
            <w:tcBorders>
              <w:top w:val="single" w:sz="6" w:space="0" w:color="auto"/>
              <w:left w:val="single" w:sz="6" w:space="0" w:color="auto"/>
              <w:bottom w:val="single" w:sz="6" w:space="0" w:color="auto"/>
              <w:right w:val="single" w:sz="6" w:space="0" w:color="auto"/>
            </w:tcBorders>
            <w:vAlign w:val="center"/>
          </w:tcPr>
          <w:p w:rsidR="00F777A0" w:rsidRPr="00F777A0" w:rsidRDefault="00F777A0" w:rsidP="00932B19">
            <w:pPr>
              <w:jc w:val="right"/>
              <w:rPr>
                <w:rFonts w:ascii="Calibri" w:hAnsi="Calibri" w:cs="Calibri"/>
                <w:color w:val="233F5F"/>
                <w:sz w:val="20"/>
                <w:szCs w:val="20"/>
              </w:rPr>
            </w:pPr>
            <w:r w:rsidRPr="00F777A0">
              <w:rPr>
                <w:rFonts w:ascii="Calibri" w:hAnsi="Calibri" w:cs="Calibri"/>
                <w:color w:val="233F5F"/>
                <w:sz w:val="20"/>
                <w:szCs w:val="20"/>
              </w:rPr>
              <w:t xml:space="preserve">5.7 </w:t>
            </w:r>
          </w:p>
        </w:tc>
      </w:tr>
      <w:tr w:rsidR="00F777A0" w:rsidTr="00932B19">
        <w:trPr>
          <w:trHeight w:val="90"/>
        </w:trPr>
        <w:tc>
          <w:tcPr>
            <w:tcW w:w="2126" w:type="dxa"/>
            <w:tcBorders>
              <w:top w:val="single" w:sz="6" w:space="0" w:color="auto"/>
              <w:left w:val="single" w:sz="6" w:space="0" w:color="auto"/>
              <w:bottom w:val="single" w:sz="6" w:space="0" w:color="auto"/>
              <w:right w:val="single" w:sz="6" w:space="0" w:color="auto"/>
            </w:tcBorders>
          </w:tcPr>
          <w:p w:rsidR="00F777A0" w:rsidRPr="00F777A0" w:rsidRDefault="00F777A0" w:rsidP="00932B19">
            <w:pPr>
              <w:rPr>
                <w:rFonts w:ascii="Calibri" w:hAnsi="Calibri" w:cs="Calibri"/>
                <w:color w:val="233F5F"/>
                <w:sz w:val="20"/>
                <w:szCs w:val="20"/>
              </w:rPr>
            </w:pPr>
            <w:r w:rsidRPr="00F777A0">
              <w:rPr>
                <w:rFonts w:ascii="Calibri" w:hAnsi="Calibri" w:cs="Calibri"/>
                <w:b/>
                <w:bCs/>
                <w:color w:val="233F5F"/>
                <w:sz w:val="20"/>
                <w:szCs w:val="20"/>
              </w:rPr>
              <w:t>Macedonia, FYR</w:t>
            </w:r>
          </w:p>
        </w:tc>
        <w:tc>
          <w:tcPr>
            <w:tcW w:w="1501" w:type="dxa"/>
            <w:tcBorders>
              <w:top w:val="single" w:sz="6" w:space="0" w:color="auto"/>
              <w:left w:val="single" w:sz="6" w:space="0" w:color="auto"/>
              <w:bottom w:val="single" w:sz="6" w:space="0" w:color="auto"/>
              <w:right w:val="single" w:sz="6" w:space="0" w:color="auto"/>
            </w:tcBorders>
            <w:vAlign w:val="center"/>
          </w:tcPr>
          <w:p w:rsidR="00F777A0" w:rsidRPr="00F777A0" w:rsidRDefault="00F777A0" w:rsidP="00932B19">
            <w:pPr>
              <w:jc w:val="right"/>
              <w:rPr>
                <w:rFonts w:ascii="Calibri" w:hAnsi="Calibri" w:cs="Calibri"/>
                <w:color w:val="233F5F"/>
                <w:sz w:val="20"/>
                <w:szCs w:val="20"/>
              </w:rPr>
            </w:pPr>
            <w:r w:rsidRPr="00F777A0">
              <w:rPr>
                <w:rFonts w:ascii="Calibri" w:hAnsi="Calibri" w:cs="Calibri"/>
                <w:color w:val="233F5F"/>
                <w:sz w:val="20"/>
                <w:szCs w:val="20"/>
              </w:rPr>
              <w:t xml:space="preserve">-0.7 </w:t>
            </w:r>
          </w:p>
        </w:tc>
        <w:tc>
          <w:tcPr>
            <w:tcW w:w="1501" w:type="dxa"/>
            <w:tcBorders>
              <w:top w:val="single" w:sz="6" w:space="0" w:color="auto"/>
              <w:left w:val="single" w:sz="6" w:space="0" w:color="auto"/>
              <w:bottom w:val="single" w:sz="6" w:space="0" w:color="auto"/>
              <w:right w:val="single" w:sz="6" w:space="0" w:color="auto"/>
            </w:tcBorders>
            <w:vAlign w:val="center"/>
          </w:tcPr>
          <w:p w:rsidR="00F777A0" w:rsidRPr="00F777A0" w:rsidRDefault="00F777A0" w:rsidP="00932B19">
            <w:pPr>
              <w:jc w:val="right"/>
              <w:rPr>
                <w:rFonts w:ascii="Calibri" w:hAnsi="Calibri" w:cs="Calibri"/>
                <w:color w:val="233F5F"/>
                <w:sz w:val="20"/>
                <w:szCs w:val="20"/>
              </w:rPr>
            </w:pPr>
            <w:r w:rsidRPr="00F777A0">
              <w:rPr>
                <w:rFonts w:ascii="Calibri" w:hAnsi="Calibri" w:cs="Calibri"/>
                <w:color w:val="233F5F"/>
                <w:sz w:val="20"/>
                <w:szCs w:val="20"/>
              </w:rPr>
              <w:t xml:space="preserve">1.2 </w:t>
            </w:r>
          </w:p>
        </w:tc>
        <w:tc>
          <w:tcPr>
            <w:tcW w:w="1501" w:type="dxa"/>
            <w:tcBorders>
              <w:top w:val="single" w:sz="6" w:space="0" w:color="auto"/>
              <w:left w:val="single" w:sz="6" w:space="0" w:color="auto"/>
              <w:bottom w:val="single" w:sz="6" w:space="0" w:color="auto"/>
              <w:right w:val="single" w:sz="6" w:space="0" w:color="auto"/>
            </w:tcBorders>
            <w:vAlign w:val="center"/>
          </w:tcPr>
          <w:p w:rsidR="00F777A0" w:rsidRPr="00F777A0" w:rsidRDefault="00F777A0" w:rsidP="00932B19">
            <w:pPr>
              <w:jc w:val="right"/>
              <w:rPr>
                <w:rFonts w:ascii="Calibri" w:hAnsi="Calibri" w:cs="Calibri"/>
                <w:color w:val="233F5F"/>
                <w:sz w:val="20"/>
                <w:szCs w:val="20"/>
              </w:rPr>
            </w:pPr>
            <w:r w:rsidRPr="00F777A0">
              <w:rPr>
                <w:rFonts w:ascii="Calibri" w:hAnsi="Calibri" w:cs="Calibri"/>
                <w:color w:val="233F5F"/>
                <w:sz w:val="20"/>
                <w:szCs w:val="20"/>
              </w:rPr>
              <w:t xml:space="preserve">3.0 </w:t>
            </w:r>
          </w:p>
        </w:tc>
      </w:tr>
      <w:tr w:rsidR="00F777A0" w:rsidTr="00932B19">
        <w:trPr>
          <w:trHeight w:val="97"/>
        </w:trPr>
        <w:tc>
          <w:tcPr>
            <w:tcW w:w="2126" w:type="dxa"/>
            <w:tcBorders>
              <w:top w:val="single" w:sz="6" w:space="0" w:color="auto"/>
              <w:left w:val="single" w:sz="6" w:space="0" w:color="auto"/>
              <w:bottom w:val="single" w:sz="6" w:space="0" w:color="auto"/>
              <w:right w:val="single" w:sz="6" w:space="0" w:color="auto"/>
            </w:tcBorders>
            <w:vAlign w:val="center"/>
          </w:tcPr>
          <w:p w:rsidR="00F777A0" w:rsidRPr="00F777A0" w:rsidRDefault="00F777A0" w:rsidP="00932B19">
            <w:pPr>
              <w:rPr>
                <w:rFonts w:ascii="Calibri" w:hAnsi="Calibri" w:cs="Calibri"/>
                <w:color w:val="233F5F"/>
                <w:sz w:val="20"/>
                <w:szCs w:val="20"/>
              </w:rPr>
            </w:pPr>
            <w:r w:rsidRPr="00F777A0">
              <w:rPr>
                <w:rFonts w:ascii="Calibri" w:hAnsi="Calibri" w:cs="Calibri"/>
                <w:b/>
                <w:bCs/>
                <w:color w:val="233F5F"/>
                <w:sz w:val="20"/>
                <w:szCs w:val="20"/>
              </w:rPr>
              <w:t xml:space="preserve">Moldova </w:t>
            </w:r>
          </w:p>
        </w:tc>
        <w:tc>
          <w:tcPr>
            <w:tcW w:w="1501" w:type="dxa"/>
            <w:tcBorders>
              <w:top w:val="single" w:sz="6" w:space="0" w:color="auto"/>
              <w:left w:val="single" w:sz="6" w:space="0" w:color="auto"/>
              <w:bottom w:val="single" w:sz="6" w:space="0" w:color="auto"/>
              <w:right w:val="single" w:sz="6" w:space="0" w:color="auto"/>
            </w:tcBorders>
            <w:vAlign w:val="center"/>
          </w:tcPr>
          <w:p w:rsidR="00F777A0" w:rsidRPr="00F777A0" w:rsidRDefault="00F777A0" w:rsidP="00932B19">
            <w:pPr>
              <w:jc w:val="right"/>
              <w:rPr>
                <w:rFonts w:ascii="Calibri" w:hAnsi="Calibri" w:cs="Calibri"/>
                <w:color w:val="233F5F"/>
                <w:sz w:val="20"/>
                <w:szCs w:val="20"/>
              </w:rPr>
            </w:pPr>
            <w:r w:rsidRPr="00F777A0">
              <w:rPr>
                <w:rFonts w:ascii="Calibri" w:hAnsi="Calibri" w:cs="Calibri"/>
                <w:color w:val="233F5F"/>
                <w:sz w:val="20"/>
                <w:szCs w:val="20"/>
              </w:rPr>
              <w:t xml:space="preserve">-6.5 </w:t>
            </w:r>
          </w:p>
        </w:tc>
        <w:tc>
          <w:tcPr>
            <w:tcW w:w="1501" w:type="dxa"/>
            <w:tcBorders>
              <w:top w:val="single" w:sz="6" w:space="0" w:color="auto"/>
              <w:left w:val="single" w:sz="6" w:space="0" w:color="auto"/>
              <w:bottom w:val="single" w:sz="6" w:space="0" w:color="auto"/>
              <w:right w:val="single" w:sz="6" w:space="0" w:color="auto"/>
            </w:tcBorders>
            <w:vAlign w:val="center"/>
          </w:tcPr>
          <w:p w:rsidR="00F777A0" w:rsidRPr="00F777A0" w:rsidRDefault="00F777A0" w:rsidP="00932B19">
            <w:pPr>
              <w:jc w:val="right"/>
              <w:rPr>
                <w:rFonts w:ascii="Calibri" w:hAnsi="Calibri" w:cs="Calibri"/>
                <w:color w:val="233F5F"/>
                <w:sz w:val="20"/>
                <w:szCs w:val="20"/>
              </w:rPr>
            </w:pPr>
            <w:r w:rsidRPr="00F777A0">
              <w:rPr>
                <w:rFonts w:ascii="Calibri" w:hAnsi="Calibri" w:cs="Calibri"/>
                <w:color w:val="233F5F"/>
                <w:sz w:val="20"/>
                <w:szCs w:val="20"/>
              </w:rPr>
              <w:t xml:space="preserve">2.6 </w:t>
            </w:r>
          </w:p>
        </w:tc>
        <w:tc>
          <w:tcPr>
            <w:tcW w:w="1501" w:type="dxa"/>
            <w:tcBorders>
              <w:top w:val="single" w:sz="6" w:space="0" w:color="auto"/>
              <w:left w:val="single" w:sz="6" w:space="0" w:color="auto"/>
              <w:bottom w:val="single" w:sz="6" w:space="0" w:color="auto"/>
              <w:right w:val="single" w:sz="6" w:space="0" w:color="auto"/>
            </w:tcBorders>
            <w:vAlign w:val="center"/>
          </w:tcPr>
          <w:p w:rsidR="00F777A0" w:rsidRPr="00F777A0" w:rsidRDefault="00F777A0" w:rsidP="00932B19">
            <w:pPr>
              <w:jc w:val="right"/>
              <w:rPr>
                <w:rFonts w:ascii="Calibri" w:hAnsi="Calibri" w:cs="Calibri"/>
                <w:color w:val="233F5F"/>
                <w:sz w:val="20"/>
                <w:szCs w:val="20"/>
              </w:rPr>
            </w:pPr>
            <w:r w:rsidRPr="00F777A0">
              <w:rPr>
                <w:rFonts w:ascii="Calibri" w:hAnsi="Calibri" w:cs="Calibri"/>
                <w:color w:val="233F5F"/>
                <w:sz w:val="20"/>
                <w:szCs w:val="20"/>
              </w:rPr>
              <w:t xml:space="preserve">3.0 </w:t>
            </w:r>
          </w:p>
        </w:tc>
      </w:tr>
      <w:tr w:rsidR="00CB23C3" w:rsidTr="00932B19">
        <w:trPr>
          <w:trHeight w:val="96"/>
        </w:trPr>
        <w:tc>
          <w:tcPr>
            <w:tcW w:w="2126" w:type="dxa"/>
            <w:tcBorders>
              <w:top w:val="single" w:sz="6" w:space="0" w:color="auto"/>
              <w:left w:val="single" w:sz="6" w:space="0" w:color="auto"/>
              <w:bottom w:val="single" w:sz="6" w:space="0" w:color="auto"/>
              <w:right w:val="single" w:sz="6" w:space="0" w:color="auto"/>
            </w:tcBorders>
          </w:tcPr>
          <w:p w:rsidR="00CB23C3" w:rsidRPr="00F777A0" w:rsidRDefault="00CB23C3" w:rsidP="00932B19">
            <w:pPr>
              <w:rPr>
                <w:rFonts w:ascii="Calibri" w:hAnsi="Calibri" w:cs="Calibri"/>
                <w:color w:val="233F5F"/>
                <w:sz w:val="20"/>
                <w:szCs w:val="20"/>
              </w:rPr>
            </w:pPr>
            <w:r w:rsidRPr="00F777A0">
              <w:rPr>
                <w:rFonts w:ascii="Calibri" w:hAnsi="Calibri" w:cs="Calibri"/>
                <w:b/>
                <w:bCs/>
                <w:color w:val="233F5F"/>
                <w:sz w:val="20"/>
                <w:szCs w:val="20"/>
              </w:rPr>
              <w:t>Ukraine</w:t>
            </w:r>
          </w:p>
        </w:tc>
        <w:tc>
          <w:tcPr>
            <w:tcW w:w="1501" w:type="dxa"/>
            <w:tcBorders>
              <w:top w:val="single" w:sz="6" w:space="0" w:color="auto"/>
              <w:left w:val="single" w:sz="6" w:space="0" w:color="auto"/>
              <w:bottom w:val="single" w:sz="6" w:space="0" w:color="auto"/>
              <w:right w:val="single" w:sz="6" w:space="0" w:color="auto"/>
            </w:tcBorders>
            <w:vAlign w:val="center"/>
          </w:tcPr>
          <w:p w:rsidR="00CB23C3" w:rsidRPr="00F777A0" w:rsidRDefault="00CB23C3" w:rsidP="00932B19">
            <w:pPr>
              <w:jc w:val="right"/>
              <w:rPr>
                <w:rFonts w:ascii="Calibri" w:hAnsi="Calibri" w:cs="Calibri"/>
                <w:color w:val="233F5F"/>
                <w:sz w:val="20"/>
                <w:szCs w:val="20"/>
              </w:rPr>
            </w:pPr>
            <w:r w:rsidRPr="00F777A0">
              <w:rPr>
                <w:rFonts w:ascii="Calibri" w:hAnsi="Calibri" w:cs="Calibri"/>
                <w:color w:val="233F5F"/>
                <w:sz w:val="20"/>
                <w:szCs w:val="20"/>
              </w:rPr>
              <w:t xml:space="preserve">-15.1 </w:t>
            </w:r>
          </w:p>
        </w:tc>
        <w:tc>
          <w:tcPr>
            <w:tcW w:w="1501" w:type="dxa"/>
            <w:tcBorders>
              <w:top w:val="single" w:sz="6" w:space="0" w:color="auto"/>
              <w:left w:val="single" w:sz="6" w:space="0" w:color="auto"/>
              <w:bottom w:val="single" w:sz="6" w:space="0" w:color="auto"/>
              <w:right w:val="single" w:sz="6" w:space="0" w:color="auto"/>
            </w:tcBorders>
            <w:vAlign w:val="center"/>
          </w:tcPr>
          <w:p w:rsidR="00CB23C3" w:rsidRPr="00F777A0" w:rsidRDefault="00CB23C3" w:rsidP="00932B19">
            <w:pPr>
              <w:jc w:val="right"/>
              <w:rPr>
                <w:rFonts w:ascii="Calibri" w:hAnsi="Calibri" w:cs="Calibri"/>
                <w:color w:val="233F5F"/>
                <w:sz w:val="20"/>
                <w:szCs w:val="20"/>
              </w:rPr>
            </w:pPr>
            <w:r w:rsidRPr="00F777A0">
              <w:rPr>
                <w:rFonts w:ascii="Calibri" w:hAnsi="Calibri" w:cs="Calibri"/>
                <w:color w:val="233F5F"/>
                <w:sz w:val="20"/>
                <w:szCs w:val="20"/>
              </w:rPr>
              <w:t xml:space="preserve">4.3 </w:t>
            </w:r>
          </w:p>
        </w:tc>
        <w:tc>
          <w:tcPr>
            <w:tcW w:w="1501" w:type="dxa"/>
            <w:tcBorders>
              <w:top w:val="single" w:sz="6" w:space="0" w:color="auto"/>
              <w:left w:val="single" w:sz="6" w:space="0" w:color="auto"/>
              <w:bottom w:val="single" w:sz="6" w:space="0" w:color="auto"/>
              <w:right w:val="single" w:sz="6" w:space="0" w:color="auto"/>
            </w:tcBorders>
            <w:vAlign w:val="center"/>
          </w:tcPr>
          <w:p w:rsidR="00CB23C3" w:rsidRPr="00F777A0" w:rsidRDefault="00CB23C3" w:rsidP="00932B19">
            <w:pPr>
              <w:jc w:val="right"/>
              <w:rPr>
                <w:rFonts w:ascii="Calibri" w:hAnsi="Calibri" w:cs="Calibri"/>
                <w:color w:val="233F5F"/>
                <w:sz w:val="20"/>
                <w:szCs w:val="20"/>
              </w:rPr>
            </w:pPr>
            <w:r w:rsidRPr="00F777A0">
              <w:rPr>
                <w:rFonts w:ascii="Calibri" w:hAnsi="Calibri" w:cs="Calibri"/>
                <w:color w:val="233F5F"/>
                <w:sz w:val="20"/>
                <w:szCs w:val="20"/>
              </w:rPr>
              <w:t xml:space="preserve">4.0 </w:t>
            </w:r>
          </w:p>
        </w:tc>
      </w:tr>
      <w:tr w:rsidR="00CB23C3" w:rsidTr="00932B19">
        <w:trPr>
          <w:trHeight w:val="97"/>
        </w:trPr>
        <w:tc>
          <w:tcPr>
            <w:tcW w:w="2126" w:type="dxa"/>
            <w:tcBorders>
              <w:top w:val="single" w:sz="6" w:space="0" w:color="auto"/>
              <w:left w:val="single" w:sz="6" w:space="0" w:color="auto"/>
              <w:bottom w:val="single" w:sz="6" w:space="0" w:color="auto"/>
              <w:right w:val="single" w:sz="6" w:space="0" w:color="auto"/>
            </w:tcBorders>
            <w:vAlign w:val="center"/>
          </w:tcPr>
          <w:p w:rsidR="00CB23C3" w:rsidRPr="00F777A0" w:rsidRDefault="00CB23C3" w:rsidP="00932B19">
            <w:pPr>
              <w:rPr>
                <w:rFonts w:ascii="Calibri" w:hAnsi="Calibri" w:cs="Calibri"/>
                <w:b/>
                <w:bCs/>
                <w:color w:val="233F5F"/>
                <w:sz w:val="20"/>
                <w:szCs w:val="20"/>
              </w:rPr>
            </w:pPr>
          </w:p>
        </w:tc>
        <w:tc>
          <w:tcPr>
            <w:tcW w:w="1501" w:type="dxa"/>
            <w:tcBorders>
              <w:top w:val="single" w:sz="6" w:space="0" w:color="auto"/>
              <w:left w:val="single" w:sz="6" w:space="0" w:color="auto"/>
              <w:bottom w:val="single" w:sz="6" w:space="0" w:color="auto"/>
              <w:right w:val="single" w:sz="6" w:space="0" w:color="auto"/>
            </w:tcBorders>
            <w:vAlign w:val="center"/>
          </w:tcPr>
          <w:p w:rsidR="00CB23C3" w:rsidRPr="00F777A0" w:rsidRDefault="00CB23C3" w:rsidP="00932B19">
            <w:pPr>
              <w:jc w:val="right"/>
              <w:rPr>
                <w:rFonts w:ascii="Calibri" w:hAnsi="Calibri" w:cs="Calibri"/>
                <w:color w:val="233F5F"/>
                <w:sz w:val="20"/>
                <w:szCs w:val="20"/>
              </w:rPr>
            </w:pPr>
          </w:p>
        </w:tc>
        <w:tc>
          <w:tcPr>
            <w:tcW w:w="1501" w:type="dxa"/>
            <w:tcBorders>
              <w:top w:val="single" w:sz="6" w:space="0" w:color="auto"/>
              <w:left w:val="single" w:sz="6" w:space="0" w:color="auto"/>
              <w:bottom w:val="single" w:sz="6" w:space="0" w:color="auto"/>
              <w:right w:val="single" w:sz="6" w:space="0" w:color="auto"/>
            </w:tcBorders>
            <w:vAlign w:val="center"/>
          </w:tcPr>
          <w:p w:rsidR="00CB23C3" w:rsidRPr="00F777A0" w:rsidRDefault="00CB23C3" w:rsidP="00932B19">
            <w:pPr>
              <w:jc w:val="right"/>
              <w:rPr>
                <w:rFonts w:ascii="Calibri" w:hAnsi="Calibri" w:cs="Calibri"/>
                <w:color w:val="233F5F"/>
                <w:sz w:val="20"/>
                <w:szCs w:val="20"/>
              </w:rPr>
            </w:pPr>
          </w:p>
        </w:tc>
        <w:tc>
          <w:tcPr>
            <w:tcW w:w="1501" w:type="dxa"/>
            <w:tcBorders>
              <w:top w:val="single" w:sz="6" w:space="0" w:color="auto"/>
              <w:left w:val="single" w:sz="6" w:space="0" w:color="auto"/>
              <w:bottom w:val="single" w:sz="6" w:space="0" w:color="auto"/>
              <w:right w:val="single" w:sz="6" w:space="0" w:color="auto"/>
            </w:tcBorders>
            <w:vAlign w:val="center"/>
          </w:tcPr>
          <w:p w:rsidR="00CB23C3" w:rsidRPr="00F777A0" w:rsidRDefault="00CB23C3" w:rsidP="00932B19">
            <w:pPr>
              <w:jc w:val="right"/>
              <w:rPr>
                <w:rFonts w:ascii="Calibri" w:hAnsi="Calibri" w:cs="Calibri"/>
                <w:color w:val="233F5F"/>
                <w:sz w:val="20"/>
                <w:szCs w:val="20"/>
              </w:rPr>
            </w:pPr>
          </w:p>
        </w:tc>
      </w:tr>
      <w:tr w:rsidR="00F777A0" w:rsidTr="00932B19">
        <w:trPr>
          <w:trHeight w:val="97"/>
        </w:trPr>
        <w:tc>
          <w:tcPr>
            <w:tcW w:w="2126" w:type="dxa"/>
            <w:tcBorders>
              <w:top w:val="single" w:sz="6" w:space="0" w:color="auto"/>
              <w:left w:val="single" w:sz="6" w:space="0" w:color="auto"/>
              <w:bottom w:val="single" w:sz="6" w:space="0" w:color="auto"/>
              <w:right w:val="single" w:sz="6" w:space="0" w:color="auto"/>
            </w:tcBorders>
            <w:vAlign w:val="center"/>
          </w:tcPr>
          <w:p w:rsidR="00F777A0" w:rsidRPr="00F777A0" w:rsidRDefault="00F777A0" w:rsidP="00932B19">
            <w:pPr>
              <w:rPr>
                <w:rFonts w:ascii="Calibri" w:hAnsi="Calibri" w:cs="Calibri"/>
                <w:color w:val="233F5F"/>
                <w:sz w:val="20"/>
                <w:szCs w:val="20"/>
              </w:rPr>
            </w:pPr>
            <w:r w:rsidRPr="00F777A0">
              <w:rPr>
                <w:rFonts w:ascii="Calibri" w:hAnsi="Calibri" w:cs="Calibri"/>
                <w:b/>
                <w:bCs/>
                <w:color w:val="233F5F"/>
                <w:sz w:val="20"/>
                <w:szCs w:val="20"/>
              </w:rPr>
              <w:t xml:space="preserve">Russian Federation </w:t>
            </w:r>
          </w:p>
        </w:tc>
        <w:tc>
          <w:tcPr>
            <w:tcW w:w="1501" w:type="dxa"/>
            <w:tcBorders>
              <w:top w:val="single" w:sz="6" w:space="0" w:color="auto"/>
              <w:left w:val="single" w:sz="6" w:space="0" w:color="auto"/>
              <w:bottom w:val="single" w:sz="6" w:space="0" w:color="auto"/>
              <w:right w:val="single" w:sz="6" w:space="0" w:color="auto"/>
            </w:tcBorders>
            <w:vAlign w:val="center"/>
          </w:tcPr>
          <w:p w:rsidR="00F777A0" w:rsidRPr="00F777A0" w:rsidRDefault="00F777A0" w:rsidP="00932B19">
            <w:pPr>
              <w:jc w:val="right"/>
              <w:rPr>
                <w:rFonts w:ascii="Calibri" w:hAnsi="Calibri" w:cs="Calibri"/>
                <w:color w:val="233F5F"/>
                <w:sz w:val="20"/>
                <w:szCs w:val="20"/>
              </w:rPr>
            </w:pPr>
            <w:r w:rsidRPr="00F777A0">
              <w:rPr>
                <w:rFonts w:ascii="Calibri" w:hAnsi="Calibri" w:cs="Calibri"/>
                <w:color w:val="233F5F"/>
                <w:sz w:val="20"/>
                <w:szCs w:val="20"/>
              </w:rPr>
              <w:t xml:space="preserve">-7.9 </w:t>
            </w:r>
          </w:p>
        </w:tc>
        <w:tc>
          <w:tcPr>
            <w:tcW w:w="1501" w:type="dxa"/>
            <w:tcBorders>
              <w:top w:val="single" w:sz="6" w:space="0" w:color="auto"/>
              <w:left w:val="single" w:sz="6" w:space="0" w:color="auto"/>
              <w:bottom w:val="single" w:sz="6" w:space="0" w:color="auto"/>
              <w:right w:val="single" w:sz="6" w:space="0" w:color="auto"/>
            </w:tcBorders>
            <w:vAlign w:val="center"/>
          </w:tcPr>
          <w:p w:rsidR="00F777A0" w:rsidRPr="00F777A0" w:rsidRDefault="00F777A0" w:rsidP="00932B19">
            <w:pPr>
              <w:jc w:val="right"/>
              <w:rPr>
                <w:rFonts w:ascii="Calibri" w:hAnsi="Calibri" w:cs="Calibri"/>
                <w:color w:val="233F5F"/>
                <w:sz w:val="20"/>
                <w:szCs w:val="20"/>
              </w:rPr>
            </w:pPr>
            <w:r w:rsidRPr="00F777A0">
              <w:rPr>
                <w:rFonts w:ascii="Calibri" w:hAnsi="Calibri" w:cs="Calibri"/>
                <w:color w:val="233F5F"/>
                <w:sz w:val="20"/>
                <w:szCs w:val="20"/>
              </w:rPr>
              <w:t xml:space="preserve">3.8 </w:t>
            </w:r>
          </w:p>
        </w:tc>
        <w:tc>
          <w:tcPr>
            <w:tcW w:w="1501" w:type="dxa"/>
            <w:tcBorders>
              <w:top w:val="single" w:sz="6" w:space="0" w:color="auto"/>
              <w:left w:val="single" w:sz="6" w:space="0" w:color="auto"/>
              <w:bottom w:val="single" w:sz="6" w:space="0" w:color="auto"/>
              <w:right w:val="single" w:sz="6" w:space="0" w:color="auto"/>
            </w:tcBorders>
            <w:vAlign w:val="center"/>
          </w:tcPr>
          <w:p w:rsidR="00F777A0" w:rsidRPr="00F777A0" w:rsidRDefault="00F777A0" w:rsidP="00932B19">
            <w:pPr>
              <w:jc w:val="right"/>
              <w:rPr>
                <w:rFonts w:ascii="Calibri" w:hAnsi="Calibri" w:cs="Calibri"/>
                <w:color w:val="233F5F"/>
                <w:sz w:val="20"/>
                <w:szCs w:val="20"/>
              </w:rPr>
            </w:pPr>
            <w:r w:rsidRPr="00F777A0">
              <w:rPr>
                <w:rFonts w:ascii="Calibri" w:hAnsi="Calibri" w:cs="Calibri"/>
                <w:color w:val="233F5F"/>
                <w:sz w:val="20"/>
                <w:szCs w:val="20"/>
              </w:rPr>
              <w:t xml:space="preserve">4.2 </w:t>
            </w:r>
          </w:p>
        </w:tc>
      </w:tr>
      <w:tr w:rsidR="00F777A0" w:rsidTr="00932B19">
        <w:trPr>
          <w:trHeight w:val="88"/>
        </w:trPr>
        <w:tc>
          <w:tcPr>
            <w:tcW w:w="2126" w:type="dxa"/>
            <w:tcBorders>
              <w:top w:val="single" w:sz="6" w:space="0" w:color="auto"/>
              <w:left w:val="single" w:sz="6" w:space="0" w:color="auto"/>
              <w:bottom w:val="single" w:sz="6" w:space="0" w:color="auto"/>
              <w:right w:val="single" w:sz="6" w:space="0" w:color="auto"/>
            </w:tcBorders>
            <w:vAlign w:val="center"/>
          </w:tcPr>
          <w:p w:rsidR="00F777A0" w:rsidRPr="00F777A0" w:rsidRDefault="00F777A0" w:rsidP="00932B19">
            <w:pPr>
              <w:rPr>
                <w:rFonts w:ascii="Calibri" w:hAnsi="Calibri" w:cs="Calibri"/>
                <w:color w:val="233F5F"/>
                <w:sz w:val="20"/>
                <w:szCs w:val="20"/>
              </w:rPr>
            </w:pPr>
            <w:r w:rsidRPr="00F777A0">
              <w:rPr>
                <w:rFonts w:ascii="Calibri" w:hAnsi="Calibri" w:cs="Calibri"/>
                <w:b/>
                <w:bCs/>
                <w:color w:val="233F5F"/>
                <w:sz w:val="20"/>
                <w:szCs w:val="20"/>
              </w:rPr>
              <w:t xml:space="preserve">Turkey </w:t>
            </w:r>
          </w:p>
        </w:tc>
        <w:tc>
          <w:tcPr>
            <w:tcW w:w="1501" w:type="dxa"/>
            <w:tcBorders>
              <w:top w:val="single" w:sz="6" w:space="0" w:color="auto"/>
              <w:left w:val="single" w:sz="6" w:space="0" w:color="auto"/>
              <w:bottom w:val="single" w:sz="6" w:space="0" w:color="auto"/>
              <w:right w:val="single" w:sz="6" w:space="0" w:color="auto"/>
            </w:tcBorders>
            <w:vAlign w:val="center"/>
          </w:tcPr>
          <w:p w:rsidR="00F777A0" w:rsidRPr="00F777A0" w:rsidRDefault="00F777A0" w:rsidP="00932B19">
            <w:pPr>
              <w:jc w:val="right"/>
              <w:rPr>
                <w:rFonts w:ascii="Calibri" w:hAnsi="Calibri" w:cs="Calibri"/>
                <w:color w:val="233F5F"/>
                <w:sz w:val="20"/>
                <w:szCs w:val="20"/>
              </w:rPr>
            </w:pPr>
            <w:r w:rsidRPr="00F777A0">
              <w:rPr>
                <w:rFonts w:ascii="Calibri" w:hAnsi="Calibri" w:cs="Calibri"/>
                <w:color w:val="233F5F"/>
                <w:sz w:val="20"/>
                <w:szCs w:val="20"/>
              </w:rPr>
              <w:t xml:space="preserve">-4.7 </w:t>
            </w:r>
          </w:p>
        </w:tc>
        <w:tc>
          <w:tcPr>
            <w:tcW w:w="1501" w:type="dxa"/>
            <w:tcBorders>
              <w:top w:val="single" w:sz="6" w:space="0" w:color="auto"/>
              <w:left w:val="single" w:sz="6" w:space="0" w:color="auto"/>
              <w:bottom w:val="single" w:sz="6" w:space="0" w:color="auto"/>
              <w:right w:val="single" w:sz="6" w:space="0" w:color="auto"/>
            </w:tcBorders>
            <w:vAlign w:val="center"/>
          </w:tcPr>
          <w:p w:rsidR="00F777A0" w:rsidRPr="00F777A0" w:rsidRDefault="00F777A0" w:rsidP="00932B19">
            <w:pPr>
              <w:jc w:val="right"/>
              <w:rPr>
                <w:rFonts w:ascii="Calibri" w:hAnsi="Calibri" w:cs="Calibri"/>
                <w:color w:val="233F5F"/>
                <w:sz w:val="20"/>
                <w:szCs w:val="20"/>
              </w:rPr>
            </w:pPr>
            <w:r w:rsidRPr="00F777A0">
              <w:rPr>
                <w:rFonts w:ascii="Calibri" w:hAnsi="Calibri" w:cs="Calibri"/>
                <w:color w:val="233F5F"/>
                <w:sz w:val="20"/>
                <w:szCs w:val="20"/>
              </w:rPr>
              <w:t xml:space="preserve">8.1 </w:t>
            </w:r>
          </w:p>
        </w:tc>
        <w:tc>
          <w:tcPr>
            <w:tcW w:w="1501" w:type="dxa"/>
            <w:tcBorders>
              <w:top w:val="single" w:sz="6" w:space="0" w:color="auto"/>
              <w:left w:val="single" w:sz="6" w:space="0" w:color="auto"/>
              <w:bottom w:val="single" w:sz="6" w:space="0" w:color="auto"/>
              <w:right w:val="single" w:sz="6" w:space="0" w:color="auto"/>
            </w:tcBorders>
            <w:vAlign w:val="center"/>
          </w:tcPr>
          <w:p w:rsidR="00F777A0" w:rsidRPr="00F777A0" w:rsidRDefault="00F777A0" w:rsidP="00932B19">
            <w:pPr>
              <w:jc w:val="right"/>
              <w:rPr>
                <w:rFonts w:ascii="Calibri" w:hAnsi="Calibri" w:cs="Calibri"/>
                <w:color w:val="233F5F"/>
                <w:sz w:val="20"/>
                <w:szCs w:val="20"/>
              </w:rPr>
            </w:pPr>
            <w:r w:rsidRPr="00F777A0">
              <w:rPr>
                <w:rFonts w:ascii="Calibri" w:hAnsi="Calibri" w:cs="Calibri"/>
                <w:color w:val="233F5F"/>
                <w:sz w:val="20"/>
                <w:szCs w:val="20"/>
              </w:rPr>
              <w:t xml:space="preserve">4.1 </w:t>
            </w:r>
          </w:p>
        </w:tc>
      </w:tr>
    </w:tbl>
    <w:p w:rsidR="00F777A0" w:rsidRDefault="00F777A0" w:rsidP="00F777A0">
      <w:pPr>
        <w:rPr>
          <w:rFonts w:ascii="Calibri" w:hAnsi="Calibri" w:cs="Calibri"/>
          <w:color w:val="233F5F"/>
          <w:sz w:val="20"/>
          <w:szCs w:val="20"/>
        </w:rPr>
      </w:pPr>
      <w:proofErr w:type="gramStart"/>
      <w:r w:rsidRPr="00F777A0">
        <w:rPr>
          <w:rFonts w:ascii="Calibri" w:hAnsi="Calibri" w:cs="Calibri"/>
          <w:color w:val="233F5F"/>
          <w:sz w:val="20"/>
          <w:szCs w:val="20"/>
        </w:rPr>
        <w:t>Annual change in GDP at market prices (2005 US$)</w:t>
      </w:r>
      <w:r>
        <w:rPr>
          <w:rFonts w:ascii="Calibri" w:hAnsi="Calibri" w:cs="Calibri"/>
          <w:color w:val="233F5F"/>
          <w:sz w:val="20"/>
          <w:szCs w:val="20"/>
        </w:rPr>
        <w:t>.</w:t>
      </w:r>
      <w:proofErr w:type="gramEnd"/>
      <w:r>
        <w:rPr>
          <w:rFonts w:ascii="Calibri" w:hAnsi="Calibri" w:cs="Calibri"/>
          <w:color w:val="233F5F"/>
          <w:sz w:val="20"/>
          <w:szCs w:val="20"/>
        </w:rPr>
        <w:t xml:space="preserve"> Source:  World Bank 2011 World Economic Outlook 2011, Regional Annex, Europe and central </w:t>
      </w:r>
      <w:proofErr w:type="gramStart"/>
      <w:r>
        <w:rPr>
          <w:rFonts w:ascii="Calibri" w:hAnsi="Calibri" w:cs="Calibri"/>
          <w:color w:val="233F5F"/>
          <w:sz w:val="20"/>
          <w:szCs w:val="20"/>
        </w:rPr>
        <w:t xml:space="preserve">Asia  </w:t>
      </w:r>
      <w:proofErr w:type="gramEnd"/>
      <w:r w:rsidR="00F4142F">
        <w:fldChar w:fldCharType="begin"/>
      </w:r>
      <w:r w:rsidR="00F4142F">
        <w:instrText>HYPERLINK "http://siteresources.worldbank.org/INTGEP/Resources/335315-1294842452675/ECA-Annex.pdf"</w:instrText>
      </w:r>
      <w:r w:rsidR="00F4142F">
        <w:fldChar w:fldCharType="separate"/>
      </w:r>
      <w:r w:rsidRPr="006C4167">
        <w:rPr>
          <w:rStyle w:val="Hyperlink"/>
          <w:rFonts w:ascii="Calibri" w:hAnsi="Calibri" w:cs="Calibri"/>
          <w:sz w:val="20"/>
          <w:szCs w:val="20"/>
        </w:rPr>
        <w:t>http://siteresources.worldbank.org/INTGEP/Resources/335315-1294842452675/ECA-Annex.pdf</w:t>
      </w:r>
      <w:r w:rsidR="00F4142F">
        <w:fldChar w:fldCharType="end"/>
      </w:r>
      <w:r>
        <w:rPr>
          <w:rFonts w:ascii="Calibri" w:hAnsi="Calibri" w:cs="Calibri"/>
          <w:color w:val="233F5F"/>
          <w:sz w:val="20"/>
          <w:szCs w:val="20"/>
        </w:rPr>
        <w:t xml:space="preserve"> </w:t>
      </w:r>
    </w:p>
    <w:p w:rsidR="00D13637" w:rsidRDefault="00D13637" w:rsidP="00F777A0"/>
    <w:p w:rsidR="000032FE" w:rsidRDefault="00126F7F" w:rsidP="00F10ECB">
      <w:pPr>
        <w:pStyle w:val="Heading2"/>
      </w:pPr>
      <w:bookmarkStart w:id="9" w:name="_Toc305768496"/>
      <w:r>
        <w:t>2020 strategy</w:t>
      </w:r>
      <w:r w:rsidR="000032FE">
        <w:t>: main elements and consultation</w:t>
      </w:r>
      <w:bookmarkEnd w:id="9"/>
    </w:p>
    <w:p w:rsidR="00640BAF" w:rsidRDefault="00640BAF" w:rsidP="00E46FB2"/>
    <w:p w:rsidR="00235CD2" w:rsidRPr="00235CD2" w:rsidRDefault="00235CD2" w:rsidP="00E46FB2">
      <w:r w:rsidRPr="00235CD2">
        <w:t>This strategy was adopted by the European council of ministers at meetings in March and June 2010.</w:t>
      </w:r>
    </w:p>
    <w:p w:rsidR="00235CD2" w:rsidRPr="00235CD2" w:rsidRDefault="00235CD2" w:rsidP="00235CD2">
      <w:r w:rsidRPr="00235CD2">
        <w:lastRenderedPageBreak/>
        <w:t xml:space="preserve">The main webpage </w:t>
      </w:r>
      <w:proofErr w:type="gramStart"/>
      <w:r w:rsidRPr="00235CD2">
        <w:t xml:space="preserve">is  </w:t>
      </w:r>
      <w:proofErr w:type="gramEnd"/>
      <w:r w:rsidR="00F4142F">
        <w:fldChar w:fldCharType="begin"/>
      </w:r>
      <w:r w:rsidR="00F4142F">
        <w:instrText>HYPERLINK "http://ec.europa.eu/eu2020/index_en.htm"</w:instrText>
      </w:r>
      <w:r w:rsidR="00F4142F">
        <w:fldChar w:fldCharType="separate"/>
      </w:r>
      <w:r w:rsidRPr="00235CD2">
        <w:rPr>
          <w:rStyle w:val="Hyperlink"/>
        </w:rPr>
        <w:t>http://ec.europa.eu/eu2020/index_en.htm</w:t>
      </w:r>
      <w:r w:rsidR="00F4142F">
        <w:fldChar w:fldCharType="end"/>
      </w:r>
    </w:p>
    <w:p w:rsidR="00235CD2" w:rsidRDefault="00235CD2" w:rsidP="00E46FB2"/>
    <w:p w:rsidR="00B06F53" w:rsidRPr="00235CD2" w:rsidRDefault="00C65222" w:rsidP="00E46FB2">
      <w:r w:rsidRPr="00235CD2">
        <w:t>The</w:t>
      </w:r>
      <w:r w:rsidR="00235CD2" w:rsidRPr="00235CD2">
        <w:t xml:space="preserve"> core</w:t>
      </w:r>
      <w:r w:rsidRPr="00235CD2">
        <w:t xml:space="preserve"> document is the report:</w:t>
      </w:r>
    </w:p>
    <w:p w:rsidR="00B06F53" w:rsidRPr="00235CD2" w:rsidRDefault="00BD5354" w:rsidP="00B06F53">
      <w:pPr>
        <w:numPr>
          <w:ilvl w:val="0"/>
          <w:numId w:val="42"/>
        </w:numPr>
      </w:pPr>
      <w:r w:rsidRPr="00235CD2">
        <w:t>Europe 2020:</w:t>
      </w:r>
      <w:r w:rsidR="00C65222" w:rsidRPr="00235CD2">
        <w:t xml:space="preserve"> A European strategy for smart, sustainable and inclusive growth</w:t>
      </w:r>
      <w:r w:rsidR="00B06F53" w:rsidRPr="00235CD2">
        <w:t xml:space="preserve"> </w:t>
      </w:r>
      <w:r w:rsidR="00C65222" w:rsidRPr="00235CD2">
        <w:t>COM(2010)2020 03.03.2010</w:t>
      </w:r>
      <w:r w:rsidR="003D6B76" w:rsidRPr="00235CD2">
        <w:t xml:space="preserve">  </w:t>
      </w:r>
      <w:hyperlink r:id="rId26" w:history="1">
        <w:r w:rsidR="003D6B76" w:rsidRPr="00235CD2">
          <w:rPr>
            <w:rStyle w:val="Hyperlink"/>
          </w:rPr>
          <w:t>http://eur-lex.europa.eu/LexUriServ/LexUriServ.do?uri=COM:2010:2020:FIN:EN:PDF</w:t>
        </w:r>
      </w:hyperlink>
      <w:r w:rsidR="003D6B76" w:rsidRPr="00235CD2">
        <w:t xml:space="preserve"> </w:t>
      </w:r>
    </w:p>
    <w:p w:rsidR="00B06F53" w:rsidRPr="00235CD2" w:rsidRDefault="00B06F53" w:rsidP="00E46FB2"/>
    <w:p w:rsidR="00093BA8" w:rsidRPr="00235CD2" w:rsidRDefault="002375EC" w:rsidP="00E46FB2">
      <w:r w:rsidRPr="00235CD2">
        <w:t xml:space="preserve">A set of integrated guidelines for monitoring implementation of the strategy were set out in April 2010. </w:t>
      </w:r>
    </w:p>
    <w:p w:rsidR="00093BA8" w:rsidRPr="00235CD2" w:rsidRDefault="00093BA8" w:rsidP="00093BA8">
      <w:pPr>
        <w:pStyle w:val="ListParagraph"/>
        <w:numPr>
          <w:ilvl w:val="0"/>
          <w:numId w:val="42"/>
        </w:numPr>
      </w:pPr>
      <w:r w:rsidRPr="00235CD2">
        <w:t xml:space="preserve">Europe 2020 Integrated Guidelines  COM(2010) 193 final </w:t>
      </w:r>
      <w:r w:rsidRPr="00235CD2">
        <w:rPr>
          <w:bCs/>
        </w:rPr>
        <w:t>27.4.2010</w:t>
      </w:r>
      <w:r w:rsidRPr="00235CD2">
        <w:t xml:space="preserve">  </w:t>
      </w:r>
      <w:hyperlink r:id="rId27" w:history="1">
        <w:r w:rsidRPr="00235CD2">
          <w:rPr>
            <w:rStyle w:val="Hyperlink"/>
          </w:rPr>
          <w:t>http://ec.europa.eu/eu2020/pdf/Brochure%20Integrated%20Guidelines.pdf</w:t>
        </w:r>
      </w:hyperlink>
      <w:r w:rsidRPr="00235CD2">
        <w:t xml:space="preserve"> </w:t>
      </w:r>
    </w:p>
    <w:p w:rsidR="00235CD2" w:rsidRPr="00235CD2" w:rsidRDefault="00235CD2" w:rsidP="00E46FB2"/>
    <w:p w:rsidR="00B06F53" w:rsidRPr="00235CD2" w:rsidRDefault="00B06F53" w:rsidP="00E46FB2">
      <w:r w:rsidRPr="00235CD2">
        <w:t>In addition, a series of more specific reports have been issued. The most relevant for these sectors are:</w:t>
      </w:r>
    </w:p>
    <w:p w:rsidR="00862022" w:rsidRPr="00235CD2" w:rsidRDefault="00862022" w:rsidP="00862022">
      <w:pPr>
        <w:numPr>
          <w:ilvl w:val="0"/>
          <w:numId w:val="42"/>
        </w:numPr>
        <w:autoSpaceDE w:val="0"/>
        <w:autoSpaceDN w:val="0"/>
        <w:adjustRightInd w:val="0"/>
      </w:pPr>
      <w:r w:rsidRPr="00235CD2">
        <w:rPr>
          <w:rFonts w:eastAsia="Times New Roman"/>
          <w:bCs/>
          <w:lang w:eastAsia="en-GB"/>
        </w:rPr>
        <w:t xml:space="preserve">Europe 2020 Flagship Initiative Innovation Union SEC(2010) 1161 </w:t>
      </w:r>
      <w:r w:rsidRPr="00235CD2">
        <w:rPr>
          <w:rFonts w:eastAsia="Times New Roman"/>
          <w:lang w:eastAsia="en-GB"/>
        </w:rPr>
        <w:t>COM(2010) 546 6.10.2010</w:t>
      </w:r>
      <w:r w:rsidR="00912EFE" w:rsidRPr="00235CD2">
        <w:rPr>
          <w:rFonts w:eastAsia="Times New Roman"/>
          <w:lang w:eastAsia="en-GB"/>
        </w:rPr>
        <w:t xml:space="preserve"> </w:t>
      </w:r>
      <w:hyperlink r:id="rId28" w:history="1">
        <w:r w:rsidR="00912EFE" w:rsidRPr="00235CD2">
          <w:rPr>
            <w:rStyle w:val="Hyperlink"/>
            <w:rFonts w:eastAsia="Times New Roman"/>
            <w:lang w:eastAsia="en-GB"/>
          </w:rPr>
          <w:t>http://ec.europa.eu/research/innovation-union/pdf/innovation-union-communication_en.pdf</w:t>
        </w:r>
      </w:hyperlink>
      <w:r w:rsidR="00912EFE" w:rsidRPr="00235CD2">
        <w:rPr>
          <w:rFonts w:eastAsia="Times New Roman"/>
          <w:lang w:eastAsia="en-GB"/>
        </w:rPr>
        <w:t xml:space="preserve"> </w:t>
      </w:r>
    </w:p>
    <w:p w:rsidR="00CA2250" w:rsidRPr="00235CD2" w:rsidRDefault="00B06F53" w:rsidP="00E46FB2">
      <w:pPr>
        <w:numPr>
          <w:ilvl w:val="0"/>
          <w:numId w:val="42"/>
        </w:numPr>
        <w:autoSpaceDE w:val="0"/>
        <w:autoSpaceDN w:val="0"/>
        <w:adjustRightInd w:val="0"/>
      </w:pPr>
      <w:r w:rsidRPr="00235CD2">
        <w:rPr>
          <w:rFonts w:eastAsia="Times New Roman"/>
          <w:bCs/>
          <w:lang w:eastAsia="en-GB"/>
        </w:rPr>
        <w:t>Energy 2020: A strategy for competitive, sustainable and secure energy</w:t>
      </w:r>
      <w:r w:rsidRPr="00235CD2">
        <w:rPr>
          <w:rFonts w:eastAsia="Times New Roman"/>
          <w:lang w:eastAsia="en-GB"/>
        </w:rPr>
        <w:t xml:space="preserve"> COM(2010) 639 10.11.2010</w:t>
      </w:r>
      <w:r w:rsidR="00912EFE" w:rsidRPr="00235CD2">
        <w:rPr>
          <w:rFonts w:eastAsia="Times New Roman"/>
          <w:lang w:eastAsia="en-GB"/>
        </w:rPr>
        <w:t xml:space="preserve"> </w:t>
      </w:r>
      <w:hyperlink r:id="rId29" w:history="1">
        <w:r w:rsidR="00912EFE" w:rsidRPr="00235CD2">
          <w:rPr>
            <w:rStyle w:val="Hyperlink"/>
            <w:rFonts w:eastAsia="Times New Roman"/>
            <w:lang w:eastAsia="en-GB"/>
          </w:rPr>
          <w:t>http://eur-lex.europa.eu/LexUriServ/LexUriServ.do?uri=CELEX:52010DC0639:EN:HTML:NOT</w:t>
        </w:r>
      </w:hyperlink>
      <w:r w:rsidR="00912EFE" w:rsidRPr="00235CD2">
        <w:rPr>
          <w:rFonts w:eastAsia="Times New Roman"/>
          <w:lang w:eastAsia="en-GB"/>
        </w:rPr>
        <w:t xml:space="preserve"> </w:t>
      </w:r>
    </w:p>
    <w:p w:rsidR="00912EFE" w:rsidRPr="00235CD2" w:rsidRDefault="00912EFE" w:rsidP="00E46FB2"/>
    <w:p w:rsidR="003D6B76" w:rsidRPr="00235CD2" w:rsidRDefault="00912EFE" w:rsidP="00E46FB2">
      <w:r w:rsidRPr="00235CD2">
        <w:t>The strategy is linked to new stronger policy coordination and enforcement mechanisms for the fiscal rules of the growth and stability pact, set out in:</w:t>
      </w:r>
    </w:p>
    <w:p w:rsidR="00912EFE" w:rsidRDefault="00912EFE" w:rsidP="00E46FB2">
      <w:pPr>
        <w:pStyle w:val="ListParagraph"/>
        <w:numPr>
          <w:ilvl w:val="0"/>
          <w:numId w:val="43"/>
        </w:numPr>
      </w:pPr>
      <w:r w:rsidRPr="00235CD2">
        <w:rPr>
          <w:bCs/>
        </w:rPr>
        <w:t xml:space="preserve">Enhancing economic policy coordination for stability, growth and jobs – Tools for stronger EU economic governance - </w:t>
      </w:r>
      <w:proofErr w:type="gramStart"/>
      <w:r w:rsidRPr="00235CD2">
        <w:rPr>
          <w:bCs/>
        </w:rPr>
        <w:t>COM(</w:t>
      </w:r>
      <w:proofErr w:type="gramEnd"/>
      <w:r w:rsidRPr="00235CD2">
        <w:rPr>
          <w:bCs/>
        </w:rPr>
        <w:t>2010) 367/2 30/06/2010</w:t>
      </w:r>
      <w:r w:rsidR="00484F73" w:rsidRPr="00235CD2">
        <w:rPr>
          <w:bCs/>
        </w:rPr>
        <w:t xml:space="preserve">. </w:t>
      </w:r>
      <w:r w:rsidRPr="00235CD2">
        <w:t xml:space="preserve">This and other related documents are available at </w:t>
      </w:r>
      <w:hyperlink r:id="rId30" w:history="1">
        <w:r w:rsidRPr="00235CD2">
          <w:rPr>
            <w:rStyle w:val="Hyperlink"/>
          </w:rPr>
          <w:t>http://ec.europa.eu/economy_finance/articles/euro/2010-06-30-enhancing_economic_policy_coordination_en.htm</w:t>
        </w:r>
      </w:hyperlink>
      <w:r w:rsidRPr="00235CD2">
        <w:t xml:space="preserve"> </w:t>
      </w:r>
    </w:p>
    <w:p w:rsidR="00D13637" w:rsidRPr="00235CD2" w:rsidRDefault="00D13637" w:rsidP="00D13637">
      <w:pPr>
        <w:pStyle w:val="ListParagraph"/>
      </w:pPr>
    </w:p>
    <w:p w:rsidR="00187B2A" w:rsidRDefault="003D6B76" w:rsidP="00F10ECB">
      <w:pPr>
        <w:pStyle w:val="Heading3"/>
      </w:pPr>
      <w:bookmarkStart w:id="10" w:name="_Toc305768497"/>
      <w:r>
        <w:t>Key elements of the 2020 strategy</w:t>
      </w:r>
      <w:bookmarkEnd w:id="10"/>
    </w:p>
    <w:p w:rsidR="006024E0" w:rsidRDefault="006536C6" w:rsidP="00E46FB2">
      <w:r w:rsidRPr="00E46FB2">
        <w:t>There are 5 ‘headline targets’, concerning employment, R&amp;D investment, climate/energy targets, education, and poverty</w:t>
      </w:r>
      <w:r w:rsidR="006024E0">
        <w:t>:</w:t>
      </w:r>
    </w:p>
    <w:p w:rsidR="00D13637" w:rsidRDefault="00D13637" w:rsidP="00E46FB2"/>
    <w:p w:rsidR="006024E0" w:rsidRPr="006024E0" w:rsidRDefault="006024E0" w:rsidP="00235CD2">
      <w:pPr>
        <w:pStyle w:val="ListParagraph"/>
        <w:numPr>
          <w:ilvl w:val="0"/>
          <w:numId w:val="43"/>
        </w:numPr>
      </w:pPr>
      <w:r w:rsidRPr="006024E0">
        <w:t xml:space="preserve">75 % of the population aged 20-64 should be employed. </w:t>
      </w:r>
    </w:p>
    <w:p w:rsidR="006024E0" w:rsidRPr="006024E0" w:rsidRDefault="006024E0" w:rsidP="00235CD2">
      <w:pPr>
        <w:pStyle w:val="ListParagraph"/>
        <w:numPr>
          <w:ilvl w:val="0"/>
          <w:numId w:val="43"/>
        </w:numPr>
      </w:pPr>
      <w:r w:rsidRPr="006024E0">
        <w:t xml:space="preserve">3% of the EU's GDP should be invested in R&amp;D. </w:t>
      </w:r>
    </w:p>
    <w:p w:rsidR="006024E0" w:rsidRPr="006024E0" w:rsidRDefault="006024E0" w:rsidP="00235CD2">
      <w:pPr>
        <w:pStyle w:val="ListParagraph"/>
        <w:numPr>
          <w:ilvl w:val="0"/>
          <w:numId w:val="43"/>
        </w:numPr>
      </w:pPr>
      <w:r w:rsidRPr="006024E0">
        <w:t xml:space="preserve">The "20/20/20" climate/energy targets should be met (including an increase to 30% of emissions reduction if the conditions are right). </w:t>
      </w:r>
    </w:p>
    <w:p w:rsidR="006024E0" w:rsidRPr="006024E0" w:rsidRDefault="006024E0" w:rsidP="00235CD2">
      <w:pPr>
        <w:pStyle w:val="ListParagraph"/>
        <w:numPr>
          <w:ilvl w:val="0"/>
          <w:numId w:val="43"/>
        </w:numPr>
      </w:pPr>
      <w:r w:rsidRPr="006024E0">
        <w:t xml:space="preserve">The share of early school leavers should be under 10% and at least 40% of the younger generation should have a tertiary degree. </w:t>
      </w:r>
    </w:p>
    <w:p w:rsidR="006024E0" w:rsidRDefault="006024E0" w:rsidP="00235CD2">
      <w:pPr>
        <w:pStyle w:val="ListParagraph"/>
        <w:numPr>
          <w:ilvl w:val="0"/>
          <w:numId w:val="43"/>
        </w:numPr>
      </w:pPr>
      <w:r w:rsidRPr="006024E0">
        <w:t>20 million less people should be at risk of poverty.</w:t>
      </w:r>
    </w:p>
    <w:p w:rsidR="006024E0" w:rsidRDefault="006024E0" w:rsidP="00E46FB2"/>
    <w:p w:rsidR="00187B2A" w:rsidRDefault="006536C6" w:rsidP="00187B2A">
      <w:r w:rsidRPr="00E46FB2">
        <w:t xml:space="preserve"> There are 7 ‘flagship initiatives’: </w:t>
      </w:r>
    </w:p>
    <w:p w:rsidR="00D13637" w:rsidRPr="00187B2A" w:rsidRDefault="00D13637" w:rsidP="00187B2A"/>
    <w:p w:rsidR="00187B2A" w:rsidRPr="00187B2A" w:rsidRDefault="00187B2A" w:rsidP="00235CD2">
      <w:pPr>
        <w:pStyle w:val="ListParagraph"/>
        <w:numPr>
          <w:ilvl w:val="0"/>
          <w:numId w:val="43"/>
        </w:numPr>
      </w:pPr>
      <w:r w:rsidRPr="00187B2A">
        <w:t xml:space="preserve">"Innovation Union" to improve framework conditions and access to finance for research and innovation so as to ensure that innovative ideas can be turned into products and services that create growth and jobs. </w:t>
      </w:r>
    </w:p>
    <w:p w:rsidR="00187B2A" w:rsidRPr="00187B2A" w:rsidRDefault="00187B2A" w:rsidP="00235CD2">
      <w:pPr>
        <w:pStyle w:val="ListParagraph"/>
        <w:numPr>
          <w:ilvl w:val="0"/>
          <w:numId w:val="43"/>
        </w:numPr>
      </w:pPr>
      <w:r w:rsidRPr="00187B2A">
        <w:t xml:space="preserve">"Youth on the move" to enhance the performance of education systems and to facilitate the entry of young people to the labour market. </w:t>
      </w:r>
    </w:p>
    <w:p w:rsidR="00187B2A" w:rsidRPr="00187B2A" w:rsidRDefault="00187B2A" w:rsidP="00235CD2">
      <w:pPr>
        <w:pStyle w:val="ListParagraph"/>
        <w:numPr>
          <w:ilvl w:val="0"/>
          <w:numId w:val="43"/>
        </w:numPr>
      </w:pPr>
      <w:r w:rsidRPr="00187B2A">
        <w:t xml:space="preserve">"A digital agenda for Europe" to speed up the roll-out of high-speed internet and reap the benefits of a digital single market for households and firms. </w:t>
      </w:r>
    </w:p>
    <w:p w:rsidR="00187B2A" w:rsidRPr="00187B2A" w:rsidRDefault="00187B2A" w:rsidP="00235CD2">
      <w:pPr>
        <w:pStyle w:val="ListParagraph"/>
        <w:numPr>
          <w:ilvl w:val="0"/>
          <w:numId w:val="43"/>
        </w:numPr>
      </w:pPr>
      <w:r w:rsidRPr="00187B2A">
        <w:t xml:space="preserve">"Resource efficient Europe" to help decouple economic growth from the use of resources, support the shift towards a low carbon economy, increase the use of renewable energy sources, modernise our transport sector and promote energy efficiency. </w:t>
      </w:r>
    </w:p>
    <w:p w:rsidR="00187B2A" w:rsidRPr="00187B2A" w:rsidRDefault="00187B2A" w:rsidP="00235CD2">
      <w:pPr>
        <w:pStyle w:val="ListParagraph"/>
        <w:numPr>
          <w:ilvl w:val="0"/>
          <w:numId w:val="43"/>
        </w:numPr>
      </w:pPr>
      <w:r w:rsidRPr="00187B2A">
        <w:t xml:space="preserve">"An industrial policy for the globalisation era" to improve the business environment, notably for SMEs, and to support the development of a strong and sustainable industrial base able to compete globally. </w:t>
      </w:r>
    </w:p>
    <w:p w:rsidR="00187B2A" w:rsidRPr="00187B2A" w:rsidRDefault="00187B2A" w:rsidP="00235CD2">
      <w:pPr>
        <w:pStyle w:val="ListParagraph"/>
        <w:numPr>
          <w:ilvl w:val="0"/>
          <w:numId w:val="43"/>
        </w:numPr>
      </w:pPr>
      <w:r w:rsidRPr="00187B2A">
        <w:t xml:space="preserve">"An agenda for new skills and jobs" to modernise labour markets and empower people by developing their of skills throughout the lifecycle with a view to increase labour participation and better match labour supply and demand, including through labour mobility. </w:t>
      </w:r>
    </w:p>
    <w:p w:rsidR="006536C6" w:rsidRPr="00E46FB2" w:rsidRDefault="00187B2A" w:rsidP="00235CD2">
      <w:pPr>
        <w:pStyle w:val="ListParagraph"/>
        <w:numPr>
          <w:ilvl w:val="0"/>
          <w:numId w:val="43"/>
        </w:numPr>
      </w:pPr>
      <w:r w:rsidRPr="00187B2A">
        <w:lastRenderedPageBreak/>
        <w:t>"European platform against poverty" to ensure social and territorial cohesion such that the benefits of growth and jobs are widely shared and people experiencing poverty and social exclusion are enabled to live in dignity and take an active part in society</w:t>
      </w:r>
      <w:r w:rsidR="006536C6" w:rsidRPr="00E46FB2">
        <w:t>.</w:t>
      </w:r>
      <w:r w:rsidR="006536C6" w:rsidRPr="00E46FB2">
        <w:rPr>
          <w:rStyle w:val="EndnoteReference"/>
        </w:rPr>
        <w:endnoteReference w:id="3"/>
      </w:r>
      <w:r w:rsidR="006536C6" w:rsidRPr="00E46FB2">
        <w:t xml:space="preserve">  </w:t>
      </w:r>
    </w:p>
    <w:p w:rsidR="00235CD2" w:rsidRDefault="00235CD2" w:rsidP="00F10ECB">
      <w:pPr>
        <w:pStyle w:val="Heading3"/>
      </w:pPr>
      <w:bookmarkStart w:id="11" w:name="_Toc305768498"/>
      <w:r>
        <w:t>New annual cycle of monitoring, policy coordination and consultation</w:t>
      </w:r>
      <w:bookmarkEnd w:id="11"/>
    </w:p>
    <w:p w:rsidR="002375EC" w:rsidRDefault="00BD5354" w:rsidP="00E46FB2">
      <w:r w:rsidRPr="00E46FB2">
        <w:t>The Commission’s annual growth survey</w:t>
      </w:r>
      <w:r w:rsidR="001246CC">
        <w:t>, presented each January,</w:t>
      </w:r>
      <w:r w:rsidRPr="00E46FB2">
        <w:t xml:space="preserve"> </w:t>
      </w:r>
      <w:r w:rsidR="009E54D1" w:rsidRPr="00E46FB2">
        <w:t>will review “overall progress achieved on the EU headline targets, as well as progress on the flagship initiatives and in removing bottlenecks in the single market and in the external aspects of the Strategy”</w:t>
      </w:r>
      <w:r w:rsidR="004846B4">
        <w:t xml:space="preserve"> </w:t>
      </w:r>
      <w:r w:rsidR="009E54D1" w:rsidRPr="00E46FB2">
        <w:rPr>
          <w:rStyle w:val="EndnoteReference"/>
        </w:rPr>
        <w:endnoteReference w:id="4"/>
      </w:r>
      <w:r w:rsidR="006536C6" w:rsidRPr="00E46FB2">
        <w:t xml:space="preserve"> </w:t>
      </w:r>
      <w:r w:rsidR="00C2609F">
        <w:t>The survey will focus on 4 issues, including ‘thematic’ developments on the headline targets, and 4 forward-looking issues, including “priorities in the are</w:t>
      </w:r>
      <w:r w:rsidR="00FF7A77">
        <w:t>a</w:t>
      </w:r>
      <w:r w:rsidR="00C2609F">
        <w:t xml:space="preserve"> of structural reforms to advance the thematic part of the strategy”. </w:t>
      </w:r>
      <w:r w:rsidR="00C2609F" w:rsidRPr="00E46FB2">
        <w:rPr>
          <w:rStyle w:val="EndnoteReference"/>
        </w:rPr>
        <w:endnoteReference w:id="5"/>
      </w:r>
    </w:p>
    <w:p w:rsidR="00F032D9" w:rsidRDefault="00F032D9" w:rsidP="00FF7A77"/>
    <w:p w:rsidR="007B4868" w:rsidRDefault="002375EC" w:rsidP="007B4868">
      <w:r>
        <w:t>Th</w:t>
      </w:r>
      <w:r w:rsidR="00FF7A77">
        <w:t>is</w:t>
      </w:r>
      <w:r>
        <w:t xml:space="preserve"> monitoring is </w:t>
      </w:r>
      <w:r w:rsidR="0097757D">
        <w:t xml:space="preserve">tied to </w:t>
      </w:r>
      <w:r w:rsidR="00FF7A77">
        <w:t>a new set of</w:t>
      </w:r>
      <w:r>
        <w:t xml:space="preserve"> ‘integrated guidelines’</w:t>
      </w:r>
      <w:r w:rsidR="0097757D">
        <w:t xml:space="preserve"> of EU economic policy</w:t>
      </w:r>
      <w:r w:rsidR="00FF7A77">
        <w:t xml:space="preserve"> set out in April 2010</w:t>
      </w:r>
      <w:r>
        <w:t xml:space="preserve">, </w:t>
      </w:r>
      <w:r w:rsidR="00C2609F">
        <w:t xml:space="preserve">with </w:t>
      </w:r>
      <w:r w:rsidR="00C0176A">
        <w:t>six</w:t>
      </w:r>
      <w:r w:rsidR="0097757D">
        <w:t xml:space="preserve"> </w:t>
      </w:r>
      <w:r w:rsidR="00FF7A77">
        <w:t>guidelines</w:t>
      </w:r>
      <w:r w:rsidR="0097757D">
        <w:t xml:space="preserve"> relating to</w:t>
      </w:r>
      <w:r w:rsidR="00C2609F">
        <w:t xml:space="preserve"> economic growth </w:t>
      </w:r>
      <w:r w:rsidR="0097757D">
        <w:t>– one of which concerns “</w:t>
      </w:r>
      <w:r w:rsidR="0097757D" w:rsidRPr="0097757D">
        <w:t>Improving resource efficiency and reducing greenhouse gases emissions</w:t>
      </w:r>
      <w:r w:rsidR="0097757D">
        <w:t xml:space="preserve">” - </w:t>
      </w:r>
      <w:r w:rsidR="00C2609F">
        <w:t xml:space="preserve">and </w:t>
      </w:r>
      <w:r w:rsidR="00C0176A">
        <w:t xml:space="preserve">four </w:t>
      </w:r>
      <w:r w:rsidR="0097757D">
        <w:t xml:space="preserve"> relating to emp</w:t>
      </w:r>
      <w:r w:rsidR="00DD1AF9">
        <w:t>loyment</w:t>
      </w:r>
      <w:r w:rsidR="00C0176A">
        <w:t>, training and education</w:t>
      </w:r>
      <w:r w:rsidR="00DD1AF9">
        <w:t xml:space="preserve">. Under these guidelines: </w:t>
      </w:r>
      <w:r>
        <w:t>“</w:t>
      </w:r>
      <w:r w:rsidRPr="002375EC">
        <w:t xml:space="preserve">Member States will draw up National Reform Programmes </w:t>
      </w:r>
      <w:r w:rsidR="00FF7A77">
        <w:t xml:space="preserve">(NRPs) </w:t>
      </w:r>
      <w:r w:rsidRPr="002375EC">
        <w:t>setting out in detail</w:t>
      </w:r>
      <w:r>
        <w:t xml:space="preserve"> </w:t>
      </w:r>
      <w:r w:rsidRPr="002375EC">
        <w:t>the actions they will take under the new strategy, with a particular emphasis on efforts to meet</w:t>
      </w:r>
      <w:r>
        <w:t xml:space="preserve"> </w:t>
      </w:r>
      <w:r w:rsidRPr="002375EC">
        <w:t>the national targets and on measures to remove the bottlenecks that constrain sustainable</w:t>
      </w:r>
      <w:r>
        <w:t xml:space="preserve"> </w:t>
      </w:r>
      <w:r w:rsidRPr="002375EC">
        <w:t>growth at national level.</w:t>
      </w:r>
      <w:r>
        <w:t>”</w:t>
      </w:r>
      <w:r w:rsidR="00E17DF4" w:rsidRPr="00E17DF4">
        <w:rPr>
          <w:rStyle w:val="EndnoteReference"/>
        </w:rPr>
        <w:t xml:space="preserve"> </w:t>
      </w:r>
      <w:r w:rsidR="00E17DF4">
        <w:rPr>
          <w:rStyle w:val="EndnoteReference"/>
        </w:rPr>
        <w:endnoteReference w:id="6"/>
      </w:r>
      <w:r w:rsidR="00E17DF4">
        <w:t xml:space="preserve"> </w:t>
      </w:r>
      <w:r>
        <w:t xml:space="preserve"> </w:t>
      </w:r>
      <w:r w:rsidR="00FF7A77">
        <w:t xml:space="preserve"> </w:t>
      </w:r>
      <w:r w:rsidR="007B4868" w:rsidRPr="00E46FB2">
        <w:t>The council will make an annual “overall assessment of progress achieved both at EU and at national level in implementing the strategy”, and will hold regular debates</w:t>
      </w:r>
      <w:r w:rsidR="007B4868">
        <w:t>.</w:t>
      </w:r>
      <w:r w:rsidR="007B4868" w:rsidRPr="00E46FB2">
        <w:rPr>
          <w:rStyle w:val="EndnoteReference"/>
        </w:rPr>
        <w:endnoteReference w:id="7"/>
      </w:r>
    </w:p>
    <w:p w:rsidR="007B4868" w:rsidRDefault="007B4868" w:rsidP="004846B4"/>
    <w:p w:rsidR="00235CD2" w:rsidRDefault="00275F06" w:rsidP="004846B4">
      <w:r w:rsidRPr="004846B4">
        <w:t>Th</w:t>
      </w:r>
      <w:r w:rsidR="00FF7A77" w:rsidRPr="004846B4">
        <w:t>e</w:t>
      </w:r>
      <w:r w:rsidRPr="004846B4">
        <w:t xml:space="preserve"> monitoring is </w:t>
      </w:r>
      <w:r w:rsidR="00FF7A77" w:rsidRPr="004846B4">
        <w:t xml:space="preserve">also </w:t>
      </w:r>
      <w:r w:rsidRPr="004846B4">
        <w:t xml:space="preserve">integrated with the “reinforced macro-economic, budgetary and structural surveillance” introduced in June 2010 as part of the policy to strengthen enforcement of the </w:t>
      </w:r>
      <w:r w:rsidR="002375EC" w:rsidRPr="004846B4">
        <w:t xml:space="preserve">fiscal rules of the </w:t>
      </w:r>
      <w:r w:rsidRPr="004846B4">
        <w:t>stability pact</w:t>
      </w:r>
      <w:r w:rsidR="001246CC" w:rsidRPr="004846B4">
        <w:t xml:space="preserve"> in the post-crisis context</w:t>
      </w:r>
      <w:r w:rsidR="00DD1AF9">
        <w:t>. U</w:t>
      </w:r>
      <w:r w:rsidR="004846B4" w:rsidRPr="004846B4">
        <w:t xml:space="preserve">nder </w:t>
      </w:r>
      <w:r w:rsidR="00DD1AF9">
        <w:t xml:space="preserve">these new rules, </w:t>
      </w:r>
      <w:r w:rsidR="004846B4" w:rsidRPr="004846B4">
        <w:t>member states have to draw up Stability and</w:t>
      </w:r>
      <w:r w:rsidR="00F67DCD">
        <w:t xml:space="preserve"> </w:t>
      </w:r>
      <w:r w:rsidR="004846B4" w:rsidRPr="004846B4">
        <w:t>Convergence Programmes (SCPs)</w:t>
      </w:r>
      <w:r w:rsidR="001246CC" w:rsidRPr="004846B4">
        <w:t>.</w:t>
      </w:r>
      <w:r w:rsidRPr="004846B4">
        <w:t xml:space="preserve"> </w:t>
      </w:r>
      <w:r w:rsidRPr="004846B4">
        <w:rPr>
          <w:rStyle w:val="EndnoteReference"/>
        </w:rPr>
        <w:endnoteReference w:id="8"/>
      </w:r>
      <w:r w:rsidR="00E46FB2" w:rsidRPr="004846B4">
        <w:t xml:space="preserve"> </w:t>
      </w:r>
    </w:p>
    <w:p w:rsidR="00235CD2" w:rsidRDefault="00235CD2" w:rsidP="004846B4"/>
    <w:p w:rsidR="00275F06" w:rsidRPr="004846B4" w:rsidRDefault="004846B4" w:rsidP="004846B4">
      <w:pPr>
        <w:rPr>
          <w:iCs/>
        </w:rPr>
      </w:pPr>
      <w:r w:rsidRPr="004846B4">
        <w:t xml:space="preserve">There will </w:t>
      </w:r>
      <w:r w:rsidR="00235CD2">
        <w:t xml:space="preserve">thus </w:t>
      </w:r>
      <w:r w:rsidRPr="004846B4">
        <w:t>be a combined annual cycle, the ‘</w:t>
      </w:r>
      <w:r w:rsidRPr="004846B4">
        <w:rPr>
          <w:iCs/>
        </w:rPr>
        <w:t>European Semester of policy coordination’, starting with the Annual Growth Survey in January, followed by the NRPs</w:t>
      </w:r>
      <w:r w:rsidR="00F67DCD">
        <w:rPr>
          <w:iCs/>
        </w:rPr>
        <w:t xml:space="preserve"> and SCPs in April/May. </w:t>
      </w:r>
      <w:r w:rsidR="00484F73">
        <w:rPr>
          <w:iCs/>
        </w:rPr>
        <w:t xml:space="preserve">  </w:t>
      </w:r>
    </w:p>
    <w:p w:rsidR="004846B4" w:rsidRDefault="004846B4" w:rsidP="004846B4">
      <w:pPr>
        <w:pStyle w:val="Heading8"/>
      </w:pPr>
      <w:bookmarkStart w:id="12" w:name="_Toc305768499"/>
      <w:r>
        <w:t>The ‘European semester’ economic policy cycle</w:t>
      </w:r>
      <w:bookmarkEnd w:id="12"/>
    </w:p>
    <w:p w:rsidR="004846B4" w:rsidRPr="004846B4" w:rsidRDefault="00C0176A" w:rsidP="004846B4">
      <w:r>
        <w:rPr>
          <w:noProof/>
          <w:lang w:eastAsia="en-GB"/>
        </w:rPr>
        <w:drawing>
          <wp:inline distT="0" distB="0" distL="0" distR="0">
            <wp:extent cx="5715000" cy="36160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5728780" cy="3624818"/>
                    </a:xfrm>
                    <a:prstGeom prst="rect">
                      <a:avLst/>
                    </a:prstGeom>
                    <a:noFill/>
                    <a:ln w="9525">
                      <a:noFill/>
                      <a:miter lim="800000"/>
                      <a:headEnd/>
                      <a:tailEnd/>
                    </a:ln>
                  </pic:spPr>
                </pic:pic>
              </a:graphicData>
            </a:graphic>
          </wp:inline>
        </w:drawing>
      </w:r>
    </w:p>
    <w:p w:rsidR="00C0176A" w:rsidRPr="004846B4" w:rsidRDefault="00C0176A" w:rsidP="00C0176A">
      <w:pPr>
        <w:pStyle w:val="Endnotes"/>
      </w:pPr>
      <w:r w:rsidRPr="004846B4">
        <w:t xml:space="preserve">Source: </w:t>
      </w:r>
      <w:r>
        <w:t>G</w:t>
      </w:r>
      <w:r w:rsidRPr="004846B4">
        <w:t>overna</w:t>
      </w:r>
      <w:r>
        <w:t>nce, tools and policy cycle of E</w:t>
      </w:r>
      <w:r w:rsidRPr="004846B4">
        <w:t xml:space="preserve">urope 2020 p.7 </w:t>
      </w:r>
      <w:hyperlink r:id="rId32" w:history="1">
        <w:r w:rsidRPr="004846B4">
          <w:rPr>
            <w:rStyle w:val="Hyperlink"/>
            <w:bCs/>
          </w:rPr>
          <w:t>http://ec.europa.eu/eu2020/pdf/Annex%20SWD%20implementation%20last%20version%2015-07-2010.pdf</w:t>
        </w:r>
      </w:hyperlink>
      <w:r w:rsidRPr="004846B4">
        <w:t xml:space="preserve"> </w:t>
      </w:r>
    </w:p>
    <w:p w:rsidR="007B4868" w:rsidRDefault="007B4868" w:rsidP="000032FE">
      <w:pPr>
        <w:autoSpaceDE w:val="0"/>
        <w:autoSpaceDN w:val="0"/>
        <w:adjustRightInd w:val="0"/>
      </w:pPr>
    </w:p>
    <w:p w:rsidR="007B4868" w:rsidRDefault="007B4868" w:rsidP="00F10ECB">
      <w:pPr>
        <w:pStyle w:val="Heading3"/>
      </w:pPr>
      <w:bookmarkStart w:id="13" w:name="_Toc305768500"/>
      <w:r>
        <w:lastRenderedPageBreak/>
        <w:t>Possibilities for union involvement</w:t>
      </w:r>
      <w:bookmarkEnd w:id="13"/>
    </w:p>
    <w:p w:rsidR="00D13637" w:rsidRDefault="004B0F96" w:rsidP="000032FE">
      <w:pPr>
        <w:autoSpaceDE w:val="0"/>
        <w:autoSpaceDN w:val="0"/>
        <w:adjustRightInd w:val="0"/>
      </w:pPr>
      <w:r>
        <w:t xml:space="preserve">The ‘European Semester’ includes </w:t>
      </w:r>
      <w:r w:rsidR="007B4868">
        <w:t xml:space="preserve">explicit </w:t>
      </w:r>
      <w:r>
        <w:t xml:space="preserve">provision for involvement of </w:t>
      </w:r>
      <w:r w:rsidR="007B4868">
        <w:t>civil society organisations such as trade unions</w:t>
      </w:r>
      <w:r>
        <w:t xml:space="preserve">. </w:t>
      </w:r>
      <w:r w:rsidR="000032FE">
        <w:t>The NRPs are expected to be prepared in partnership with “</w:t>
      </w:r>
      <w:r w:rsidR="000032FE" w:rsidRPr="00FF7A77">
        <w:t>social partners and representatives of civil</w:t>
      </w:r>
      <w:r w:rsidR="000032FE">
        <w:t xml:space="preserve"> </w:t>
      </w:r>
      <w:r w:rsidR="000032FE" w:rsidRPr="00FF7A77">
        <w:t>society, who shall contribute to the elaboration of national reform programmes, to</w:t>
      </w:r>
      <w:r w:rsidR="000032FE">
        <w:t xml:space="preserve"> </w:t>
      </w:r>
      <w:r w:rsidR="000032FE" w:rsidRPr="00FF7A77">
        <w:t>their implementation and to the overall communication on the strategy</w:t>
      </w:r>
      <w:r w:rsidR="000032FE">
        <w:t>”.</w:t>
      </w:r>
      <w:r w:rsidR="000032FE" w:rsidRPr="00E17DF4">
        <w:rPr>
          <w:rStyle w:val="EndnoteReference"/>
        </w:rPr>
        <w:t xml:space="preserve"> </w:t>
      </w:r>
      <w:r w:rsidR="000032FE">
        <w:rPr>
          <w:rStyle w:val="EndnoteReference"/>
        </w:rPr>
        <w:endnoteReference w:id="9"/>
      </w:r>
      <w:r w:rsidR="000032FE">
        <w:t xml:space="preserve">   </w:t>
      </w:r>
    </w:p>
    <w:p w:rsidR="00D13637" w:rsidRDefault="00D13637" w:rsidP="000032FE">
      <w:pPr>
        <w:autoSpaceDE w:val="0"/>
        <w:autoSpaceDN w:val="0"/>
        <w:adjustRightInd w:val="0"/>
      </w:pPr>
    </w:p>
    <w:p w:rsidR="000032FE" w:rsidRDefault="000032FE" w:rsidP="000032FE">
      <w:pPr>
        <w:autoSpaceDE w:val="0"/>
        <w:autoSpaceDN w:val="0"/>
        <w:adjustRightInd w:val="0"/>
      </w:pPr>
      <w:r>
        <w:t>The governance document strengthens this by requiring governments to both state how they have consulted, what the results have been, and specifically experience on sharing good practice:</w:t>
      </w:r>
    </w:p>
    <w:p w:rsidR="000032FE" w:rsidRDefault="000032FE" w:rsidP="000032FE">
      <w:pPr>
        <w:autoSpaceDE w:val="0"/>
        <w:autoSpaceDN w:val="0"/>
        <w:adjustRightInd w:val="0"/>
      </w:pPr>
    </w:p>
    <w:p w:rsidR="000032FE" w:rsidRPr="00F67DCD" w:rsidRDefault="000032FE" w:rsidP="000032FE">
      <w:pPr>
        <w:autoSpaceDE w:val="0"/>
        <w:autoSpaceDN w:val="0"/>
        <w:adjustRightInd w:val="0"/>
        <w:ind w:left="720"/>
      </w:pPr>
      <w:r>
        <w:t>“</w:t>
      </w:r>
      <w:r w:rsidRPr="00F67DCD">
        <w:t>The NRP should indicate how the national authorities plan to involve/have involved</w:t>
      </w:r>
    </w:p>
    <w:p w:rsidR="000032FE" w:rsidRPr="00F67DCD" w:rsidRDefault="000032FE" w:rsidP="000032FE">
      <w:pPr>
        <w:autoSpaceDE w:val="0"/>
        <w:autoSpaceDN w:val="0"/>
        <w:adjustRightInd w:val="0"/>
        <w:ind w:left="720"/>
      </w:pPr>
      <w:proofErr w:type="gramStart"/>
      <w:r w:rsidRPr="00F67DCD">
        <w:t>local/regional</w:t>
      </w:r>
      <w:proofErr w:type="gramEnd"/>
      <w:r w:rsidRPr="00F67DCD">
        <w:t xml:space="preserve"> authorities and relevant stakeholders in defining and implementing the</w:t>
      </w:r>
    </w:p>
    <w:p w:rsidR="000032FE" w:rsidRPr="00F67DCD" w:rsidRDefault="000032FE" w:rsidP="000032FE">
      <w:pPr>
        <w:autoSpaceDE w:val="0"/>
        <w:autoSpaceDN w:val="0"/>
        <w:adjustRightInd w:val="0"/>
        <w:ind w:left="720"/>
      </w:pPr>
      <w:r w:rsidRPr="00F67DCD">
        <w:t>NRP and how they communicate (or plan to communicate) on Europe 2020 and on</w:t>
      </w:r>
    </w:p>
    <w:p w:rsidR="000032FE" w:rsidRPr="00F67DCD" w:rsidRDefault="000032FE" w:rsidP="000032FE">
      <w:pPr>
        <w:autoSpaceDE w:val="0"/>
        <w:autoSpaceDN w:val="0"/>
        <w:adjustRightInd w:val="0"/>
        <w:ind w:left="720"/>
      </w:pPr>
      <w:proofErr w:type="gramStart"/>
      <w:r w:rsidRPr="00F67DCD">
        <w:t>their</w:t>
      </w:r>
      <w:proofErr w:type="gramEnd"/>
      <w:r w:rsidRPr="00F67DCD">
        <w:t xml:space="preserve"> own NRP, and what the results have been. They will also be invited to report on</w:t>
      </w:r>
    </w:p>
    <w:p w:rsidR="000032FE" w:rsidRDefault="000032FE" w:rsidP="000032FE">
      <w:pPr>
        <w:autoSpaceDE w:val="0"/>
        <w:autoSpaceDN w:val="0"/>
        <w:adjustRightInd w:val="0"/>
        <w:ind w:left="720"/>
      </w:pPr>
      <w:proofErr w:type="gramStart"/>
      <w:r w:rsidRPr="00F67DCD">
        <w:t>their</w:t>
      </w:r>
      <w:proofErr w:type="gramEnd"/>
      <w:r w:rsidRPr="00F67DCD">
        <w:t xml:space="preserve"> experience with collecting, sharing and implementing good practices.</w:t>
      </w:r>
      <w:r>
        <w:t>”</w:t>
      </w:r>
      <w:r>
        <w:rPr>
          <w:rStyle w:val="EndnoteReference"/>
        </w:rPr>
        <w:endnoteReference w:id="10"/>
      </w:r>
    </w:p>
    <w:p w:rsidR="000032FE" w:rsidRDefault="000032FE" w:rsidP="000032FE"/>
    <w:p w:rsidR="000032FE" w:rsidRDefault="000032FE" w:rsidP="000032FE">
      <w:r w:rsidRPr="00F67DCD">
        <w:t xml:space="preserve">The combination of a single annual cycle and formal consultation requirements means that all civil society organisations across Europe should be consulted at the same time by national governments. </w:t>
      </w:r>
    </w:p>
    <w:p w:rsidR="007B4868" w:rsidRDefault="007B4868" w:rsidP="007B4868"/>
    <w:p w:rsidR="00426466" w:rsidRDefault="00426466" w:rsidP="00426466">
      <w:r>
        <w:t>The ‘European Semester’ does not, however, set out any requirements for formal consultations at EU level.</w:t>
      </w:r>
    </w:p>
    <w:p w:rsidR="00571220" w:rsidRDefault="00571220" w:rsidP="00571220">
      <w:pPr>
        <w:rPr>
          <w:iCs/>
        </w:rPr>
      </w:pPr>
      <w:r>
        <w:rPr>
          <w:iCs/>
        </w:rPr>
        <w:t>And t</w:t>
      </w:r>
      <w:r w:rsidRPr="00484F73">
        <w:rPr>
          <w:iCs/>
        </w:rPr>
        <w:t xml:space="preserve">here is no </w:t>
      </w:r>
      <w:r>
        <w:rPr>
          <w:iCs/>
        </w:rPr>
        <w:t xml:space="preserve">formal </w:t>
      </w:r>
      <w:r w:rsidRPr="00484F73">
        <w:rPr>
          <w:iCs/>
        </w:rPr>
        <w:t xml:space="preserve">role </w:t>
      </w:r>
      <w:r>
        <w:rPr>
          <w:iCs/>
        </w:rPr>
        <w:t xml:space="preserve">in the cycle </w:t>
      </w:r>
      <w:r w:rsidRPr="00484F73">
        <w:rPr>
          <w:iCs/>
        </w:rPr>
        <w:t xml:space="preserve">for enlargement </w:t>
      </w:r>
      <w:r>
        <w:rPr>
          <w:iCs/>
        </w:rPr>
        <w:t xml:space="preserve">or neighbourhood </w:t>
      </w:r>
      <w:r w:rsidRPr="00484F73">
        <w:rPr>
          <w:iCs/>
        </w:rPr>
        <w:t>countries.</w:t>
      </w:r>
      <w:r>
        <w:rPr>
          <w:iCs/>
        </w:rPr>
        <w:t xml:space="preserve"> </w:t>
      </w:r>
    </w:p>
    <w:p w:rsidR="00426466" w:rsidRDefault="00426466" w:rsidP="000032FE"/>
    <w:p w:rsidR="000032FE" w:rsidRDefault="000032FE" w:rsidP="000032FE">
      <w:r>
        <w:t xml:space="preserve">Unions could </w:t>
      </w:r>
      <w:r w:rsidR="00345EEB">
        <w:t xml:space="preserve">take advantage of the consultative processes at national level in various ways: </w:t>
      </w:r>
    </w:p>
    <w:p w:rsidR="000032FE" w:rsidRDefault="000032FE" w:rsidP="000032FE"/>
    <w:p w:rsidR="00345EEB" w:rsidRDefault="000032FE" w:rsidP="000032FE">
      <w:pPr>
        <w:numPr>
          <w:ilvl w:val="0"/>
          <w:numId w:val="36"/>
        </w:numPr>
      </w:pPr>
      <w:r>
        <w:t xml:space="preserve">Ensure </w:t>
      </w:r>
      <w:r w:rsidR="00345EEB">
        <w:t xml:space="preserve">that unions are involved </w:t>
      </w:r>
      <w:r>
        <w:t>in</w:t>
      </w:r>
      <w:r w:rsidR="00345EEB">
        <w:t xml:space="preserve"> national processes of developing </w:t>
      </w:r>
      <w:r>
        <w:t>NRP</w:t>
      </w:r>
      <w:r w:rsidR="00345EEB">
        <w:t xml:space="preserve">s. This could build on, or be used to strengthen, existing forms of social dialogue at national level. </w:t>
      </w:r>
      <w:r>
        <w:t xml:space="preserve"> </w:t>
      </w:r>
    </w:p>
    <w:p w:rsidR="000032FE" w:rsidRDefault="000032FE" w:rsidP="000032FE">
      <w:pPr>
        <w:numPr>
          <w:ilvl w:val="0"/>
          <w:numId w:val="36"/>
        </w:numPr>
      </w:pPr>
      <w:r>
        <w:t>Seek to coordinate these input</w:t>
      </w:r>
      <w:r w:rsidR="00345EEB">
        <w:t>s across countries</w:t>
      </w:r>
      <w:r>
        <w:t>, so that some core principles and policies are being advocated in a common fashion</w:t>
      </w:r>
      <w:r w:rsidR="00426466">
        <w:t>:</w:t>
      </w:r>
      <w:r w:rsidR="00C0176A">
        <w:t xml:space="preserve"> for example contesting the use of PPPs or private contractors</w:t>
      </w:r>
    </w:p>
    <w:p w:rsidR="000032FE" w:rsidRDefault="00C0176A" w:rsidP="00C0176A">
      <w:pPr>
        <w:numPr>
          <w:ilvl w:val="0"/>
          <w:numId w:val="36"/>
        </w:numPr>
      </w:pPr>
      <w:r>
        <w:t>F</w:t>
      </w:r>
      <w:r w:rsidR="000032FE">
        <w:t xml:space="preserve">ocus on </w:t>
      </w:r>
      <w:r w:rsidR="00345EEB">
        <w:t xml:space="preserve">the </w:t>
      </w:r>
      <w:r w:rsidR="000032FE">
        <w:t>employment implications of policies</w:t>
      </w:r>
      <w:r>
        <w:t>, including the importance of relevant guidelines (</w:t>
      </w:r>
      <w:r w:rsidRPr="00C0176A">
        <w:t>Guideline 7: Increasing labour market participation and reducing structural unemployment</w:t>
      </w:r>
      <w:r>
        <w:t>…</w:t>
      </w:r>
      <w:r w:rsidRPr="00C0176A">
        <w:rPr>
          <w:rFonts w:eastAsia="Times New Roman"/>
          <w:sz w:val="24"/>
          <w:szCs w:val="24"/>
          <w:lang w:eastAsia="en-GB"/>
        </w:rPr>
        <w:t xml:space="preserve"> </w:t>
      </w:r>
      <w:r w:rsidRPr="00C0176A">
        <w:t>Guideline 10: Promoting social inclusion and combating poverty</w:t>
      </w:r>
      <w:r>
        <w:t xml:space="preserve">’ </w:t>
      </w:r>
      <w:r>
        <w:rPr>
          <w:rStyle w:val="EndnoteReference"/>
        </w:rPr>
        <w:endnoteReference w:id="11"/>
      </w:r>
      <w:r>
        <w:t>)</w:t>
      </w:r>
    </w:p>
    <w:p w:rsidR="000032FE" w:rsidRDefault="000032FE" w:rsidP="000032FE">
      <w:pPr>
        <w:numPr>
          <w:ilvl w:val="0"/>
          <w:numId w:val="36"/>
        </w:numPr>
      </w:pPr>
      <w:r>
        <w:t>Take</w:t>
      </w:r>
      <w:r w:rsidR="007B4868">
        <w:t xml:space="preserve"> the</w:t>
      </w:r>
      <w:r>
        <w:t xml:space="preserve"> initiative </w:t>
      </w:r>
      <w:r w:rsidR="007B4868">
        <w:t xml:space="preserve">to submit proposals </w:t>
      </w:r>
      <w:r>
        <w:t>on public sector ‘innovation</w:t>
      </w:r>
      <w:r w:rsidR="007B4868">
        <w:t>s</w:t>
      </w:r>
      <w:r>
        <w:t>’</w:t>
      </w:r>
      <w:r w:rsidR="007B4868">
        <w:t xml:space="preserve"> </w:t>
      </w:r>
      <w:r w:rsidR="00426466">
        <w:t xml:space="preserve">, for example to introduce participatory budgeting, rather than </w:t>
      </w:r>
      <w:r w:rsidR="007B4868">
        <w:t>the usual ‘New Public Management’ prescriptions.</w:t>
      </w:r>
    </w:p>
    <w:p w:rsidR="000032FE" w:rsidRPr="00F032D9" w:rsidRDefault="00426466" w:rsidP="000032FE">
      <w:pPr>
        <w:numPr>
          <w:ilvl w:val="0"/>
          <w:numId w:val="36"/>
        </w:numPr>
      </w:pPr>
      <w:r>
        <w:t>Advocate policies in specific sectors, for example o</w:t>
      </w:r>
      <w:r w:rsidR="000032FE">
        <w:t>ppos</w:t>
      </w:r>
      <w:r>
        <w:t>ing</w:t>
      </w:r>
      <w:r w:rsidR="000032FE">
        <w:t xml:space="preserve"> commercialisation </w:t>
      </w:r>
      <w:r>
        <w:t xml:space="preserve">or privatisation </w:t>
      </w:r>
      <w:r w:rsidR="000032FE">
        <w:t xml:space="preserve">of water services </w:t>
      </w:r>
    </w:p>
    <w:p w:rsidR="00571220" w:rsidRDefault="00571220" w:rsidP="00426466">
      <w:pPr>
        <w:rPr>
          <w:iCs/>
        </w:rPr>
      </w:pPr>
    </w:p>
    <w:p w:rsidR="00916BDD" w:rsidRDefault="00571220" w:rsidP="00916BDD">
      <w:pPr>
        <w:autoSpaceDE w:val="0"/>
        <w:autoSpaceDN w:val="0"/>
        <w:adjustRightInd w:val="0"/>
      </w:pPr>
      <w:r>
        <w:t xml:space="preserve">It may be easier for unions to take advantage of the national level consultations. </w:t>
      </w:r>
      <w:r w:rsidR="00426466">
        <w:t xml:space="preserve">Unions have not so far </w:t>
      </w:r>
      <w:r>
        <w:t xml:space="preserve">made much use of the </w:t>
      </w:r>
      <w:r w:rsidR="00426466">
        <w:t>consultative bodies associated with the European Neighbourhood Policy (ENP)</w:t>
      </w:r>
      <w:r w:rsidR="003B2AC7">
        <w:t xml:space="preserve">. </w:t>
      </w:r>
      <w:r w:rsidR="00480657" w:rsidRPr="002D45C3">
        <w:t xml:space="preserve">The selection process </w:t>
      </w:r>
      <w:r>
        <w:t xml:space="preserve">for </w:t>
      </w:r>
      <w:r w:rsidRPr="002D45C3">
        <w:t>the civil society forum for the ENP Berlin November 2010</w:t>
      </w:r>
      <w:r w:rsidR="00480657" w:rsidRPr="002D45C3">
        <w:t xml:space="preserve">stated that </w:t>
      </w:r>
      <w:r w:rsidR="00480657" w:rsidRPr="002D45C3">
        <w:rPr>
          <w:rFonts w:eastAsia="Times New Roman"/>
          <w:lang w:eastAsia="en-GB"/>
        </w:rPr>
        <w:t xml:space="preserve">“The Civil Society Forum shall represent a wide range of Civil Society Organisations (CSOs): trade unions, employers' </w:t>
      </w:r>
      <w:proofErr w:type="gramStart"/>
      <w:r w:rsidR="00480657" w:rsidRPr="002D45C3">
        <w:rPr>
          <w:rFonts w:eastAsia="Times New Roman"/>
          <w:lang w:eastAsia="en-GB"/>
        </w:rPr>
        <w:t>organisations….it is</w:t>
      </w:r>
      <w:proofErr w:type="gramEnd"/>
      <w:r w:rsidR="00480657" w:rsidRPr="002D45C3">
        <w:rPr>
          <w:rFonts w:eastAsia="Times New Roman"/>
          <w:lang w:eastAsia="en-GB"/>
        </w:rPr>
        <w:t xml:space="preserve"> crucial to assure the involvement of all the major components of civil society”</w:t>
      </w:r>
      <w:r w:rsidR="00480657">
        <w:rPr>
          <w:rFonts w:eastAsia="Times New Roman"/>
          <w:lang w:eastAsia="en-GB"/>
        </w:rPr>
        <w:t>.</w:t>
      </w:r>
      <w:r w:rsidR="00480657" w:rsidRPr="002D45C3">
        <w:rPr>
          <w:rStyle w:val="EndnoteReference"/>
          <w:rFonts w:eastAsia="Times New Roman"/>
          <w:lang w:eastAsia="en-GB"/>
        </w:rPr>
        <w:endnoteReference w:id="12"/>
      </w:r>
      <w:r w:rsidR="00916BDD" w:rsidRPr="00916BDD">
        <w:t xml:space="preserve"> </w:t>
      </w:r>
    </w:p>
    <w:p w:rsidR="00480657" w:rsidRDefault="00480657" w:rsidP="000032FE">
      <w:pPr>
        <w:autoSpaceDE w:val="0"/>
        <w:autoSpaceDN w:val="0"/>
        <w:adjustRightInd w:val="0"/>
        <w:rPr>
          <w:rFonts w:eastAsia="Times New Roman"/>
          <w:lang w:eastAsia="en-GB"/>
        </w:rPr>
      </w:pPr>
    </w:p>
    <w:p w:rsidR="000032FE" w:rsidRPr="002D45C3" w:rsidRDefault="00571220" w:rsidP="000032FE">
      <w:pPr>
        <w:autoSpaceDE w:val="0"/>
        <w:autoSpaceDN w:val="0"/>
        <w:adjustRightInd w:val="0"/>
        <w:rPr>
          <w:rFonts w:eastAsia="Times New Roman"/>
          <w:lang w:eastAsia="en-GB"/>
        </w:rPr>
      </w:pPr>
      <w:r>
        <w:t>However, t</w:t>
      </w:r>
      <w:r w:rsidRPr="002D45C3">
        <w:t xml:space="preserve">rade unions </w:t>
      </w:r>
      <w:r>
        <w:t>were</w:t>
      </w:r>
      <w:r w:rsidRPr="002D45C3">
        <w:t xml:space="preserve"> not very strongly represented </w:t>
      </w:r>
      <w:r>
        <w:t>at the forum. T</w:t>
      </w:r>
      <w:r w:rsidRPr="002D45C3">
        <w:t xml:space="preserve">here </w:t>
      </w:r>
      <w:r>
        <w:t>was</w:t>
      </w:r>
      <w:r w:rsidRPr="002D45C3">
        <w:t xml:space="preserve"> no trade union or union centre </w:t>
      </w:r>
      <w:r>
        <w:t xml:space="preserve">at all </w:t>
      </w:r>
      <w:r w:rsidRPr="002D45C3">
        <w:t xml:space="preserve">from Ukraine or </w:t>
      </w:r>
      <w:r w:rsidR="00951205" w:rsidRPr="002D45C3">
        <w:t>Moldova</w:t>
      </w:r>
      <w:r w:rsidR="00951205">
        <w:t>.</w:t>
      </w:r>
      <w:r w:rsidR="00951205" w:rsidRPr="002D45C3">
        <w:t xml:space="preserve"> </w:t>
      </w:r>
      <w:r w:rsidR="00951205" w:rsidRPr="002D45C3">
        <w:rPr>
          <w:rFonts w:eastAsia="Times New Roman"/>
          <w:lang w:eastAsia="en-GB"/>
        </w:rPr>
        <w:t>The</w:t>
      </w:r>
      <w:r w:rsidR="000032FE" w:rsidRPr="002D45C3">
        <w:rPr>
          <w:rFonts w:eastAsia="Times New Roman"/>
          <w:lang w:eastAsia="en-GB"/>
        </w:rPr>
        <w:t xml:space="preserve"> </w:t>
      </w:r>
      <w:r w:rsidR="00480657">
        <w:rPr>
          <w:rFonts w:eastAsia="Times New Roman"/>
          <w:lang w:eastAsia="en-GB"/>
        </w:rPr>
        <w:t xml:space="preserve">only </w:t>
      </w:r>
      <w:r w:rsidR="000032FE" w:rsidRPr="002D45C3">
        <w:rPr>
          <w:rFonts w:eastAsia="Times New Roman"/>
          <w:lang w:eastAsia="en-GB"/>
        </w:rPr>
        <w:t>unions</w:t>
      </w:r>
      <w:r w:rsidR="00480657">
        <w:rPr>
          <w:rFonts w:eastAsia="Times New Roman"/>
          <w:lang w:eastAsia="en-GB"/>
        </w:rPr>
        <w:t xml:space="preserve"> from the ENP countries were:</w:t>
      </w:r>
    </w:p>
    <w:p w:rsidR="000032FE" w:rsidRPr="002D45C3" w:rsidRDefault="000032FE" w:rsidP="000032FE">
      <w:pPr>
        <w:numPr>
          <w:ilvl w:val="0"/>
          <w:numId w:val="35"/>
        </w:numPr>
        <w:autoSpaceDE w:val="0"/>
        <w:autoSpaceDN w:val="0"/>
        <w:adjustRightInd w:val="0"/>
        <w:rPr>
          <w:rFonts w:eastAsia="Times New Roman"/>
          <w:lang w:eastAsia="en-GB"/>
        </w:rPr>
      </w:pPr>
      <w:r w:rsidRPr="002D45C3">
        <w:rPr>
          <w:rFonts w:eastAsia="Times New Roman"/>
          <w:lang w:eastAsia="en-GB"/>
        </w:rPr>
        <w:t>Union of Armenian government employees (not EPSU affiliated)</w:t>
      </w:r>
    </w:p>
    <w:p w:rsidR="000032FE" w:rsidRPr="002D45C3" w:rsidRDefault="000032FE" w:rsidP="000032FE">
      <w:pPr>
        <w:numPr>
          <w:ilvl w:val="0"/>
          <w:numId w:val="35"/>
        </w:numPr>
        <w:autoSpaceDE w:val="0"/>
        <w:autoSpaceDN w:val="0"/>
        <w:adjustRightInd w:val="0"/>
        <w:rPr>
          <w:rFonts w:eastAsia="Times New Roman"/>
          <w:lang w:eastAsia="en-GB"/>
        </w:rPr>
      </w:pPr>
      <w:r w:rsidRPr="002D45C3">
        <w:rPr>
          <w:rFonts w:eastAsia="Times New Roman"/>
          <w:lang w:eastAsia="en-GB"/>
        </w:rPr>
        <w:t>Belarusian Trade Union of Workers of Education and Science</w:t>
      </w:r>
    </w:p>
    <w:p w:rsidR="000032FE" w:rsidRPr="002D45C3" w:rsidRDefault="000032FE" w:rsidP="000032FE">
      <w:pPr>
        <w:numPr>
          <w:ilvl w:val="0"/>
          <w:numId w:val="35"/>
        </w:numPr>
        <w:autoSpaceDE w:val="0"/>
        <w:autoSpaceDN w:val="0"/>
        <w:adjustRightInd w:val="0"/>
        <w:rPr>
          <w:rFonts w:eastAsia="Times New Roman"/>
          <w:lang w:eastAsia="en-GB"/>
        </w:rPr>
      </w:pPr>
      <w:r w:rsidRPr="002D45C3">
        <w:rPr>
          <w:color w:val="000000"/>
        </w:rPr>
        <w:t>Federation of Trade Unions of Belarus</w:t>
      </w:r>
    </w:p>
    <w:p w:rsidR="000032FE" w:rsidRPr="00916BDD" w:rsidRDefault="000032FE" w:rsidP="000032FE">
      <w:pPr>
        <w:numPr>
          <w:ilvl w:val="0"/>
          <w:numId w:val="35"/>
        </w:numPr>
        <w:autoSpaceDE w:val="0"/>
        <w:autoSpaceDN w:val="0"/>
        <w:adjustRightInd w:val="0"/>
      </w:pPr>
      <w:r w:rsidRPr="002D45C3">
        <w:rPr>
          <w:color w:val="000000"/>
        </w:rPr>
        <w:t>Georgian Trade Unions Confederation</w:t>
      </w:r>
    </w:p>
    <w:p w:rsidR="00D13637" w:rsidRDefault="00D13637" w:rsidP="000032FE">
      <w:pPr>
        <w:autoSpaceDE w:val="0"/>
        <w:autoSpaceDN w:val="0"/>
        <w:adjustRightInd w:val="0"/>
      </w:pPr>
    </w:p>
    <w:p w:rsidR="000032FE" w:rsidRPr="002D45C3" w:rsidRDefault="00916BDD" w:rsidP="000032FE">
      <w:pPr>
        <w:autoSpaceDE w:val="0"/>
        <w:autoSpaceDN w:val="0"/>
        <w:adjustRightInd w:val="0"/>
      </w:pPr>
      <w:r w:rsidRPr="002D45C3">
        <w:t xml:space="preserve">The EU level organisations </w:t>
      </w:r>
      <w:r>
        <w:t xml:space="preserve">at the forum did </w:t>
      </w:r>
      <w:r w:rsidRPr="002D45C3">
        <w:t xml:space="preserve">not include the ETUC or any of the European </w:t>
      </w:r>
      <w:r>
        <w:t xml:space="preserve">sector </w:t>
      </w:r>
      <w:r w:rsidRPr="002D45C3">
        <w:t>federations. The</w:t>
      </w:r>
      <w:r w:rsidR="00D13637">
        <w:t>re were only two</w:t>
      </w:r>
      <w:r>
        <w:t xml:space="preserve"> union federations </w:t>
      </w:r>
      <w:r w:rsidR="00D13637">
        <w:t xml:space="preserve">from EU member states: the Polish union </w:t>
      </w:r>
      <w:r w:rsidRPr="002D45C3">
        <w:rPr>
          <w:color w:val="000000"/>
        </w:rPr>
        <w:t>NSZZ “Solidarnosc", and the Swedish Confederation for Professional Employees</w:t>
      </w:r>
      <w:r>
        <w:rPr>
          <w:color w:val="000000"/>
        </w:rPr>
        <w:t xml:space="preserve">. </w:t>
      </w:r>
      <w:r w:rsidRPr="002D45C3">
        <w:rPr>
          <w:rStyle w:val="EndnoteReference"/>
          <w:rFonts w:eastAsia="Times New Roman"/>
          <w:lang w:eastAsia="en-GB"/>
        </w:rPr>
        <w:endnoteReference w:id="13"/>
      </w:r>
    </w:p>
    <w:p w:rsidR="00282C50" w:rsidRDefault="00457F82" w:rsidP="00457F82">
      <w:pPr>
        <w:pStyle w:val="Heading2"/>
      </w:pPr>
      <w:bookmarkStart w:id="14" w:name="_Toc305768501"/>
      <w:r>
        <w:t>The s</w:t>
      </w:r>
      <w:r w:rsidR="00282C50">
        <w:t xml:space="preserve">ectoral and institutional impact </w:t>
      </w:r>
      <w:r w:rsidR="00F10ECB">
        <w:t>of 2020 strategy</w:t>
      </w:r>
      <w:bookmarkEnd w:id="14"/>
    </w:p>
    <w:p w:rsidR="00F10ECB" w:rsidRDefault="00F10ECB" w:rsidP="00282C50">
      <w:r>
        <w:t xml:space="preserve">The strategy itself has no specific objectives for these sectors </w:t>
      </w:r>
      <w:r w:rsidR="00D621D5">
        <w:t xml:space="preserve">in these countries.  Its impact, in particular on employment, </w:t>
      </w:r>
      <w:r>
        <w:t xml:space="preserve">thus needs to be assessed by looking at how the strategy affects the existing ways in which the </w:t>
      </w:r>
      <w:r>
        <w:lastRenderedPageBreak/>
        <w:t>EU influences developments in these areas. This</w:t>
      </w:r>
      <w:r w:rsidR="00282C50">
        <w:t xml:space="preserve"> can be </w:t>
      </w:r>
      <w:r w:rsidR="00D621D5">
        <w:t>done</w:t>
      </w:r>
      <w:r>
        <w:t xml:space="preserve"> by </w:t>
      </w:r>
      <w:proofErr w:type="gramStart"/>
      <w:r>
        <w:t xml:space="preserve">examining </w:t>
      </w:r>
      <w:r w:rsidR="00D621D5">
        <w:t xml:space="preserve"> the</w:t>
      </w:r>
      <w:proofErr w:type="gramEnd"/>
      <w:r w:rsidR="00D621D5">
        <w:t xml:space="preserve"> key </w:t>
      </w:r>
      <w:r w:rsidR="00D621D5" w:rsidRPr="00D621D5">
        <w:t xml:space="preserve">channels through which the </w:t>
      </w:r>
      <w:r w:rsidR="00D621D5">
        <w:t>EU influences developments.</w:t>
      </w:r>
    </w:p>
    <w:p w:rsidR="00F10ECB" w:rsidRDefault="00F10ECB" w:rsidP="00282C50"/>
    <w:p w:rsidR="00282C50" w:rsidRDefault="00282C50" w:rsidP="00282C50">
      <w:r>
        <w:t xml:space="preserve">The first is the sectoral dimension: which core elements of the strategy </w:t>
      </w:r>
      <w:r w:rsidR="00D621D5">
        <w:t xml:space="preserve">affect existing trends and policies in </w:t>
      </w:r>
      <w:r>
        <w:t>the sectors of energy, water and waste</w:t>
      </w:r>
      <w:r w:rsidR="00D621D5">
        <w:t>.</w:t>
      </w:r>
      <w:r>
        <w:t xml:space="preserve">  The second is the institutional dimension: what </w:t>
      </w:r>
      <w:r w:rsidR="006F494E">
        <w:t xml:space="preserve">are the </w:t>
      </w:r>
      <w:r w:rsidR="00F10ECB">
        <w:t xml:space="preserve">existing </w:t>
      </w:r>
      <w:r w:rsidR="00D621D5">
        <w:t xml:space="preserve">institutions </w:t>
      </w:r>
      <w:r w:rsidR="00F10ECB">
        <w:t>whose activities affect these countries,</w:t>
      </w:r>
      <w:r w:rsidR="00D621D5" w:rsidRPr="00D621D5">
        <w:t xml:space="preserve"> </w:t>
      </w:r>
      <w:r w:rsidR="00D621D5">
        <w:t>how do their activities affect developments</w:t>
      </w:r>
      <w:r w:rsidR="005245CB">
        <w:t xml:space="preserve"> and </w:t>
      </w:r>
      <w:proofErr w:type="gramStart"/>
      <w:r w:rsidR="005245CB">
        <w:t xml:space="preserve">employment </w:t>
      </w:r>
      <w:r w:rsidR="00D621D5">
        <w:t xml:space="preserve"> in</w:t>
      </w:r>
      <w:proofErr w:type="gramEnd"/>
      <w:r w:rsidR="00D621D5">
        <w:t xml:space="preserve"> these sectors, and </w:t>
      </w:r>
      <w:r w:rsidR="005245CB">
        <w:t>how will their activities be affected by the 2020 strategy</w:t>
      </w:r>
      <w:r w:rsidR="00D621D5">
        <w:t>.</w:t>
      </w:r>
    </w:p>
    <w:p w:rsidR="00457F82" w:rsidRDefault="00457F82" w:rsidP="00282C50"/>
    <w:p w:rsidR="00457F82" w:rsidRDefault="00457F82" w:rsidP="00457F82">
      <w:r>
        <w:t>The next two sections of the report examine each of these dimensions.</w:t>
      </w:r>
    </w:p>
    <w:p w:rsidR="00457F82" w:rsidRDefault="00457F82" w:rsidP="00457F82"/>
    <w:p w:rsidR="00457F82" w:rsidRDefault="00457F82" w:rsidP="00457F82">
      <w:r>
        <w:t>The actual existing trends and structure of each sector are then examined in the following three sections. These identify the main characteristics of the sectors in each country, in particular government or municipal policies, activities of development banks and others, and the role of private companies, both multinational and national</w:t>
      </w:r>
      <w:r w:rsidR="00EE0578">
        <w:t xml:space="preserve">. For the energy sector, this includes a complete mapping of the employers in the sector, by country (this is not done for water or waste, because there are thousands of individual local municipalities and municipal companies operating these services, as well as some private contractors). </w:t>
      </w:r>
    </w:p>
    <w:p w:rsidR="00457F82" w:rsidRDefault="00457F82" w:rsidP="00457F82"/>
    <w:p w:rsidR="00457F82" w:rsidRDefault="00457F82" w:rsidP="00457F82">
      <w:r>
        <w:t>The final section sets out some overall conclusions.</w:t>
      </w:r>
    </w:p>
    <w:p w:rsidR="00457F82" w:rsidRPr="00282C50" w:rsidRDefault="00457F82" w:rsidP="00282C50"/>
    <w:p w:rsidR="00C65222" w:rsidRDefault="0069076C" w:rsidP="00457F82">
      <w:pPr>
        <w:pStyle w:val="Heading1"/>
      </w:pPr>
      <w:bookmarkStart w:id="15" w:name="_Toc305768502"/>
      <w:r>
        <w:t>P</w:t>
      </w:r>
      <w:r w:rsidR="002518AE">
        <w:t>olicy e</w:t>
      </w:r>
      <w:r w:rsidR="00D621D5">
        <w:t xml:space="preserve">lements </w:t>
      </w:r>
      <w:r w:rsidR="006F494E">
        <w:t xml:space="preserve">relevant for </w:t>
      </w:r>
      <w:r w:rsidR="00282C50">
        <w:t>energy, water and waste sectors</w:t>
      </w:r>
      <w:bookmarkEnd w:id="15"/>
    </w:p>
    <w:p w:rsidR="00D621D5" w:rsidRDefault="004846B4" w:rsidP="00837187">
      <w:r w:rsidRPr="00E46FB2">
        <w:t>The 2020 strateg</w:t>
      </w:r>
      <w:r w:rsidR="006F494E">
        <w:t xml:space="preserve">y and associated documents refer to the </w:t>
      </w:r>
      <w:r w:rsidRPr="00E46FB2">
        <w:t>energy</w:t>
      </w:r>
      <w:r w:rsidR="006F494E">
        <w:t xml:space="preserve"> sector frequently</w:t>
      </w:r>
      <w:r w:rsidRPr="00E46FB2">
        <w:t>, both in relation to climate change policies and energy security</w:t>
      </w:r>
      <w:r>
        <w:t>. There is no direct mention of either water or waste management in any of the documents</w:t>
      </w:r>
      <w:r w:rsidR="006F494E">
        <w:t>, but t</w:t>
      </w:r>
      <w:r w:rsidR="003B2AC7">
        <w:t>he various ‘headline targets’, ‘flagship initiatives’, ‘forward-looking issues’ and themes of the 2020 strategy include reference to a number of recurrent elements</w:t>
      </w:r>
      <w:r w:rsidR="006F494E">
        <w:t xml:space="preserve"> which have relevance to all these sectors</w:t>
      </w:r>
      <w:r w:rsidR="003B2AC7">
        <w:t xml:space="preserve">. </w:t>
      </w:r>
      <w:r w:rsidR="009C3342">
        <w:t>The impact of these recurrent elements are considered one by one and then summarised.</w:t>
      </w:r>
    </w:p>
    <w:p w:rsidR="00D621D5" w:rsidRDefault="00D621D5" w:rsidP="00837187"/>
    <w:p w:rsidR="000E0834" w:rsidRPr="006F494E" w:rsidRDefault="000E0834" w:rsidP="006F494E">
      <w:r w:rsidRPr="006F494E">
        <w:t xml:space="preserve">Climate change – this element can be expected to have the greatest direct impact, through encouraging the use of renewable energy sources for electricity generation. The 2020 strategy basically reinforces existing commitments and tendencies to combatting climate change. The shape of the  impact may depend on the mix and scale of new sources used eg wind from the North Sea and Atlantic, solar power from Africa, but existing employment in thermal power stations is likely to fall, and not be offset by a growth in renewables, which are less labour-intensive. In waste, there is likely to be increased demand for waste management sorting and recycling systems, including selling secondary materials, which can be expected to increase employment in the sector. The quality of that employment depends on the effectiveness of union organisation in combating the use of contractors, local or international, who employ workers on  bad wages, bad conditions and without job security.  </w:t>
      </w:r>
    </w:p>
    <w:p w:rsidR="000E0834" w:rsidRPr="006F494E" w:rsidRDefault="000E0834" w:rsidP="006F494E"/>
    <w:p w:rsidR="000E0834" w:rsidRPr="006F494E" w:rsidRDefault="000E0834" w:rsidP="006F494E">
      <w:r w:rsidRPr="006F494E">
        <w:t xml:space="preserve">Resource efficiency – again, this element can be expected to have a significant impact, although the 2020 strategy may not add much </w:t>
      </w:r>
      <w:proofErr w:type="gramStart"/>
      <w:r w:rsidRPr="006F494E">
        <w:t>to</w:t>
      </w:r>
      <w:proofErr w:type="gramEnd"/>
      <w:r w:rsidRPr="006F494E">
        <w:t xml:space="preserve"> existing commitments and tendencies. In waste, the existing directives and policies already provide a framework for recycling and reuse, which tends to increase employment in the sector. In water, this could lead to more activity in reducing leakage, for example; or it is possible that this heading may be used to try and impose a stricter interpretation of full cost recovery, or commercialisation of bulk water resources, both of which may lead to a squeeze on labour. Energy efficiency reduces consumption of energy: this tends to reduce income of energy companies, public or private, and so may have a negative effect on employment in the electricity sector, though this should be offset by new jobs in building insulation and public transport.  </w:t>
      </w:r>
    </w:p>
    <w:p w:rsidR="000E0834" w:rsidRPr="006F494E" w:rsidRDefault="000E0834" w:rsidP="006F494E"/>
    <w:p w:rsidR="000E0834" w:rsidRPr="006F494E" w:rsidRDefault="000E0834" w:rsidP="006F494E">
      <w:r w:rsidRPr="006F494E">
        <w:t>Fiscal policies – the commitment to early ‘exit routes’, and the strict enforcement of the existing guidelines on debt and deficit</w:t>
      </w:r>
      <w:proofErr w:type="gramStart"/>
      <w:r w:rsidRPr="006F494E">
        <w:t xml:space="preserve">, </w:t>
      </w:r>
      <w:r w:rsidR="00264B48" w:rsidRPr="006F494E">
        <w:t xml:space="preserve"> </w:t>
      </w:r>
      <w:r w:rsidRPr="006F494E">
        <w:t>imply</w:t>
      </w:r>
      <w:proofErr w:type="gramEnd"/>
      <w:r w:rsidRPr="006F494E">
        <w:t xml:space="preserve"> a risk of spending cuts in all sectors.  This may be exacerbated by other elements of the 2020 policy </w:t>
      </w:r>
      <w:proofErr w:type="gramStart"/>
      <w:r w:rsidRPr="006F494E">
        <w:t>-  commitments</w:t>
      </w:r>
      <w:proofErr w:type="gramEnd"/>
      <w:r w:rsidRPr="006F494E">
        <w:t xml:space="preserve"> to increased public spending on renewables, and on investment in energy transmission networks, for example, may increase the demand for cuts in other areas.  </w:t>
      </w:r>
    </w:p>
    <w:p w:rsidR="000E0834" w:rsidRPr="006F494E" w:rsidRDefault="000E0834" w:rsidP="006F494E"/>
    <w:p w:rsidR="000E0834" w:rsidRPr="006F494E" w:rsidRDefault="000E0834" w:rsidP="006F494E">
      <w:r w:rsidRPr="006F494E">
        <w:t xml:space="preserve">Employment policies – there is a specific reference in the integrated guidelines on the need for member states to:  “stimulate creation of green jobs”, but no more detail. This could reinforce the prospect of more jobs in municipalities in areas such as waste management or </w:t>
      </w:r>
      <w:proofErr w:type="gramStart"/>
      <w:r w:rsidRPr="006F494E">
        <w:t>even</w:t>
      </w:r>
      <w:r w:rsidR="00264B48" w:rsidRPr="006F494E">
        <w:t xml:space="preserve"> </w:t>
      </w:r>
      <w:r w:rsidRPr="006F494E">
        <w:t xml:space="preserve"> in</w:t>
      </w:r>
      <w:proofErr w:type="gramEnd"/>
      <w:r w:rsidRPr="006F494E">
        <w:t xml:space="preserve"> functions such as leakage reduction in water. The 10</w:t>
      </w:r>
      <w:r w:rsidRPr="006F494E">
        <w:rPr>
          <w:vertAlign w:val="superscript"/>
        </w:rPr>
        <w:t>th</w:t>
      </w:r>
      <w:r w:rsidRPr="006F494E">
        <w:t xml:space="preserve"> guideline </w:t>
      </w:r>
      <w:proofErr w:type="gramStart"/>
      <w:r w:rsidRPr="006F494E">
        <w:t>-  “</w:t>
      </w:r>
      <w:proofErr w:type="gramEnd"/>
      <w:r w:rsidRPr="006F494E">
        <w:t xml:space="preserve">to fight social exclusion, empower people and promote labour market </w:t>
      </w:r>
      <w:r w:rsidRPr="006F494E">
        <w:lastRenderedPageBreak/>
        <w:t xml:space="preserve">participation, social protection systems, lifelong learning and active inclusion policies should be enhanced to create opportunities at different stages of people’s lives and shield them from the risk of exclusion” - may create the potential for improving the formalisation and protection of working conditions and employment rights, </w:t>
      </w:r>
      <w:r w:rsidR="00264B48" w:rsidRPr="006F494E">
        <w:t xml:space="preserve">which is </w:t>
      </w:r>
      <w:r w:rsidRPr="006F494E">
        <w:t xml:space="preserve">especially </w:t>
      </w:r>
      <w:r w:rsidR="00264B48" w:rsidRPr="006F494E">
        <w:t xml:space="preserve">relevant for </w:t>
      </w:r>
      <w:r w:rsidRPr="006F494E">
        <w:t>workers in the waste management sector.</w:t>
      </w:r>
    </w:p>
    <w:p w:rsidR="000E0834" w:rsidRPr="006F494E" w:rsidRDefault="000E0834" w:rsidP="006F494E"/>
    <w:p w:rsidR="000E0834" w:rsidRPr="006F494E" w:rsidRDefault="000E0834" w:rsidP="006F494E">
      <w:r w:rsidRPr="006F494E">
        <w:t xml:space="preserve">PPPs – the 20020 strategy reaffirms the position of the commission’s 2009 paper that member states need to use “a combination of private and public </w:t>
      </w:r>
      <w:proofErr w:type="gramStart"/>
      <w:r w:rsidRPr="006F494E">
        <w:t>finance,</w:t>
      </w:r>
      <w:proofErr w:type="gramEnd"/>
      <w:r w:rsidRPr="006F494E">
        <w:t xml:space="preserve"> and in creating innovative instruments to finance the needed investments, including public-private partnerships (PPPs)”.</w:t>
      </w:r>
      <w:r w:rsidRPr="006F494E">
        <w:rPr>
          <w:rStyle w:val="EndnoteReference"/>
        </w:rPr>
        <w:endnoteReference w:id="14"/>
      </w:r>
      <w:r w:rsidRPr="006F494E">
        <w:t xml:space="preserve"> PPPs have consistently negative implications for employment in all sectors, due to the privatisation of operations and of some employees</w:t>
      </w:r>
      <w:r w:rsidR="00264B48" w:rsidRPr="006F494E">
        <w:t xml:space="preserve">, and the pressure for cuts in operating expenditure to compensate for the excessive cost of capital in PPPs. </w:t>
      </w:r>
      <w:r w:rsidRPr="006F494E">
        <w:t>There are more general negative effects from creating inflexible contractual demands on public spending which mean that other services lose more when cuts are made.</w:t>
      </w:r>
    </w:p>
    <w:p w:rsidR="000E0834" w:rsidRPr="006F494E" w:rsidRDefault="000E0834" w:rsidP="006F494E"/>
    <w:p w:rsidR="000E0834" w:rsidRPr="006F494E" w:rsidRDefault="000E0834" w:rsidP="006F494E">
      <w:proofErr w:type="gramStart"/>
      <w:r w:rsidRPr="006F494E">
        <w:t>‘Structural reforms’ – the central drive for ‘structural reforms’ is likely to lead to plans for more market opening and liberalisation.</w:t>
      </w:r>
      <w:proofErr w:type="gramEnd"/>
      <w:r w:rsidRPr="006F494E">
        <w:t xml:space="preserve"> This can be expected to be a key aspect of impact on neighbourhood countries, where the 2020 objective of increasing access to markets for EU companies will intensify existing pressures for market opening and liberalisation in all sectors, including those – such as water and waste – not currently subject to EU internal market rules within the EU</w:t>
      </w:r>
    </w:p>
    <w:p w:rsidR="000E0834" w:rsidRPr="006F494E" w:rsidRDefault="000E0834" w:rsidP="006F494E"/>
    <w:p w:rsidR="00837187" w:rsidRDefault="000E0834" w:rsidP="000E0834">
      <w:r w:rsidRPr="006F494E">
        <w:t xml:space="preserve">Innovation – the innovation communication identifies the public sector as a key area for innovation, and states that ‘the Commission will support a substantial </w:t>
      </w:r>
      <w:r w:rsidRPr="006F494E">
        <w:rPr>
          <w:bCs/>
        </w:rPr>
        <w:t xml:space="preserve">research programme on public sector and social innovation’, and also “will ask the social partners for proposals on how to develop a sectoral labour market strategy for the caring sector.” This is an opportunity for unions and others to propose new approaches to organising and running public services. However the paper envisages greater use of a European-wide use of new public management indicators: “it will pilot a European Public Sector Innovation Scoreboard as a basis for further work to benchmark public sector innovation”.  </w:t>
      </w:r>
      <w:r w:rsidRPr="006F494E">
        <w:t>In a global context, it states that “Europe must also develop its own distinctive approach to innovation which builds on its strengths and capitalises on its values … the EU must use the strong potential of the public sector in areas such as energy and water, health, public transport and education, to bring new solutions to the market”, which could imply strengthening of private or commercialised services which could then seek to expand in international markets, including accession countries and the eastern neighbourhood.</w:t>
      </w:r>
      <w:r w:rsidR="005245CB">
        <w:t xml:space="preserve"> At a more basic level, however, innovation could simply take the form of establishing a comprehensive service for the first time, and this may be of particular relevance for the waste management sector. </w:t>
      </w:r>
    </w:p>
    <w:p w:rsidR="005245CB" w:rsidRDefault="005245CB" w:rsidP="000E0834"/>
    <w:p w:rsidR="009C3342" w:rsidRDefault="005245CB" w:rsidP="005245CB">
      <w:r>
        <w:t xml:space="preserve">The table below summarises </w:t>
      </w:r>
      <w:r w:rsidR="009C3342">
        <w:t xml:space="preserve">these judgments on </w:t>
      </w:r>
      <w:r>
        <w:t xml:space="preserve">how the different elements may impact on employment in the energy, water and waste sectors in eastern neighbourhood and enlargement countries. </w:t>
      </w:r>
      <w:r w:rsidR="009C3342">
        <w:t xml:space="preserve">The estimated impacts </w:t>
      </w:r>
      <w:r w:rsidR="00BE0203">
        <w:t xml:space="preserve">clearly </w:t>
      </w:r>
      <w:r w:rsidR="009C3342">
        <w:t xml:space="preserve">fall into two </w:t>
      </w:r>
      <w:r w:rsidR="00BE0203">
        <w:t xml:space="preserve">distinct </w:t>
      </w:r>
      <w:r w:rsidR="009C3342">
        <w:t>categories.</w:t>
      </w:r>
    </w:p>
    <w:p w:rsidR="009C3342" w:rsidRDefault="009C3342" w:rsidP="005245CB"/>
    <w:p w:rsidR="005245CB" w:rsidRDefault="005245CB" w:rsidP="005245CB">
      <w:r>
        <w:t xml:space="preserve">It can be seen that the ‘substantive’ elements </w:t>
      </w:r>
      <w:r w:rsidR="009C3342">
        <w:t xml:space="preserve">which affect the technological and operational aspects of the services have a potential positive effect on employment in waste management, largely neutral effects in water, and mainly negative effects in energy. The reasons for the negative effects in energy are simply that the use of renewable energy for electricity generation is less labour intensive than traditional thermal generation, and the reduction  in demand for energy implied by resource efficiency targets also implies lower levels of activity than would otherwise be the case. </w:t>
      </w:r>
    </w:p>
    <w:p w:rsidR="009C3342" w:rsidRDefault="009C3342" w:rsidP="005245CB"/>
    <w:p w:rsidR="009C3342" w:rsidRDefault="009C3342" w:rsidP="005245CB">
      <w:r>
        <w:t xml:space="preserve">The impact of fiscal and economic policies, however, is expected to be negative across all sectors. </w:t>
      </w:r>
      <w:r w:rsidR="00BE0203">
        <w:t xml:space="preserve">Tighter fiscal constraints invariably result in direct or indirect reductions in employment or pay levels in public services; </w:t>
      </w:r>
      <w:r>
        <w:t xml:space="preserve">PPPs typically result in </w:t>
      </w:r>
      <w:r w:rsidR="00BE0203">
        <w:t xml:space="preserve">worse levels and standards of </w:t>
      </w:r>
      <w:proofErr w:type="gramStart"/>
      <w:r w:rsidR="00BE0203">
        <w:t xml:space="preserve">employment </w:t>
      </w:r>
      <w:proofErr w:type="gramEnd"/>
      <w:r w:rsidR="00BE0203">
        <w:rPr>
          <w:rStyle w:val="EndnoteReference"/>
        </w:rPr>
        <w:endnoteReference w:id="15"/>
      </w:r>
      <w:r w:rsidR="00BE0203">
        <w:t xml:space="preserve">; and ‘structural reforms’ involve privatisation and/or liberalisation which usually have similar effects. </w:t>
      </w:r>
    </w:p>
    <w:p w:rsidR="005245CB" w:rsidRDefault="005245CB" w:rsidP="005245CB"/>
    <w:p w:rsidR="005245CB" w:rsidRDefault="005245CB" w:rsidP="00BE0203">
      <w:pPr>
        <w:pStyle w:val="Heading7"/>
      </w:pPr>
      <w:r>
        <w:t xml:space="preserve"> </w:t>
      </w:r>
      <w:bookmarkStart w:id="16" w:name="_Toc305768503"/>
      <w:r>
        <w:t>Potential effects of elements on employment by sector</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0"/>
        <w:gridCol w:w="2977"/>
        <w:gridCol w:w="1792"/>
        <w:gridCol w:w="1843"/>
        <w:gridCol w:w="1559"/>
      </w:tblGrid>
      <w:tr w:rsidR="00BE0203" w:rsidTr="00BE0203">
        <w:tc>
          <w:tcPr>
            <w:tcW w:w="1384" w:type="dxa"/>
          </w:tcPr>
          <w:p w:rsidR="00BE0203" w:rsidRPr="002F57A7" w:rsidRDefault="002518AE" w:rsidP="005245CB">
            <w:pPr>
              <w:rPr>
                <w:rFonts w:ascii="Calibri" w:hAnsi="Calibri" w:cs="Calibri"/>
              </w:rPr>
            </w:pPr>
            <w:r>
              <w:rPr>
                <w:rFonts w:ascii="Calibri" w:hAnsi="Calibri" w:cs="Calibri"/>
              </w:rPr>
              <w:t>Category</w:t>
            </w:r>
          </w:p>
        </w:tc>
        <w:tc>
          <w:tcPr>
            <w:tcW w:w="2977" w:type="dxa"/>
            <w:shd w:val="clear" w:color="auto" w:fill="auto"/>
          </w:tcPr>
          <w:p w:rsidR="00BE0203" w:rsidRPr="002F57A7" w:rsidRDefault="002518AE" w:rsidP="005245CB">
            <w:pPr>
              <w:rPr>
                <w:rFonts w:ascii="Calibri" w:hAnsi="Calibri" w:cs="Calibri"/>
              </w:rPr>
            </w:pPr>
            <w:r>
              <w:rPr>
                <w:rFonts w:ascii="Calibri" w:hAnsi="Calibri" w:cs="Calibri"/>
              </w:rPr>
              <w:t>Element</w:t>
            </w:r>
          </w:p>
        </w:tc>
        <w:tc>
          <w:tcPr>
            <w:tcW w:w="1792" w:type="dxa"/>
          </w:tcPr>
          <w:p w:rsidR="00BE0203" w:rsidRPr="002F57A7" w:rsidRDefault="00BE0203" w:rsidP="005245CB">
            <w:pPr>
              <w:rPr>
                <w:rFonts w:ascii="Calibri" w:hAnsi="Calibri" w:cs="Calibri"/>
              </w:rPr>
            </w:pPr>
            <w:r w:rsidRPr="002F57A7">
              <w:rPr>
                <w:rFonts w:ascii="Calibri" w:hAnsi="Calibri" w:cs="Calibri"/>
              </w:rPr>
              <w:t>Energy</w:t>
            </w:r>
          </w:p>
        </w:tc>
        <w:tc>
          <w:tcPr>
            <w:tcW w:w="1843" w:type="dxa"/>
            <w:shd w:val="clear" w:color="auto" w:fill="auto"/>
          </w:tcPr>
          <w:p w:rsidR="00BE0203" w:rsidRPr="002F57A7" w:rsidRDefault="00BE0203" w:rsidP="005245CB">
            <w:pPr>
              <w:rPr>
                <w:rFonts w:ascii="Calibri" w:hAnsi="Calibri" w:cs="Calibri"/>
              </w:rPr>
            </w:pPr>
            <w:r w:rsidRPr="002F57A7">
              <w:rPr>
                <w:rFonts w:ascii="Calibri" w:hAnsi="Calibri" w:cs="Calibri"/>
              </w:rPr>
              <w:t>Water</w:t>
            </w:r>
          </w:p>
        </w:tc>
        <w:tc>
          <w:tcPr>
            <w:tcW w:w="1559" w:type="dxa"/>
            <w:shd w:val="clear" w:color="auto" w:fill="auto"/>
          </w:tcPr>
          <w:p w:rsidR="00BE0203" w:rsidRPr="002F57A7" w:rsidRDefault="00BE0203" w:rsidP="005245CB">
            <w:pPr>
              <w:rPr>
                <w:rFonts w:ascii="Calibri" w:hAnsi="Calibri" w:cs="Calibri"/>
              </w:rPr>
            </w:pPr>
            <w:r w:rsidRPr="002F57A7">
              <w:rPr>
                <w:rFonts w:ascii="Calibri" w:hAnsi="Calibri" w:cs="Calibri"/>
              </w:rPr>
              <w:t>Waste</w:t>
            </w:r>
          </w:p>
        </w:tc>
      </w:tr>
      <w:tr w:rsidR="00BE0203" w:rsidTr="00BE0203">
        <w:tc>
          <w:tcPr>
            <w:tcW w:w="1384" w:type="dxa"/>
          </w:tcPr>
          <w:p w:rsidR="00BE0203" w:rsidRPr="002F57A7" w:rsidRDefault="002518AE" w:rsidP="002518AE">
            <w:pPr>
              <w:rPr>
                <w:rFonts w:ascii="Calibri" w:hAnsi="Calibri" w:cs="Calibri"/>
              </w:rPr>
            </w:pPr>
            <w:r>
              <w:rPr>
                <w:rFonts w:ascii="Calibri" w:hAnsi="Calibri" w:cs="Calibri"/>
              </w:rPr>
              <w:t>Technological-operational policies</w:t>
            </w:r>
          </w:p>
        </w:tc>
        <w:tc>
          <w:tcPr>
            <w:tcW w:w="2977" w:type="dxa"/>
            <w:shd w:val="clear" w:color="auto" w:fill="auto"/>
          </w:tcPr>
          <w:p w:rsidR="00BE0203" w:rsidRPr="002F57A7" w:rsidRDefault="00BE0203" w:rsidP="005245CB">
            <w:pPr>
              <w:rPr>
                <w:rFonts w:ascii="Calibri" w:hAnsi="Calibri" w:cs="Calibri"/>
              </w:rPr>
            </w:pPr>
            <w:r w:rsidRPr="002F57A7">
              <w:rPr>
                <w:rFonts w:ascii="Calibri" w:hAnsi="Calibri" w:cs="Calibri"/>
              </w:rPr>
              <w:t>Employment policies</w:t>
            </w:r>
          </w:p>
        </w:tc>
        <w:tc>
          <w:tcPr>
            <w:tcW w:w="1792" w:type="dxa"/>
          </w:tcPr>
          <w:p w:rsidR="00BE0203" w:rsidRPr="002F57A7" w:rsidRDefault="00BE0203" w:rsidP="005245CB">
            <w:pPr>
              <w:jc w:val="center"/>
              <w:rPr>
                <w:rFonts w:ascii="Calibri" w:hAnsi="Calibri" w:cs="Calibri"/>
                <w:sz w:val="40"/>
                <w:szCs w:val="40"/>
              </w:rPr>
            </w:pPr>
            <w:r w:rsidRPr="002F57A7">
              <w:rPr>
                <w:rFonts w:ascii="Calibri" w:hAnsi="Calibri" w:cs="Calibri"/>
                <w:sz w:val="40"/>
                <w:szCs w:val="40"/>
              </w:rPr>
              <w:t>=</w:t>
            </w:r>
          </w:p>
        </w:tc>
        <w:tc>
          <w:tcPr>
            <w:tcW w:w="1843" w:type="dxa"/>
            <w:shd w:val="clear" w:color="auto" w:fill="auto"/>
          </w:tcPr>
          <w:p w:rsidR="00BE0203" w:rsidRPr="002F57A7" w:rsidRDefault="00BE0203" w:rsidP="005245CB">
            <w:pPr>
              <w:jc w:val="center"/>
              <w:rPr>
                <w:rFonts w:ascii="Calibri" w:hAnsi="Calibri" w:cs="Calibri"/>
                <w:sz w:val="40"/>
                <w:szCs w:val="40"/>
              </w:rPr>
            </w:pPr>
            <w:r w:rsidRPr="002F57A7">
              <w:rPr>
                <w:rFonts w:ascii="Calibri" w:hAnsi="Calibri" w:cs="Calibri"/>
                <w:sz w:val="40"/>
                <w:szCs w:val="40"/>
              </w:rPr>
              <w:t>=</w:t>
            </w:r>
          </w:p>
        </w:tc>
        <w:tc>
          <w:tcPr>
            <w:tcW w:w="1559" w:type="dxa"/>
            <w:shd w:val="clear" w:color="auto" w:fill="auto"/>
          </w:tcPr>
          <w:p w:rsidR="00BE0203" w:rsidRPr="002F57A7" w:rsidRDefault="00BE0203" w:rsidP="005245CB">
            <w:pPr>
              <w:jc w:val="center"/>
              <w:rPr>
                <w:rFonts w:ascii="Calibri" w:hAnsi="Calibri" w:cs="Calibri"/>
                <w:sz w:val="40"/>
                <w:szCs w:val="40"/>
              </w:rPr>
            </w:pPr>
            <w:r w:rsidRPr="002F57A7">
              <w:rPr>
                <w:rFonts w:ascii="Calibri" w:hAnsi="Calibri" w:cs="Calibri"/>
                <w:sz w:val="40"/>
                <w:szCs w:val="40"/>
              </w:rPr>
              <w:t>+</w:t>
            </w:r>
          </w:p>
        </w:tc>
      </w:tr>
      <w:tr w:rsidR="00BE0203" w:rsidTr="00BE0203">
        <w:tc>
          <w:tcPr>
            <w:tcW w:w="1384" w:type="dxa"/>
          </w:tcPr>
          <w:p w:rsidR="00BE0203" w:rsidRPr="002F57A7" w:rsidRDefault="00BE0203" w:rsidP="005245CB">
            <w:pPr>
              <w:rPr>
                <w:rFonts w:ascii="Calibri" w:hAnsi="Calibri" w:cs="Calibri"/>
              </w:rPr>
            </w:pPr>
          </w:p>
        </w:tc>
        <w:tc>
          <w:tcPr>
            <w:tcW w:w="2977" w:type="dxa"/>
            <w:shd w:val="clear" w:color="auto" w:fill="auto"/>
          </w:tcPr>
          <w:p w:rsidR="00BE0203" w:rsidRPr="002F57A7" w:rsidRDefault="00BE0203" w:rsidP="005245CB">
            <w:pPr>
              <w:rPr>
                <w:rFonts w:ascii="Calibri" w:hAnsi="Calibri" w:cs="Calibri"/>
              </w:rPr>
            </w:pPr>
            <w:r w:rsidRPr="002F57A7">
              <w:rPr>
                <w:rFonts w:ascii="Calibri" w:hAnsi="Calibri" w:cs="Calibri"/>
              </w:rPr>
              <w:t>Climate change</w:t>
            </w:r>
          </w:p>
        </w:tc>
        <w:tc>
          <w:tcPr>
            <w:tcW w:w="1792" w:type="dxa"/>
          </w:tcPr>
          <w:p w:rsidR="00BE0203" w:rsidRPr="002F57A7" w:rsidRDefault="00BE0203" w:rsidP="005245CB">
            <w:pPr>
              <w:jc w:val="center"/>
              <w:rPr>
                <w:rFonts w:ascii="Calibri" w:hAnsi="Calibri" w:cs="Calibri"/>
                <w:sz w:val="40"/>
                <w:szCs w:val="40"/>
              </w:rPr>
            </w:pPr>
            <w:r w:rsidRPr="002F57A7">
              <w:rPr>
                <w:rFonts w:ascii="Calibri" w:hAnsi="Calibri" w:cs="Calibri"/>
                <w:sz w:val="40"/>
                <w:szCs w:val="40"/>
              </w:rPr>
              <w:t>-</w:t>
            </w:r>
          </w:p>
        </w:tc>
        <w:tc>
          <w:tcPr>
            <w:tcW w:w="1843" w:type="dxa"/>
            <w:shd w:val="clear" w:color="auto" w:fill="auto"/>
          </w:tcPr>
          <w:p w:rsidR="00BE0203" w:rsidRPr="002F57A7" w:rsidRDefault="00BE0203" w:rsidP="005245CB">
            <w:pPr>
              <w:jc w:val="center"/>
              <w:rPr>
                <w:rFonts w:ascii="Calibri" w:hAnsi="Calibri" w:cs="Calibri"/>
                <w:sz w:val="40"/>
                <w:szCs w:val="40"/>
              </w:rPr>
            </w:pPr>
            <w:r w:rsidRPr="002F57A7">
              <w:rPr>
                <w:rFonts w:ascii="Calibri" w:hAnsi="Calibri" w:cs="Calibri"/>
                <w:sz w:val="40"/>
                <w:szCs w:val="40"/>
              </w:rPr>
              <w:t>=</w:t>
            </w:r>
          </w:p>
        </w:tc>
        <w:tc>
          <w:tcPr>
            <w:tcW w:w="1559" w:type="dxa"/>
            <w:shd w:val="clear" w:color="auto" w:fill="auto"/>
          </w:tcPr>
          <w:p w:rsidR="00BE0203" w:rsidRPr="002F57A7" w:rsidRDefault="00BE0203" w:rsidP="005245CB">
            <w:pPr>
              <w:jc w:val="center"/>
              <w:rPr>
                <w:rFonts w:ascii="Calibri" w:hAnsi="Calibri" w:cs="Calibri"/>
                <w:sz w:val="40"/>
                <w:szCs w:val="40"/>
              </w:rPr>
            </w:pPr>
            <w:r w:rsidRPr="002F57A7">
              <w:rPr>
                <w:rFonts w:ascii="Calibri" w:hAnsi="Calibri" w:cs="Calibri"/>
                <w:sz w:val="40"/>
                <w:szCs w:val="40"/>
              </w:rPr>
              <w:t>+</w:t>
            </w:r>
          </w:p>
        </w:tc>
      </w:tr>
      <w:tr w:rsidR="00BE0203" w:rsidTr="00BE0203">
        <w:tc>
          <w:tcPr>
            <w:tcW w:w="1384" w:type="dxa"/>
          </w:tcPr>
          <w:p w:rsidR="00BE0203" w:rsidRPr="002F57A7" w:rsidRDefault="00BE0203" w:rsidP="005245CB">
            <w:pPr>
              <w:rPr>
                <w:rFonts w:ascii="Calibri" w:hAnsi="Calibri" w:cs="Calibri"/>
              </w:rPr>
            </w:pPr>
          </w:p>
        </w:tc>
        <w:tc>
          <w:tcPr>
            <w:tcW w:w="2977" w:type="dxa"/>
            <w:shd w:val="clear" w:color="auto" w:fill="auto"/>
          </w:tcPr>
          <w:p w:rsidR="00BE0203" w:rsidRPr="002F57A7" w:rsidRDefault="00BE0203" w:rsidP="005245CB">
            <w:pPr>
              <w:rPr>
                <w:rFonts w:ascii="Calibri" w:hAnsi="Calibri" w:cs="Calibri"/>
              </w:rPr>
            </w:pPr>
            <w:r w:rsidRPr="002F57A7">
              <w:rPr>
                <w:rFonts w:ascii="Calibri" w:hAnsi="Calibri" w:cs="Calibri"/>
              </w:rPr>
              <w:t>Resource efficiency</w:t>
            </w:r>
          </w:p>
        </w:tc>
        <w:tc>
          <w:tcPr>
            <w:tcW w:w="1792" w:type="dxa"/>
          </w:tcPr>
          <w:p w:rsidR="00BE0203" w:rsidRPr="002F57A7" w:rsidRDefault="00BE0203" w:rsidP="005245CB">
            <w:pPr>
              <w:jc w:val="center"/>
              <w:rPr>
                <w:rFonts w:ascii="Calibri" w:hAnsi="Calibri" w:cs="Calibri"/>
                <w:sz w:val="40"/>
                <w:szCs w:val="40"/>
              </w:rPr>
            </w:pPr>
            <w:r w:rsidRPr="002F57A7">
              <w:rPr>
                <w:rFonts w:ascii="Calibri" w:hAnsi="Calibri" w:cs="Calibri"/>
                <w:sz w:val="40"/>
                <w:szCs w:val="40"/>
              </w:rPr>
              <w:t>-</w:t>
            </w:r>
          </w:p>
        </w:tc>
        <w:tc>
          <w:tcPr>
            <w:tcW w:w="1843" w:type="dxa"/>
            <w:shd w:val="clear" w:color="auto" w:fill="auto"/>
          </w:tcPr>
          <w:p w:rsidR="00BE0203" w:rsidRPr="002F57A7" w:rsidRDefault="00BE0203" w:rsidP="005245CB">
            <w:pPr>
              <w:jc w:val="center"/>
              <w:rPr>
                <w:rFonts w:ascii="Calibri" w:hAnsi="Calibri" w:cs="Calibri"/>
                <w:sz w:val="40"/>
                <w:szCs w:val="40"/>
              </w:rPr>
            </w:pPr>
            <w:r w:rsidRPr="002F57A7">
              <w:rPr>
                <w:rFonts w:ascii="Calibri" w:hAnsi="Calibri" w:cs="Calibri"/>
                <w:sz w:val="40"/>
                <w:szCs w:val="40"/>
              </w:rPr>
              <w:t>=</w:t>
            </w:r>
          </w:p>
        </w:tc>
        <w:tc>
          <w:tcPr>
            <w:tcW w:w="1559" w:type="dxa"/>
            <w:shd w:val="clear" w:color="auto" w:fill="auto"/>
          </w:tcPr>
          <w:p w:rsidR="00BE0203" w:rsidRPr="002F57A7" w:rsidRDefault="00BE0203" w:rsidP="005245CB">
            <w:pPr>
              <w:jc w:val="center"/>
              <w:rPr>
                <w:rFonts w:ascii="Calibri" w:hAnsi="Calibri" w:cs="Calibri"/>
                <w:sz w:val="40"/>
                <w:szCs w:val="40"/>
              </w:rPr>
            </w:pPr>
            <w:r w:rsidRPr="002F57A7">
              <w:rPr>
                <w:rFonts w:ascii="Calibri" w:hAnsi="Calibri" w:cs="Calibri"/>
                <w:sz w:val="40"/>
                <w:szCs w:val="40"/>
              </w:rPr>
              <w:t>+</w:t>
            </w:r>
          </w:p>
        </w:tc>
      </w:tr>
      <w:tr w:rsidR="00BE0203" w:rsidTr="00BE0203">
        <w:tc>
          <w:tcPr>
            <w:tcW w:w="1384" w:type="dxa"/>
          </w:tcPr>
          <w:p w:rsidR="00BE0203" w:rsidRPr="002F57A7" w:rsidRDefault="00BE0203" w:rsidP="005245CB">
            <w:pPr>
              <w:rPr>
                <w:rFonts w:ascii="Calibri" w:hAnsi="Calibri" w:cs="Calibri"/>
              </w:rPr>
            </w:pPr>
          </w:p>
        </w:tc>
        <w:tc>
          <w:tcPr>
            <w:tcW w:w="2977" w:type="dxa"/>
            <w:shd w:val="clear" w:color="auto" w:fill="auto"/>
          </w:tcPr>
          <w:p w:rsidR="00BE0203" w:rsidRPr="002F57A7" w:rsidRDefault="00BE0203" w:rsidP="005245CB">
            <w:pPr>
              <w:rPr>
                <w:rFonts w:ascii="Calibri" w:hAnsi="Calibri" w:cs="Calibri"/>
              </w:rPr>
            </w:pPr>
            <w:r w:rsidRPr="002F57A7">
              <w:rPr>
                <w:rFonts w:ascii="Calibri" w:hAnsi="Calibri" w:cs="Calibri"/>
              </w:rPr>
              <w:t>Innovation</w:t>
            </w:r>
          </w:p>
        </w:tc>
        <w:tc>
          <w:tcPr>
            <w:tcW w:w="1792" w:type="dxa"/>
          </w:tcPr>
          <w:p w:rsidR="00BE0203" w:rsidRPr="002F57A7" w:rsidRDefault="00BE0203" w:rsidP="005245CB">
            <w:pPr>
              <w:jc w:val="center"/>
              <w:rPr>
                <w:rFonts w:ascii="Calibri" w:hAnsi="Calibri" w:cs="Calibri"/>
                <w:sz w:val="40"/>
                <w:szCs w:val="40"/>
              </w:rPr>
            </w:pPr>
            <w:r>
              <w:rPr>
                <w:rFonts w:ascii="Calibri" w:hAnsi="Calibri" w:cs="Calibri"/>
                <w:sz w:val="40"/>
                <w:szCs w:val="40"/>
              </w:rPr>
              <w:t>-</w:t>
            </w:r>
          </w:p>
        </w:tc>
        <w:tc>
          <w:tcPr>
            <w:tcW w:w="1843" w:type="dxa"/>
            <w:shd w:val="clear" w:color="auto" w:fill="auto"/>
          </w:tcPr>
          <w:p w:rsidR="00BE0203" w:rsidRPr="002F57A7" w:rsidRDefault="00BE0203" w:rsidP="005245CB">
            <w:pPr>
              <w:jc w:val="center"/>
              <w:rPr>
                <w:rFonts w:ascii="Calibri" w:hAnsi="Calibri" w:cs="Calibri"/>
                <w:sz w:val="40"/>
                <w:szCs w:val="40"/>
              </w:rPr>
            </w:pPr>
            <w:r>
              <w:rPr>
                <w:rFonts w:ascii="Calibri" w:hAnsi="Calibri" w:cs="Calibri"/>
                <w:sz w:val="40"/>
                <w:szCs w:val="40"/>
              </w:rPr>
              <w:t>=</w:t>
            </w:r>
          </w:p>
        </w:tc>
        <w:tc>
          <w:tcPr>
            <w:tcW w:w="1559" w:type="dxa"/>
            <w:shd w:val="clear" w:color="auto" w:fill="auto"/>
          </w:tcPr>
          <w:p w:rsidR="00BE0203" w:rsidRPr="002F57A7" w:rsidRDefault="00BE0203" w:rsidP="005245CB">
            <w:pPr>
              <w:jc w:val="center"/>
              <w:rPr>
                <w:rFonts w:ascii="Calibri" w:hAnsi="Calibri" w:cs="Calibri"/>
                <w:sz w:val="40"/>
                <w:szCs w:val="40"/>
              </w:rPr>
            </w:pPr>
            <w:r>
              <w:rPr>
                <w:rFonts w:ascii="Calibri" w:hAnsi="Calibri" w:cs="Calibri"/>
                <w:sz w:val="40"/>
                <w:szCs w:val="40"/>
              </w:rPr>
              <w:t>+</w:t>
            </w:r>
          </w:p>
        </w:tc>
      </w:tr>
      <w:tr w:rsidR="00BE0203" w:rsidTr="00BE0203">
        <w:tc>
          <w:tcPr>
            <w:tcW w:w="1384" w:type="dxa"/>
          </w:tcPr>
          <w:p w:rsidR="00BE0203" w:rsidRPr="002F57A7" w:rsidRDefault="002518AE" w:rsidP="005245CB">
            <w:pPr>
              <w:rPr>
                <w:rFonts w:ascii="Calibri" w:hAnsi="Calibri" w:cs="Calibri"/>
              </w:rPr>
            </w:pPr>
            <w:r>
              <w:rPr>
                <w:rFonts w:ascii="Calibri" w:hAnsi="Calibri" w:cs="Calibri"/>
              </w:rPr>
              <w:t>Fiscal-economic policies</w:t>
            </w:r>
          </w:p>
        </w:tc>
        <w:tc>
          <w:tcPr>
            <w:tcW w:w="2977" w:type="dxa"/>
            <w:shd w:val="clear" w:color="auto" w:fill="auto"/>
          </w:tcPr>
          <w:p w:rsidR="00BE0203" w:rsidRPr="002F57A7" w:rsidRDefault="00BE0203" w:rsidP="005245CB">
            <w:pPr>
              <w:rPr>
                <w:rFonts w:ascii="Calibri" w:hAnsi="Calibri" w:cs="Calibri"/>
              </w:rPr>
            </w:pPr>
            <w:r w:rsidRPr="002F57A7">
              <w:rPr>
                <w:rFonts w:ascii="Calibri" w:hAnsi="Calibri" w:cs="Calibri"/>
              </w:rPr>
              <w:t>Fiscal policies</w:t>
            </w:r>
          </w:p>
        </w:tc>
        <w:tc>
          <w:tcPr>
            <w:tcW w:w="1792" w:type="dxa"/>
          </w:tcPr>
          <w:p w:rsidR="00BE0203" w:rsidRPr="002F57A7" w:rsidRDefault="00BE0203" w:rsidP="005245CB">
            <w:pPr>
              <w:jc w:val="center"/>
              <w:rPr>
                <w:rFonts w:ascii="Calibri" w:hAnsi="Calibri" w:cs="Calibri"/>
                <w:sz w:val="40"/>
                <w:szCs w:val="40"/>
              </w:rPr>
            </w:pPr>
            <w:r w:rsidRPr="002F57A7">
              <w:rPr>
                <w:rFonts w:ascii="Calibri" w:hAnsi="Calibri" w:cs="Calibri"/>
                <w:sz w:val="40"/>
                <w:szCs w:val="40"/>
              </w:rPr>
              <w:t>-</w:t>
            </w:r>
          </w:p>
        </w:tc>
        <w:tc>
          <w:tcPr>
            <w:tcW w:w="1843" w:type="dxa"/>
            <w:shd w:val="clear" w:color="auto" w:fill="auto"/>
          </w:tcPr>
          <w:p w:rsidR="00BE0203" w:rsidRPr="002F57A7" w:rsidRDefault="00BE0203" w:rsidP="005245CB">
            <w:pPr>
              <w:jc w:val="center"/>
              <w:rPr>
                <w:rFonts w:ascii="Calibri" w:hAnsi="Calibri" w:cs="Calibri"/>
                <w:sz w:val="40"/>
                <w:szCs w:val="40"/>
              </w:rPr>
            </w:pPr>
            <w:r w:rsidRPr="002F57A7">
              <w:rPr>
                <w:rFonts w:ascii="Calibri" w:hAnsi="Calibri" w:cs="Calibri"/>
                <w:sz w:val="40"/>
                <w:szCs w:val="40"/>
              </w:rPr>
              <w:t>-</w:t>
            </w:r>
          </w:p>
        </w:tc>
        <w:tc>
          <w:tcPr>
            <w:tcW w:w="1559" w:type="dxa"/>
            <w:shd w:val="clear" w:color="auto" w:fill="auto"/>
          </w:tcPr>
          <w:p w:rsidR="00BE0203" w:rsidRPr="002F57A7" w:rsidRDefault="00BE0203" w:rsidP="005245CB">
            <w:pPr>
              <w:jc w:val="center"/>
              <w:rPr>
                <w:rFonts w:ascii="Calibri" w:hAnsi="Calibri" w:cs="Calibri"/>
                <w:sz w:val="40"/>
                <w:szCs w:val="40"/>
              </w:rPr>
            </w:pPr>
            <w:r w:rsidRPr="002F57A7">
              <w:rPr>
                <w:rFonts w:ascii="Calibri" w:hAnsi="Calibri" w:cs="Calibri"/>
                <w:sz w:val="40"/>
                <w:szCs w:val="40"/>
              </w:rPr>
              <w:t>-</w:t>
            </w:r>
          </w:p>
        </w:tc>
      </w:tr>
      <w:tr w:rsidR="00BE0203" w:rsidTr="00BE0203">
        <w:tc>
          <w:tcPr>
            <w:tcW w:w="1384" w:type="dxa"/>
          </w:tcPr>
          <w:p w:rsidR="00BE0203" w:rsidRPr="002F57A7" w:rsidRDefault="00BE0203" w:rsidP="005245CB">
            <w:pPr>
              <w:rPr>
                <w:rFonts w:ascii="Calibri" w:hAnsi="Calibri" w:cs="Calibri"/>
              </w:rPr>
            </w:pPr>
          </w:p>
        </w:tc>
        <w:tc>
          <w:tcPr>
            <w:tcW w:w="2977" w:type="dxa"/>
            <w:shd w:val="clear" w:color="auto" w:fill="auto"/>
          </w:tcPr>
          <w:p w:rsidR="00BE0203" w:rsidRPr="002F57A7" w:rsidRDefault="00BE0203" w:rsidP="005245CB">
            <w:pPr>
              <w:rPr>
                <w:rFonts w:ascii="Calibri" w:hAnsi="Calibri" w:cs="Calibri"/>
              </w:rPr>
            </w:pPr>
            <w:r w:rsidRPr="002F57A7">
              <w:rPr>
                <w:rFonts w:ascii="Calibri" w:hAnsi="Calibri" w:cs="Calibri"/>
              </w:rPr>
              <w:t>PPPs</w:t>
            </w:r>
          </w:p>
        </w:tc>
        <w:tc>
          <w:tcPr>
            <w:tcW w:w="1792" w:type="dxa"/>
          </w:tcPr>
          <w:p w:rsidR="00BE0203" w:rsidRPr="002F57A7" w:rsidRDefault="00BE0203" w:rsidP="005245CB">
            <w:pPr>
              <w:jc w:val="center"/>
              <w:rPr>
                <w:rFonts w:ascii="Calibri" w:hAnsi="Calibri" w:cs="Calibri"/>
                <w:sz w:val="40"/>
                <w:szCs w:val="40"/>
              </w:rPr>
            </w:pPr>
            <w:r w:rsidRPr="002F57A7">
              <w:rPr>
                <w:rFonts w:ascii="Calibri" w:hAnsi="Calibri" w:cs="Calibri"/>
                <w:sz w:val="40"/>
                <w:szCs w:val="40"/>
              </w:rPr>
              <w:t>-</w:t>
            </w:r>
          </w:p>
        </w:tc>
        <w:tc>
          <w:tcPr>
            <w:tcW w:w="1843" w:type="dxa"/>
            <w:shd w:val="clear" w:color="auto" w:fill="auto"/>
          </w:tcPr>
          <w:p w:rsidR="00BE0203" w:rsidRPr="002F57A7" w:rsidRDefault="00BE0203" w:rsidP="005245CB">
            <w:pPr>
              <w:jc w:val="center"/>
              <w:rPr>
                <w:rFonts w:ascii="Calibri" w:hAnsi="Calibri" w:cs="Calibri"/>
                <w:sz w:val="40"/>
                <w:szCs w:val="40"/>
              </w:rPr>
            </w:pPr>
            <w:r w:rsidRPr="002F57A7">
              <w:rPr>
                <w:rFonts w:ascii="Calibri" w:hAnsi="Calibri" w:cs="Calibri"/>
                <w:sz w:val="40"/>
                <w:szCs w:val="40"/>
              </w:rPr>
              <w:t>-</w:t>
            </w:r>
          </w:p>
        </w:tc>
        <w:tc>
          <w:tcPr>
            <w:tcW w:w="1559" w:type="dxa"/>
            <w:shd w:val="clear" w:color="auto" w:fill="auto"/>
          </w:tcPr>
          <w:p w:rsidR="00BE0203" w:rsidRPr="002F57A7" w:rsidRDefault="00BE0203" w:rsidP="005245CB">
            <w:pPr>
              <w:jc w:val="center"/>
              <w:rPr>
                <w:rFonts w:ascii="Calibri" w:hAnsi="Calibri" w:cs="Calibri"/>
                <w:sz w:val="40"/>
                <w:szCs w:val="40"/>
              </w:rPr>
            </w:pPr>
            <w:r w:rsidRPr="002F57A7">
              <w:rPr>
                <w:rFonts w:ascii="Calibri" w:hAnsi="Calibri" w:cs="Calibri"/>
                <w:sz w:val="40"/>
                <w:szCs w:val="40"/>
              </w:rPr>
              <w:t>-</w:t>
            </w:r>
          </w:p>
        </w:tc>
      </w:tr>
      <w:tr w:rsidR="00BE0203" w:rsidTr="00BE0203">
        <w:tc>
          <w:tcPr>
            <w:tcW w:w="1384" w:type="dxa"/>
          </w:tcPr>
          <w:p w:rsidR="00BE0203" w:rsidRPr="002F57A7" w:rsidRDefault="00BE0203" w:rsidP="005245CB">
            <w:pPr>
              <w:rPr>
                <w:rFonts w:ascii="Calibri" w:hAnsi="Calibri" w:cs="Calibri"/>
              </w:rPr>
            </w:pPr>
          </w:p>
        </w:tc>
        <w:tc>
          <w:tcPr>
            <w:tcW w:w="2977" w:type="dxa"/>
            <w:shd w:val="clear" w:color="auto" w:fill="auto"/>
          </w:tcPr>
          <w:p w:rsidR="00BE0203" w:rsidRPr="002F57A7" w:rsidRDefault="00BE0203" w:rsidP="005245CB">
            <w:pPr>
              <w:rPr>
                <w:rFonts w:ascii="Calibri" w:hAnsi="Calibri" w:cs="Calibri"/>
              </w:rPr>
            </w:pPr>
            <w:r w:rsidRPr="002F57A7">
              <w:rPr>
                <w:rFonts w:ascii="Calibri" w:hAnsi="Calibri" w:cs="Calibri"/>
              </w:rPr>
              <w:t>‘Structural reforms’</w:t>
            </w:r>
          </w:p>
        </w:tc>
        <w:tc>
          <w:tcPr>
            <w:tcW w:w="1792" w:type="dxa"/>
          </w:tcPr>
          <w:p w:rsidR="00BE0203" w:rsidRPr="002F57A7" w:rsidRDefault="00BE0203" w:rsidP="005245CB">
            <w:pPr>
              <w:jc w:val="center"/>
              <w:rPr>
                <w:rFonts w:ascii="Calibri" w:hAnsi="Calibri" w:cs="Calibri"/>
                <w:sz w:val="40"/>
                <w:szCs w:val="40"/>
              </w:rPr>
            </w:pPr>
            <w:r w:rsidRPr="002F57A7">
              <w:rPr>
                <w:rFonts w:ascii="Calibri" w:hAnsi="Calibri" w:cs="Calibri"/>
                <w:sz w:val="40"/>
                <w:szCs w:val="40"/>
              </w:rPr>
              <w:t>-</w:t>
            </w:r>
          </w:p>
        </w:tc>
        <w:tc>
          <w:tcPr>
            <w:tcW w:w="1843" w:type="dxa"/>
            <w:shd w:val="clear" w:color="auto" w:fill="auto"/>
          </w:tcPr>
          <w:p w:rsidR="00BE0203" w:rsidRPr="002F57A7" w:rsidRDefault="00BE0203" w:rsidP="005245CB">
            <w:pPr>
              <w:jc w:val="center"/>
              <w:rPr>
                <w:rFonts w:ascii="Calibri" w:hAnsi="Calibri" w:cs="Calibri"/>
                <w:sz w:val="40"/>
                <w:szCs w:val="40"/>
              </w:rPr>
            </w:pPr>
            <w:r w:rsidRPr="002F57A7">
              <w:rPr>
                <w:rFonts w:ascii="Calibri" w:hAnsi="Calibri" w:cs="Calibri"/>
                <w:sz w:val="40"/>
                <w:szCs w:val="40"/>
              </w:rPr>
              <w:t>-</w:t>
            </w:r>
          </w:p>
        </w:tc>
        <w:tc>
          <w:tcPr>
            <w:tcW w:w="1559" w:type="dxa"/>
            <w:shd w:val="clear" w:color="auto" w:fill="auto"/>
          </w:tcPr>
          <w:p w:rsidR="00BE0203" w:rsidRPr="002F57A7" w:rsidRDefault="00BE0203" w:rsidP="005245CB">
            <w:pPr>
              <w:jc w:val="center"/>
              <w:rPr>
                <w:rFonts w:ascii="Calibri" w:hAnsi="Calibri" w:cs="Calibri"/>
                <w:sz w:val="40"/>
                <w:szCs w:val="40"/>
              </w:rPr>
            </w:pPr>
            <w:r w:rsidRPr="002F57A7">
              <w:rPr>
                <w:rFonts w:ascii="Calibri" w:hAnsi="Calibri" w:cs="Calibri"/>
                <w:sz w:val="40"/>
                <w:szCs w:val="40"/>
              </w:rPr>
              <w:t>-</w:t>
            </w:r>
          </w:p>
        </w:tc>
      </w:tr>
    </w:tbl>
    <w:p w:rsidR="005245CB" w:rsidRPr="00837187" w:rsidRDefault="005245CB" w:rsidP="000E0834"/>
    <w:p w:rsidR="004846B4" w:rsidRDefault="006F494E" w:rsidP="0069076C">
      <w:pPr>
        <w:pStyle w:val="Heading1"/>
      </w:pPr>
      <w:bookmarkStart w:id="17" w:name="_Toc305768504"/>
      <w:r>
        <w:t>Institu</w:t>
      </w:r>
      <w:r w:rsidR="00BD41EC">
        <w:t>t</w:t>
      </w:r>
      <w:r>
        <w:t xml:space="preserve">ional </w:t>
      </w:r>
      <w:r w:rsidR="002518AE">
        <w:t>dimensions</w:t>
      </w:r>
      <w:bookmarkEnd w:id="17"/>
    </w:p>
    <w:p w:rsidR="00916BDD" w:rsidRDefault="00264B48" w:rsidP="00264B48">
      <w:r>
        <w:t xml:space="preserve">The 2020 strategy </w:t>
      </w:r>
      <w:r w:rsidR="00916BDD">
        <w:t xml:space="preserve">is directly concerned with the economic and fiscal policies of the EU itself and member states. It does not set any targets or create any new mechanisms specifically for </w:t>
      </w:r>
      <w:r>
        <w:t>accession and neighbourhood countries</w:t>
      </w:r>
      <w:r w:rsidR="00916BDD">
        <w:t>. The strategy</w:t>
      </w:r>
      <w:r>
        <w:t xml:space="preserve"> will </w:t>
      </w:r>
      <w:r w:rsidR="00916BDD">
        <w:t xml:space="preserve">thus affect these countries through </w:t>
      </w:r>
      <w:r w:rsidR="00BD41EC">
        <w:t>existing institutions</w:t>
      </w:r>
      <w:r w:rsidR="006F494E">
        <w:t>, and through affecting the activity of companies.</w:t>
      </w:r>
      <w:r w:rsidR="002518AE">
        <w:t xml:space="preserve"> This section identifies 4 categories of institutional influence: </w:t>
      </w:r>
    </w:p>
    <w:p w:rsidR="002518AE" w:rsidRDefault="002518AE" w:rsidP="002518AE">
      <w:pPr>
        <w:pStyle w:val="ListParagraph"/>
        <w:numPr>
          <w:ilvl w:val="0"/>
          <w:numId w:val="47"/>
        </w:numPr>
      </w:pPr>
      <w:r>
        <w:t>EU policies and legislation which affect the sectors</w:t>
      </w:r>
    </w:p>
    <w:p w:rsidR="002518AE" w:rsidRDefault="002518AE" w:rsidP="002518AE">
      <w:pPr>
        <w:pStyle w:val="ListParagraph"/>
        <w:numPr>
          <w:ilvl w:val="0"/>
          <w:numId w:val="47"/>
        </w:numPr>
      </w:pPr>
      <w:r>
        <w:t>the accession and enlargement processes, including the Energy Community Treaty</w:t>
      </w:r>
    </w:p>
    <w:p w:rsidR="002518AE" w:rsidRDefault="002518AE" w:rsidP="002518AE">
      <w:pPr>
        <w:pStyle w:val="ListParagraph"/>
        <w:numPr>
          <w:ilvl w:val="0"/>
          <w:numId w:val="47"/>
        </w:numPr>
      </w:pPr>
      <w:r>
        <w:t>the EU neighbourhood policy and bilateral agreements</w:t>
      </w:r>
    </w:p>
    <w:p w:rsidR="002518AE" w:rsidRDefault="002518AE" w:rsidP="002518AE">
      <w:pPr>
        <w:pStyle w:val="ListParagraph"/>
        <w:numPr>
          <w:ilvl w:val="0"/>
          <w:numId w:val="47"/>
        </w:numPr>
      </w:pPr>
      <w:r>
        <w:t>development banks and other institutions</w:t>
      </w:r>
    </w:p>
    <w:p w:rsidR="006F494E" w:rsidRDefault="006F494E" w:rsidP="00264B48"/>
    <w:p w:rsidR="00916BDD" w:rsidRPr="00916BDD" w:rsidRDefault="00916BDD" w:rsidP="00457F82">
      <w:pPr>
        <w:pStyle w:val="Heading2"/>
      </w:pPr>
      <w:bookmarkStart w:id="18" w:name="_Toc305768505"/>
      <w:r>
        <w:t>EU sectoral policies</w:t>
      </w:r>
      <w:bookmarkEnd w:id="18"/>
    </w:p>
    <w:p w:rsidR="001F4255" w:rsidRDefault="001F4255" w:rsidP="009722ED">
      <w:r>
        <w:t xml:space="preserve">EU sectoral policies </w:t>
      </w:r>
      <w:r w:rsidR="009722ED">
        <w:t xml:space="preserve">on waste and energy </w:t>
      </w:r>
      <w:r>
        <w:t xml:space="preserve">are already having an impact in neighbourhood countries, for example through the </w:t>
      </w:r>
      <w:proofErr w:type="gramStart"/>
      <w:r>
        <w:t>inclusion  of</w:t>
      </w:r>
      <w:proofErr w:type="gramEnd"/>
      <w:r>
        <w:t xml:space="preserve"> reduction and recycling in waste management policies, and the increasing inclusion of renewable targets in energy policies. The 2020 strategy includes initiatives and targets for reduced resource consumption </w:t>
      </w:r>
      <w:proofErr w:type="gramStart"/>
      <w:r>
        <w:t>and  reduced</w:t>
      </w:r>
      <w:proofErr w:type="gramEnd"/>
      <w:r>
        <w:t xml:space="preserve"> emissions, and so can be expected to reinforce the influence of EU policies in these sectors.  Market mechanisms are likely to provide further reinforcement of this trend. Companies developing technologies and products for EU countries following 2020 targets can be expected to try and market the same products and policies to neighbourhood countries.   </w:t>
      </w:r>
      <w:r w:rsidR="009722ED">
        <w:t xml:space="preserve"> </w:t>
      </w:r>
    </w:p>
    <w:p w:rsidR="001F4255" w:rsidRDefault="001F4255" w:rsidP="009722ED"/>
    <w:p w:rsidR="009722ED" w:rsidRDefault="001F4255" w:rsidP="009722ED">
      <w:r>
        <w:t xml:space="preserve">Sectoral policies </w:t>
      </w:r>
      <w:r w:rsidR="00E16A4B">
        <w:t>are</w:t>
      </w:r>
      <w:r>
        <w:t xml:space="preserve"> less influential in water</w:t>
      </w:r>
      <w:r w:rsidR="00E16A4B">
        <w:t>, except for an emphasis on cost recovery</w:t>
      </w:r>
      <w:r>
        <w:t xml:space="preserve">. </w:t>
      </w:r>
      <w:r w:rsidR="00316059">
        <w:t>The speed with which neighbourhood countries move towards adopting</w:t>
      </w:r>
      <w:r>
        <w:t xml:space="preserve"> </w:t>
      </w:r>
      <w:r w:rsidR="00316059">
        <w:t>water</w:t>
      </w:r>
      <w:r w:rsidR="00E16A4B">
        <w:t xml:space="preserve"> quality standards</w:t>
      </w:r>
      <w:r w:rsidR="00316059">
        <w:t xml:space="preserve"> and wastewater treatment requirements are likely to be most influenced by the availability of finance. For accession countries this comes through large-scale cross-subsidy of investments by the EU, while the private sector has demonstrated that it does not offer </w:t>
      </w:r>
      <w:r w:rsidR="00951205">
        <w:t>large-scale</w:t>
      </w:r>
      <w:r w:rsidR="00316059">
        <w:t xml:space="preserve"> investments in the water sector. </w:t>
      </w:r>
      <w:r w:rsidR="009722ED">
        <w:t xml:space="preserve"> </w:t>
      </w:r>
    </w:p>
    <w:p w:rsidR="009722ED" w:rsidRPr="00B36415" w:rsidRDefault="009722ED" w:rsidP="009722ED"/>
    <w:p w:rsidR="000032FE" w:rsidRDefault="000032FE" w:rsidP="00457F82">
      <w:pPr>
        <w:pStyle w:val="Heading2"/>
      </w:pPr>
      <w:bookmarkStart w:id="19" w:name="_Toc305768506"/>
      <w:r>
        <w:t>Accession</w:t>
      </w:r>
      <w:r w:rsidR="00EB1BEF">
        <w:t>, enlargement and Energy Community Treaty</w:t>
      </w:r>
      <w:bookmarkEnd w:id="19"/>
    </w:p>
    <w:p w:rsidR="000032FE" w:rsidRPr="00F3484A" w:rsidRDefault="000032FE" w:rsidP="00F3484A">
      <w:r w:rsidRPr="00F3484A">
        <w:t xml:space="preserve">For candidate </w:t>
      </w:r>
      <w:r w:rsidR="00EB1BEF">
        <w:t xml:space="preserve">and enlargement </w:t>
      </w:r>
      <w:r w:rsidRPr="00F3484A">
        <w:t>countries, the key impact mechanism will be through accession negotiations</w:t>
      </w:r>
      <w:r w:rsidR="00F3484A" w:rsidRPr="00F3484A">
        <w:t xml:space="preserve"> and the harmonisation of legislation to the ‘acquis communitaire’. </w:t>
      </w:r>
      <w:r w:rsidRPr="00F3484A">
        <w:t>Th</w:t>
      </w:r>
      <w:r w:rsidR="00F3484A" w:rsidRPr="00F3484A">
        <w:t>is include</w:t>
      </w:r>
      <w:r w:rsidR="0013677A">
        <w:t>s</w:t>
      </w:r>
      <w:r w:rsidR="00F3484A" w:rsidRPr="00F3484A">
        <w:t xml:space="preserve"> environmental legislation affecting the </w:t>
      </w:r>
      <w:r w:rsidR="0013677A">
        <w:t xml:space="preserve">water sector and the </w:t>
      </w:r>
      <w:r w:rsidR="00F3484A" w:rsidRPr="00F3484A">
        <w:t>waste management sector</w:t>
      </w:r>
      <w:r w:rsidR="00EB1BEF">
        <w:t>.</w:t>
      </w:r>
      <w:r w:rsidR="00EB1BEF">
        <w:rPr>
          <w:rStyle w:val="EndnoteReference"/>
        </w:rPr>
        <w:endnoteReference w:id="16"/>
      </w:r>
      <w:r w:rsidR="00EB1BEF">
        <w:t xml:space="preserve"> For energy, the key element of accession is </w:t>
      </w:r>
      <w:r w:rsidR="00F3484A" w:rsidRPr="00F3484A">
        <w:t>the internal market legislation for the electricity and gas sectors</w:t>
      </w:r>
      <w:r w:rsidR="00EB1BEF">
        <w:t>: adoption of this is accelerated under the terms of the Energy Community Treaty, which is specifically designed to establish an extension of the internal market in south-east Europe (see chapter on energy).</w:t>
      </w:r>
    </w:p>
    <w:p w:rsidR="00F032D9" w:rsidRPr="00F032D9" w:rsidRDefault="00F032D9" w:rsidP="00F032D9"/>
    <w:p w:rsidR="00F032D9" w:rsidRDefault="000032FE" w:rsidP="00457F82">
      <w:pPr>
        <w:pStyle w:val="Heading2"/>
      </w:pPr>
      <w:bookmarkStart w:id="20" w:name="_Toc305768507"/>
      <w:r>
        <w:t>EU</w:t>
      </w:r>
      <w:r w:rsidR="00F032D9">
        <w:t xml:space="preserve"> neighbourhood policy (ENP)</w:t>
      </w:r>
      <w:r w:rsidR="006572D0">
        <w:t xml:space="preserve">, </w:t>
      </w:r>
      <w:r w:rsidR="00F032D9">
        <w:t>eastern partnership</w:t>
      </w:r>
      <w:r w:rsidR="006572D0">
        <w:t xml:space="preserve"> and trade policy</w:t>
      </w:r>
      <w:bookmarkEnd w:id="20"/>
    </w:p>
    <w:p w:rsidR="002F71AD" w:rsidRDefault="0013677A" w:rsidP="00AE09EA">
      <w:r>
        <w:t>A key</w:t>
      </w:r>
      <w:r w:rsidR="00F032D9">
        <w:t xml:space="preserve"> mechanism for the neighbourhood countries will be through the ENP and the bilateral agreements associated with it. The</w:t>
      </w:r>
      <w:r w:rsidR="006572D0">
        <w:t xml:space="preserve"> </w:t>
      </w:r>
      <w:r w:rsidR="004B14B5" w:rsidRPr="00AE09EA">
        <w:t>2020 strategy paper</w:t>
      </w:r>
      <w:r w:rsidR="006572D0">
        <w:t xml:space="preserve"> specifically refers to this: </w:t>
      </w:r>
      <w:r w:rsidR="004B14B5" w:rsidRPr="00AE09EA">
        <w:t xml:space="preserve">“The Europe 2020 strategy is not only relevant inside the EU, it can also offer considerable potential to candidate countries and our neighbourhood </w:t>
      </w:r>
      <w:r w:rsidR="004B14B5" w:rsidRPr="00AE09EA">
        <w:lastRenderedPageBreak/>
        <w:t>and better help anchor their own reform efforts. Expanding the area where EU rules are applied, will create new opportunities for both the EU and its neighbours”.</w:t>
      </w:r>
      <w:r w:rsidR="004B14B5" w:rsidRPr="00AE09EA">
        <w:rPr>
          <w:rStyle w:val="EndnoteReference"/>
        </w:rPr>
        <w:endnoteReference w:id="17"/>
      </w:r>
      <w:r w:rsidR="004B14B5" w:rsidRPr="00AE09EA">
        <w:t xml:space="preserve"> </w:t>
      </w:r>
      <w:r w:rsidR="006572D0">
        <w:t xml:space="preserve"> </w:t>
      </w:r>
    </w:p>
    <w:p w:rsidR="002F71AD" w:rsidRDefault="002F71AD" w:rsidP="00AE09EA"/>
    <w:p w:rsidR="00457F82" w:rsidRDefault="006572D0" w:rsidP="00AE09EA">
      <w:r>
        <w:t xml:space="preserve">This is linked to </w:t>
      </w:r>
      <w:r w:rsidR="0099799B">
        <w:t xml:space="preserve">more general trade strategy including </w:t>
      </w:r>
      <w:r w:rsidR="004B14B5" w:rsidRPr="00AE09EA">
        <w:t>“on-going multilateral and bila</w:t>
      </w:r>
      <w:r w:rsidR="0099799B">
        <w:t>teral trade negotiations” and “a</w:t>
      </w:r>
      <w:r w:rsidR="004B14B5" w:rsidRPr="00AE09EA">
        <w:t xml:space="preserve">cting within the WTO and bilaterally in order to secure better </w:t>
      </w:r>
      <w:r w:rsidR="0099799B">
        <w:t>market access for EU business”.</w:t>
      </w:r>
      <w:r w:rsidR="00AE09EA" w:rsidRPr="00AE09EA">
        <w:rPr>
          <w:rStyle w:val="EndnoteReference"/>
        </w:rPr>
        <w:endnoteReference w:id="18"/>
      </w:r>
      <w:r w:rsidR="00AE09EA" w:rsidRPr="00AE09EA">
        <w:t xml:space="preserve"> </w:t>
      </w:r>
      <w:r w:rsidR="004846B4">
        <w:t xml:space="preserve"> </w:t>
      </w:r>
      <w:r w:rsidR="00AE09EA" w:rsidRPr="00AE09EA">
        <w:t>The June council document reinforces this approach in stating that: “Full use should be made of the strategy's external dimension, notably via the trade strategy that the Commission will present by the end of the year.”</w:t>
      </w:r>
      <w:r w:rsidR="00AE09EA" w:rsidRPr="00AE09EA">
        <w:rPr>
          <w:rStyle w:val="EndnoteReference"/>
        </w:rPr>
        <w:endnoteReference w:id="19"/>
      </w:r>
      <w:r w:rsidR="00457F82">
        <w:t xml:space="preserve"> The ENP, too, therefore, is likely to have its major impact through liberalisation, and privatisation, especially to EU-based multinational companies. </w:t>
      </w:r>
    </w:p>
    <w:p w:rsidR="004B14B5" w:rsidRPr="00AE09EA" w:rsidRDefault="00457F82" w:rsidP="00AE09EA">
      <w:r>
        <w:t xml:space="preserve"> </w:t>
      </w:r>
    </w:p>
    <w:p w:rsidR="008575BE" w:rsidRDefault="000032FE" w:rsidP="00457F82">
      <w:pPr>
        <w:pStyle w:val="Heading2"/>
      </w:pPr>
      <w:bookmarkStart w:id="21" w:name="_Toc305768508"/>
      <w:r>
        <w:t xml:space="preserve">Other institutions: </w:t>
      </w:r>
      <w:r w:rsidR="00457F82">
        <w:t xml:space="preserve">EBRD, EIB, World Bank, </w:t>
      </w:r>
      <w:r>
        <w:t>OECD, UNECE</w:t>
      </w:r>
      <w:bookmarkEnd w:id="21"/>
    </w:p>
    <w:p w:rsidR="00D86B4F" w:rsidRDefault="000032FE" w:rsidP="000032FE">
      <w:r>
        <w:t>The impact of EU policies will also be felt through the activities of other international institutions in the region</w:t>
      </w:r>
      <w:r w:rsidR="0099799B">
        <w:t>, in particular multilateral development banks, the OECD and UNECE</w:t>
      </w:r>
      <w:r w:rsidR="00D86B4F">
        <w:t>.</w:t>
      </w:r>
      <w:r w:rsidR="0099799B">
        <w:t xml:space="preserve"> Only the EIB and EBRD </w:t>
      </w:r>
      <w:proofErr w:type="gramStart"/>
      <w:r w:rsidR="0099799B">
        <w:t>are  EU</w:t>
      </w:r>
      <w:proofErr w:type="gramEnd"/>
      <w:r w:rsidR="0099799B">
        <w:t xml:space="preserve"> institutions, but the others coordinate their activities in the region with the EU, and thus may also act as transmission mechanisms for the 2020 strategy.</w:t>
      </w:r>
    </w:p>
    <w:p w:rsidR="004128D8" w:rsidRDefault="004128D8" w:rsidP="000032FE"/>
    <w:p w:rsidR="0094679B" w:rsidRDefault="0094679B" w:rsidP="00457F82">
      <w:pPr>
        <w:pStyle w:val="Heading3"/>
      </w:pPr>
      <w:bookmarkStart w:id="22" w:name="_Toc305768509"/>
      <w:r>
        <w:t>European Bank for Reconstruction and Development (EBRD)</w:t>
      </w:r>
      <w:bookmarkEnd w:id="22"/>
    </w:p>
    <w:p w:rsidR="009120DB" w:rsidRDefault="009120DB" w:rsidP="0094679B">
      <w:r>
        <w:t xml:space="preserve">The EBRD was set up specifically to provide development finance for the countries of </w:t>
      </w:r>
      <w:proofErr w:type="gramStart"/>
      <w:r>
        <w:t>eastern</w:t>
      </w:r>
      <w:proofErr w:type="gramEnd"/>
      <w:r>
        <w:t xml:space="preserve"> Europe in transition from communist states to market economies. It has lent over €23billion to the southeast Europe and the eastern partnership since 1991, nearly 40% of its total lending. It has projects in all three sectors under study. </w:t>
      </w:r>
      <w:r>
        <w:rPr>
          <w:rStyle w:val="EndnoteReference"/>
        </w:rPr>
        <w:endnoteReference w:id="20"/>
      </w:r>
    </w:p>
    <w:p w:rsidR="009120DB" w:rsidRDefault="009120DB" w:rsidP="0094679B"/>
    <w:p w:rsidR="009120DB" w:rsidRDefault="009120DB" w:rsidP="0094679B">
      <w:r>
        <w:t xml:space="preserve">The EBRD has a long history, since the mid-1990s, of directly financing private sector projects by west European multinational companies in these sectors. </w:t>
      </w:r>
      <w:r w:rsidR="00A84CFF">
        <w:t xml:space="preserve">It also actively promotes and supports PPPs. </w:t>
      </w:r>
      <w:r>
        <w:rPr>
          <w:rStyle w:val="EndnoteReference"/>
        </w:rPr>
        <w:endnoteReference w:id="21"/>
      </w:r>
    </w:p>
    <w:p w:rsidR="000C67A9" w:rsidRPr="0094679B" w:rsidRDefault="000C67A9" w:rsidP="0094679B"/>
    <w:p w:rsidR="0094679B" w:rsidRDefault="0094679B" w:rsidP="00457F82">
      <w:pPr>
        <w:pStyle w:val="Heading3"/>
      </w:pPr>
      <w:bookmarkStart w:id="23" w:name="_Toc305768510"/>
      <w:r>
        <w:t>European Investment Bank (EIB)</w:t>
      </w:r>
      <w:bookmarkEnd w:id="23"/>
    </w:p>
    <w:p w:rsidR="000C67A9" w:rsidRDefault="00E377DB" w:rsidP="000C67A9">
      <w:r>
        <w:t>The EIB is the development bank of the EU. It is the largest financier of infrastructure projects in the EU</w:t>
      </w:r>
      <w:r w:rsidR="000C67A9">
        <w:t xml:space="preserve">, especially road and rail transport, but also including projects in energy, water and waste sectors. It is active in the candidate and enlargement countries in the west Balkans, where it is the largest international financier, and the eastern neighbourhood, where half of its projects are in energy. </w:t>
      </w:r>
      <w:r w:rsidR="000C67A9">
        <w:rPr>
          <w:rStyle w:val="EndnoteReference"/>
        </w:rPr>
        <w:endnoteReference w:id="22"/>
      </w:r>
    </w:p>
    <w:p w:rsidR="000C67A9" w:rsidRDefault="000C67A9" w:rsidP="0094679B"/>
    <w:p w:rsidR="000C67A9" w:rsidRDefault="000C67A9" w:rsidP="000C67A9">
      <w:r>
        <w:t>It has a strong policy of promoting PPPs: it finances many PPPs, creates special funds for PPPs, has set up a PPP Expertise sector, and runs EU projects to facilitate using PPPs with infrastructure funding.</w:t>
      </w:r>
      <w:r w:rsidRPr="000C67A9">
        <w:rPr>
          <w:rStyle w:val="EndnoteReference"/>
        </w:rPr>
        <w:t xml:space="preserve"> </w:t>
      </w:r>
      <w:r>
        <w:rPr>
          <w:rStyle w:val="EndnoteReference"/>
        </w:rPr>
        <w:endnoteReference w:id="23"/>
      </w:r>
    </w:p>
    <w:p w:rsidR="000F7BD9" w:rsidRDefault="000F7BD9" w:rsidP="000C67A9"/>
    <w:p w:rsidR="000F7BD9" w:rsidRDefault="000F7BD9" w:rsidP="000C67A9">
      <w:r>
        <w:t xml:space="preserve">Its operational plan for 2011-13 refers throughout to the 2020 strategy in framing the EIB goals. </w:t>
      </w:r>
      <w:r>
        <w:rPr>
          <w:rStyle w:val="EndnoteReference"/>
        </w:rPr>
        <w:endnoteReference w:id="24"/>
      </w:r>
      <w:r>
        <w:t xml:space="preserve"> It states that “</w:t>
      </w:r>
      <w:r w:rsidRPr="000F7BD9">
        <w:t>Pilot programmes will need to be developed and tested in supp</w:t>
      </w:r>
      <w:r>
        <w:t>ort of the Europe 2020 strategy</w:t>
      </w:r>
      <w:proofErr w:type="gramStart"/>
      <w:r>
        <w:t>” .</w:t>
      </w:r>
      <w:proofErr w:type="gramEnd"/>
      <w:r>
        <w:t xml:space="preserve">  It increased the EIB’s budget for lending to pre-accession countries (in</w:t>
      </w:r>
      <w:r w:rsidR="00590B40">
        <w:t>c</w:t>
      </w:r>
      <w:r>
        <w:t>luding the west Balkan countries)</w:t>
      </w:r>
      <w:r w:rsidR="00590B40">
        <w:t xml:space="preserve"> </w:t>
      </w:r>
      <w:r>
        <w:t xml:space="preserve">by €5.7billion, </w:t>
      </w:r>
      <w:r w:rsidR="00590B40">
        <w:t>because of the continued difficulties in accessing credit for these countries.</w:t>
      </w:r>
    </w:p>
    <w:p w:rsidR="0094679B" w:rsidRDefault="000C67A9" w:rsidP="0094679B">
      <w:r>
        <w:t xml:space="preserve"> </w:t>
      </w:r>
    </w:p>
    <w:p w:rsidR="00457F82" w:rsidRDefault="00457F82" w:rsidP="00457F82">
      <w:pPr>
        <w:pStyle w:val="Heading3"/>
      </w:pPr>
      <w:bookmarkStart w:id="24" w:name="_Toc305768511"/>
      <w:r>
        <w:t>World Bank group</w:t>
      </w:r>
      <w:bookmarkEnd w:id="24"/>
    </w:p>
    <w:p w:rsidR="00457F82" w:rsidRDefault="00457F82" w:rsidP="00457F82">
      <w:r>
        <w:t xml:space="preserve">The World Bank continues to take a strong policy interest in the region. A strategy paper in March 2010 discussed the impact of the crisis and concluded there was a need for a change of strategy with stronger intervention by the bank. </w:t>
      </w:r>
      <w:r>
        <w:rPr>
          <w:rStyle w:val="EndnoteReference"/>
        </w:rPr>
        <w:endnoteReference w:id="25"/>
      </w:r>
    </w:p>
    <w:p w:rsidR="00457F82" w:rsidRDefault="00457F82" w:rsidP="00457F82"/>
    <w:p w:rsidR="008374FB" w:rsidRDefault="00457F82" w:rsidP="0094679B">
      <w:r>
        <w:t>It identified structural weaknesses</w:t>
      </w:r>
      <w:r w:rsidR="008374FB">
        <w:t xml:space="preserve"> in the region</w:t>
      </w:r>
      <w:r>
        <w:t xml:space="preserve"> including:  inefficient and unsustainable public services; a lack of competitiveness, specifically problems with infrastructure and labour: “</w:t>
      </w:r>
      <w:r w:rsidRPr="00837187">
        <w:t>Infrastructure and a skilled labor force―a positive legacy of</w:t>
      </w:r>
      <w:r>
        <w:t xml:space="preserve"> </w:t>
      </w:r>
      <w:r w:rsidRPr="00837187">
        <w:t>socialism―have now emerged as the tightest bottlenecks to</w:t>
      </w:r>
      <w:r>
        <w:t xml:space="preserve"> </w:t>
      </w:r>
      <w:r w:rsidRPr="00837187">
        <w:t>the region’s competitiveness</w:t>
      </w:r>
      <w:r>
        <w:t>”; and inefficiently high energy consumption. It sees future policy as focussing on reforms for “improved investment climate….energy and transport infrastructure…</w:t>
      </w:r>
      <w:r w:rsidRPr="00A55BCC">
        <w:rPr>
          <w:rFonts w:ascii="Calibri" w:eastAsia="Times New Roman" w:hAnsi="Calibri" w:cs="Calibri"/>
          <w:sz w:val="32"/>
          <w:szCs w:val="32"/>
          <w:lang w:eastAsia="en-GB"/>
        </w:rPr>
        <w:t xml:space="preserve"> </w:t>
      </w:r>
      <w:r w:rsidRPr="00A55BCC">
        <w:t>Tightening fiscal constraints in ECA countries offer an opportunity to</w:t>
      </w:r>
      <w:r>
        <w:t xml:space="preserve"> </w:t>
      </w:r>
      <w:r w:rsidRPr="00A55BCC">
        <w:t>address longstanding structural issues in the social sectors</w:t>
      </w:r>
      <w:r>
        <w:t xml:space="preserve">”.  </w:t>
      </w:r>
    </w:p>
    <w:p w:rsidR="008374FB" w:rsidRDefault="008374FB" w:rsidP="0094679B"/>
    <w:p w:rsidR="0094679B" w:rsidRPr="0094679B" w:rsidRDefault="00457F82" w:rsidP="0094679B">
      <w:r>
        <w:t>It envisages strong cooperation with the EU: “</w:t>
      </w:r>
      <w:r w:rsidRPr="00A55BCC">
        <w:t>notably</w:t>
      </w:r>
      <w:r>
        <w:t xml:space="preserve"> </w:t>
      </w:r>
      <w:r w:rsidRPr="00A55BCC">
        <w:t>expertise on structural issues (key for</w:t>
      </w:r>
      <w:r>
        <w:t xml:space="preserve"> </w:t>
      </w:r>
      <w:r w:rsidRPr="00A55BCC">
        <w:t>Europe’s 2020 agenda), social sector</w:t>
      </w:r>
      <w:r>
        <w:t xml:space="preserve"> </w:t>
      </w:r>
      <w:r w:rsidRPr="00A55BCC">
        <w:t>reforms (outside the acquis</w:t>
      </w:r>
      <w:r>
        <w:t xml:space="preserve"> </w:t>
      </w:r>
      <w:r w:rsidRPr="00A55BCC">
        <w:t>communautaire), and implementation</w:t>
      </w:r>
      <w:r>
        <w:t xml:space="preserve"> </w:t>
      </w:r>
      <w:r w:rsidRPr="00A55BCC">
        <w:t>capacity (for effective use of EU funds)</w:t>
      </w:r>
      <w:r>
        <w:t xml:space="preserve">” It also emphasises cooperation with Russia. The World Bank proposes to </w:t>
      </w:r>
      <w:r>
        <w:lastRenderedPageBreak/>
        <w:t xml:space="preserve">‘continue and </w:t>
      </w:r>
      <w:proofErr w:type="gramStart"/>
      <w:r>
        <w:t>extend’  long</w:t>
      </w:r>
      <w:proofErr w:type="gramEnd"/>
      <w:r>
        <w:t xml:space="preserve">-established programmes including the promotion of commercialisation and privatisation through its ‘Energy and water strategy in Central Asia’,  ‘SE Europe Wholesale Electricity Market’,  focussing on regional ‘flagships’ including climate change, energy, and skills. It lists areas for </w:t>
      </w:r>
      <w:proofErr w:type="gramStart"/>
      <w:r>
        <w:t>funding  including</w:t>
      </w:r>
      <w:proofErr w:type="gramEnd"/>
      <w:r>
        <w:t xml:space="preserve">  ‘sub-</w:t>
      </w:r>
      <w:r w:rsidR="00951205">
        <w:t>national finance</w:t>
      </w:r>
      <w:r>
        <w:t xml:space="preserve">/PPP’ (in Russia) and ‘PSP in infrastructure projects’ (Albania and Turkey), as well as private healthcare. There are World Bank projects in energy, water and waste sectors in these countries. </w:t>
      </w:r>
    </w:p>
    <w:p w:rsidR="003D7412" w:rsidRDefault="003D7412" w:rsidP="00457F82">
      <w:pPr>
        <w:pStyle w:val="Heading3"/>
      </w:pPr>
      <w:bookmarkStart w:id="25" w:name="_Toc305768512"/>
      <w:r>
        <w:t>OECD</w:t>
      </w:r>
      <w:bookmarkEnd w:id="25"/>
    </w:p>
    <w:p w:rsidR="00560690" w:rsidRDefault="00E25648" w:rsidP="006E7717">
      <w:r w:rsidRPr="00E25648">
        <w:t>The OECD Environmental division covers both water and waste sectors. It has actively promoted privatisation and PPPs in the water sector</w:t>
      </w:r>
      <w:r w:rsidR="005026E6">
        <w:t xml:space="preserve"> in recent years</w:t>
      </w:r>
      <w:r w:rsidRPr="00E25648">
        <w:t>, and produced its most recent report on this sector for a meeting in January 2010 on ‘</w:t>
      </w:r>
      <w:r w:rsidRPr="00E25648">
        <w:rPr>
          <w:bCs/>
        </w:rPr>
        <w:t>Private Sector Participation in water and sanitation in EECCA – Recent Experience and the Way Forward</w:t>
      </w:r>
      <w:r w:rsidRPr="00E25648">
        <w:t>’</w:t>
      </w:r>
      <w:r>
        <w:t>.</w:t>
      </w:r>
      <w:r>
        <w:rPr>
          <w:rStyle w:val="EndnoteReference"/>
        </w:rPr>
        <w:endnoteReference w:id="26"/>
      </w:r>
      <w:r w:rsidR="005026E6">
        <w:t xml:space="preserve"> </w:t>
      </w:r>
      <w:r w:rsidRPr="00560690">
        <w:t>It has produced overview reports on ‘Environmental Management in EECA in 2004 and 2007, which were used as base papers for the ‘Environment in Europe’ ministerial conferences in those years.</w:t>
      </w:r>
      <w:r w:rsidR="006E7717" w:rsidRPr="00560690">
        <w:t xml:space="preserve"> </w:t>
      </w:r>
      <w:r w:rsidR="005026E6">
        <w:t xml:space="preserve"> The OECD’s contributions are considered in more detail in the chapters on waste management and water.</w:t>
      </w:r>
    </w:p>
    <w:p w:rsidR="00F777A0" w:rsidRDefault="00932B19" w:rsidP="00457F82">
      <w:pPr>
        <w:pStyle w:val="Heading3"/>
      </w:pPr>
      <w:bookmarkStart w:id="26" w:name="_Toc305768513"/>
      <w:r>
        <w:t>UNECE</w:t>
      </w:r>
      <w:bookmarkEnd w:id="26"/>
    </w:p>
    <w:p w:rsidR="005026E6" w:rsidRDefault="00640BAF" w:rsidP="00247737">
      <w:r>
        <w:t xml:space="preserve">Most generally, UNECE has been actively promoting PPPs throughout eastern European and central Asian countries, and has recently established a centre for the promotion of PPPs in a range of sectors including </w:t>
      </w:r>
      <w:r w:rsidR="00EB2481">
        <w:t>water</w:t>
      </w:r>
      <w:r w:rsidR="00EB2481">
        <w:rPr>
          <w:rStyle w:val="EndnoteReference"/>
        </w:rPr>
        <w:endnoteReference w:id="27"/>
      </w:r>
      <w:r w:rsidR="00EB2481">
        <w:t xml:space="preserve">. </w:t>
      </w:r>
      <w:r>
        <w:t xml:space="preserve"> </w:t>
      </w:r>
      <w:r w:rsidR="003D7412">
        <w:t xml:space="preserve">The UNECE leads an ‘Environment for Europe’ process, which has included ministerial conferences and reports from the </w:t>
      </w:r>
      <w:proofErr w:type="gramStart"/>
      <w:r w:rsidR="003D7412">
        <w:t>OECD  on</w:t>
      </w:r>
      <w:proofErr w:type="gramEnd"/>
      <w:r w:rsidR="003D7412">
        <w:t xml:space="preserve"> country strategies. The next conference is scheduled for Astana, Kazakhstan, in September 2011.</w:t>
      </w:r>
      <w:r w:rsidR="003D7412">
        <w:rPr>
          <w:rStyle w:val="EndnoteReference"/>
        </w:rPr>
        <w:endnoteReference w:id="28"/>
      </w:r>
      <w:r w:rsidR="003D7412">
        <w:t xml:space="preserve">  UNECE also produces environmental performance reviews (EPRs)</w:t>
      </w:r>
      <w:r w:rsidR="005026E6">
        <w:t>. UNECE’s contributions are considered in more detail in the chapters on water and waste management.</w:t>
      </w:r>
    </w:p>
    <w:p w:rsidR="0094679B" w:rsidRDefault="0094679B" w:rsidP="00247737"/>
    <w:p w:rsidR="00457F82" w:rsidRDefault="00457F82" w:rsidP="00247737"/>
    <w:p w:rsidR="00457F82" w:rsidRDefault="00457F82" w:rsidP="00457F82">
      <w:pPr>
        <w:pStyle w:val="Heading1"/>
      </w:pPr>
      <w:bookmarkStart w:id="27" w:name="_Toc305768514"/>
      <w:r>
        <w:t>Sectoral trends: waste management</w:t>
      </w:r>
      <w:bookmarkEnd w:id="27"/>
      <w:r>
        <w:t xml:space="preserve"> </w:t>
      </w:r>
    </w:p>
    <w:p w:rsidR="0038624E" w:rsidRDefault="00C32059" w:rsidP="00457F82">
      <w:pPr>
        <w:pStyle w:val="Heading2"/>
      </w:pPr>
      <w:bookmarkStart w:id="28" w:name="_Toc305768515"/>
      <w:r>
        <w:t>EU</w:t>
      </w:r>
      <w:bookmarkEnd w:id="28"/>
      <w:r>
        <w:t xml:space="preserve"> </w:t>
      </w:r>
    </w:p>
    <w:p w:rsidR="0094679B" w:rsidRDefault="0038624E" w:rsidP="0038624E">
      <w:pPr>
        <w:pStyle w:val="Heading3"/>
      </w:pPr>
      <w:bookmarkStart w:id="29" w:name="_Toc305768516"/>
      <w:r>
        <w:t xml:space="preserve">EU </w:t>
      </w:r>
      <w:r w:rsidR="00C32059">
        <w:t>sector policies</w:t>
      </w:r>
      <w:bookmarkEnd w:id="29"/>
    </w:p>
    <w:p w:rsidR="005026E6" w:rsidRDefault="005026E6" w:rsidP="005026E6">
      <w:r>
        <w:t xml:space="preserve">The impact on the waste sector of EU environmental legislation in member states has been to require higher investment and greater activity in collecting, processing and treating waste. It has improved public services and overall increased employment in this sector. There is no sector-specific legislation requiring increased privatisation, liberalisation, or competitive tendering. However, the growth in the sector has increased business interest, the greater use of incineration has led to a growth in PPPs – often linked to privatisation of ‘feeder’ refuse collection contracts, and the interpretation of EU procurement and internal market laws has put pressure on municipalities to open more work to tenders from the private sector.   </w:t>
      </w:r>
    </w:p>
    <w:p w:rsidR="005026E6" w:rsidRDefault="005026E6" w:rsidP="005026E6"/>
    <w:p w:rsidR="005026E6" w:rsidRDefault="005026E6" w:rsidP="005026E6">
      <w:r>
        <w:t xml:space="preserve">The 2020 strategy itself expects that business opportunities in this sector, as in others, will be more open for EU-based companies. The nature of the sector makes this unlikely in the near future, as there is an urgent need for large-scale investment in new systems, which will only be provided by public authorities, governments and international development banks, because they are not profitable enough for private companies – the World Bank’s dream of ‘self-financing from charges and fees’ is certainly not achievable   in this region. The danger may come from future PPPs being signed, which would be a very expensive way of borrowing money, coupled with long-term contractual commitments to pay large amounts of public money – either as municipal or government payments, or as ‘guarantees’ to make up inevitable shortfalls in user charges and fees.  </w:t>
      </w:r>
    </w:p>
    <w:p w:rsidR="005026E6" w:rsidRDefault="005026E6" w:rsidP="0038624E">
      <w:pPr>
        <w:pStyle w:val="Heading3"/>
      </w:pPr>
      <w:bookmarkStart w:id="30" w:name="_Toc285443480"/>
      <w:bookmarkStart w:id="31" w:name="_Toc305768517"/>
      <w:r>
        <w:t>EU accession process and neighbourhood policies</w:t>
      </w:r>
      <w:bookmarkEnd w:id="30"/>
      <w:bookmarkEnd w:id="31"/>
    </w:p>
    <w:p w:rsidR="00C32059" w:rsidRDefault="005225DE" w:rsidP="00C32059">
      <w:r>
        <w:rPr>
          <w:lang w:eastAsia="en-GB"/>
        </w:rPr>
        <w:t>For the accession and enlargement countries the key mechanism is the sectoral policies on waste (see PSIRU report).</w:t>
      </w:r>
      <w:r w:rsidR="00C32059" w:rsidRPr="00C32059">
        <w:t xml:space="preserve"> </w:t>
      </w:r>
    </w:p>
    <w:p w:rsidR="00C32059" w:rsidRDefault="00C32059" w:rsidP="00C32059"/>
    <w:p w:rsidR="00C32059" w:rsidRDefault="00C32059" w:rsidP="00C32059"/>
    <w:p w:rsidR="00C32059" w:rsidRDefault="00C32059" w:rsidP="00C32059">
      <w:r>
        <w:t xml:space="preserve">The EU neighbourhood reports focus on the need to develop environmental laws more rapidly, without emphasising the role of the private sector. </w:t>
      </w:r>
    </w:p>
    <w:p w:rsidR="005026E6" w:rsidRPr="003202C9" w:rsidRDefault="005026E6" w:rsidP="005026E6">
      <w:pPr>
        <w:rPr>
          <w:lang w:eastAsia="en-GB"/>
        </w:rPr>
      </w:pPr>
    </w:p>
    <w:p w:rsidR="005026E6" w:rsidRPr="003202C9" w:rsidRDefault="005026E6" w:rsidP="005026E6">
      <w:pPr>
        <w:rPr>
          <w:lang w:eastAsia="en-GB"/>
        </w:rPr>
      </w:pPr>
      <w:r w:rsidRPr="003202C9">
        <w:rPr>
          <w:lang w:eastAsia="en-GB"/>
        </w:rPr>
        <w:t xml:space="preserve">The progress reports on neighbourhood policies with the eastern partnership countries - </w:t>
      </w:r>
      <w:r w:rsidRPr="003202C9">
        <w:t xml:space="preserve">Armenia, Azerbaijan, Belarus, Georgia, Moldova, </w:t>
      </w:r>
      <w:proofErr w:type="gramStart"/>
      <w:r w:rsidRPr="003202C9">
        <w:t>Ukraine</w:t>
      </w:r>
      <w:proofErr w:type="gramEnd"/>
      <w:r w:rsidRPr="003202C9">
        <w:rPr>
          <w:lang w:eastAsia="en-GB"/>
        </w:rPr>
        <w:t xml:space="preserve"> - all include sections on environmental policies.</w:t>
      </w:r>
      <w:r w:rsidRPr="003202C9">
        <w:rPr>
          <w:rStyle w:val="EndnoteReference"/>
          <w:lang w:eastAsia="en-GB"/>
        </w:rPr>
        <w:t xml:space="preserve"> </w:t>
      </w:r>
      <w:r w:rsidRPr="003202C9">
        <w:rPr>
          <w:rStyle w:val="EndnoteReference"/>
          <w:lang w:eastAsia="en-GB"/>
        </w:rPr>
        <w:endnoteReference w:id="29"/>
      </w:r>
      <w:r w:rsidRPr="003202C9">
        <w:rPr>
          <w:lang w:eastAsia="en-GB"/>
        </w:rPr>
        <w:t xml:space="preserve"> These </w:t>
      </w:r>
      <w:r w:rsidRPr="003202C9">
        <w:rPr>
          <w:lang w:eastAsia="en-GB"/>
        </w:rPr>
        <w:lastRenderedPageBreak/>
        <w:t xml:space="preserve">sections are far smaller than those on energy. There is no report on Belarus (no ENP agreement has yet been concluded); the report on Georgia makes no reference to waste management issues. None of the reports make any specific reference to privatisation or market opening. </w:t>
      </w:r>
    </w:p>
    <w:p w:rsidR="005026E6" w:rsidRPr="003202C9" w:rsidRDefault="005026E6" w:rsidP="005026E6">
      <w:pPr>
        <w:rPr>
          <w:lang w:eastAsia="en-GB"/>
        </w:rPr>
      </w:pPr>
    </w:p>
    <w:p w:rsidR="005026E6" w:rsidRPr="003202C9" w:rsidRDefault="005026E6" w:rsidP="005026E6">
      <w:pPr>
        <w:autoSpaceDE w:val="0"/>
        <w:autoSpaceDN w:val="0"/>
        <w:adjustRightInd w:val="0"/>
      </w:pPr>
      <w:r w:rsidRPr="003202C9">
        <w:rPr>
          <w:lang w:eastAsia="en-GB"/>
        </w:rPr>
        <w:t xml:space="preserve">The report on Armenia notes that some new laws have been introduced, including on ‘environmental fees’, but that legislation ‘continues to require further development’. The report on Azerbaijan says that the country has adopted in 2009 an “action plan on </w:t>
      </w:r>
      <w:r w:rsidRPr="003202C9">
        <w:rPr>
          <w:rFonts w:eastAsia="Times New Roman"/>
          <w:lang w:eastAsia="en-GB"/>
        </w:rPr>
        <w:t xml:space="preserve">approximation of legislation with that of the European Union”, </w:t>
      </w:r>
      <w:proofErr w:type="gramStart"/>
      <w:r w:rsidRPr="003202C9">
        <w:rPr>
          <w:rFonts w:eastAsia="Times New Roman"/>
          <w:lang w:eastAsia="en-GB"/>
        </w:rPr>
        <w:t>but  that</w:t>
      </w:r>
      <w:proofErr w:type="gramEnd"/>
      <w:r w:rsidRPr="003202C9">
        <w:rPr>
          <w:rFonts w:eastAsia="Times New Roman"/>
          <w:lang w:eastAsia="en-GB"/>
        </w:rPr>
        <w:t xml:space="preserve"> legislation has not yet been developed. It also refers specifically to the plan for developing a waste management strategy for Greater Baku (see below under the World Bank). In Moldova, new legislation is “</w:t>
      </w:r>
      <w:r w:rsidRPr="003202C9">
        <w:t xml:space="preserve">still under preparation”. The Ukraine report refers to the country’s participation in the Danube-Black Sea Task Force, which aims to reduce pollution in the Black Sea, and says that as part of this </w:t>
      </w:r>
      <w:proofErr w:type="gramStart"/>
      <w:r w:rsidRPr="003202C9">
        <w:t>“ a</w:t>
      </w:r>
      <w:proofErr w:type="gramEnd"/>
      <w:r w:rsidRPr="003202C9">
        <w:t xml:space="preserve"> loan agreement for Mykolayiv water supply and wastewater treatment project was signed in February 2010 with the EIB”.</w:t>
      </w:r>
    </w:p>
    <w:p w:rsidR="005026E6" w:rsidRDefault="005026E6" w:rsidP="005026E6"/>
    <w:p w:rsidR="005026E6" w:rsidRDefault="005026E6" w:rsidP="005026E6"/>
    <w:p w:rsidR="005026E6" w:rsidRDefault="005026E6" w:rsidP="005026E6"/>
    <w:p w:rsidR="005026E6" w:rsidRDefault="005026E6" w:rsidP="005026E6">
      <w:pPr>
        <w:pStyle w:val="Heading2"/>
      </w:pPr>
      <w:r>
        <w:br w:type="page"/>
      </w:r>
      <w:bookmarkStart w:id="32" w:name="_Toc285443484"/>
      <w:bookmarkStart w:id="33" w:name="_Toc305768518"/>
      <w:r>
        <w:lastRenderedPageBreak/>
        <w:t>Development banks</w:t>
      </w:r>
      <w:bookmarkEnd w:id="32"/>
      <w:bookmarkEnd w:id="33"/>
    </w:p>
    <w:p w:rsidR="005026E6" w:rsidRDefault="005026E6" w:rsidP="005026E6">
      <w:r>
        <w:t>All quotes in these sections are taken from project documents available on the web pages of the banks specified in the tables.</w:t>
      </w:r>
    </w:p>
    <w:p w:rsidR="005026E6" w:rsidRDefault="005026E6" w:rsidP="005026E6">
      <w:pPr>
        <w:pStyle w:val="Heading3"/>
      </w:pPr>
      <w:bookmarkStart w:id="34" w:name="_Toc285443487"/>
      <w:bookmarkStart w:id="35" w:name="_Toc305768519"/>
      <w:r>
        <w:t>EIB</w:t>
      </w:r>
      <w:bookmarkEnd w:id="34"/>
      <w:bookmarkEnd w:id="35"/>
    </w:p>
    <w:p w:rsidR="005026E6" w:rsidRDefault="005026E6" w:rsidP="005026E6">
      <w:r>
        <w:t xml:space="preserve">The EIB has only one project in waste management in any of these countries, a €27 million loan to support the construction of regional sanitary landfills in Montenegro. This is in addition to the $15.6m. </w:t>
      </w:r>
      <w:proofErr w:type="gramStart"/>
      <w:r>
        <w:t>loan</w:t>
      </w:r>
      <w:proofErr w:type="gramEnd"/>
      <w:r>
        <w:t xml:space="preserve"> by the World Bank (see above).  This means Montenegro has received nearly €40 million loans for waste disposal, which is just under 1% of GDP, or approximately €60 Euros per inhabitant.</w:t>
      </w:r>
    </w:p>
    <w:p w:rsidR="005026E6" w:rsidRDefault="005026E6" w:rsidP="005026E6"/>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3543"/>
        <w:gridCol w:w="1418"/>
        <w:gridCol w:w="1559"/>
      </w:tblGrid>
      <w:tr w:rsidR="005026E6" w:rsidRPr="005B39DC" w:rsidTr="002326B5">
        <w:tc>
          <w:tcPr>
            <w:tcW w:w="1668" w:type="dxa"/>
          </w:tcPr>
          <w:p w:rsidR="005026E6" w:rsidRPr="005B39DC" w:rsidRDefault="005026E6" w:rsidP="002326B5">
            <w:r>
              <w:t>Country</w:t>
            </w:r>
          </w:p>
        </w:tc>
        <w:tc>
          <w:tcPr>
            <w:tcW w:w="3543" w:type="dxa"/>
          </w:tcPr>
          <w:p w:rsidR="005026E6" w:rsidRPr="005B39DC" w:rsidRDefault="005026E6" w:rsidP="002326B5">
            <w:r>
              <w:t>Project name</w:t>
            </w:r>
          </w:p>
        </w:tc>
        <w:tc>
          <w:tcPr>
            <w:tcW w:w="1418" w:type="dxa"/>
          </w:tcPr>
          <w:p w:rsidR="005026E6" w:rsidRPr="005B39DC" w:rsidRDefault="005026E6" w:rsidP="002326B5">
            <w:r>
              <w:t>Date</w:t>
            </w:r>
          </w:p>
        </w:tc>
        <w:tc>
          <w:tcPr>
            <w:tcW w:w="1559" w:type="dxa"/>
          </w:tcPr>
          <w:p w:rsidR="005026E6" w:rsidRPr="005B39DC" w:rsidRDefault="005026E6" w:rsidP="002326B5">
            <w:r>
              <w:t xml:space="preserve">EIB </w:t>
            </w:r>
            <w:proofErr w:type="gramStart"/>
            <w:r>
              <w:t>loan(</w:t>
            </w:r>
            <w:proofErr w:type="gramEnd"/>
            <w:r>
              <w:t>€ m.)</w:t>
            </w:r>
          </w:p>
        </w:tc>
      </w:tr>
      <w:tr w:rsidR="005026E6" w:rsidRPr="005B39DC" w:rsidTr="002326B5">
        <w:tc>
          <w:tcPr>
            <w:tcW w:w="1668" w:type="dxa"/>
          </w:tcPr>
          <w:p w:rsidR="005026E6" w:rsidRPr="005B39DC" w:rsidRDefault="005026E6" w:rsidP="002326B5">
            <w:r w:rsidRPr="005B39DC">
              <w:t>Montenegro</w:t>
            </w:r>
          </w:p>
        </w:tc>
        <w:tc>
          <w:tcPr>
            <w:tcW w:w="3543" w:type="dxa"/>
          </w:tcPr>
          <w:p w:rsidR="005026E6" w:rsidRPr="005B39DC" w:rsidRDefault="00F4142F" w:rsidP="002326B5">
            <w:hyperlink r:id="rId33" w:history="1">
              <w:r w:rsidR="005026E6" w:rsidRPr="005B39DC">
                <w:rPr>
                  <w:rStyle w:val="Hyperlink"/>
                </w:rPr>
                <w:t>Montenegro solid waste</w:t>
              </w:r>
            </w:hyperlink>
          </w:p>
        </w:tc>
        <w:tc>
          <w:tcPr>
            <w:tcW w:w="1418" w:type="dxa"/>
          </w:tcPr>
          <w:p w:rsidR="005026E6" w:rsidRPr="005B39DC" w:rsidRDefault="005026E6" w:rsidP="002326B5">
            <w:r w:rsidRPr="005B39DC">
              <w:t>24/11/2009</w:t>
            </w:r>
          </w:p>
        </w:tc>
        <w:tc>
          <w:tcPr>
            <w:tcW w:w="1559" w:type="dxa"/>
          </w:tcPr>
          <w:p w:rsidR="005026E6" w:rsidRPr="005B39DC" w:rsidRDefault="005026E6" w:rsidP="002326B5">
            <w:r w:rsidRPr="005B39DC">
              <w:t>27</w:t>
            </w:r>
            <w:r>
              <w:t>.0</w:t>
            </w:r>
          </w:p>
        </w:tc>
      </w:tr>
    </w:tbl>
    <w:p w:rsidR="005026E6" w:rsidRPr="005B39DC" w:rsidRDefault="005026E6" w:rsidP="005026E6"/>
    <w:p w:rsidR="005026E6" w:rsidRDefault="005026E6" w:rsidP="005026E6">
      <w:pPr>
        <w:pStyle w:val="Heading3"/>
      </w:pPr>
      <w:bookmarkStart w:id="36" w:name="_Toc285443488"/>
      <w:bookmarkStart w:id="37" w:name="_Toc305768520"/>
      <w:r>
        <w:t>EBRD</w:t>
      </w:r>
      <w:bookmarkEnd w:id="36"/>
      <w:bookmarkEnd w:id="37"/>
    </w:p>
    <w:p w:rsidR="005026E6" w:rsidRDefault="005026E6" w:rsidP="005026E6">
      <w:r>
        <w:t>The EBRD has made remarkably few loans for waste management projects. The table below lists all three such loans.</w:t>
      </w:r>
    </w:p>
    <w:p w:rsidR="005026E6" w:rsidRDefault="005026E6" w:rsidP="005026E6">
      <w:pPr>
        <w:pStyle w:val="Heading7"/>
      </w:pPr>
      <w:bookmarkStart w:id="38" w:name="_Toc285443489"/>
      <w:bookmarkStart w:id="39" w:name="_Toc305768521"/>
      <w:r>
        <w:t>EBRD projects in waste management in region</w:t>
      </w:r>
      <w:bookmarkEnd w:id="38"/>
      <w:bookmarkEnd w:id="39"/>
    </w:p>
    <w:tbl>
      <w:tblPr>
        <w:tblW w:w="8640" w:type="dxa"/>
        <w:tblInd w:w="108" w:type="dxa"/>
        <w:tblLook w:val="04A0"/>
      </w:tblPr>
      <w:tblGrid>
        <w:gridCol w:w="880"/>
        <w:gridCol w:w="1298"/>
        <w:gridCol w:w="807"/>
        <w:gridCol w:w="1328"/>
        <w:gridCol w:w="1411"/>
        <w:gridCol w:w="947"/>
        <w:gridCol w:w="953"/>
        <w:gridCol w:w="952"/>
        <w:gridCol w:w="951"/>
      </w:tblGrid>
      <w:tr w:rsidR="005026E6" w:rsidRPr="00102593" w:rsidTr="002326B5">
        <w:trPr>
          <w:trHeight w:val="930"/>
        </w:trPr>
        <w:tc>
          <w:tcPr>
            <w:tcW w:w="953" w:type="dxa"/>
            <w:tcBorders>
              <w:top w:val="nil"/>
              <w:left w:val="nil"/>
              <w:bottom w:val="single" w:sz="8" w:space="0" w:color="808080"/>
              <w:right w:val="nil"/>
            </w:tcBorders>
            <w:shd w:val="clear" w:color="000000" w:fill="FFFFFF"/>
            <w:hideMark/>
          </w:tcPr>
          <w:p w:rsidR="005026E6" w:rsidRPr="00102593" w:rsidRDefault="005026E6" w:rsidP="002326B5">
            <w:pPr>
              <w:rPr>
                <w:rFonts w:ascii="Calibri" w:eastAsia="Times New Roman" w:hAnsi="Calibri" w:cs="Arial"/>
                <w:b/>
                <w:bCs/>
                <w:sz w:val="20"/>
                <w:szCs w:val="20"/>
                <w:lang w:eastAsia="en-GB"/>
              </w:rPr>
            </w:pPr>
            <w:r w:rsidRPr="00102593">
              <w:rPr>
                <w:rFonts w:ascii="Calibri" w:eastAsia="Times New Roman" w:hAnsi="Calibri" w:cs="Arial"/>
                <w:b/>
                <w:bCs/>
                <w:sz w:val="20"/>
                <w:szCs w:val="20"/>
                <w:lang w:eastAsia="en-GB"/>
              </w:rPr>
              <w:t>Country</w:t>
            </w:r>
          </w:p>
        </w:tc>
        <w:tc>
          <w:tcPr>
            <w:tcW w:w="960" w:type="dxa"/>
            <w:tcBorders>
              <w:top w:val="nil"/>
              <w:left w:val="nil"/>
              <w:bottom w:val="single" w:sz="8" w:space="0" w:color="808080"/>
              <w:right w:val="nil"/>
            </w:tcBorders>
            <w:shd w:val="clear" w:color="000000" w:fill="FFFFFF"/>
            <w:hideMark/>
          </w:tcPr>
          <w:p w:rsidR="005026E6" w:rsidRPr="00102593" w:rsidRDefault="005026E6" w:rsidP="002326B5">
            <w:pPr>
              <w:rPr>
                <w:rFonts w:ascii="Calibri" w:eastAsia="Times New Roman" w:hAnsi="Calibri" w:cs="Arial"/>
                <w:b/>
                <w:bCs/>
                <w:sz w:val="20"/>
                <w:szCs w:val="20"/>
                <w:lang w:eastAsia="en-GB"/>
              </w:rPr>
            </w:pPr>
            <w:r w:rsidRPr="00102593">
              <w:rPr>
                <w:rFonts w:ascii="Calibri" w:eastAsia="Times New Roman" w:hAnsi="Calibri" w:cs="Arial"/>
                <w:b/>
                <w:bCs/>
                <w:sz w:val="20"/>
                <w:szCs w:val="20"/>
                <w:lang w:eastAsia="en-GB"/>
              </w:rPr>
              <w:t>Project name</w:t>
            </w:r>
          </w:p>
        </w:tc>
        <w:tc>
          <w:tcPr>
            <w:tcW w:w="952" w:type="dxa"/>
            <w:tcBorders>
              <w:top w:val="nil"/>
              <w:left w:val="nil"/>
              <w:bottom w:val="single" w:sz="8" w:space="0" w:color="808080"/>
              <w:right w:val="nil"/>
            </w:tcBorders>
            <w:shd w:val="clear" w:color="000000" w:fill="FFFFFF"/>
            <w:hideMark/>
          </w:tcPr>
          <w:p w:rsidR="005026E6" w:rsidRPr="00102593" w:rsidRDefault="005026E6" w:rsidP="002326B5">
            <w:pPr>
              <w:rPr>
                <w:rFonts w:ascii="Calibri" w:eastAsia="Times New Roman" w:hAnsi="Calibri" w:cs="Arial"/>
                <w:b/>
                <w:bCs/>
                <w:sz w:val="20"/>
                <w:szCs w:val="20"/>
                <w:lang w:eastAsia="en-GB"/>
              </w:rPr>
            </w:pPr>
            <w:r w:rsidRPr="00102593">
              <w:rPr>
                <w:rFonts w:ascii="Calibri" w:eastAsia="Times New Roman" w:hAnsi="Calibri" w:cs="Arial"/>
                <w:b/>
                <w:bCs/>
                <w:sz w:val="20"/>
                <w:szCs w:val="20"/>
                <w:lang w:eastAsia="en-GB"/>
              </w:rPr>
              <w:t>Sub project</w:t>
            </w:r>
          </w:p>
        </w:tc>
        <w:tc>
          <w:tcPr>
            <w:tcW w:w="960" w:type="dxa"/>
            <w:tcBorders>
              <w:top w:val="nil"/>
              <w:left w:val="nil"/>
              <w:bottom w:val="single" w:sz="8" w:space="0" w:color="808080"/>
              <w:right w:val="nil"/>
            </w:tcBorders>
            <w:shd w:val="clear" w:color="000000" w:fill="FFFFFF"/>
            <w:hideMark/>
          </w:tcPr>
          <w:p w:rsidR="005026E6" w:rsidRPr="00102593" w:rsidRDefault="005026E6" w:rsidP="002326B5">
            <w:pPr>
              <w:rPr>
                <w:rFonts w:ascii="Calibri" w:eastAsia="Times New Roman" w:hAnsi="Calibri" w:cs="Arial"/>
                <w:b/>
                <w:bCs/>
                <w:sz w:val="20"/>
                <w:szCs w:val="20"/>
                <w:lang w:eastAsia="en-GB"/>
              </w:rPr>
            </w:pPr>
            <w:r w:rsidRPr="00102593">
              <w:rPr>
                <w:rFonts w:ascii="Calibri" w:eastAsia="Times New Roman" w:hAnsi="Calibri" w:cs="Arial"/>
                <w:b/>
                <w:bCs/>
                <w:sz w:val="20"/>
                <w:szCs w:val="20"/>
                <w:lang w:eastAsia="en-GB"/>
              </w:rPr>
              <w:t>Description</w:t>
            </w:r>
          </w:p>
        </w:tc>
        <w:tc>
          <w:tcPr>
            <w:tcW w:w="1005" w:type="dxa"/>
            <w:tcBorders>
              <w:top w:val="nil"/>
              <w:left w:val="nil"/>
              <w:bottom w:val="single" w:sz="8" w:space="0" w:color="808080"/>
              <w:right w:val="nil"/>
            </w:tcBorders>
            <w:shd w:val="clear" w:color="000000" w:fill="FFFFFF"/>
            <w:hideMark/>
          </w:tcPr>
          <w:p w:rsidR="005026E6" w:rsidRPr="00102593" w:rsidRDefault="005026E6" w:rsidP="002326B5">
            <w:pPr>
              <w:rPr>
                <w:rFonts w:ascii="Calibri" w:eastAsia="Times New Roman" w:hAnsi="Calibri" w:cs="Arial"/>
                <w:b/>
                <w:bCs/>
                <w:sz w:val="20"/>
                <w:szCs w:val="20"/>
                <w:lang w:eastAsia="en-GB"/>
              </w:rPr>
            </w:pPr>
            <w:r w:rsidRPr="00102593">
              <w:rPr>
                <w:rFonts w:ascii="Calibri" w:eastAsia="Times New Roman" w:hAnsi="Calibri" w:cs="Arial"/>
                <w:b/>
                <w:bCs/>
                <w:sz w:val="20"/>
                <w:szCs w:val="20"/>
                <w:lang w:eastAsia="en-GB"/>
              </w:rPr>
              <w:t>Sector</w:t>
            </w:r>
          </w:p>
        </w:tc>
        <w:tc>
          <w:tcPr>
            <w:tcW w:w="954" w:type="dxa"/>
            <w:tcBorders>
              <w:top w:val="nil"/>
              <w:left w:val="nil"/>
              <w:bottom w:val="single" w:sz="8" w:space="0" w:color="808080"/>
              <w:right w:val="nil"/>
            </w:tcBorders>
            <w:shd w:val="clear" w:color="000000" w:fill="FFFFFF"/>
            <w:hideMark/>
          </w:tcPr>
          <w:p w:rsidR="005026E6" w:rsidRPr="00102593" w:rsidRDefault="005026E6" w:rsidP="002326B5">
            <w:pPr>
              <w:rPr>
                <w:rFonts w:ascii="Calibri" w:eastAsia="Times New Roman" w:hAnsi="Calibri" w:cs="Arial"/>
                <w:b/>
                <w:bCs/>
                <w:sz w:val="20"/>
                <w:szCs w:val="20"/>
                <w:lang w:eastAsia="en-GB"/>
              </w:rPr>
            </w:pPr>
            <w:r w:rsidRPr="00102593">
              <w:rPr>
                <w:rFonts w:ascii="Calibri" w:eastAsia="Times New Roman" w:hAnsi="Calibri" w:cs="Arial"/>
                <w:b/>
                <w:bCs/>
                <w:sz w:val="20"/>
                <w:szCs w:val="20"/>
                <w:lang w:eastAsia="en-GB"/>
              </w:rPr>
              <w:t>Portfolio Class</w:t>
            </w:r>
          </w:p>
        </w:tc>
        <w:tc>
          <w:tcPr>
            <w:tcW w:w="953" w:type="dxa"/>
            <w:tcBorders>
              <w:top w:val="nil"/>
              <w:left w:val="nil"/>
              <w:bottom w:val="single" w:sz="8" w:space="0" w:color="808080"/>
              <w:right w:val="nil"/>
            </w:tcBorders>
            <w:shd w:val="clear" w:color="000000" w:fill="FFFFFF"/>
            <w:hideMark/>
          </w:tcPr>
          <w:p w:rsidR="005026E6" w:rsidRPr="00102593" w:rsidRDefault="005026E6" w:rsidP="002326B5">
            <w:pPr>
              <w:jc w:val="right"/>
              <w:rPr>
                <w:rFonts w:ascii="Calibri" w:eastAsia="Times New Roman" w:hAnsi="Calibri" w:cs="Arial"/>
                <w:b/>
                <w:bCs/>
                <w:sz w:val="20"/>
                <w:szCs w:val="20"/>
                <w:lang w:eastAsia="en-GB"/>
              </w:rPr>
            </w:pPr>
            <w:r w:rsidRPr="00102593">
              <w:rPr>
                <w:rFonts w:ascii="Calibri" w:eastAsia="Times New Roman" w:hAnsi="Calibri" w:cs="Arial"/>
                <w:b/>
                <w:bCs/>
                <w:sz w:val="20"/>
                <w:szCs w:val="20"/>
                <w:lang w:eastAsia="en-GB"/>
              </w:rPr>
              <w:t>Year of signing</w:t>
            </w:r>
          </w:p>
        </w:tc>
        <w:tc>
          <w:tcPr>
            <w:tcW w:w="952" w:type="dxa"/>
            <w:tcBorders>
              <w:top w:val="nil"/>
              <w:left w:val="nil"/>
              <w:bottom w:val="single" w:sz="8" w:space="0" w:color="808080"/>
              <w:right w:val="nil"/>
            </w:tcBorders>
            <w:shd w:val="clear" w:color="000000" w:fill="FFFFFF"/>
            <w:hideMark/>
          </w:tcPr>
          <w:p w:rsidR="005026E6" w:rsidRPr="00102593" w:rsidRDefault="005026E6" w:rsidP="002326B5">
            <w:pPr>
              <w:jc w:val="right"/>
              <w:rPr>
                <w:rFonts w:ascii="Calibri" w:eastAsia="Times New Roman" w:hAnsi="Calibri" w:cs="Arial"/>
                <w:b/>
                <w:bCs/>
                <w:sz w:val="20"/>
                <w:szCs w:val="20"/>
                <w:lang w:eastAsia="en-GB"/>
              </w:rPr>
            </w:pPr>
            <w:r w:rsidRPr="00102593">
              <w:rPr>
                <w:rFonts w:ascii="Calibri" w:eastAsia="Times New Roman" w:hAnsi="Calibri" w:cs="Arial"/>
                <w:b/>
                <w:bCs/>
                <w:sz w:val="20"/>
                <w:szCs w:val="20"/>
                <w:lang w:eastAsia="en-GB"/>
              </w:rPr>
              <w:t xml:space="preserve">Total project value           (€ </w:t>
            </w:r>
            <w:r>
              <w:rPr>
                <w:rFonts w:ascii="Calibri" w:eastAsia="Times New Roman" w:hAnsi="Calibri" w:cs="Arial"/>
                <w:b/>
                <w:bCs/>
                <w:sz w:val="20"/>
                <w:szCs w:val="20"/>
                <w:lang w:eastAsia="en-GB"/>
              </w:rPr>
              <w:t>m.</w:t>
            </w:r>
            <w:r w:rsidRPr="00102593">
              <w:rPr>
                <w:rFonts w:ascii="Calibri" w:eastAsia="Times New Roman" w:hAnsi="Calibri" w:cs="Arial"/>
                <w:b/>
                <w:bCs/>
                <w:sz w:val="20"/>
                <w:szCs w:val="20"/>
                <w:lang w:eastAsia="en-GB"/>
              </w:rPr>
              <w:t>)</w:t>
            </w:r>
          </w:p>
        </w:tc>
        <w:tc>
          <w:tcPr>
            <w:tcW w:w="951" w:type="dxa"/>
            <w:tcBorders>
              <w:top w:val="nil"/>
              <w:left w:val="nil"/>
              <w:bottom w:val="single" w:sz="8" w:space="0" w:color="808080"/>
              <w:right w:val="nil"/>
            </w:tcBorders>
            <w:shd w:val="clear" w:color="000000" w:fill="FFFFFF"/>
            <w:hideMark/>
          </w:tcPr>
          <w:p w:rsidR="005026E6" w:rsidRPr="00102593" w:rsidRDefault="005026E6" w:rsidP="002326B5">
            <w:pPr>
              <w:jc w:val="right"/>
              <w:rPr>
                <w:rFonts w:ascii="Calibri" w:eastAsia="Times New Roman" w:hAnsi="Calibri" w:cs="Arial"/>
                <w:b/>
                <w:bCs/>
                <w:sz w:val="20"/>
                <w:szCs w:val="20"/>
                <w:lang w:eastAsia="en-GB"/>
              </w:rPr>
            </w:pPr>
            <w:r w:rsidRPr="00102593">
              <w:rPr>
                <w:rFonts w:ascii="Calibri" w:eastAsia="Times New Roman" w:hAnsi="Calibri" w:cs="Arial"/>
                <w:b/>
                <w:bCs/>
                <w:sz w:val="20"/>
                <w:szCs w:val="20"/>
                <w:lang w:eastAsia="en-GB"/>
              </w:rPr>
              <w:t>EBRD      loan         (€ 000)</w:t>
            </w:r>
          </w:p>
        </w:tc>
      </w:tr>
      <w:tr w:rsidR="005026E6" w:rsidRPr="00102593" w:rsidTr="002326B5">
        <w:trPr>
          <w:trHeight w:val="1050"/>
        </w:trPr>
        <w:tc>
          <w:tcPr>
            <w:tcW w:w="953" w:type="dxa"/>
            <w:tcBorders>
              <w:top w:val="single" w:sz="4" w:space="0" w:color="808080"/>
              <w:left w:val="nil"/>
              <w:bottom w:val="single" w:sz="4" w:space="0" w:color="808080"/>
              <w:right w:val="nil"/>
            </w:tcBorders>
            <w:shd w:val="clear" w:color="000000" w:fill="FFFFFF"/>
            <w:hideMark/>
          </w:tcPr>
          <w:p w:rsidR="005026E6" w:rsidRPr="00102593" w:rsidRDefault="005026E6" w:rsidP="002326B5">
            <w:pPr>
              <w:rPr>
                <w:rFonts w:ascii="Calibri" w:eastAsia="Times New Roman" w:hAnsi="Calibri" w:cs="Arial"/>
                <w:sz w:val="20"/>
                <w:szCs w:val="20"/>
                <w:lang w:eastAsia="en-GB"/>
              </w:rPr>
            </w:pPr>
            <w:r w:rsidRPr="00102593">
              <w:rPr>
                <w:rFonts w:ascii="Calibri" w:eastAsia="Times New Roman" w:hAnsi="Calibri" w:cs="Arial"/>
                <w:sz w:val="20"/>
                <w:szCs w:val="20"/>
                <w:lang w:eastAsia="en-GB"/>
              </w:rPr>
              <w:t xml:space="preserve">Croatia </w:t>
            </w:r>
          </w:p>
        </w:tc>
        <w:tc>
          <w:tcPr>
            <w:tcW w:w="960" w:type="dxa"/>
            <w:tcBorders>
              <w:top w:val="single" w:sz="4" w:space="0" w:color="808080"/>
              <w:left w:val="nil"/>
              <w:bottom w:val="single" w:sz="4" w:space="0" w:color="808080"/>
              <w:right w:val="nil"/>
            </w:tcBorders>
            <w:shd w:val="clear" w:color="000000" w:fill="FFFFFF"/>
            <w:hideMark/>
          </w:tcPr>
          <w:p w:rsidR="005026E6" w:rsidRPr="00102593" w:rsidRDefault="005026E6" w:rsidP="002326B5">
            <w:pPr>
              <w:rPr>
                <w:rFonts w:ascii="Calibri" w:eastAsia="Times New Roman" w:hAnsi="Calibri" w:cs="Arial"/>
                <w:sz w:val="20"/>
                <w:szCs w:val="20"/>
                <w:lang w:eastAsia="en-GB"/>
              </w:rPr>
            </w:pPr>
            <w:r w:rsidRPr="00102593">
              <w:rPr>
                <w:rFonts w:ascii="Calibri" w:eastAsia="Times New Roman" w:hAnsi="Calibri" w:cs="Arial"/>
                <w:sz w:val="20"/>
                <w:szCs w:val="20"/>
                <w:lang w:eastAsia="en-GB"/>
              </w:rPr>
              <w:t>Zagreb solid waste management programme</w:t>
            </w:r>
          </w:p>
        </w:tc>
        <w:tc>
          <w:tcPr>
            <w:tcW w:w="952" w:type="dxa"/>
            <w:tcBorders>
              <w:top w:val="single" w:sz="4" w:space="0" w:color="808080"/>
              <w:left w:val="nil"/>
              <w:bottom w:val="single" w:sz="4" w:space="0" w:color="808080"/>
              <w:right w:val="nil"/>
            </w:tcBorders>
            <w:shd w:val="clear" w:color="000000" w:fill="FFFFFF"/>
            <w:hideMark/>
          </w:tcPr>
          <w:p w:rsidR="005026E6" w:rsidRPr="00102593" w:rsidRDefault="005026E6" w:rsidP="002326B5">
            <w:pPr>
              <w:rPr>
                <w:rFonts w:ascii="Calibri" w:eastAsia="Times New Roman" w:hAnsi="Calibri" w:cs="Arial"/>
                <w:sz w:val="20"/>
                <w:szCs w:val="20"/>
                <w:lang w:eastAsia="en-GB"/>
              </w:rPr>
            </w:pPr>
            <w:r w:rsidRPr="00102593">
              <w:rPr>
                <w:rFonts w:ascii="Calibri" w:eastAsia="Times New Roman" w:hAnsi="Calibri" w:cs="Arial"/>
                <w:sz w:val="20"/>
                <w:szCs w:val="20"/>
                <w:lang w:eastAsia="en-GB"/>
              </w:rPr>
              <w:t>-</w:t>
            </w:r>
          </w:p>
        </w:tc>
        <w:tc>
          <w:tcPr>
            <w:tcW w:w="960" w:type="dxa"/>
            <w:tcBorders>
              <w:top w:val="single" w:sz="4" w:space="0" w:color="808080"/>
              <w:left w:val="nil"/>
              <w:bottom w:val="single" w:sz="4" w:space="0" w:color="808080"/>
              <w:right w:val="nil"/>
            </w:tcBorders>
            <w:shd w:val="clear" w:color="000000" w:fill="FFFFFF"/>
            <w:hideMark/>
          </w:tcPr>
          <w:p w:rsidR="005026E6" w:rsidRPr="00102593" w:rsidRDefault="005026E6" w:rsidP="002326B5">
            <w:pPr>
              <w:rPr>
                <w:rFonts w:ascii="Calibri" w:eastAsia="Times New Roman" w:hAnsi="Calibri" w:cs="Arial"/>
                <w:sz w:val="20"/>
                <w:szCs w:val="20"/>
                <w:lang w:eastAsia="en-GB"/>
              </w:rPr>
            </w:pPr>
            <w:r w:rsidRPr="00102593">
              <w:rPr>
                <w:rFonts w:ascii="Calibri" w:eastAsia="Times New Roman" w:hAnsi="Calibri" w:cs="Arial"/>
                <w:sz w:val="20"/>
                <w:szCs w:val="20"/>
                <w:lang w:eastAsia="en-GB"/>
              </w:rPr>
              <w:t>Completion of two landfills.</w:t>
            </w:r>
          </w:p>
        </w:tc>
        <w:tc>
          <w:tcPr>
            <w:tcW w:w="1005" w:type="dxa"/>
            <w:tcBorders>
              <w:top w:val="single" w:sz="4" w:space="0" w:color="808080"/>
              <w:left w:val="nil"/>
              <w:bottom w:val="single" w:sz="4" w:space="0" w:color="808080"/>
              <w:right w:val="nil"/>
            </w:tcBorders>
            <w:shd w:val="clear" w:color="000000" w:fill="FFFFFF"/>
            <w:hideMark/>
          </w:tcPr>
          <w:p w:rsidR="005026E6" w:rsidRPr="00102593" w:rsidRDefault="005026E6" w:rsidP="002326B5">
            <w:pPr>
              <w:rPr>
                <w:rFonts w:ascii="Calibri" w:eastAsia="Times New Roman" w:hAnsi="Calibri" w:cs="Arial"/>
                <w:sz w:val="20"/>
                <w:szCs w:val="20"/>
                <w:lang w:eastAsia="en-GB"/>
              </w:rPr>
            </w:pPr>
            <w:r w:rsidRPr="00102593">
              <w:rPr>
                <w:rFonts w:ascii="Calibri" w:eastAsia="Times New Roman" w:hAnsi="Calibri" w:cs="Arial"/>
                <w:sz w:val="20"/>
                <w:szCs w:val="20"/>
                <w:lang w:eastAsia="en-GB"/>
              </w:rPr>
              <w:t>Municipal and environmental infrastructure</w:t>
            </w:r>
          </w:p>
        </w:tc>
        <w:tc>
          <w:tcPr>
            <w:tcW w:w="954" w:type="dxa"/>
            <w:tcBorders>
              <w:top w:val="single" w:sz="4" w:space="0" w:color="808080"/>
              <w:left w:val="nil"/>
              <w:bottom w:val="single" w:sz="4" w:space="0" w:color="808080"/>
              <w:right w:val="nil"/>
            </w:tcBorders>
            <w:shd w:val="clear" w:color="000000" w:fill="FFFFFF"/>
            <w:hideMark/>
          </w:tcPr>
          <w:p w:rsidR="005026E6" w:rsidRPr="00102593" w:rsidRDefault="005026E6" w:rsidP="002326B5">
            <w:pPr>
              <w:rPr>
                <w:rFonts w:ascii="Calibri" w:eastAsia="Times New Roman" w:hAnsi="Calibri" w:cs="Arial"/>
                <w:sz w:val="20"/>
                <w:szCs w:val="20"/>
                <w:lang w:eastAsia="en-GB"/>
              </w:rPr>
            </w:pPr>
            <w:r w:rsidRPr="00102593">
              <w:rPr>
                <w:rFonts w:ascii="Calibri" w:eastAsia="Times New Roman" w:hAnsi="Calibri" w:cs="Arial"/>
                <w:sz w:val="20"/>
                <w:szCs w:val="20"/>
                <w:lang w:eastAsia="en-GB"/>
              </w:rPr>
              <w:t>State</w:t>
            </w:r>
          </w:p>
        </w:tc>
        <w:tc>
          <w:tcPr>
            <w:tcW w:w="953" w:type="dxa"/>
            <w:tcBorders>
              <w:top w:val="single" w:sz="4" w:space="0" w:color="808080"/>
              <w:left w:val="nil"/>
              <w:bottom w:val="single" w:sz="4" w:space="0" w:color="808080"/>
              <w:right w:val="nil"/>
            </w:tcBorders>
            <w:shd w:val="clear" w:color="000000" w:fill="FFFFFF"/>
            <w:noWrap/>
            <w:hideMark/>
          </w:tcPr>
          <w:p w:rsidR="005026E6" w:rsidRPr="00102593" w:rsidRDefault="005026E6" w:rsidP="002326B5">
            <w:pPr>
              <w:jc w:val="center"/>
              <w:rPr>
                <w:rFonts w:ascii="Calibri" w:eastAsia="Times New Roman" w:hAnsi="Calibri" w:cs="Arial"/>
                <w:sz w:val="20"/>
                <w:szCs w:val="20"/>
                <w:lang w:eastAsia="en-GB"/>
              </w:rPr>
            </w:pPr>
            <w:r w:rsidRPr="00102593">
              <w:rPr>
                <w:rFonts w:ascii="Calibri" w:eastAsia="Times New Roman" w:hAnsi="Calibri" w:cs="Arial"/>
                <w:sz w:val="20"/>
                <w:szCs w:val="20"/>
                <w:lang w:eastAsia="en-GB"/>
              </w:rPr>
              <w:t xml:space="preserve"> 1998</w:t>
            </w:r>
          </w:p>
        </w:tc>
        <w:tc>
          <w:tcPr>
            <w:tcW w:w="952" w:type="dxa"/>
            <w:tcBorders>
              <w:top w:val="single" w:sz="4" w:space="0" w:color="808080"/>
              <w:left w:val="nil"/>
              <w:bottom w:val="single" w:sz="4" w:space="0" w:color="808080"/>
              <w:right w:val="nil"/>
            </w:tcBorders>
            <w:shd w:val="clear" w:color="000000" w:fill="FFFFFF"/>
            <w:noWrap/>
            <w:hideMark/>
          </w:tcPr>
          <w:p w:rsidR="005026E6" w:rsidRPr="00102593" w:rsidRDefault="005026E6" w:rsidP="002326B5">
            <w:pPr>
              <w:jc w:val="right"/>
              <w:rPr>
                <w:rFonts w:ascii="Calibri" w:eastAsia="Times New Roman" w:hAnsi="Calibri" w:cs="Arial"/>
                <w:sz w:val="20"/>
                <w:szCs w:val="20"/>
                <w:lang w:eastAsia="en-GB"/>
              </w:rPr>
            </w:pPr>
            <w:r w:rsidRPr="00102593">
              <w:rPr>
                <w:rFonts w:ascii="Calibri" w:eastAsia="Times New Roman" w:hAnsi="Calibri" w:cs="Arial"/>
                <w:sz w:val="20"/>
                <w:szCs w:val="20"/>
                <w:lang w:eastAsia="en-GB"/>
              </w:rPr>
              <w:t>47</w:t>
            </w:r>
            <w:r>
              <w:rPr>
                <w:rFonts w:ascii="Calibri" w:eastAsia="Times New Roman" w:hAnsi="Calibri" w:cs="Arial"/>
                <w:sz w:val="20"/>
                <w:szCs w:val="20"/>
                <w:lang w:eastAsia="en-GB"/>
              </w:rPr>
              <w:t>.6</w:t>
            </w:r>
          </w:p>
        </w:tc>
        <w:tc>
          <w:tcPr>
            <w:tcW w:w="951" w:type="dxa"/>
            <w:tcBorders>
              <w:top w:val="single" w:sz="4" w:space="0" w:color="808080"/>
              <w:left w:val="nil"/>
              <w:bottom w:val="single" w:sz="4" w:space="0" w:color="808080"/>
              <w:right w:val="nil"/>
            </w:tcBorders>
            <w:shd w:val="clear" w:color="000000" w:fill="FFFFFF"/>
            <w:noWrap/>
            <w:hideMark/>
          </w:tcPr>
          <w:p w:rsidR="005026E6" w:rsidRPr="00102593" w:rsidRDefault="005026E6" w:rsidP="002326B5">
            <w:pPr>
              <w:jc w:val="right"/>
              <w:rPr>
                <w:rFonts w:ascii="Calibri" w:eastAsia="Times New Roman" w:hAnsi="Calibri" w:cs="Arial"/>
                <w:sz w:val="20"/>
                <w:szCs w:val="20"/>
                <w:lang w:eastAsia="en-GB"/>
              </w:rPr>
            </w:pPr>
            <w:r w:rsidRPr="00102593">
              <w:rPr>
                <w:rFonts w:ascii="Calibri" w:eastAsia="Times New Roman" w:hAnsi="Calibri" w:cs="Arial"/>
                <w:sz w:val="20"/>
                <w:szCs w:val="20"/>
                <w:lang w:eastAsia="en-GB"/>
              </w:rPr>
              <w:t>2</w:t>
            </w:r>
            <w:r>
              <w:rPr>
                <w:rFonts w:ascii="Calibri" w:eastAsia="Times New Roman" w:hAnsi="Calibri" w:cs="Arial"/>
                <w:sz w:val="20"/>
                <w:szCs w:val="20"/>
                <w:lang w:eastAsia="en-GB"/>
              </w:rPr>
              <w:t>4.0</w:t>
            </w:r>
          </w:p>
        </w:tc>
      </w:tr>
      <w:tr w:rsidR="005026E6" w:rsidRPr="00102593" w:rsidTr="002326B5">
        <w:trPr>
          <w:trHeight w:val="1050"/>
        </w:trPr>
        <w:tc>
          <w:tcPr>
            <w:tcW w:w="953" w:type="dxa"/>
            <w:tcBorders>
              <w:top w:val="nil"/>
              <w:left w:val="nil"/>
              <w:bottom w:val="single" w:sz="4" w:space="0" w:color="808080"/>
              <w:right w:val="nil"/>
            </w:tcBorders>
            <w:shd w:val="clear" w:color="000000" w:fill="FFFFFF"/>
            <w:hideMark/>
          </w:tcPr>
          <w:p w:rsidR="005026E6" w:rsidRPr="00102593" w:rsidRDefault="005026E6" w:rsidP="002326B5">
            <w:pPr>
              <w:rPr>
                <w:rFonts w:ascii="Calibri" w:eastAsia="Times New Roman" w:hAnsi="Calibri" w:cs="Arial"/>
                <w:sz w:val="20"/>
                <w:szCs w:val="20"/>
                <w:lang w:eastAsia="en-GB"/>
              </w:rPr>
            </w:pPr>
            <w:r w:rsidRPr="00102593">
              <w:rPr>
                <w:rFonts w:ascii="Calibri" w:eastAsia="Times New Roman" w:hAnsi="Calibri" w:cs="Arial"/>
                <w:sz w:val="20"/>
                <w:szCs w:val="20"/>
                <w:lang w:eastAsia="en-GB"/>
              </w:rPr>
              <w:t xml:space="preserve">Georgia </w:t>
            </w:r>
          </w:p>
        </w:tc>
        <w:tc>
          <w:tcPr>
            <w:tcW w:w="960" w:type="dxa"/>
            <w:tcBorders>
              <w:top w:val="nil"/>
              <w:left w:val="nil"/>
              <w:bottom w:val="single" w:sz="4" w:space="0" w:color="808080"/>
              <w:right w:val="nil"/>
            </w:tcBorders>
            <w:shd w:val="clear" w:color="000000" w:fill="FFFFFF"/>
            <w:hideMark/>
          </w:tcPr>
          <w:p w:rsidR="005026E6" w:rsidRPr="00102593" w:rsidRDefault="005026E6" w:rsidP="002326B5">
            <w:pPr>
              <w:rPr>
                <w:rFonts w:ascii="Calibri" w:eastAsia="Times New Roman" w:hAnsi="Calibri" w:cs="Arial"/>
                <w:sz w:val="20"/>
                <w:szCs w:val="20"/>
                <w:lang w:eastAsia="en-GB"/>
              </w:rPr>
            </w:pPr>
            <w:r w:rsidRPr="00102593">
              <w:rPr>
                <w:rFonts w:ascii="Calibri" w:eastAsia="Times New Roman" w:hAnsi="Calibri" w:cs="Arial"/>
                <w:sz w:val="20"/>
                <w:szCs w:val="20"/>
                <w:lang w:eastAsia="en-GB"/>
              </w:rPr>
              <w:t xml:space="preserve">Rustavi solid waste management </w:t>
            </w:r>
          </w:p>
        </w:tc>
        <w:tc>
          <w:tcPr>
            <w:tcW w:w="952" w:type="dxa"/>
            <w:tcBorders>
              <w:top w:val="nil"/>
              <w:left w:val="nil"/>
              <w:bottom w:val="single" w:sz="4" w:space="0" w:color="808080"/>
              <w:right w:val="nil"/>
            </w:tcBorders>
            <w:shd w:val="clear" w:color="000000" w:fill="FFFFFF"/>
            <w:hideMark/>
          </w:tcPr>
          <w:p w:rsidR="005026E6" w:rsidRPr="00102593" w:rsidRDefault="005026E6" w:rsidP="002326B5">
            <w:pPr>
              <w:rPr>
                <w:rFonts w:ascii="Calibri" w:eastAsia="Times New Roman" w:hAnsi="Calibri" w:cs="Arial"/>
                <w:sz w:val="20"/>
                <w:szCs w:val="20"/>
                <w:lang w:eastAsia="en-GB"/>
              </w:rPr>
            </w:pPr>
            <w:r w:rsidRPr="00102593">
              <w:rPr>
                <w:rFonts w:ascii="Calibri" w:eastAsia="Times New Roman" w:hAnsi="Calibri" w:cs="Arial"/>
                <w:sz w:val="20"/>
                <w:szCs w:val="20"/>
                <w:lang w:eastAsia="en-GB"/>
              </w:rPr>
              <w:t>-</w:t>
            </w:r>
          </w:p>
        </w:tc>
        <w:tc>
          <w:tcPr>
            <w:tcW w:w="960" w:type="dxa"/>
            <w:tcBorders>
              <w:top w:val="nil"/>
              <w:left w:val="nil"/>
              <w:bottom w:val="single" w:sz="4" w:space="0" w:color="808080"/>
              <w:right w:val="nil"/>
            </w:tcBorders>
            <w:shd w:val="clear" w:color="000000" w:fill="FFFFFF"/>
            <w:hideMark/>
          </w:tcPr>
          <w:p w:rsidR="005026E6" w:rsidRPr="00102593" w:rsidRDefault="005026E6" w:rsidP="002326B5">
            <w:pPr>
              <w:rPr>
                <w:rFonts w:ascii="Calibri" w:eastAsia="Times New Roman" w:hAnsi="Calibri" w:cs="Arial"/>
                <w:sz w:val="20"/>
                <w:szCs w:val="20"/>
                <w:lang w:eastAsia="en-GB"/>
              </w:rPr>
            </w:pPr>
            <w:r w:rsidRPr="00102593">
              <w:rPr>
                <w:rFonts w:ascii="Calibri" w:eastAsia="Times New Roman" w:hAnsi="Calibri" w:cs="Arial"/>
                <w:sz w:val="20"/>
                <w:szCs w:val="20"/>
                <w:lang w:eastAsia="en-GB"/>
              </w:rPr>
              <w:t>Improvement and expansion of solid waste management services in Rustavi and Gardabani.</w:t>
            </w:r>
          </w:p>
        </w:tc>
        <w:tc>
          <w:tcPr>
            <w:tcW w:w="1005" w:type="dxa"/>
            <w:tcBorders>
              <w:top w:val="nil"/>
              <w:left w:val="nil"/>
              <w:bottom w:val="single" w:sz="4" w:space="0" w:color="808080"/>
              <w:right w:val="nil"/>
            </w:tcBorders>
            <w:shd w:val="clear" w:color="000000" w:fill="FFFFFF"/>
            <w:hideMark/>
          </w:tcPr>
          <w:p w:rsidR="005026E6" w:rsidRPr="00102593" w:rsidRDefault="005026E6" w:rsidP="002326B5">
            <w:pPr>
              <w:rPr>
                <w:rFonts w:ascii="Calibri" w:eastAsia="Times New Roman" w:hAnsi="Calibri" w:cs="Arial"/>
                <w:sz w:val="20"/>
                <w:szCs w:val="20"/>
                <w:lang w:eastAsia="en-GB"/>
              </w:rPr>
            </w:pPr>
            <w:r w:rsidRPr="00102593">
              <w:rPr>
                <w:rFonts w:ascii="Calibri" w:eastAsia="Times New Roman" w:hAnsi="Calibri" w:cs="Arial"/>
                <w:sz w:val="20"/>
                <w:szCs w:val="20"/>
                <w:lang w:eastAsia="en-GB"/>
              </w:rPr>
              <w:t>Municipal and environmental infrastructure</w:t>
            </w:r>
          </w:p>
        </w:tc>
        <w:tc>
          <w:tcPr>
            <w:tcW w:w="954" w:type="dxa"/>
            <w:tcBorders>
              <w:top w:val="nil"/>
              <w:left w:val="nil"/>
              <w:bottom w:val="single" w:sz="4" w:space="0" w:color="808080"/>
              <w:right w:val="nil"/>
            </w:tcBorders>
            <w:shd w:val="clear" w:color="000000" w:fill="FFFFFF"/>
            <w:hideMark/>
          </w:tcPr>
          <w:p w:rsidR="005026E6" w:rsidRPr="00102593" w:rsidRDefault="005026E6" w:rsidP="002326B5">
            <w:pPr>
              <w:rPr>
                <w:rFonts w:ascii="Calibri" w:eastAsia="Times New Roman" w:hAnsi="Calibri" w:cs="Arial"/>
                <w:sz w:val="20"/>
                <w:szCs w:val="20"/>
                <w:lang w:eastAsia="en-GB"/>
              </w:rPr>
            </w:pPr>
            <w:r w:rsidRPr="00102593">
              <w:rPr>
                <w:rFonts w:ascii="Calibri" w:eastAsia="Times New Roman" w:hAnsi="Calibri" w:cs="Arial"/>
                <w:sz w:val="20"/>
                <w:szCs w:val="20"/>
                <w:lang w:eastAsia="en-GB"/>
              </w:rPr>
              <w:t>State</w:t>
            </w:r>
          </w:p>
        </w:tc>
        <w:tc>
          <w:tcPr>
            <w:tcW w:w="953" w:type="dxa"/>
            <w:tcBorders>
              <w:top w:val="nil"/>
              <w:left w:val="nil"/>
              <w:bottom w:val="single" w:sz="4" w:space="0" w:color="808080"/>
              <w:right w:val="nil"/>
            </w:tcBorders>
            <w:shd w:val="clear" w:color="000000" w:fill="FFFFFF"/>
            <w:noWrap/>
            <w:hideMark/>
          </w:tcPr>
          <w:p w:rsidR="005026E6" w:rsidRPr="00102593" w:rsidRDefault="005026E6" w:rsidP="002326B5">
            <w:pPr>
              <w:jc w:val="center"/>
              <w:rPr>
                <w:rFonts w:ascii="Calibri" w:eastAsia="Times New Roman" w:hAnsi="Calibri" w:cs="Arial"/>
                <w:sz w:val="20"/>
                <w:szCs w:val="20"/>
                <w:lang w:eastAsia="en-GB"/>
              </w:rPr>
            </w:pPr>
            <w:r w:rsidRPr="00102593">
              <w:rPr>
                <w:rFonts w:ascii="Calibri" w:eastAsia="Times New Roman" w:hAnsi="Calibri" w:cs="Arial"/>
                <w:sz w:val="20"/>
                <w:szCs w:val="20"/>
                <w:lang w:eastAsia="en-GB"/>
              </w:rPr>
              <w:t xml:space="preserve"> 2009</w:t>
            </w:r>
          </w:p>
        </w:tc>
        <w:tc>
          <w:tcPr>
            <w:tcW w:w="952" w:type="dxa"/>
            <w:tcBorders>
              <w:top w:val="nil"/>
              <w:left w:val="nil"/>
              <w:bottom w:val="single" w:sz="4" w:space="0" w:color="808080"/>
              <w:right w:val="nil"/>
            </w:tcBorders>
            <w:shd w:val="clear" w:color="000000" w:fill="FFFFFF"/>
            <w:noWrap/>
            <w:hideMark/>
          </w:tcPr>
          <w:p w:rsidR="005026E6" w:rsidRPr="00102593" w:rsidRDefault="005026E6" w:rsidP="002326B5">
            <w:pPr>
              <w:jc w:val="right"/>
              <w:rPr>
                <w:rFonts w:ascii="Calibri" w:eastAsia="Times New Roman" w:hAnsi="Calibri" w:cs="Arial"/>
                <w:sz w:val="20"/>
                <w:szCs w:val="20"/>
                <w:lang w:eastAsia="en-GB"/>
              </w:rPr>
            </w:pPr>
            <w:r>
              <w:rPr>
                <w:rFonts w:ascii="Calibri" w:eastAsia="Times New Roman" w:hAnsi="Calibri" w:cs="Arial"/>
                <w:sz w:val="20"/>
                <w:szCs w:val="20"/>
                <w:lang w:eastAsia="en-GB"/>
              </w:rPr>
              <w:t>4.0</w:t>
            </w:r>
          </w:p>
        </w:tc>
        <w:tc>
          <w:tcPr>
            <w:tcW w:w="951" w:type="dxa"/>
            <w:tcBorders>
              <w:top w:val="nil"/>
              <w:left w:val="nil"/>
              <w:bottom w:val="single" w:sz="4" w:space="0" w:color="808080"/>
              <w:right w:val="nil"/>
            </w:tcBorders>
            <w:shd w:val="clear" w:color="000000" w:fill="FFFFFF"/>
            <w:noWrap/>
            <w:hideMark/>
          </w:tcPr>
          <w:p w:rsidR="005026E6" w:rsidRPr="00102593" w:rsidRDefault="005026E6" w:rsidP="002326B5">
            <w:pPr>
              <w:jc w:val="right"/>
              <w:rPr>
                <w:rFonts w:ascii="Calibri" w:eastAsia="Times New Roman" w:hAnsi="Calibri" w:cs="Arial"/>
                <w:sz w:val="20"/>
                <w:szCs w:val="20"/>
                <w:lang w:eastAsia="en-GB"/>
              </w:rPr>
            </w:pPr>
            <w:r w:rsidRPr="00102593">
              <w:rPr>
                <w:rFonts w:ascii="Calibri" w:eastAsia="Times New Roman" w:hAnsi="Calibri" w:cs="Arial"/>
                <w:sz w:val="20"/>
                <w:szCs w:val="20"/>
                <w:lang w:eastAsia="en-GB"/>
              </w:rPr>
              <w:t>1</w:t>
            </w:r>
            <w:r>
              <w:rPr>
                <w:rFonts w:ascii="Calibri" w:eastAsia="Times New Roman" w:hAnsi="Calibri" w:cs="Arial"/>
                <w:sz w:val="20"/>
                <w:szCs w:val="20"/>
                <w:lang w:eastAsia="en-GB"/>
              </w:rPr>
              <w:t>.6</w:t>
            </w:r>
          </w:p>
        </w:tc>
      </w:tr>
      <w:tr w:rsidR="005026E6" w:rsidRPr="00102593" w:rsidTr="002326B5">
        <w:trPr>
          <w:trHeight w:val="1050"/>
        </w:trPr>
        <w:tc>
          <w:tcPr>
            <w:tcW w:w="953" w:type="dxa"/>
            <w:tcBorders>
              <w:top w:val="nil"/>
              <w:left w:val="nil"/>
              <w:bottom w:val="single" w:sz="4" w:space="0" w:color="808080"/>
              <w:right w:val="nil"/>
            </w:tcBorders>
            <w:shd w:val="clear" w:color="000000" w:fill="FFFFFF"/>
            <w:hideMark/>
          </w:tcPr>
          <w:p w:rsidR="005026E6" w:rsidRPr="00102593" w:rsidRDefault="005026E6" w:rsidP="002326B5">
            <w:pPr>
              <w:rPr>
                <w:rFonts w:ascii="Calibri" w:eastAsia="Times New Roman" w:hAnsi="Calibri" w:cs="Arial"/>
                <w:sz w:val="20"/>
                <w:szCs w:val="20"/>
                <w:lang w:eastAsia="en-GB"/>
              </w:rPr>
            </w:pPr>
            <w:r w:rsidRPr="00102593">
              <w:rPr>
                <w:rFonts w:ascii="Calibri" w:eastAsia="Times New Roman" w:hAnsi="Calibri" w:cs="Arial"/>
                <w:sz w:val="20"/>
                <w:szCs w:val="20"/>
                <w:lang w:eastAsia="en-GB"/>
              </w:rPr>
              <w:t xml:space="preserve">Serbia </w:t>
            </w:r>
          </w:p>
        </w:tc>
        <w:tc>
          <w:tcPr>
            <w:tcW w:w="960" w:type="dxa"/>
            <w:tcBorders>
              <w:top w:val="nil"/>
              <w:left w:val="nil"/>
              <w:bottom w:val="single" w:sz="4" w:space="0" w:color="808080"/>
              <w:right w:val="nil"/>
            </w:tcBorders>
            <w:shd w:val="clear" w:color="000000" w:fill="FFFFFF"/>
            <w:hideMark/>
          </w:tcPr>
          <w:p w:rsidR="005026E6" w:rsidRPr="00102593" w:rsidRDefault="005026E6" w:rsidP="002326B5">
            <w:pPr>
              <w:rPr>
                <w:rFonts w:ascii="Calibri" w:eastAsia="Times New Roman" w:hAnsi="Calibri" w:cs="Arial"/>
                <w:sz w:val="20"/>
                <w:szCs w:val="20"/>
                <w:lang w:eastAsia="en-GB"/>
              </w:rPr>
            </w:pPr>
            <w:r w:rsidRPr="00102593">
              <w:rPr>
                <w:rFonts w:ascii="Calibri" w:eastAsia="Times New Roman" w:hAnsi="Calibri" w:cs="Arial"/>
                <w:sz w:val="20"/>
                <w:szCs w:val="20"/>
                <w:lang w:eastAsia="en-GB"/>
              </w:rPr>
              <w:t>Duboko Solid Waste</w:t>
            </w:r>
          </w:p>
        </w:tc>
        <w:tc>
          <w:tcPr>
            <w:tcW w:w="952" w:type="dxa"/>
            <w:tcBorders>
              <w:top w:val="nil"/>
              <w:left w:val="nil"/>
              <w:bottom w:val="single" w:sz="4" w:space="0" w:color="808080"/>
              <w:right w:val="nil"/>
            </w:tcBorders>
            <w:shd w:val="clear" w:color="000000" w:fill="FFFFFF"/>
            <w:hideMark/>
          </w:tcPr>
          <w:p w:rsidR="005026E6" w:rsidRPr="00102593" w:rsidRDefault="005026E6" w:rsidP="002326B5">
            <w:pPr>
              <w:rPr>
                <w:rFonts w:ascii="Calibri" w:eastAsia="Times New Roman" w:hAnsi="Calibri" w:cs="Arial"/>
                <w:sz w:val="20"/>
                <w:szCs w:val="20"/>
                <w:lang w:eastAsia="en-GB"/>
              </w:rPr>
            </w:pPr>
            <w:r w:rsidRPr="00102593">
              <w:rPr>
                <w:rFonts w:ascii="Calibri" w:eastAsia="Times New Roman" w:hAnsi="Calibri" w:cs="Arial"/>
                <w:sz w:val="20"/>
                <w:szCs w:val="20"/>
                <w:lang w:eastAsia="en-GB"/>
              </w:rPr>
              <w:t>-</w:t>
            </w:r>
          </w:p>
        </w:tc>
        <w:tc>
          <w:tcPr>
            <w:tcW w:w="960" w:type="dxa"/>
            <w:tcBorders>
              <w:top w:val="nil"/>
              <w:left w:val="nil"/>
              <w:bottom w:val="single" w:sz="4" w:space="0" w:color="808080"/>
              <w:right w:val="nil"/>
            </w:tcBorders>
            <w:shd w:val="clear" w:color="000000" w:fill="FFFFFF"/>
            <w:hideMark/>
          </w:tcPr>
          <w:p w:rsidR="005026E6" w:rsidRPr="00102593" w:rsidRDefault="005026E6" w:rsidP="002326B5">
            <w:pPr>
              <w:rPr>
                <w:rFonts w:ascii="Calibri" w:eastAsia="Times New Roman" w:hAnsi="Calibri" w:cs="Arial"/>
                <w:sz w:val="20"/>
                <w:szCs w:val="20"/>
                <w:lang w:eastAsia="en-GB"/>
              </w:rPr>
            </w:pPr>
            <w:r w:rsidRPr="00102593">
              <w:rPr>
                <w:rFonts w:ascii="Calibri" w:eastAsia="Times New Roman" w:hAnsi="Calibri" w:cs="Arial"/>
                <w:sz w:val="20"/>
                <w:szCs w:val="20"/>
                <w:lang w:eastAsia="en-GB"/>
              </w:rPr>
              <w:t xml:space="preserve">Finance for construction of the regional solid waste landfill. </w:t>
            </w:r>
          </w:p>
        </w:tc>
        <w:tc>
          <w:tcPr>
            <w:tcW w:w="1005" w:type="dxa"/>
            <w:tcBorders>
              <w:top w:val="nil"/>
              <w:left w:val="nil"/>
              <w:bottom w:val="single" w:sz="4" w:space="0" w:color="808080"/>
              <w:right w:val="nil"/>
            </w:tcBorders>
            <w:shd w:val="clear" w:color="000000" w:fill="FFFFFF"/>
            <w:hideMark/>
          </w:tcPr>
          <w:p w:rsidR="005026E6" w:rsidRPr="00102593" w:rsidRDefault="005026E6" w:rsidP="002326B5">
            <w:pPr>
              <w:rPr>
                <w:rFonts w:ascii="Calibri" w:eastAsia="Times New Roman" w:hAnsi="Calibri" w:cs="Arial"/>
                <w:sz w:val="20"/>
                <w:szCs w:val="20"/>
                <w:lang w:eastAsia="en-GB"/>
              </w:rPr>
            </w:pPr>
            <w:r w:rsidRPr="00102593">
              <w:rPr>
                <w:rFonts w:ascii="Calibri" w:eastAsia="Times New Roman" w:hAnsi="Calibri" w:cs="Arial"/>
                <w:sz w:val="20"/>
                <w:szCs w:val="20"/>
                <w:lang w:eastAsia="en-GB"/>
              </w:rPr>
              <w:t>Municipal and environmental infrastructure</w:t>
            </w:r>
          </w:p>
        </w:tc>
        <w:tc>
          <w:tcPr>
            <w:tcW w:w="954" w:type="dxa"/>
            <w:tcBorders>
              <w:top w:val="nil"/>
              <w:left w:val="nil"/>
              <w:bottom w:val="single" w:sz="4" w:space="0" w:color="808080"/>
              <w:right w:val="nil"/>
            </w:tcBorders>
            <w:shd w:val="clear" w:color="000000" w:fill="FFFFFF"/>
            <w:hideMark/>
          </w:tcPr>
          <w:p w:rsidR="005026E6" w:rsidRPr="00102593" w:rsidRDefault="005026E6" w:rsidP="002326B5">
            <w:pPr>
              <w:rPr>
                <w:rFonts w:ascii="Calibri" w:eastAsia="Times New Roman" w:hAnsi="Calibri" w:cs="Arial"/>
                <w:sz w:val="20"/>
                <w:szCs w:val="20"/>
                <w:lang w:eastAsia="en-GB"/>
              </w:rPr>
            </w:pPr>
            <w:r w:rsidRPr="00102593">
              <w:rPr>
                <w:rFonts w:ascii="Calibri" w:eastAsia="Times New Roman" w:hAnsi="Calibri" w:cs="Arial"/>
                <w:sz w:val="20"/>
                <w:szCs w:val="20"/>
                <w:lang w:eastAsia="en-GB"/>
              </w:rPr>
              <w:t>State</w:t>
            </w:r>
          </w:p>
        </w:tc>
        <w:tc>
          <w:tcPr>
            <w:tcW w:w="953" w:type="dxa"/>
            <w:tcBorders>
              <w:top w:val="nil"/>
              <w:left w:val="nil"/>
              <w:bottom w:val="single" w:sz="4" w:space="0" w:color="808080"/>
              <w:right w:val="nil"/>
            </w:tcBorders>
            <w:shd w:val="clear" w:color="000000" w:fill="FFFFFF"/>
            <w:noWrap/>
            <w:hideMark/>
          </w:tcPr>
          <w:p w:rsidR="005026E6" w:rsidRPr="00102593" w:rsidRDefault="005026E6" w:rsidP="002326B5">
            <w:pPr>
              <w:jc w:val="center"/>
              <w:rPr>
                <w:rFonts w:ascii="Calibri" w:eastAsia="Times New Roman" w:hAnsi="Calibri" w:cs="Arial"/>
                <w:sz w:val="20"/>
                <w:szCs w:val="20"/>
                <w:lang w:eastAsia="en-GB"/>
              </w:rPr>
            </w:pPr>
            <w:r w:rsidRPr="00102593">
              <w:rPr>
                <w:rFonts w:ascii="Calibri" w:eastAsia="Times New Roman" w:hAnsi="Calibri" w:cs="Arial"/>
                <w:sz w:val="20"/>
                <w:szCs w:val="20"/>
                <w:lang w:eastAsia="en-GB"/>
              </w:rPr>
              <w:t xml:space="preserve"> 2008</w:t>
            </w:r>
          </w:p>
        </w:tc>
        <w:tc>
          <w:tcPr>
            <w:tcW w:w="952" w:type="dxa"/>
            <w:tcBorders>
              <w:top w:val="nil"/>
              <w:left w:val="nil"/>
              <w:bottom w:val="single" w:sz="4" w:space="0" w:color="808080"/>
              <w:right w:val="nil"/>
            </w:tcBorders>
            <w:shd w:val="clear" w:color="000000" w:fill="FFFFFF"/>
            <w:noWrap/>
            <w:hideMark/>
          </w:tcPr>
          <w:p w:rsidR="005026E6" w:rsidRPr="00102593" w:rsidRDefault="005026E6" w:rsidP="002326B5">
            <w:pPr>
              <w:jc w:val="right"/>
              <w:rPr>
                <w:rFonts w:ascii="Calibri" w:eastAsia="Times New Roman" w:hAnsi="Calibri" w:cs="Arial"/>
                <w:sz w:val="20"/>
                <w:szCs w:val="20"/>
                <w:lang w:eastAsia="en-GB"/>
              </w:rPr>
            </w:pPr>
            <w:r w:rsidRPr="00102593">
              <w:rPr>
                <w:rFonts w:ascii="Calibri" w:eastAsia="Times New Roman" w:hAnsi="Calibri" w:cs="Arial"/>
                <w:sz w:val="20"/>
                <w:szCs w:val="20"/>
                <w:lang w:eastAsia="en-GB"/>
              </w:rPr>
              <w:t>12</w:t>
            </w:r>
            <w:r>
              <w:rPr>
                <w:rFonts w:ascii="Calibri" w:eastAsia="Times New Roman" w:hAnsi="Calibri" w:cs="Arial"/>
                <w:sz w:val="20"/>
                <w:szCs w:val="20"/>
                <w:lang w:eastAsia="en-GB"/>
              </w:rPr>
              <w:t>.1</w:t>
            </w:r>
          </w:p>
        </w:tc>
        <w:tc>
          <w:tcPr>
            <w:tcW w:w="951" w:type="dxa"/>
            <w:tcBorders>
              <w:top w:val="nil"/>
              <w:left w:val="nil"/>
              <w:bottom w:val="single" w:sz="4" w:space="0" w:color="808080"/>
              <w:right w:val="nil"/>
            </w:tcBorders>
            <w:shd w:val="clear" w:color="000000" w:fill="FFFFFF"/>
            <w:noWrap/>
            <w:hideMark/>
          </w:tcPr>
          <w:p w:rsidR="005026E6" w:rsidRPr="00102593" w:rsidRDefault="005026E6" w:rsidP="002326B5">
            <w:pPr>
              <w:jc w:val="right"/>
              <w:rPr>
                <w:rFonts w:ascii="Calibri" w:eastAsia="Times New Roman" w:hAnsi="Calibri" w:cs="Arial"/>
                <w:sz w:val="20"/>
                <w:szCs w:val="20"/>
                <w:lang w:eastAsia="en-GB"/>
              </w:rPr>
            </w:pPr>
            <w:r w:rsidRPr="00102593">
              <w:rPr>
                <w:rFonts w:ascii="Calibri" w:eastAsia="Times New Roman" w:hAnsi="Calibri" w:cs="Arial"/>
                <w:sz w:val="20"/>
                <w:szCs w:val="20"/>
                <w:lang w:eastAsia="en-GB"/>
              </w:rPr>
              <w:t>5</w:t>
            </w:r>
            <w:r>
              <w:rPr>
                <w:rFonts w:ascii="Calibri" w:eastAsia="Times New Roman" w:hAnsi="Calibri" w:cs="Arial"/>
                <w:sz w:val="20"/>
                <w:szCs w:val="20"/>
                <w:lang w:eastAsia="en-GB"/>
              </w:rPr>
              <w:t>.</w:t>
            </w:r>
            <w:r w:rsidRPr="00102593">
              <w:rPr>
                <w:rFonts w:ascii="Calibri" w:eastAsia="Times New Roman" w:hAnsi="Calibri" w:cs="Arial"/>
                <w:sz w:val="20"/>
                <w:szCs w:val="20"/>
                <w:lang w:eastAsia="en-GB"/>
              </w:rPr>
              <w:t>0</w:t>
            </w:r>
          </w:p>
        </w:tc>
      </w:tr>
    </w:tbl>
    <w:p w:rsidR="005026E6" w:rsidRDefault="005026E6" w:rsidP="005026E6"/>
    <w:p w:rsidR="00EB2481" w:rsidRDefault="00EB2481" w:rsidP="005026E6"/>
    <w:p w:rsidR="00EB2481" w:rsidRPr="00EB2481" w:rsidRDefault="00EB2481" w:rsidP="00EB2481">
      <w:pPr>
        <w:numPr>
          <w:ilvl w:val="2"/>
          <w:numId w:val="29"/>
        </w:numPr>
        <w:rPr>
          <w:b/>
          <w:bCs/>
        </w:rPr>
      </w:pPr>
      <w:bookmarkStart w:id="40" w:name="_Toc285443485"/>
      <w:r w:rsidRPr="00EB2481">
        <w:rPr>
          <w:b/>
          <w:bCs/>
        </w:rPr>
        <w:t>World Bank group</w:t>
      </w:r>
      <w:bookmarkEnd w:id="40"/>
    </w:p>
    <w:p w:rsidR="00EB2481" w:rsidRPr="00EB2481" w:rsidRDefault="00EB2481" w:rsidP="00EB2481">
      <w:r w:rsidRPr="00EB2481">
        <w:t xml:space="preserve">The World Bank continues to take a strong policy interest in the region. A strategy paper in March 2010 discussed the impact of the crisis and concluded there was a need for a change of strategy with stronger intervention by the bank. </w:t>
      </w:r>
      <w:r w:rsidRPr="00EB2481">
        <w:rPr>
          <w:vertAlign w:val="superscript"/>
        </w:rPr>
        <w:endnoteReference w:id="30"/>
      </w:r>
      <w:r w:rsidRPr="00EB2481">
        <w:t xml:space="preserve"> It identified structural weaknesses including:  inefficient and unsustainable public services; a lack of competitiveness, specifically problems with inefficiently high energy consumption, infrastructure and labour: </w:t>
      </w:r>
    </w:p>
    <w:p w:rsidR="00EB2481" w:rsidRPr="00EB2481" w:rsidRDefault="00EB2481" w:rsidP="00EB2481">
      <w:r w:rsidRPr="00EB2481">
        <w:t xml:space="preserve">“Infrastructure and a skilled labor force―a positive legacy of socialism―have now emerged as the tightest bottlenecks to the region’s competitiveness”; </w:t>
      </w:r>
    </w:p>
    <w:p w:rsidR="00EB2481" w:rsidRPr="00EB2481" w:rsidRDefault="00EB2481" w:rsidP="00EB2481">
      <w:r w:rsidRPr="00EB2481">
        <w:t>It sees future policy as focussing on reforms for:</w:t>
      </w:r>
    </w:p>
    <w:p w:rsidR="00EB2481" w:rsidRPr="00EB2481" w:rsidRDefault="00EB2481" w:rsidP="00EB2481">
      <w:r w:rsidRPr="00EB2481">
        <w:t>“</w:t>
      </w:r>
      <w:proofErr w:type="gramStart"/>
      <w:r w:rsidRPr="00EB2481">
        <w:t>improved</w:t>
      </w:r>
      <w:proofErr w:type="gramEnd"/>
      <w:r w:rsidRPr="00EB2481">
        <w:t xml:space="preserve"> investment climate….energy and transport infrastructure… Tightening fiscal constraints in ECA countries offer an opportunity to address longstanding structural issues in the social sectors”.</w:t>
      </w:r>
    </w:p>
    <w:p w:rsidR="00EB2481" w:rsidRPr="00EB2481" w:rsidRDefault="00EB2481" w:rsidP="00EB2481">
      <w:r w:rsidRPr="00EB2481">
        <w:t xml:space="preserve">It envisages strong cooperation with the EU: </w:t>
      </w:r>
    </w:p>
    <w:p w:rsidR="00EB2481" w:rsidRPr="00EB2481" w:rsidRDefault="00EB2481" w:rsidP="00EB2481">
      <w:r w:rsidRPr="00EB2481">
        <w:t>“</w:t>
      </w:r>
      <w:proofErr w:type="gramStart"/>
      <w:r w:rsidRPr="00EB2481">
        <w:t>notably</w:t>
      </w:r>
      <w:proofErr w:type="gramEnd"/>
      <w:r w:rsidRPr="00EB2481">
        <w:t xml:space="preserve"> expertise on structural issues (key for Europe’s 2020 agenda), social sector reforms (outside the acquis communautaire), and implementation capacity (for effective use of EU funds)” </w:t>
      </w:r>
    </w:p>
    <w:p w:rsidR="00EB2481" w:rsidRPr="00EB2481" w:rsidRDefault="00EB2481" w:rsidP="00EB2481"/>
    <w:p w:rsidR="00EB2481" w:rsidRPr="00EB2481" w:rsidRDefault="00EB2481" w:rsidP="00EB2481">
      <w:r w:rsidRPr="00EB2481">
        <w:t xml:space="preserve">It also emphasises cooperation with Russia. The bank proposes to ‘continue and </w:t>
      </w:r>
      <w:proofErr w:type="gramStart"/>
      <w:r w:rsidRPr="00EB2481">
        <w:t>extend’  long</w:t>
      </w:r>
      <w:proofErr w:type="gramEnd"/>
      <w:r w:rsidRPr="00EB2481">
        <w:t xml:space="preserve">-established programmes including the promotion of commercialisation and privatisation through its ‘Energy and water strategy in Central Asia’,  ‘SE Europe Wholesale Electricity Market’,  focussing on regional ‘flagships’ including climate change, energy, and skills. It lists areas for </w:t>
      </w:r>
      <w:proofErr w:type="gramStart"/>
      <w:r w:rsidRPr="00EB2481">
        <w:t>funding  including</w:t>
      </w:r>
      <w:proofErr w:type="gramEnd"/>
      <w:r w:rsidRPr="00EB2481">
        <w:t xml:space="preserve">  ‘sub-</w:t>
      </w:r>
      <w:r w:rsidR="00951205" w:rsidRPr="00EB2481">
        <w:t>national finance</w:t>
      </w:r>
      <w:r w:rsidRPr="00EB2481">
        <w:t xml:space="preserve">/PPP’ (in Russia) and ‘PSP in infrastructure projects’ (Albania and Turkey), as well as private healthcare. </w:t>
      </w:r>
    </w:p>
    <w:p w:rsidR="00EB2481" w:rsidRPr="00EB2481" w:rsidRDefault="00EB2481" w:rsidP="00EB2481"/>
    <w:p w:rsidR="00EB2481" w:rsidRPr="00EB2481" w:rsidRDefault="00EB2481" w:rsidP="00EB2481">
      <w:r w:rsidRPr="00EB2481">
        <w:t>There are World Bank projects in waste sectors in most of these countries, with particularly large projects in Azerbaijan, Belarus, Bosnia and Ukraine.</w:t>
      </w:r>
    </w:p>
    <w:p w:rsidR="00EB2481" w:rsidRPr="00EB2481" w:rsidRDefault="00EB2481" w:rsidP="00EB2481">
      <w:pPr>
        <w:numPr>
          <w:ilvl w:val="0"/>
          <w:numId w:val="28"/>
        </w:numPr>
        <w:rPr>
          <w:b/>
        </w:rPr>
      </w:pPr>
      <w:bookmarkStart w:id="41" w:name="_Toc285443486"/>
      <w:r w:rsidRPr="00EB2481">
        <w:rPr>
          <w:b/>
        </w:rPr>
        <w:t>World Bank waste management projects in countries</w:t>
      </w:r>
      <w:bookmarkEnd w:id="41"/>
    </w:p>
    <w:tbl>
      <w:tblPr>
        <w:tblW w:w="9800" w:type="dxa"/>
        <w:tblInd w:w="89" w:type="dxa"/>
        <w:tblLayout w:type="fixed"/>
        <w:tblLook w:val="04A0"/>
      </w:tblPr>
      <w:tblGrid>
        <w:gridCol w:w="1238"/>
        <w:gridCol w:w="2042"/>
        <w:gridCol w:w="1134"/>
        <w:gridCol w:w="1134"/>
        <w:gridCol w:w="708"/>
        <w:gridCol w:w="3544"/>
      </w:tblGrid>
      <w:tr w:rsidR="00EB2481" w:rsidRPr="00EB2481" w:rsidTr="00EB2481">
        <w:trPr>
          <w:trHeight w:val="545"/>
        </w:trPr>
        <w:tc>
          <w:tcPr>
            <w:tcW w:w="1238" w:type="dxa"/>
            <w:tcBorders>
              <w:top w:val="nil"/>
              <w:left w:val="nil"/>
              <w:bottom w:val="nil"/>
              <w:right w:val="nil"/>
            </w:tcBorders>
            <w:shd w:val="clear" w:color="auto" w:fill="auto"/>
            <w:vAlign w:val="bottom"/>
            <w:hideMark/>
          </w:tcPr>
          <w:p w:rsidR="00EB2481" w:rsidRPr="00EB2481" w:rsidRDefault="00EB2481" w:rsidP="00EB2481">
            <w:pPr>
              <w:rPr>
                <w:b/>
                <w:bCs/>
              </w:rPr>
            </w:pPr>
            <w:r w:rsidRPr="00EB2481">
              <w:rPr>
                <w:b/>
                <w:bCs/>
              </w:rPr>
              <w:t>Country</w:t>
            </w:r>
          </w:p>
        </w:tc>
        <w:tc>
          <w:tcPr>
            <w:tcW w:w="2042" w:type="dxa"/>
            <w:tcBorders>
              <w:top w:val="nil"/>
              <w:left w:val="nil"/>
              <w:bottom w:val="nil"/>
              <w:right w:val="nil"/>
            </w:tcBorders>
            <w:shd w:val="clear" w:color="auto" w:fill="auto"/>
            <w:vAlign w:val="bottom"/>
            <w:hideMark/>
          </w:tcPr>
          <w:p w:rsidR="00EB2481" w:rsidRPr="00EB2481" w:rsidRDefault="00EB2481" w:rsidP="00EB2481">
            <w:pPr>
              <w:rPr>
                <w:b/>
                <w:bCs/>
              </w:rPr>
            </w:pPr>
            <w:r w:rsidRPr="00EB2481">
              <w:rPr>
                <w:b/>
                <w:bCs/>
              </w:rPr>
              <w:t>Project name</w:t>
            </w:r>
          </w:p>
        </w:tc>
        <w:tc>
          <w:tcPr>
            <w:tcW w:w="1134" w:type="dxa"/>
            <w:tcBorders>
              <w:top w:val="nil"/>
              <w:left w:val="nil"/>
              <w:bottom w:val="nil"/>
              <w:right w:val="nil"/>
            </w:tcBorders>
            <w:shd w:val="clear" w:color="auto" w:fill="auto"/>
            <w:vAlign w:val="bottom"/>
            <w:hideMark/>
          </w:tcPr>
          <w:p w:rsidR="00EB2481" w:rsidRPr="00EB2481" w:rsidRDefault="00EB2481" w:rsidP="00EB2481">
            <w:pPr>
              <w:rPr>
                <w:b/>
                <w:bCs/>
              </w:rPr>
            </w:pPr>
            <w:r w:rsidRPr="00EB2481">
              <w:rPr>
                <w:b/>
                <w:bCs/>
              </w:rPr>
              <w:t>Approval date</w:t>
            </w:r>
          </w:p>
        </w:tc>
        <w:tc>
          <w:tcPr>
            <w:tcW w:w="1134" w:type="dxa"/>
            <w:tcBorders>
              <w:top w:val="nil"/>
              <w:left w:val="nil"/>
              <w:bottom w:val="nil"/>
              <w:right w:val="nil"/>
            </w:tcBorders>
            <w:shd w:val="clear" w:color="auto" w:fill="auto"/>
            <w:vAlign w:val="bottom"/>
            <w:hideMark/>
          </w:tcPr>
          <w:p w:rsidR="00EB2481" w:rsidRPr="00EB2481" w:rsidRDefault="00EB2481" w:rsidP="00EB2481">
            <w:pPr>
              <w:rPr>
                <w:b/>
                <w:bCs/>
              </w:rPr>
            </w:pPr>
            <w:r w:rsidRPr="00EB2481">
              <w:rPr>
                <w:b/>
                <w:bCs/>
              </w:rPr>
              <w:t>Closing date</w:t>
            </w:r>
          </w:p>
        </w:tc>
        <w:tc>
          <w:tcPr>
            <w:tcW w:w="708" w:type="dxa"/>
            <w:tcBorders>
              <w:top w:val="nil"/>
              <w:left w:val="nil"/>
              <w:bottom w:val="nil"/>
              <w:right w:val="nil"/>
            </w:tcBorders>
            <w:shd w:val="clear" w:color="auto" w:fill="auto"/>
            <w:vAlign w:val="bottom"/>
            <w:hideMark/>
          </w:tcPr>
          <w:p w:rsidR="00EB2481" w:rsidRPr="00EB2481" w:rsidRDefault="00EB2481" w:rsidP="00EB2481">
            <w:pPr>
              <w:rPr>
                <w:b/>
                <w:bCs/>
              </w:rPr>
            </w:pPr>
            <w:r w:rsidRPr="00EB2481">
              <w:rPr>
                <w:b/>
                <w:bCs/>
              </w:rPr>
              <w:t>Value ($m.)</w:t>
            </w:r>
          </w:p>
        </w:tc>
        <w:tc>
          <w:tcPr>
            <w:tcW w:w="3544" w:type="dxa"/>
            <w:tcBorders>
              <w:top w:val="nil"/>
              <w:left w:val="nil"/>
              <w:bottom w:val="nil"/>
              <w:right w:val="nil"/>
            </w:tcBorders>
            <w:shd w:val="clear" w:color="auto" w:fill="auto"/>
            <w:vAlign w:val="bottom"/>
            <w:hideMark/>
          </w:tcPr>
          <w:p w:rsidR="00EB2481" w:rsidRPr="00EB2481" w:rsidRDefault="00EB2481" w:rsidP="00EB2481">
            <w:pPr>
              <w:rPr>
                <w:b/>
                <w:bCs/>
              </w:rPr>
            </w:pPr>
            <w:r w:rsidRPr="00EB2481">
              <w:rPr>
                <w:b/>
                <w:bCs/>
              </w:rPr>
              <w:t>URL</w:t>
            </w:r>
          </w:p>
        </w:tc>
      </w:tr>
      <w:tr w:rsidR="00EB2481" w:rsidRPr="00EB2481" w:rsidTr="00EB2481">
        <w:trPr>
          <w:trHeight w:val="780"/>
        </w:trPr>
        <w:tc>
          <w:tcPr>
            <w:tcW w:w="1238" w:type="dxa"/>
            <w:tcBorders>
              <w:top w:val="nil"/>
              <w:left w:val="nil"/>
              <w:bottom w:val="nil"/>
              <w:right w:val="nil"/>
            </w:tcBorders>
            <w:shd w:val="clear" w:color="auto" w:fill="auto"/>
            <w:vAlign w:val="bottom"/>
            <w:hideMark/>
          </w:tcPr>
          <w:p w:rsidR="00EB2481" w:rsidRPr="00EB2481" w:rsidRDefault="00EB2481" w:rsidP="00EB2481">
            <w:r w:rsidRPr="00EB2481">
              <w:t>Armenia</w:t>
            </w:r>
          </w:p>
        </w:tc>
        <w:tc>
          <w:tcPr>
            <w:tcW w:w="2042" w:type="dxa"/>
            <w:tcBorders>
              <w:top w:val="nil"/>
              <w:left w:val="nil"/>
              <w:bottom w:val="nil"/>
              <w:right w:val="nil"/>
            </w:tcBorders>
            <w:shd w:val="clear" w:color="auto" w:fill="auto"/>
            <w:vAlign w:val="bottom"/>
            <w:hideMark/>
          </w:tcPr>
          <w:p w:rsidR="00EB2481" w:rsidRPr="00EB2481" w:rsidRDefault="00EB2481" w:rsidP="00EB2481">
            <w:r w:rsidRPr="00EB2481">
              <w:t>Transaction Advisory Support for PPP for Solid Waste Management for Yerevan City</w:t>
            </w:r>
          </w:p>
        </w:tc>
        <w:tc>
          <w:tcPr>
            <w:tcW w:w="1134" w:type="dxa"/>
            <w:tcBorders>
              <w:top w:val="nil"/>
              <w:left w:val="nil"/>
              <w:bottom w:val="nil"/>
              <w:right w:val="nil"/>
            </w:tcBorders>
            <w:shd w:val="clear" w:color="auto" w:fill="auto"/>
            <w:vAlign w:val="bottom"/>
            <w:hideMark/>
          </w:tcPr>
          <w:p w:rsidR="00EB2481" w:rsidRPr="00EB2481" w:rsidRDefault="00EB2481" w:rsidP="00EB2481">
            <w:r w:rsidRPr="00EB2481">
              <w:t>15-Sep-09</w:t>
            </w:r>
          </w:p>
        </w:tc>
        <w:tc>
          <w:tcPr>
            <w:tcW w:w="1134" w:type="dxa"/>
            <w:tcBorders>
              <w:top w:val="nil"/>
              <w:left w:val="nil"/>
              <w:bottom w:val="nil"/>
              <w:right w:val="nil"/>
            </w:tcBorders>
            <w:shd w:val="clear" w:color="auto" w:fill="auto"/>
            <w:vAlign w:val="bottom"/>
            <w:hideMark/>
          </w:tcPr>
          <w:p w:rsidR="00EB2481" w:rsidRPr="00EB2481" w:rsidRDefault="00EB2481" w:rsidP="00EB2481">
            <w:r w:rsidRPr="00EB2481">
              <w:t>31-Dec-11</w:t>
            </w:r>
          </w:p>
        </w:tc>
        <w:tc>
          <w:tcPr>
            <w:tcW w:w="708" w:type="dxa"/>
            <w:tcBorders>
              <w:top w:val="nil"/>
              <w:left w:val="nil"/>
              <w:bottom w:val="nil"/>
              <w:right w:val="nil"/>
            </w:tcBorders>
            <w:shd w:val="clear" w:color="auto" w:fill="auto"/>
            <w:vAlign w:val="bottom"/>
            <w:hideMark/>
          </w:tcPr>
          <w:p w:rsidR="00EB2481" w:rsidRPr="00EB2481" w:rsidRDefault="00EB2481" w:rsidP="00EB2481">
            <w:r w:rsidRPr="00EB2481">
              <w:t>0.59</w:t>
            </w:r>
          </w:p>
        </w:tc>
        <w:tc>
          <w:tcPr>
            <w:tcW w:w="3544" w:type="dxa"/>
            <w:tcBorders>
              <w:top w:val="nil"/>
              <w:left w:val="nil"/>
              <w:bottom w:val="nil"/>
              <w:right w:val="nil"/>
            </w:tcBorders>
            <w:shd w:val="clear" w:color="auto" w:fill="auto"/>
            <w:vAlign w:val="bottom"/>
            <w:hideMark/>
          </w:tcPr>
          <w:p w:rsidR="00EB2481" w:rsidRPr="00EB2481" w:rsidRDefault="00F4142F" w:rsidP="00EB2481">
            <w:hyperlink r:id="rId34" w:history="1">
              <w:r w:rsidR="00EB2481" w:rsidRPr="00EB2481">
                <w:rPr>
                  <w:rStyle w:val="Hyperlink"/>
                </w:rPr>
                <w:t>http://web.worldbank.org/external/projects/main?pagePK=64283627&amp;piPK=73230&amp;theSitePK=40941&amp;menuPK=228424&amp;Projectid=P118912</w:t>
              </w:r>
            </w:hyperlink>
            <w:r w:rsidR="00EB2481" w:rsidRPr="00EB2481">
              <w:t xml:space="preserve"> </w:t>
            </w:r>
          </w:p>
        </w:tc>
      </w:tr>
      <w:tr w:rsidR="00EB2481" w:rsidRPr="00EB2481" w:rsidTr="00EB2481">
        <w:trPr>
          <w:trHeight w:val="525"/>
        </w:trPr>
        <w:tc>
          <w:tcPr>
            <w:tcW w:w="1238" w:type="dxa"/>
            <w:tcBorders>
              <w:top w:val="nil"/>
              <w:left w:val="nil"/>
              <w:bottom w:val="nil"/>
              <w:right w:val="nil"/>
            </w:tcBorders>
            <w:shd w:val="clear" w:color="auto" w:fill="auto"/>
            <w:vAlign w:val="bottom"/>
            <w:hideMark/>
          </w:tcPr>
          <w:p w:rsidR="00EB2481" w:rsidRPr="00EB2481" w:rsidRDefault="00EB2481" w:rsidP="00EB2481">
            <w:r w:rsidRPr="00EB2481">
              <w:t>Azerbaijan</w:t>
            </w:r>
          </w:p>
        </w:tc>
        <w:tc>
          <w:tcPr>
            <w:tcW w:w="2042" w:type="dxa"/>
            <w:tcBorders>
              <w:top w:val="nil"/>
              <w:left w:val="nil"/>
              <w:bottom w:val="nil"/>
              <w:right w:val="nil"/>
            </w:tcBorders>
            <w:shd w:val="clear" w:color="auto" w:fill="auto"/>
            <w:vAlign w:val="bottom"/>
            <w:hideMark/>
          </w:tcPr>
          <w:p w:rsidR="00EB2481" w:rsidRPr="00EB2481" w:rsidRDefault="00EB2481" w:rsidP="00EB2481">
            <w:r w:rsidRPr="00EB2481">
              <w:t>ARP/II-Integrated Solid Waste Management</w:t>
            </w:r>
          </w:p>
        </w:tc>
        <w:tc>
          <w:tcPr>
            <w:tcW w:w="1134" w:type="dxa"/>
            <w:tcBorders>
              <w:top w:val="nil"/>
              <w:left w:val="nil"/>
              <w:bottom w:val="nil"/>
              <w:right w:val="nil"/>
            </w:tcBorders>
            <w:shd w:val="clear" w:color="auto" w:fill="auto"/>
            <w:vAlign w:val="bottom"/>
            <w:hideMark/>
          </w:tcPr>
          <w:p w:rsidR="00EB2481" w:rsidRPr="00EB2481" w:rsidRDefault="00EB2481" w:rsidP="00EB2481">
            <w:r w:rsidRPr="00EB2481">
              <w:t>17-Jun-08</w:t>
            </w:r>
          </w:p>
        </w:tc>
        <w:tc>
          <w:tcPr>
            <w:tcW w:w="1134" w:type="dxa"/>
            <w:tcBorders>
              <w:top w:val="nil"/>
              <w:left w:val="nil"/>
              <w:bottom w:val="nil"/>
              <w:right w:val="nil"/>
            </w:tcBorders>
            <w:shd w:val="clear" w:color="auto" w:fill="auto"/>
            <w:vAlign w:val="bottom"/>
            <w:hideMark/>
          </w:tcPr>
          <w:p w:rsidR="00EB2481" w:rsidRPr="00EB2481" w:rsidRDefault="00EB2481" w:rsidP="00EB2481">
            <w:r w:rsidRPr="00EB2481">
              <w:t>30-Sep-13</w:t>
            </w:r>
          </w:p>
        </w:tc>
        <w:tc>
          <w:tcPr>
            <w:tcW w:w="708" w:type="dxa"/>
            <w:tcBorders>
              <w:top w:val="nil"/>
              <w:left w:val="nil"/>
              <w:bottom w:val="nil"/>
              <w:right w:val="nil"/>
            </w:tcBorders>
            <w:shd w:val="clear" w:color="auto" w:fill="auto"/>
            <w:vAlign w:val="bottom"/>
            <w:hideMark/>
          </w:tcPr>
          <w:p w:rsidR="00EB2481" w:rsidRPr="00EB2481" w:rsidRDefault="00EB2481" w:rsidP="00EB2481">
            <w:r w:rsidRPr="00EB2481">
              <w:t>41.5</w:t>
            </w:r>
          </w:p>
        </w:tc>
        <w:tc>
          <w:tcPr>
            <w:tcW w:w="3544" w:type="dxa"/>
            <w:tcBorders>
              <w:top w:val="nil"/>
              <w:left w:val="nil"/>
              <w:bottom w:val="nil"/>
              <w:right w:val="nil"/>
            </w:tcBorders>
            <w:shd w:val="clear" w:color="auto" w:fill="auto"/>
            <w:vAlign w:val="bottom"/>
            <w:hideMark/>
          </w:tcPr>
          <w:p w:rsidR="00EB2481" w:rsidRPr="00EB2481" w:rsidRDefault="00F4142F" w:rsidP="00EB2481">
            <w:hyperlink r:id="rId35" w:history="1">
              <w:r w:rsidR="00EB2481" w:rsidRPr="00EB2481">
                <w:rPr>
                  <w:rStyle w:val="Hyperlink"/>
                </w:rPr>
                <w:t>http://web.worldbank.org/external/projects/main?pagePK=64283627&amp;piPK=73230&amp;theSitePK=40941&amp;menuPK=228424&amp;Projectid=P110679</w:t>
              </w:r>
            </w:hyperlink>
            <w:r w:rsidR="00EB2481" w:rsidRPr="00EB2481">
              <w:t xml:space="preserve"> </w:t>
            </w:r>
          </w:p>
        </w:tc>
      </w:tr>
      <w:tr w:rsidR="00EB2481" w:rsidRPr="00EB2481" w:rsidTr="00EB2481">
        <w:trPr>
          <w:trHeight w:val="525"/>
        </w:trPr>
        <w:tc>
          <w:tcPr>
            <w:tcW w:w="1238" w:type="dxa"/>
            <w:tcBorders>
              <w:top w:val="nil"/>
              <w:left w:val="nil"/>
              <w:bottom w:val="nil"/>
              <w:right w:val="nil"/>
            </w:tcBorders>
            <w:shd w:val="clear" w:color="auto" w:fill="auto"/>
            <w:vAlign w:val="bottom"/>
            <w:hideMark/>
          </w:tcPr>
          <w:p w:rsidR="00EB2481" w:rsidRPr="00EB2481" w:rsidRDefault="00EB2481" w:rsidP="00EB2481">
            <w:r w:rsidRPr="00EB2481">
              <w:t>Belarus</w:t>
            </w:r>
          </w:p>
        </w:tc>
        <w:tc>
          <w:tcPr>
            <w:tcW w:w="2042" w:type="dxa"/>
            <w:tcBorders>
              <w:top w:val="nil"/>
              <w:left w:val="nil"/>
              <w:bottom w:val="nil"/>
              <w:right w:val="nil"/>
            </w:tcBorders>
            <w:shd w:val="clear" w:color="auto" w:fill="auto"/>
            <w:vAlign w:val="bottom"/>
            <w:hideMark/>
          </w:tcPr>
          <w:p w:rsidR="00EB2481" w:rsidRPr="00EB2481" w:rsidRDefault="00EB2481" w:rsidP="00EB2481">
            <w:r w:rsidRPr="00EB2481">
              <w:t>Integrated Solid Waste Management Project</w:t>
            </w:r>
          </w:p>
        </w:tc>
        <w:tc>
          <w:tcPr>
            <w:tcW w:w="1134" w:type="dxa"/>
            <w:tcBorders>
              <w:top w:val="nil"/>
              <w:left w:val="nil"/>
              <w:bottom w:val="nil"/>
              <w:right w:val="nil"/>
            </w:tcBorders>
            <w:shd w:val="clear" w:color="auto" w:fill="auto"/>
            <w:vAlign w:val="bottom"/>
            <w:hideMark/>
          </w:tcPr>
          <w:p w:rsidR="00EB2481" w:rsidRPr="00EB2481" w:rsidRDefault="00EB2481" w:rsidP="00EB2481">
            <w:r w:rsidRPr="00EB2481">
              <w:t>17-Jun-10</w:t>
            </w:r>
          </w:p>
        </w:tc>
        <w:tc>
          <w:tcPr>
            <w:tcW w:w="1134" w:type="dxa"/>
            <w:tcBorders>
              <w:top w:val="nil"/>
              <w:left w:val="nil"/>
              <w:bottom w:val="nil"/>
              <w:right w:val="nil"/>
            </w:tcBorders>
            <w:shd w:val="clear" w:color="auto" w:fill="auto"/>
            <w:vAlign w:val="bottom"/>
            <w:hideMark/>
          </w:tcPr>
          <w:p w:rsidR="00EB2481" w:rsidRPr="00EB2481" w:rsidRDefault="00EB2481" w:rsidP="00EB2481">
            <w:r w:rsidRPr="00EB2481">
              <w:t>30-Dec-16</w:t>
            </w:r>
          </w:p>
        </w:tc>
        <w:tc>
          <w:tcPr>
            <w:tcW w:w="708" w:type="dxa"/>
            <w:tcBorders>
              <w:top w:val="nil"/>
              <w:left w:val="nil"/>
              <w:bottom w:val="nil"/>
              <w:right w:val="nil"/>
            </w:tcBorders>
            <w:shd w:val="clear" w:color="auto" w:fill="auto"/>
            <w:vAlign w:val="bottom"/>
            <w:hideMark/>
          </w:tcPr>
          <w:p w:rsidR="00EB2481" w:rsidRPr="00EB2481" w:rsidRDefault="00EB2481" w:rsidP="00EB2481">
            <w:r w:rsidRPr="00EB2481">
              <w:t>48.76</w:t>
            </w:r>
          </w:p>
        </w:tc>
        <w:tc>
          <w:tcPr>
            <w:tcW w:w="3544" w:type="dxa"/>
            <w:tcBorders>
              <w:top w:val="nil"/>
              <w:left w:val="nil"/>
              <w:bottom w:val="nil"/>
              <w:right w:val="nil"/>
            </w:tcBorders>
            <w:shd w:val="clear" w:color="auto" w:fill="auto"/>
            <w:vAlign w:val="bottom"/>
            <w:hideMark/>
          </w:tcPr>
          <w:p w:rsidR="00EB2481" w:rsidRPr="00EB2481" w:rsidRDefault="00F4142F" w:rsidP="00EB2481">
            <w:hyperlink r:id="rId36" w:history="1">
              <w:r w:rsidR="00EB2481" w:rsidRPr="00EB2481">
                <w:rPr>
                  <w:rStyle w:val="Hyperlink"/>
                </w:rPr>
                <w:t>http://web.worldbank.org/external/projects/main?pagePK=64283627&amp;piPK=73230&amp;theSitePK=40941&amp;menuPK=228424&amp;Projectid=P114515</w:t>
              </w:r>
            </w:hyperlink>
            <w:r w:rsidR="00EB2481" w:rsidRPr="00EB2481">
              <w:t xml:space="preserve"> </w:t>
            </w:r>
          </w:p>
        </w:tc>
      </w:tr>
      <w:tr w:rsidR="00EB2481" w:rsidRPr="00EB2481" w:rsidTr="00EB2481">
        <w:trPr>
          <w:trHeight w:val="525"/>
        </w:trPr>
        <w:tc>
          <w:tcPr>
            <w:tcW w:w="1238" w:type="dxa"/>
            <w:tcBorders>
              <w:top w:val="nil"/>
              <w:left w:val="nil"/>
              <w:bottom w:val="nil"/>
              <w:right w:val="nil"/>
            </w:tcBorders>
            <w:shd w:val="clear" w:color="auto" w:fill="auto"/>
            <w:vAlign w:val="bottom"/>
            <w:hideMark/>
          </w:tcPr>
          <w:p w:rsidR="00EB2481" w:rsidRPr="00EB2481" w:rsidRDefault="00EB2481" w:rsidP="00EB2481">
            <w:r w:rsidRPr="00EB2481">
              <w:t>Bosnia and Herzegovina</w:t>
            </w:r>
          </w:p>
        </w:tc>
        <w:tc>
          <w:tcPr>
            <w:tcW w:w="2042" w:type="dxa"/>
            <w:tcBorders>
              <w:top w:val="nil"/>
              <w:left w:val="nil"/>
              <w:bottom w:val="nil"/>
              <w:right w:val="nil"/>
            </w:tcBorders>
            <w:shd w:val="clear" w:color="auto" w:fill="auto"/>
            <w:vAlign w:val="bottom"/>
            <w:hideMark/>
          </w:tcPr>
          <w:p w:rsidR="00EB2481" w:rsidRPr="00EB2481" w:rsidRDefault="00EB2481" w:rsidP="00EB2481">
            <w:r w:rsidRPr="00EB2481">
              <w:t>Second Solid Waste Management</w:t>
            </w:r>
          </w:p>
        </w:tc>
        <w:tc>
          <w:tcPr>
            <w:tcW w:w="1134" w:type="dxa"/>
            <w:tcBorders>
              <w:top w:val="nil"/>
              <w:left w:val="nil"/>
              <w:bottom w:val="nil"/>
              <w:right w:val="nil"/>
            </w:tcBorders>
            <w:shd w:val="clear" w:color="auto" w:fill="auto"/>
            <w:vAlign w:val="bottom"/>
            <w:hideMark/>
          </w:tcPr>
          <w:p w:rsidR="00EB2481" w:rsidRPr="00EB2481" w:rsidRDefault="00EB2481" w:rsidP="00EB2481">
            <w:r w:rsidRPr="00EB2481">
              <w:t>25-Nov-08</w:t>
            </w:r>
          </w:p>
        </w:tc>
        <w:tc>
          <w:tcPr>
            <w:tcW w:w="1134" w:type="dxa"/>
            <w:tcBorders>
              <w:top w:val="nil"/>
              <w:left w:val="nil"/>
              <w:bottom w:val="nil"/>
              <w:right w:val="nil"/>
            </w:tcBorders>
            <w:shd w:val="clear" w:color="auto" w:fill="auto"/>
            <w:vAlign w:val="bottom"/>
            <w:hideMark/>
          </w:tcPr>
          <w:p w:rsidR="00EB2481" w:rsidRPr="00EB2481" w:rsidRDefault="00EB2481" w:rsidP="00EB2481">
            <w:r w:rsidRPr="00EB2481">
              <w:t>28-Feb-14</w:t>
            </w:r>
          </w:p>
        </w:tc>
        <w:tc>
          <w:tcPr>
            <w:tcW w:w="708" w:type="dxa"/>
            <w:tcBorders>
              <w:top w:val="nil"/>
              <w:left w:val="nil"/>
              <w:bottom w:val="nil"/>
              <w:right w:val="nil"/>
            </w:tcBorders>
            <w:shd w:val="clear" w:color="auto" w:fill="auto"/>
            <w:vAlign w:val="bottom"/>
            <w:hideMark/>
          </w:tcPr>
          <w:p w:rsidR="00EB2481" w:rsidRPr="00EB2481" w:rsidRDefault="00EB2481" w:rsidP="00EB2481">
            <w:r w:rsidRPr="00EB2481">
              <w:t>43.5</w:t>
            </w:r>
          </w:p>
        </w:tc>
        <w:tc>
          <w:tcPr>
            <w:tcW w:w="3544" w:type="dxa"/>
            <w:tcBorders>
              <w:top w:val="nil"/>
              <w:left w:val="nil"/>
              <w:bottom w:val="nil"/>
              <w:right w:val="nil"/>
            </w:tcBorders>
            <w:shd w:val="clear" w:color="auto" w:fill="auto"/>
            <w:vAlign w:val="bottom"/>
            <w:hideMark/>
          </w:tcPr>
          <w:p w:rsidR="00EB2481" w:rsidRPr="00EB2481" w:rsidRDefault="00F4142F" w:rsidP="00EB2481">
            <w:hyperlink r:id="rId37" w:history="1">
              <w:r w:rsidR="00EB2481" w:rsidRPr="00EB2481">
                <w:rPr>
                  <w:rStyle w:val="Hyperlink"/>
                </w:rPr>
                <w:t>http://web.worldbank.org/external/projects/main?pagePK=64283627&amp;piPK=73230&amp;theSitePK=40941&amp;menuPK=228424&amp;Projectid=P107998</w:t>
              </w:r>
            </w:hyperlink>
            <w:r w:rsidR="00EB2481" w:rsidRPr="00EB2481">
              <w:t xml:space="preserve"> </w:t>
            </w:r>
          </w:p>
        </w:tc>
      </w:tr>
      <w:tr w:rsidR="00EB2481" w:rsidRPr="00EB2481" w:rsidTr="00EB2481">
        <w:trPr>
          <w:trHeight w:val="600"/>
        </w:trPr>
        <w:tc>
          <w:tcPr>
            <w:tcW w:w="1238" w:type="dxa"/>
            <w:tcBorders>
              <w:top w:val="nil"/>
              <w:left w:val="nil"/>
              <w:bottom w:val="nil"/>
              <w:right w:val="nil"/>
            </w:tcBorders>
            <w:shd w:val="clear" w:color="auto" w:fill="auto"/>
            <w:vAlign w:val="bottom"/>
            <w:hideMark/>
          </w:tcPr>
          <w:p w:rsidR="00EB2481" w:rsidRPr="00EB2481" w:rsidRDefault="00EB2481" w:rsidP="00EB2481">
            <w:r w:rsidRPr="00EB2481">
              <w:t>Macedonia</w:t>
            </w:r>
          </w:p>
        </w:tc>
        <w:tc>
          <w:tcPr>
            <w:tcW w:w="2042" w:type="dxa"/>
            <w:tcBorders>
              <w:top w:val="nil"/>
              <w:left w:val="nil"/>
              <w:bottom w:val="nil"/>
              <w:right w:val="nil"/>
            </w:tcBorders>
            <w:shd w:val="clear" w:color="auto" w:fill="auto"/>
            <w:vAlign w:val="bottom"/>
            <w:hideMark/>
          </w:tcPr>
          <w:p w:rsidR="00EB2481" w:rsidRPr="00EB2481" w:rsidRDefault="00EB2481" w:rsidP="00EB2481">
            <w:r w:rsidRPr="00EB2481">
              <w:t>Municipal Services Improvement</w:t>
            </w:r>
          </w:p>
        </w:tc>
        <w:tc>
          <w:tcPr>
            <w:tcW w:w="1134" w:type="dxa"/>
            <w:tcBorders>
              <w:top w:val="nil"/>
              <w:left w:val="nil"/>
              <w:bottom w:val="nil"/>
              <w:right w:val="nil"/>
            </w:tcBorders>
            <w:shd w:val="clear" w:color="auto" w:fill="auto"/>
            <w:vAlign w:val="bottom"/>
            <w:hideMark/>
          </w:tcPr>
          <w:p w:rsidR="00EB2481" w:rsidRPr="00EB2481" w:rsidRDefault="00EB2481" w:rsidP="00EB2481">
            <w:r w:rsidRPr="00EB2481">
              <w:t>26-Mar-09</w:t>
            </w:r>
          </w:p>
        </w:tc>
        <w:tc>
          <w:tcPr>
            <w:tcW w:w="1134" w:type="dxa"/>
            <w:tcBorders>
              <w:top w:val="nil"/>
              <w:left w:val="nil"/>
              <w:bottom w:val="nil"/>
              <w:right w:val="nil"/>
            </w:tcBorders>
            <w:shd w:val="clear" w:color="auto" w:fill="auto"/>
            <w:vAlign w:val="bottom"/>
            <w:hideMark/>
          </w:tcPr>
          <w:p w:rsidR="00EB2481" w:rsidRPr="00EB2481" w:rsidRDefault="00EB2481" w:rsidP="00EB2481">
            <w:r w:rsidRPr="00EB2481">
              <w:t>30-Nov-14</w:t>
            </w:r>
          </w:p>
        </w:tc>
        <w:tc>
          <w:tcPr>
            <w:tcW w:w="708" w:type="dxa"/>
            <w:tcBorders>
              <w:top w:val="nil"/>
              <w:left w:val="nil"/>
              <w:bottom w:val="nil"/>
              <w:right w:val="nil"/>
            </w:tcBorders>
            <w:shd w:val="clear" w:color="auto" w:fill="auto"/>
            <w:vAlign w:val="bottom"/>
            <w:hideMark/>
          </w:tcPr>
          <w:p w:rsidR="00EB2481" w:rsidRPr="00EB2481" w:rsidRDefault="00EB2481" w:rsidP="00EB2481">
            <w:r w:rsidRPr="00EB2481">
              <w:t>25</w:t>
            </w:r>
          </w:p>
        </w:tc>
        <w:tc>
          <w:tcPr>
            <w:tcW w:w="3544" w:type="dxa"/>
            <w:tcBorders>
              <w:top w:val="nil"/>
              <w:left w:val="nil"/>
              <w:bottom w:val="nil"/>
              <w:right w:val="nil"/>
            </w:tcBorders>
            <w:shd w:val="clear" w:color="auto" w:fill="auto"/>
            <w:vAlign w:val="bottom"/>
            <w:hideMark/>
          </w:tcPr>
          <w:p w:rsidR="00EB2481" w:rsidRPr="00EB2481" w:rsidRDefault="00F4142F" w:rsidP="00EB2481">
            <w:pPr>
              <w:rPr>
                <w:u w:val="single"/>
              </w:rPr>
            </w:pPr>
            <w:hyperlink r:id="rId38" w:history="1">
              <w:r w:rsidR="00EB2481" w:rsidRPr="00EB2481">
                <w:rPr>
                  <w:rStyle w:val="Hyperlink"/>
                </w:rPr>
                <w:t>http://web.worldbank.org/external/projects/main?pagePK=64283627&amp;piPK=73230&amp;theSitePK=40941&amp;menuPK=228424&amp;Projectid=P096481</w:t>
              </w:r>
            </w:hyperlink>
          </w:p>
        </w:tc>
      </w:tr>
      <w:tr w:rsidR="00EB2481" w:rsidRPr="00EB2481" w:rsidTr="00EB2481">
        <w:trPr>
          <w:trHeight w:val="525"/>
        </w:trPr>
        <w:tc>
          <w:tcPr>
            <w:tcW w:w="1238" w:type="dxa"/>
            <w:tcBorders>
              <w:top w:val="nil"/>
              <w:left w:val="nil"/>
              <w:bottom w:val="nil"/>
              <w:right w:val="nil"/>
            </w:tcBorders>
            <w:shd w:val="clear" w:color="auto" w:fill="auto"/>
            <w:vAlign w:val="bottom"/>
            <w:hideMark/>
          </w:tcPr>
          <w:p w:rsidR="00EB2481" w:rsidRPr="00EB2481" w:rsidRDefault="00EB2481" w:rsidP="00EB2481">
            <w:r w:rsidRPr="00EB2481">
              <w:t>Moldova</w:t>
            </w:r>
          </w:p>
        </w:tc>
        <w:tc>
          <w:tcPr>
            <w:tcW w:w="2042" w:type="dxa"/>
            <w:tcBorders>
              <w:top w:val="nil"/>
              <w:left w:val="nil"/>
              <w:bottom w:val="nil"/>
              <w:right w:val="nil"/>
            </w:tcBorders>
            <w:shd w:val="clear" w:color="auto" w:fill="auto"/>
            <w:vAlign w:val="bottom"/>
            <w:hideMark/>
          </w:tcPr>
          <w:p w:rsidR="00EB2481" w:rsidRPr="00EB2481" w:rsidRDefault="00EB2481" w:rsidP="00EB2481">
            <w:r w:rsidRPr="00EB2481">
              <w:t>MOLDOVA REGIONAL DEVELOPMENT</w:t>
            </w:r>
          </w:p>
        </w:tc>
        <w:tc>
          <w:tcPr>
            <w:tcW w:w="1134" w:type="dxa"/>
            <w:tcBorders>
              <w:top w:val="nil"/>
              <w:left w:val="nil"/>
              <w:bottom w:val="nil"/>
              <w:right w:val="nil"/>
            </w:tcBorders>
            <w:shd w:val="clear" w:color="auto" w:fill="auto"/>
            <w:vAlign w:val="bottom"/>
            <w:hideMark/>
          </w:tcPr>
          <w:p w:rsidR="00EB2481" w:rsidRPr="00EB2481" w:rsidRDefault="00EB2481" w:rsidP="00EB2481">
            <w:r w:rsidRPr="00EB2481">
              <w:t>31-Jul-09</w:t>
            </w:r>
          </w:p>
        </w:tc>
        <w:tc>
          <w:tcPr>
            <w:tcW w:w="1134" w:type="dxa"/>
            <w:tcBorders>
              <w:top w:val="nil"/>
              <w:left w:val="nil"/>
              <w:bottom w:val="nil"/>
              <w:right w:val="nil"/>
            </w:tcBorders>
            <w:shd w:val="clear" w:color="auto" w:fill="auto"/>
            <w:vAlign w:val="bottom"/>
            <w:hideMark/>
          </w:tcPr>
          <w:p w:rsidR="00EB2481" w:rsidRPr="00EB2481" w:rsidRDefault="00EB2481" w:rsidP="00EB2481">
            <w:r w:rsidRPr="00EB2481">
              <w:t>30-Jun-11</w:t>
            </w:r>
          </w:p>
        </w:tc>
        <w:tc>
          <w:tcPr>
            <w:tcW w:w="708" w:type="dxa"/>
            <w:tcBorders>
              <w:top w:val="nil"/>
              <w:left w:val="nil"/>
              <w:bottom w:val="nil"/>
              <w:right w:val="nil"/>
            </w:tcBorders>
            <w:shd w:val="clear" w:color="auto" w:fill="auto"/>
            <w:vAlign w:val="bottom"/>
            <w:hideMark/>
          </w:tcPr>
          <w:p w:rsidR="00EB2481" w:rsidRPr="00EB2481" w:rsidRDefault="00EB2481" w:rsidP="00EB2481">
            <w:r w:rsidRPr="00EB2481">
              <w:t>12.5</w:t>
            </w:r>
          </w:p>
        </w:tc>
        <w:tc>
          <w:tcPr>
            <w:tcW w:w="3544" w:type="dxa"/>
            <w:tcBorders>
              <w:top w:val="nil"/>
              <w:left w:val="nil"/>
              <w:bottom w:val="nil"/>
              <w:right w:val="nil"/>
            </w:tcBorders>
            <w:shd w:val="clear" w:color="auto" w:fill="auto"/>
            <w:vAlign w:val="bottom"/>
            <w:hideMark/>
          </w:tcPr>
          <w:p w:rsidR="00EB2481" w:rsidRPr="00EB2481" w:rsidRDefault="00F4142F" w:rsidP="00EB2481">
            <w:hyperlink r:id="rId39" w:history="1">
              <w:r w:rsidR="00EB2481" w:rsidRPr="00EB2481">
                <w:rPr>
                  <w:rStyle w:val="Hyperlink"/>
                </w:rPr>
                <w:t>http://web.worldbank.org/external/projects/main?pagePK=64283627&amp;piPK=73230&amp;theSitePK=40941&amp;menuPK=228424&amp;Projectid=P118405</w:t>
              </w:r>
            </w:hyperlink>
            <w:r w:rsidR="00EB2481" w:rsidRPr="00EB2481">
              <w:t xml:space="preserve"> </w:t>
            </w:r>
          </w:p>
        </w:tc>
      </w:tr>
      <w:tr w:rsidR="00EB2481" w:rsidRPr="00EB2481" w:rsidTr="00EB2481">
        <w:trPr>
          <w:trHeight w:val="600"/>
        </w:trPr>
        <w:tc>
          <w:tcPr>
            <w:tcW w:w="1238" w:type="dxa"/>
            <w:tcBorders>
              <w:top w:val="nil"/>
              <w:left w:val="nil"/>
              <w:bottom w:val="nil"/>
              <w:right w:val="nil"/>
            </w:tcBorders>
            <w:shd w:val="clear" w:color="auto" w:fill="auto"/>
            <w:vAlign w:val="bottom"/>
            <w:hideMark/>
          </w:tcPr>
          <w:p w:rsidR="00EB2481" w:rsidRPr="00EB2481" w:rsidRDefault="00EB2481" w:rsidP="00EB2481">
            <w:r w:rsidRPr="00EB2481">
              <w:t>Montenegro</w:t>
            </w:r>
          </w:p>
        </w:tc>
        <w:tc>
          <w:tcPr>
            <w:tcW w:w="2042" w:type="dxa"/>
            <w:tcBorders>
              <w:top w:val="nil"/>
              <w:left w:val="nil"/>
              <w:bottom w:val="nil"/>
              <w:right w:val="nil"/>
            </w:tcBorders>
            <w:shd w:val="clear" w:color="auto" w:fill="auto"/>
            <w:vAlign w:val="bottom"/>
            <w:hideMark/>
          </w:tcPr>
          <w:p w:rsidR="00EB2481" w:rsidRPr="00EB2481" w:rsidRDefault="00EB2481" w:rsidP="00EB2481">
            <w:r w:rsidRPr="00EB2481">
              <w:t>Environmentally Sensitive Tourist Areas Project (Montenegro)</w:t>
            </w:r>
          </w:p>
        </w:tc>
        <w:tc>
          <w:tcPr>
            <w:tcW w:w="1134" w:type="dxa"/>
            <w:tcBorders>
              <w:top w:val="nil"/>
              <w:left w:val="nil"/>
              <w:bottom w:val="nil"/>
              <w:right w:val="nil"/>
            </w:tcBorders>
            <w:shd w:val="clear" w:color="auto" w:fill="auto"/>
            <w:vAlign w:val="bottom"/>
            <w:hideMark/>
          </w:tcPr>
          <w:p w:rsidR="00EB2481" w:rsidRPr="00EB2481" w:rsidRDefault="00EB2481" w:rsidP="00EB2481">
            <w:r w:rsidRPr="00EB2481">
              <w:t>11-Sep-03</w:t>
            </w:r>
          </w:p>
        </w:tc>
        <w:tc>
          <w:tcPr>
            <w:tcW w:w="1134" w:type="dxa"/>
            <w:tcBorders>
              <w:top w:val="nil"/>
              <w:left w:val="nil"/>
              <w:bottom w:val="nil"/>
              <w:right w:val="nil"/>
            </w:tcBorders>
            <w:shd w:val="clear" w:color="auto" w:fill="auto"/>
            <w:vAlign w:val="bottom"/>
            <w:hideMark/>
          </w:tcPr>
          <w:p w:rsidR="00EB2481" w:rsidRPr="00EB2481" w:rsidRDefault="00EB2481" w:rsidP="00EB2481">
            <w:r w:rsidRPr="00EB2481">
              <w:t>30-Jun-12</w:t>
            </w:r>
          </w:p>
        </w:tc>
        <w:tc>
          <w:tcPr>
            <w:tcW w:w="708" w:type="dxa"/>
            <w:tcBorders>
              <w:top w:val="nil"/>
              <w:left w:val="nil"/>
              <w:bottom w:val="nil"/>
              <w:right w:val="nil"/>
            </w:tcBorders>
            <w:shd w:val="clear" w:color="auto" w:fill="auto"/>
            <w:vAlign w:val="bottom"/>
            <w:hideMark/>
          </w:tcPr>
          <w:p w:rsidR="00EB2481" w:rsidRPr="00EB2481" w:rsidRDefault="00EB2481" w:rsidP="00EB2481">
            <w:r w:rsidRPr="00EB2481">
              <w:t>9.5</w:t>
            </w:r>
          </w:p>
        </w:tc>
        <w:tc>
          <w:tcPr>
            <w:tcW w:w="3544" w:type="dxa"/>
            <w:tcBorders>
              <w:top w:val="nil"/>
              <w:left w:val="nil"/>
              <w:bottom w:val="nil"/>
              <w:right w:val="nil"/>
            </w:tcBorders>
            <w:shd w:val="clear" w:color="auto" w:fill="auto"/>
            <w:vAlign w:val="bottom"/>
            <w:hideMark/>
          </w:tcPr>
          <w:p w:rsidR="00EB2481" w:rsidRPr="00EB2481" w:rsidRDefault="00F4142F" w:rsidP="00EB2481">
            <w:pPr>
              <w:rPr>
                <w:u w:val="single"/>
              </w:rPr>
            </w:pPr>
            <w:hyperlink r:id="rId40" w:history="1">
              <w:r w:rsidR="00EB2481" w:rsidRPr="00EB2481">
                <w:rPr>
                  <w:rStyle w:val="Hyperlink"/>
                </w:rPr>
                <w:t xml:space="preserve">http://web.worldbank.org/external/projects/main?pagePK=64283627&amp;piPK=73230&amp;theSitePK=40941&amp;menuPK=228424&amp;Projectid=P079116 </w:t>
              </w:r>
            </w:hyperlink>
          </w:p>
        </w:tc>
      </w:tr>
      <w:tr w:rsidR="00EB2481" w:rsidRPr="00EB2481" w:rsidTr="00EB2481">
        <w:trPr>
          <w:trHeight w:val="780"/>
        </w:trPr>
        <w:tc>
          <w:tcPr>
            <w:tcW w:w="1238" w:type="dxa"/>
            <w:tcBorders>
              <w:top w:val="nil"/>
              <w:left w:val="nil"/>
              <w:bottom w:val="nil"/>
              <w:right w:val="nil"/>
            </w:tcBorders>
            <w:shd w:val="clear" w:color="auto" w:fill="auto"/>
            <w:vAlign w:val="bottom"/>
            <w:hideMark/>
          </w:tcPr>
          <w:p w:rsidR="00EB2481" w:rsidRPr="00EB2481" w:rsidRDefault="00EB2481" w:rsidP="00EB2481">
            <w:r w:rsidRPr="00EB2481">
              <w:t>Montenegro</w:t>
            </w:r>
          </w:p>
        </w:tc>
        <w:tc>
          <w:tcPr>
            <w:tcW w:w="2042" w:type="dxa"/>
            <w:tcBorders>
              <w:top w:val="nil"/>
              <w:left w:val="nil"/>
              <w:bottom w:val="nil"/>
              <w:right w:val="nil"/>
            </w:tcBorders>
            <w:shd w:val="clear" w:color="auto" w:fill="auto"/>
            <w:vAlign w:val="bottom"/>
            <w:hideMark/>
          </w:tcPr>
          <w:p w:rsidR="00EB2481" w:rsidRPr="00EB2481" w:rsidRDefault="00EB2481" w:rsidP="00EB2481">
            <w:r w:rsidRPr="00EB2481">
              <w:t>Additional Financing for Montenegro Environmentally Sensitive Tourist Areas Project</w:t>
            </w:r>
          </w:p>
        </w:tc>
        <w:tc>
          <w:tcPr>
            <w:tcW w:w="1134" w:type="dxa"/>
            <w:tcBorders>
              <w:top w:val="nil"/>
              <w:left w:val="nil"/>
              <w:bottom w:val="nil"/>
              <w:right w:val="nil"/>
            </w:tcBorders>
            <w:shd w:val="clear" w:color="auto" w:fill="auto"/>
            <w:vAlign w:val="bottom"/>
            <w:hideMark/>
          </w:tcPr>
          <w:p w:rsidR="00EB2481" w:rsidRPr="00EB2481" w:rsidRDefault="00EB2481" w:rsidP="00EB2481">
            <w:r w:rsidRPr="00EB2481">
              <w:t>20-Dec-10</w:t>
            </w:r>
          </w:p>
        </w:tc>
        <w:tc>
          <w:tcPr>
            <w:tcW w:w="1134" w:type="dxa"/>
            <w:tcBorders>
              <w:top w:val="nil"/>
              <w:left w:val="nil"/>
              <w:bottom w:val="nil"/>
              <w:right w:val="nil"/>
            </w:tcBorders>
            <w:shd w:val="clear" w:color="auto" w:fill="auto"/>
            <w:vAlign w:val="bottom"/>
            <w:hideMark/>
          </w:tcPr>
          <w:p w:rsidR="00EB2481" w:rsidRPr="00EB2481" w:rsidRDefault="00EB2481" w:rsidP="00EB2481">
            <w:r w:rsidRPr="00EB2481">
              <w:t>N/A</w:t>
            </w:r>
          </w:p>
        </w:tc>
        <w:tc>
          <w:tcPr>
            <w:tcW w:w="708" w:type="dxa"/>
            <w:tcBorders>
              <w:top w:val="nil"/>
              <w:left w:val="nil"/>
              <w:bottom w:val="nil"/>
              <w:right w:val="nil"/>
            </w:tcBorders>
            <w:shd w:val="clear" w:color="auto" w:fill="auto"/>
            <w:vAlign w:val="bottom"/>
            <w:hideMark/>
          </w:tcPr>
          <w:p w:rsidR="00EB2481" w:rsidRPr="00EB2481" w:rsidRDefault="00EB2481" w:rsidP="00EB2481">
            <w:r w:rsidRPr="00EB2481">
              <w:t>6.1</w:t>
            </w:r>
          </w:p>
        </w:tc>
        <w:tc>
          <w:tcPr>
            <w:tcW w:w="3544" w:type="dxa"/>
            <w:tcBorders>
              <w:top w:val="nil"/>
              <w:left w:val="nil"/>
              <w:bottom w:val="nil"/>
              <w:right w:val="nil"/>
            </w:tcBorders>
            <w:shd w:val="clear" w:color="auto" w:fill="auto"/>
            <w:vAlign w:val="bottom"/>
            <w:hideMark/>
          </w:tcPr>
          <w:p w:rsidR="00EB2481" w:rsidRPr="00EB2481" w:rsidRDefault="00F4142F" w:rsidP="00EB2481">
            <w:pPr>
              <w:rPr>
                <w:u w:val="single"/>
              </w:rPr>
            </w:pPr>
            <w:hyperlink r:id="rId41" w:history="1">
              <w:r w:rsidR="00EB2481" w:rsidRPr="00EB2481">
                <w:rPr>
                  <w:rStyle w:val="Hyperlink"/>
                </w:rPr>
                <w:t xml:space="preserve">http://web.worldbank.org/external/projects/main?pagePK=64283627&amp;piPK=73230&amp;theSitePK=40941&amp;menuPK=228424&amp;Projectid=P120659 </w:t>
              </w:r>
            </w:hyperlink>
          </w:p>
        </w:tc>
      </w:tr>
      <w:tr w:rsidR="00EB2481" w:rsidRPr="00EB2481" w:rsidTr="00EB2481">
        <w:trPr>
          <w:trHeight w:val="600"/>
        </w:trPr>
        <w:tc>
          <w:tcPr>
            <w:tcW w:w="1238" w:type="dxa"/>
            <w:tcBorders>
              <w:top w:val="nil"/>
              <w:left w:val="nil"/>
              <w:bottom w:val="nil"/>
              <w:right w:val="nil"/>
            </w:tcBorders>
            <w:shd w:val="clear" w:color="auto" w:fill="auto"/>
            <w:vAlign w:val="bottom"/>
            <w:hideMark/>
          </w:tcPr>
          <w:p w:rsidR="00EB2481" w:rsidRPr="00EB2481" w:rsidRDefault="00EB2481" w:rsidP="00EB2481">
            <w:r w:rsidRPr="00EB2481">
              <w:t>Ukraine</w:t>
            </w:r>
          </w:p>
        </w:tc>
        <w:tc>
          <w:tcPr>
            <w:tcW w:w="2042" w:type="dxa"/>
            <w:tcBorders>
              <w:top w:val="nil"/>
              <w:left w:val="nil"/>
              <w:bottom w:val="nil"/>
              <w:right w:val="nil"/>
            </w:tcBorders>
            <w:shd w:val="clear" w:color="auto" w:fill="auto"/>
            <w:vAlign w:val="bottom"/>
            <w:hideMark/>
          </w:tcPr>
          <w:p w:rsidR="00EB2481" w:rsidRPr="00EB2481" w:rsidRDefault="00EB2481" w:rsidP="00EB2481">
            <w:r w:rsidRPr="00EB2481">
              <w:t>Urban Infrastructure Project</w:t>
            </w:r>
          </w:p>
        </w:tc>
        <w:tc>
          <w:tcPr>
            <w:tcW w:w="1134" w:type="dxa"/>
            <w:tcBorders>
              <w:top w:val="nil"/>
              <w:left w:val="nil"/>
              <w:bottom w:val="nil"/>
              <w:right w:val="nil"/>
            </w:tcBorders>
            <w:shd w:val="clear" w:color="auto" w:fill="auto"/>
            <w:vAlign w:val="bottom"/>
            <w:hideMark/>
          </w:tcPr>
          <w:p w:rsidR="00EB2481" w:rsidRPr="00EB2481" w:rsidRDefault="00EB2481" w:rsidP="00EB2481">
            <w:r w:rsidRPr="00EB2481">
              <w:t>28-Aug-07</w:t>
            </w:r>
          </w:p>
        </w:tc>
        <w:tc>
          <w:tcPr>
            <w:tcW w:w="1134" w:type="dxa"/>
            <w:tcBorders>
              <w:top w:val="nil"/>
              <w:left w:val="nil"/>
              <w:bottom w:val="nil"/>
              <w:right w:val="nil"/>
            </w:tcBorders>
            <w:shd w:val="clear" w:color="auto" w:fill="auto"/>
            <w:vAlign w:val="bottom"/>
            <w:hideMark/>
          </w:tcPr>
          <w:p w:rsidR="00EB2481" w:rsidRPr="00EB2481" w:rsidRDefault="00EB2481" w:rsidP="00EB2481">
            <w:r w:rsidRPr="00EB2481">
              <w:t>31-Dec-12</w:t>
            </w:r>
          </w:p>
        </w:tc>
        <w:tc>
          <w:tcPr>
            <w:tcW w:w="708" w:type="dxa"/>
            <w:tcBorders>
              <w:top w:val="nil"/>
              <w:left w:val="nil"/>
              <w:bottom w:val="nil"/>
              <w:right w:val="nil"/>
            </w:tcBorders>
            <w:shd w:val="clear" w:color="auto" w:fill="auto"/>
            <w:vAlign w:val="bottom"/>
            <w:hideMark/>
          </w:tcPr>
          <w:p w:rsidR="00EB2481" w:rsidRPr="00EB2481" w:rsidRDefault="00EB2481" w:rsidP="00EB2481">
            <w:r w:rsidRPr="00EB2481">
              <w:t>140</w:t>
            </w:r>
          </w:p>
        </w:tc>
        <w:tc>
          <w:tcPr>
            <w:tcW w:w="3544" w:type="dxa"/>
            <w:tcBorders>
              <w:top w:val="nil"/>
              <w:left w:val="nil"/>
              <w:bottom w:val="nil"/>
              <w:right w:val="nil"/>
            </w:tcBorders>
            <w:shd w:val="clear" w:color="auto" w:fill="auto"/>
            <w:vAlign w:val="bottom"/>
            <w:hideMark/>
          </w:tcPr>
          <w:p w:rsidR="00EB2481" w:rsidRPr="00EB2481" w:rsidRDefault="00F4142F" w:rsidP="00EB2481">
            <w:pPr>
              <w:rPr>
                <w:u w:val="single"/>
              </w:rPr>
            </w:pPr>
            <w:hyperlink r:id="rId42" w:history="1">
              <w:r w:rsidR="00EB2481" w:rsidRPr="00EB2481">
                <w:rPr>
                  <w:rStyle w:val="Hyperlink"/>
                </w:rPr>
                <w:t xml:space="preserve">http://web.worldbank.org/external/projects/main?pagePK=64283627&amp;piPK=73230&amp;theSitePK=40941&amp;menuPK=228424&amp;Projectid=P095337 </w:t>
              </w:r>
            </w:hyperlink>
          </w:p>
        </w:tc>
      </w:tr>
    </w:tbl>
    <w:p w:rsidR="00EB2481" w:rsidRPr="00EB2481" w:rsidRDefault="00EB2481" w:rsidP="00EB2481"/>
    <w:p w:rsidR="00EB2481" w:rsidRPr="00EB2481" w:rsidRDefault="00EB2481" w:rsidP="00EB2481">
      <w:r w:rsidRPr="00EB2481">
        <w:t xml:space="preserve">The Azerbaijan project is focussed on waste services in the capital, Baku, and its metropolitan area (population 2.3 million), especially improving the </w:t>
      </w:r>
      <w:r w:rsidR="00951205" w:rsidRPr="00EB2481">
        <w:t>waste</w:t>
      </w:r>
      <w:r w:rsidRPr="00EB2481">
        <w:t xml:space="preserve"> management in the Absheron peninsula where there are many informal settlements, long-term industrial pollution from the oil industry, and underdeveloped </w:t>
      </w:r>
      <w:r w:rsidRPr="00EB2481">
        <w:lastRenderedPageBreak/>
        <w:t xml:space="preserve">municipal services. Its first aim is to finance the corporatisation of the city’s waste operation into a commercial company, by financing: “the legal, financial, and organizational corporatization and establishment; the operationalization; and capacity building of the new joint stock Solid Waste Management Company (SWMC)”. There is no detailed explanation offered for creating such a legal entity. It also includes investment to help expand the refuse collection service in outlying districts: “collection equipment for under-served Baku districts. It will help increase service quality and availability throughout the region, including areas that now lack effective collection, by financing urgently needed trucks, containers and bins to improve solid waste collection coverage and service efficiency in the most acutely underserved areas of greater Baku.” The project insists on cost recovery as part of this process: “The roll-out of waste collection to currently un-served areas and the optimization and continuation of waste collection in other areas can only take place if a fee is regularly collected.  The current tariff also needs to be increased.”  It also includes investment in landfill sites and an incinerator. </w:t>
      </w:r>
    </w:p>
    <w:p w:rsidR="00EB2481" w:rsidRPr="00EB2481" w:rsidRDefault="00EB2481" w:rsidP="00EB2481"/>
    <w:p w:rsidR="00EB2481" w:rsidRPr="00EB2481" w:rsidRDefault="00EB2481" w:rsidP="00EB2481">
      <w:r w:rsidRPr="00EB2481">
        <w:t>The Belarus project funds investment in waste-sorting equipment and processes for Grodno (Hrodna), the fourth largest city in Belarus, with a population of about 360,000, in order to improve recovery and recycling of dry waste. It also aims to build national capacity in dealing with persistent organic pollutants. The project documents state that privatisation is ruled out by the Belarus government and Grodno, but the bank insists that there may be initial management contracts: “The Government did not consider private sector participation in operating and managing the facility because the Belarus private sector is small, and international firms lack sufficient presence and experience in Belarus. Grodno preferred to understand the nature of integrated solid waste management and recycling from international experience, by using and improving on its own human and physical resources. Experienced international consultants and contractors</w:t>
      </w:r>
    </w:p>
    <w:p w:rsidR="00EB2481" w:rsidRPr="00EB2481" w:rsidRDefault="00EB2481" w:rsidP="00EB2481">
      <w:proofErr w:type="gramStart"/>
      <w:r w:rsidRPr="00EB2481">
        <w:t>will</w:t>
      </w:r>
      <w:proofErr w:type="gramEnd"/>
      <w:r w:rsidRPr="00EB2481">
        <w:t xml:space="preserve"> be required to design, construct, and to manage the facility in the first years of its operations.”</w:t>
      </w:r>
    </w:p>
    <w:p w:rsidR="00EB2481" w:rsidRPr="00EB2481" w:rsidRDefault="00EB2481" w:rsidP="00EB2481"/>
    <w:p w:rsidR="00EB2481" w:rsidRPr="00EB2481" w:rsidRDefault="00EB2481" w:rsidP="00EB2481">
      <w:r w:rsidRPr="00EB2481">
        <w:t xml:space="preserve">The Bosnia project follows on a larger earlier project under which Bosnia started developing waste management systems based around inter-municipal landfills meeting EU standards, and creating inter-municipal waste companies. This second project aims: “to improve the availability, quality, environmental soundness, and financial viability of solid waste management services in participating utilities/regions.”  It includes investment in landfill sites, and in capacity building, which may include inter-state cooperation. The project is concerned to make the service commercially viable so that users can be charged and the revenue limited to the waste business,: “In principal, the solid waste sector provides a revenue-generating service that has potential for commercial and financial viability of its operators but tariffs are generally too low to finance all waste management operations and many municipalities use waste revenues to cross-subsidize other services such as street cleaning and park maintenance.”. The project focuses on investment, cost-recovery from user fees, and inter-municipal operation, with no explicit mention of reducing operating costs, </w:t>
      </w:r>
      <w:proofErr w:type="gramStart"/>
      <w:r w:rsidRPr="00EB2481">
        <w:t>nor</w:t>
      </w:r>
      <w:proofErr w:type="gramEnd"/>
      <w:r w:rsidRPr="00EB2481">
        <w:t xml:space="preserve"> of privatisation.</w:t>
      </w:r>
    </w:p>
    <w:p w:rsidR="00EB2481" w:rsidRPr="00EB2481" w:rsidRDefault="00EB2481" w:rsidP="00EB2481"/>
    <w:p w:rsidR="00EB2481" w:rsidRPr="00EB2481" w:rsidRDefault="00EB2481" w:rsidP="00EB2481">
      <w:r w:rsidRPr="00EB2481">
        <w:t xml:space="preserve">The Macedonia municipal services project is 30% concerned with waste management. It aims to provide loans to municipalities for investment in “revenue-generating public services”, and “capacity building for municipalities and Communal Service Enterprises (CSEs) to improve performance in service provision”, and to provide further investment grants to municipalities “as an incentive and reward for implementation of reform initiatives aimed at performance improvements in service delivery”.  All projects financed under the loan must be either “revenue earning” or “cost saving”. </w:t>
      </w:r>
    </w:p>
    <w:p w:rsidR="00EB2481" w:rsidRPr="00EB2481" w:rsidRDefault="00EB2481" w:rsidP="00EB2481"/>
    <w:p w:rsidR="00EB2481" w:rsidRPr="00EB2481" w:rsidRDefault="00EB2481" w:rsidP="00EB2481">
      <w:r w:rsidRPr="00EB2481">
        <w:t>No detail is yet available on the Moldova project.</w:t>
      </w:r>
    </w:p>
    <w:p w:rsidR="00EB2481" w:rsidRPr="00EB2481" w:rsidRDefault="00EB2481" w:rsidP="00EB2481"/>
    <w:p w:rsidR="00EB2481" w:rsidRPr="00EB2481" w:rsidRDefault="00EB2481" w:rsidP="00EB2481">
      <w:r w:rsidRPr="00EB2481">
        <w:t xml:space="preserve">In Montenegro, the World Bank has funded projects “to create ecological and commercially sustainable solid waste collection and disposal services in Montenegro coastal municipalities”, to help create a clean coastline for tourism. There is no reference to private companies. The project objectives include: “strengthening multi-municipal joint companies (MJC) that will be created to operate the two regional solid waste disposal systems.” </w:t>
      </w:r>
    </w:p>
    <w:p w:rsidR="00EB2481" w:rsidRPr="00EB2481" w:rsidRDefault="00EB2481" w:rsidP="00EB2481"/>
    <w:p w:rsidR="00EB2481" w:rsidRDefault="00EB2481" w:rsidP="00EB2481">
      <w:r w:rsidRPr="00EB2481">
        <w:t>Waste management represents a small part (10%) of the £140 million project in Ukraine, agreed in 2007, which is mainly concerned with water and sanitation.  Local governments asked for the loan for environmental reasons: “</w:t>
      </w:r>
      <w:r w:rsidRPr="00EB2481">
        <w:rPr>
          <w:lang w:val="en-US"/>
        </w:rPr>
        <w:t xml:space="preserve">Consumers, non-governmental organizations (NGOs), mayors, local government officials and environmental specialists rank solid waste as an urgent priority because much waste now goes uncollected or is disposed of inadequately causing environmental damage.  Mayors in Odessa and Kharkiv </w:t>
      </w:r>
      <w:r w:rsidRPr="00EB2481">
        <w:rPr>
          <w:lang w:val="en-US"/>
        </w:rPr>
        <w:lastRenderedPageBreak/>
        <w:t>have specifically requested long-term financial assistance to start addressing solid waste problems.</w:t>
      </w:r>
      <w:proofErr w:type="gramStart"/>
      <w:r w:rsidRPr="00EB2481">
        <w:rPr>
          <w:lang w:val="en-US"/>
        </w:rPr>
        <w:t>”.</w:t>
      </w:r>
      <w:proofErr w:type="gramEnd"/>
      <w:r w:rsidRPr="00EB2481">
        <w:rPr>
          <w:lang w:val="en-US"/>
        </w:rPr>
        <w:t xml:space="preserve"> The project itself has a core </w:t>
      </w:r>
      <w:proofErr w:type="gramStart"/>
      <w:r w:rsidRPr="00EB2481">
        <w:rPr>
          <w:lang w:val="en-US"/>
        </w:rPr>
        <w:t>objective :</w:t>
      </w:r>
      <w:proofErr w:type="gramEnd"/>
      <w:r w:rsidRPr="00EB2481">
        <w:rPr>
          <w:lang w:val="en-US"/>
        </w:rPr>
        <w:t xml:space="preserve"> “of making utilities financially sustainable”, so that users can be charged fees on the basis of full cost recovery. It does not contain any explicit privatization objective.</w:t>
      </w:r>
      <w:r w:rsidRPr="00EB2481">
        <w:t xml:space="preserve"> </w:t>
      </w:r>
    </w:p>
    <w:p w:rsidR="00223287" w:rsidRDefault="00223287" w:rsidP="00EB2481"/>
    <w:p w:rsidR="00223287" w:rsidRPr="00EB2481" w:rsidRDefault="00223287" w:rsidP="0038624E">
      <w:pPr>
        <w:pStyle w:val="Heading3"/>
      </w:pPr>
      <w:bookmarkStart w:id="42" w:name="_Toc305768522"/>
      <w:r>
        <w:t>World Bank</w:t>
      </w:r>
      <w:bookmarkEnd w:id="42"/>
    </w:p>
    <w:p w:rsidR="00223287" w:rsidRDefault="00223287" w:rsidP="00223287">
      <w:r>
        <w:t>The World Bank (which is much the most active development bank in this sector and region) has a clear ideological position that raising revenues from charges and fees is essential. This is reflected in the specific projects in Azerbaijan, Bosnia, Macedonia and Ukraine, which insist that waste management must become self-financing on the basis of these charges alone. However, the Bank acknowledges that elected municipalities regard investment in the sector as an urgent public priority (for example in Ukraine), and that the private sector is not willing to finance this investment. The Bank’s own projects are in effect an injection of international public finance. The projects also involve increased inter-municipal cooperation, or extension of municipal areas.</w:t>
      </w:r>
    </w:p>
    <w:p w:rsidR="00EB2481" w:rsidRDefault="00EB2481" w:rsidP="005026E6"/>
    <w:p w:rsidR="00EB2481" w:rsidRDefault="00EB2481" w:rsidP="00EB2481">
      <w:pPr>
        <w:pStyle w:val="Heading2"/>
      </w:pPr>
      <w:bookmarkStart w:id="43" w:name="_Toc285443481"/>
      <w:bookmarkStart w:id="44" w:name="_Toc305768523"/>
      <w:r>
        <w:t>OECD and UNECE</w:t>
      </w:r>
      <w:bookmarkEnd w:id="43"/>
      <w:bookmarkEnd w:id="44"/>
    </w:p>
    <w:p w:rsidR="00C32059" w:rsidRPr="00C32059" w:rsidRDefault="00C32059" w:rsidP="00C32059">
      <w:r w:rsidRPr="00C32059">
        <w:t xml:space="preserve">The OECD and UNECE note municipalities generally cannot afford a proper level of service, or the necessary levels of investment in this sector. They also note that the private sector interest in the sector is </w:t>
      </w:r>
      <w:proofErr w:type="gramStart"/>
      <w:r w:rsidRPr="00C32059">
        <w:t>limited .</w:t>
      </w:r>
      <w:proofErr w:type="gramEnd"/>
      <w:r w:rsidRPr="00C32059">
        <w:t xml:space="preserve"> They propose solving this by a mixture of greater public finance from central government, the introduction of user fees for collection, and inter-municipal cooperation to get economies of scale. </w:t>
      </w:r>
    </w:p>
    <w:p w:rsidR="00C32059" w:rsidRPr="00C32059" w:rsidRDefault="00C32059" w:rsidP="00C32059"/>
    <w:p w:rsidR="00EB2481" w:rsidRDefault="00EB2481" w:rsidP="00EB2481">
      <w:pPr>
        <w:pStyle w:val="Heading3"/>
      </w:pPr>
      <w:bookmarkStart w:id="45" w:name="_Toc285443482"/>
      <w:bookmarkStart w:id="46" w:name="_Toc305768524"/>
      <w:r>
        <w:t>OECD</w:t>
      </w:r>
      <w:bookmarkEnd w:id="45"/>
      <w:bookmarkEnd w:id="46"/>
    </w:p>
    <w:p w:rsidR="00EB2481" w:rsidRDefault="00EB2481" w:rsidP="00EB2481">
      <w:r w:rsidRPr="00E25648">
        <w:t xml:space="preserve">The OECD Environmental division covers both water and waste sectors. </w:t>
      </w:r>
    </w:p>
    <w:p w:rsidR="00EB2481" w:rsidRDefault="00EB2481" w:rsidP="00EB2481"/>
    <w:p w:rsidR="00EB2481" w:rsidRPr="00E25648" w:rsidRDefault="00EB2481" w:rsidP="00EB2481">
      <w:pPr>
        <w:rPr>
          <w:bCs/>
        </w:rPr>
      </w:pPr>
      <w:r w:rsidRPr="00E25648">
        <w:t>It has actively promoted privatisation and PPPs in the water sector, and produced its most recent report on this sector for a meeting in January 2010 on ‘</w:t>
      </w:r>
      <w:r w:rsidRPr="00E25648">
        <w:rPr>
          <w:bCs/>
        </w:rPr>
        <w:t>Private Sector Participation in water and sanitation in EECCA – Recent Experience and the Way Forward</w:t>
      </w:r>
      <w:r w:rsidRPr="00E25648">
        <w:t>’</w:t>
      </w:r>
      <w:r>
        <w:t>.</w:t>
      </w:r>
      <w:r>
        <w:rPr>
          <w:rStyle w:val="EndnoteReference"/>
        </w:rPr>
        <w:endnoteReference w:id="31"/>
      </w:r>
    </w:p>
    <w:p w:rsidR="00EB2481" w:rsidRDefault="00EB2481" w:rsidP="00EB2481"/>
    <w:p w:rsidR="00EB2481" w:rsidRDefault="00EB2481" w:rsidP="00EB2481">
      <w:r w:rsidRPr="00560690">
        <w:t xml:space="preserve">It has produced overview reports on ‘Environmental Management in EECA in 2004 and 2007, which were used as base papers for the ‘Environment in Europe’ ministerial conferences in those years. </w:t>
      </w:r>
    </w:p>
    <w:p w:rsidR="00EB2481" w:rsidRDefault="00EB2481" w:rsidP="00EB2481"/>
    <w:p w:rsidR="00EB2481" w:rsidRDefault="00EB2481" w:rsidP="00EB2481">
      <w:r w:rsidRPr="00410E90">
        <w:t>The 2007 report noted that municipalities were often unable to afford investment in waste collection</w:t>
      </w:r>
      <w:r>
        <w:t>:</w:t>
      </w:r>
    </w:p>
    <w:p w:rsidR="00EB2481" w:rsidRDefault="00EB2481" w:rsidP="00EB2481"/>
    <w:p w:rsidR="00EB2481" w:rsidRPr="00410E90" w:rsidRDefault="00EB2481" w:rsidP="00EB2481">
      <w:pPr>
        <w:ind w:left="720"/>
      </w:pPr>
      <w:r w:rsidRPr="00410E90">
        <w:t xml:space="preserve">“Proper waste </w:t>
      </w:r>
      <w:r w:rsidRPr="00410E90">
        <w:rPr>
          <w:bCs/>
        </w:rPr>
        <w:t xml:space="preserve">collection </w:t>
      </w:r>
      <w:r w:rsidRPr="00410E90">
        <w:t>remains a challenge. Some major cities, such as Tbilisi and Tashkent, have recently invested in bins, collection trucks and transfer stations. In most EECCA countries, however, separation at the source of different kinds of municipal waste is not taking place. A particular problem is the lack of separate collect ion and disposal arrangements for hazardous waste</w:t>
      </w:r>
      <w:r>
        <w:t xml:space="preserve"> </w:t>
      </w:r>
      <w:r w:rsidRPr="00410E90">
        <w:t xml:space="preserve">in Armenia, Kyrgyz Republic, Moldova and Uzbekistan. There has been no measurable progress in </w:t>
      </w:r>
      <w:r w:rsidRPr="00410E90">
        <w:rPr>
          <w:bCs/>
        </w:rPr>
        <w:t xml:space="preserve">recycling </w:t>
      </w:r>
      <w:r w:rsidRPr="00410E90">
        <w:t>and recovery of municipal waste since the Kiev meeting. ….</w:t>
      </w:r>
      <w:r w:rsidRPr="00410E90">
        <w:rPr>
          <w:bCs/>
        </w:rPr>
        <w:t xml:space="preserve">Safe land-filling </w:t>
      </w:r>
      <w:r w:rsidRPr="00410E90">
        <w:t>remains a major issue. Municipalities still cannot afford major investments in waste management, and obstacles to intermunicipal co-operation remain.”</w:t>
      </w:r>
      <w:r w:rsidRPr="00410E90">
        <w:rPr>
          <w:rStyle w:val="EndnoteReference"/>
        </w:rPr>
        <w:t xml:space="preserve"> </w:t>
      </w:r>
      <w:r w:rsidRPr="00560690">
        <w:rPr>
          <w:rStyle w:val="EndnoteReference"/>
        </w:rPr>
        <w:endnoteReference w:id="32"/>
      </w:r>
      <w:r w:rsidRPr="00560690">
        <w:t xml:space="preserve">  </w:t>
      </w:r>
    </w:p>
    <w:p w:rsidR="00EB2481" w:rsidRPr="00410E90" w:rsidRDefault="00EB2481" w:rsidP="00EB2481"/>
    <w:p w:rsidR="00EB2481" w:rsidRDefault="00EB2481" w:rsidP="00EB2481">
      <w:r>
        <w:t xml:space="preserve">It also commented on </w:t>
      </w:r>
      <w:r w:rsidRPr="00560690">
        <w:t>the impact of donors and other institutions: “much of the progress [in policy reform] has taken place with some form of support from bilateral donors or international organisations”</w:t>
      </w:r>
      <w:r>
        <w:t xml:space="preserve">, </w:t>
      </w:r>
      <w:proofErr w:type="gramStart"/>
      <w:r>
        <w:t>and  added</w:t>
      </w:r>
      <w:proofErr w:type="gramEnd"/>
      <w:r>
        <w:t xml:space="preserve">  that so far “</w:t>
      </w:r>
      <w:r w:rsidRPr="00560690">
        <w:t>EECCA countries</w:t>
      </w:r>
      <w:r>
        <w:t xml:space="preserve"> </w:t>
      </w:r>
      <w:r w:rsidRPr="00560690">
        <w:t>lack the strong driver of EU legislation to make</w:t>
      </w:r>
      <w:r>
        <w:t xml:space="preserve"> </w:t>
      </w:r>
      <w:r w:rsidRPr="00560690">
        <w:t>them invest in waste management systems.</w:t>
      </w:r>
      <w:r>
        <w:t xml:space="preserve">” </w:t>
      </w:r>
      <w:r w:rsidRPr="00560690">
        <w:rPr>
          <w:rStyle w:val="EndnoteReference"/>
        </w:rPr>
        <w:endnoteReference w:id="33"/>
      </w:r>
      <w:r w:rsidRPr="00560690">
        <w:t xml:space="preserve">  </w:t>
      </w:r>
    </w:p>
    <w:p w:rsidR="00EB2481" w:rsidRDefault="00EB2481" w:rsidP="00EB2481"/>
    <w:p w:rsidR="00EB2481" w:rsidRPr="00410E90" w:rsidRDefault="00EB2481" w:rsidP="00EB2481">
      <w:r>
        <w:t xml:space="preserve">The 2007 report calls for mixed use </w:t>
      </w:r>
      <w:proofErr w:type="gramStart"/>
      <w:r>
        <w:t>of  taxation</w:t>
      </w:r>
      <w:proofErr w:type="gramEnd"/>
      <w:r>
        <w:t xml:space="preserve"> and charges to finance waste management: “</w:t>
      </w:r>
      <w:r w:rsidRPr="00410E90">
        <w:t>Provide co-funding from the central budget</w:t>
      </w:r>
      <w:r>
        <w:t xml:space="preserve"> </w:t>
      </w:r>
      <w:r w:rsidRPr="00410E90">
        <w:t>to cover the public good aspect of waste</w:t>
      </w:r>
      <w:r>
        <w:t xml:space="preserve"> </w:t>
      </w:r>
      <w:r w:rsidRPr="00410E90">
        <w:t>management. Progressively revise fees and</w:t>
      </w:r>
      <w:r>
        <w:t xml:space="preserve"> </w:t>
      </w:r>
      <w:r w:rsidRPr="00410E90">
        <w:t>charges for waste management services (collection</w:t>
      </w:r>
      <w:r>
        <w:t xml:space="preserve"> </w:t>
      </w:r>
      <w:r w:rsidRPr="00410E90">
        <w:t>charges, tipping fees) in order to apply the</w:t>
      </w:r>
    </w:p>
    <w:p w:rsidR="00EB2481" w:rsidRDefault="00EB2481" w:rsidP="00EB2481">
      <w:proofErr w:type="gramStart"/>
      <w:r w:rsidRPr="00410E90">
        <w:t>polluter</w:t>
      </w:r>
      <w:proofErr w:type="gramEnd"/>
      <w:r w:rsidRPr="00410E90">
        <w:t xml:space="preserve"> pays principle and cover the private good</w:t>
      </w:r>
      <w:r>
        <w:t xml:space="preserve"> </w:t>
      </w:r>
      <w:r w:rsidRPr="00410E90">
        <w:t>aspect of waste management. Ensure that those</w:t>
      </w:r>
      <w:r>
        <w:t xml:space="preserve"> </w:t>
      </w:r>
      <w:r w:rsidRPr="00410E90">
        <w:t>resources are invested in the waste system.</w:t>
      </w:r>
      <w:r>
        <w:t>”</w:t>
      </w:r>
      <w:r w:rsidRPr="00410E90">
        <w:rPr>
          <w:rStyle w:val="EndnoteReference"/>
        </w:rPr>
        <w:t xml:space="preserve"> </w:t>
      </w:r>
      <w:r w:rsidRPr="00560690">
        <w:rPr>
          <w:rStyle w:val="EndnoteReference"/>
        </w:rPr>
        <w:endnoteReference w:id="34"/>
      </w:r>
      <w:r w:rsidRPr="00560690">
        <w:t xml:space="preserve">  </w:t>
      </w:r>
    </w:p>
    <w:p w:rsidR="00EB2481" w:rsidRDefault="00EB2481" w:rsidP="00EB2481"/>
    <w:p w:rsidR="00EB2481" w:rsidRPr="00560690" w:rsidRDefault="00EB2481" w:rsidP="00EB2481">
      <w:r w:rsidRPr="00560690">
        <w:t xml:space="preserve">The report </w:t>
      </w:r>
      <w:r>
        <w:t xml:space="preserve">also </w:t>
      </w:r>
      <w:r w:rsidRPr="00560690">
        <w:t>acknowledge</w:t>
      </w:r>
      <w:r>
        <w:t>d</w:t>
      </w:r>
      <w:r w:rsidRPr="00560690">
        <w:t xml:space="preserve"> </w:t>
      </w:r>
      <w:r>
        <w:t xml:space="preserve">the </w:t>
      </w:r>
      <w:r w:rsidRPr="00560690">
        <w:t>limits of privatisation in waste management: “The waste management sector has started to attract</w:t>
      </w:r>
      <w:r>
        <w:t xml:space="preserve"> </w:t>
      </w:r>
      <w:r w:rsidRPr="00560690">
        <w:rPr>
          <w:bCs/>
        </w:rPr>
        <w:t>private operators</w:t>
      </w:r>
      <w:r w:rsidRPr="00560690">
        <w:t xml:space="preserve">. But service levels are generally not well defined, capital </w:t>
      </w:r>
      <w:r w:rsidRPr="00560690">
        <w:lastRenderedPageBreak/>
        <w:t xml:space="preserve">investment plans are not devised or followed through, and compliance with environmental standards is not thoroughly </w:t>
      </w:r>
      <w:r>
        <w:t>monitored and enforced.</w:t>
      </w:r>
      <w:r w:rsidRPr="00560690">
        <w:t>”</w:t>
      </w:r>
      <w:r>
        <w:t xml:space="preserve"> </w:t>
      </w:r>
      <w:r w:rsidRPr="00560690">
        <w:rPr>
          <w:rStyle w:val="EndnoteReference"/>
        </w:rPr>
        <w:endnoteReference w:id="35"/>
      </w:r>
      <w:r w:rsidRPr="00560690">
        <w:t xml:space="preserve">  </w:t>
      </w:r>
    </w:p>
    <w:p w:rsidR="00EB2481" w:rsidRDefault="00EB2481" w:rsidP="00EB2481">
      <w:r>
        <w:t xml:space="preserve"> </w:t>
      </w:r>
    </w:p>
    <w:p w:rsidR="00EB2481" w:rsidRDefault="00EB2481" w:rsidP="00EB2481">
      <w:pPr>
        <w:pStyle w:val="Heading3"/>
      </w:pPr>
      <w:bookmarkStart w:id="47" w:name="_Toc285443483"/>
      <w:bookmarkStart w:id="48" w:name="_Toc305768525"/>
      <w:r>
        <w:t>UNECE</w:t>
      </w:r>
      <w:bookmarkEnd w:id="47"/>
      <w:bookmarkEnd w:id="48"/>
    </w:p>
    <w:p w:rsidR="00EB2481" w:rsidRDefault="00EB2481" w:rsidP="00EB2481">
      <w:r>
        <w:t xml:space="preserve">The UNECE leads an ‘Environment for Europe’ process, which has included ministerial conferences and reports from the </w:t>
      </w:r>
      <w:proofErr w:type="gramStart"/>
      <w:r>
        <w:t>OECD  on</w:t>
      </w:r>
      <w:proofErr w:type="gramEnd"/>
      <w:r>
        <w:t xml:space="preserve"> country strategies. The next conference is scheduled for Astana, Kazakhstan, in September 2011.</w:t>
      </w:r>
      <w:r>
        <w:rPr>
          <w:rStyle w:val="EndnoteReference"/>
        </w:rPr>
        <w:endnoteReference w:id="36"/>
      </w:r>
      <w:r>
        <w:t xml:space="preserve">  </w:t>
      </w:r>
    </w:p>
    <w:p w:rsidR="00EB2481" w:rsidRDefault="00EB2481" w:rsidP="00EB2481"/>
    <w:p w:rsidR="00EB2481" w:rsidRPr="00932B19" w:rsidRDefault="00EB2481" w:rsidP="00EB2481">
      <w:r>
        <w:t xml:space="preserve">UNECE also produces environmental performance reviews (EPRs): the most recent, in August 2010, </w:t>
      </w:r>
      <w:proofErr w:type="gramStart"/>
      <w:r>
        <w:t>concerned  Georgia</w:t>
      </w:r>
      <w:proofErr w:type="gramEnd"/>
      <w:r>
        <w:t xml:space="preserve">. </w:t>
      </w:r>
      <w:r>
        <w:rPr>
          <w:rStyle w:val="EndnoteReference"/>
        </w:rPr>
        <w:endnoteReference w:id="37"/>
      </w:r>
      <w:r>
        <w:t xml:space="preserve"> This noted lack of progress in waste management generally, including the general lack of a refuse collection service in rural areas, but commented that the refuse collection system in the capital, </w:t>
      </w:r>
      <w:r w:rsidR="00951205">
        <w:t>Tbilisi</w:t>
      </w:r>
      <w:r>
        <w:t xml:space="preserve">, had improved since the creation of a single, centralised service for the whole city, instead of separate services carried out by each of the 6 municipalities in </w:t>
      </w:r>
      <w:r w:rsidR="00951205">
        <w:t>Tbilisi</w:t>
      </w:r>
      <w:r>
        <w:t>. The report also states that: “…..</w:t>
      </w:r>
      <w:r w:rsidRPr="00247737">
        <w:t>Among the main reasons for the worrisome waste</w:t>
      </w:r>
      <w:r>
        <w:t xml:space="preserve"> </w:t>
      </w:r>
      <w:r w:rsidRPr="00247737">
        <w:t>management situation are limited financial resources</w:t>
      </w:r>
      <w:r>
        <w:t xml:space="preserve"> </w:t>
      </w:r>
      <w:r w:rsidRPr="00247737">
        <w:t>for waste management at national and municipal</w:t>
      </w:r>
      <w:r>
        <w:t xml:space="preserve"> </w:t>
      </w:r>
      <w:r w:rsidRPr="00247737">
        <w:t>level; insufficient information for decision-making</w:t>
      </w:r>
      <w:r>
        <w:t xml:space="preserve"> </w:t>
      </w:r>
      <w:r w:rsidRPr="00247737">
        <w:t>and limited coverage of information technologies;</w:t>
      </w:r>
      <w:r>
        <w:t xml:space="preserve">  </w:t>
      </w:r>
      <w:r w:rsidRPr="00247737">
        <w:t>relaxation of environmental requirements as a means</w:t>
      </w:r>
      <w:r>
        <w:t xml:space="preserve"> </w:t>
      </w:r>
      <w:r w:rsidRPr="00247737">
        <w:t>to promote private sector (national and international)</w:t>
      </w:r>
      <w:r>
        <w:t xml:space="preserve"> </w:t>
      </w:r>
      <w:r w:rsidRPr="00247737">
        <w:t>investment in industry or trade; frequent changes in</w:t>
      </w:r>
      <w:r>
        <w:t xml:space="preserve"> </w:t>
      </w:r>
      <w:r w:rsidRPr="00247737">
        <w:t>ministers and ministries structures; limited public</w:t>
      </w:r>
      <w:r>
        <w:t xml:space="preserve"> </w:t>
      </w:r>
      <w:r w:rsidRPr="00247737">
        <w:t>information and participation in decision-making;</w:t>
      </w:r>
      <w:r>
        <w:t xml:space="preserve"> </w:t>
      </w:r>
      <w:r w:rsidRPr="00247737">
        <w:t>and lack of a vision of waste management</w:t>
      </w:r>
      <w:r>
        <w:t>’</w:t>
      </w:r>
      <w:r w:rsidRPr="00247737">
        <w:t>s potential</w:t>
      </w:r>
      <w:r>
        <w:t xml:space="preserve"> </w:t>
      </w:r>
      <w:r w:rsidRPr="00247737">
        <w:t>for business development and innovation (recycling,</w:t>
      </w:r>
      <w:r>
        <w:t xml:space="preserve"> </w:t>
      </w:r>
      <w:r w:rsidRPr="00247737">
        <w:t>energy production).</w:t>
      </w:r>
      <w:r>
        <w:t>”</w:t>
      </w:r>
      <w:r>
        <w:rPr>
          <w:rStyle w:val="EndnoteReference"/>
        </w:rPr>
        <w:endnoteReference w:id="38"/>
      </w:r>
    </w:p>
    <w:p w:rsidR="00EB2481" w:rsidRPr="002D6627" w:rsidRDefault="00EB2481" w:rsidP="005026E6"/>
    <w:p w:rsidR="00325365" w:rsidRDefault="00325365" w:rsidP="00325365">
      <w:pPr>
        <w:pStyle w:val="Heading2"/>
      </w:pPr>
      <w:bookmarkStart w:id="49" w:name="_Toc305768526"/>
      <w:r>
        <w:t>Multinational company activity</w:t>
      </w:r>
      <w:bookmarkStart w:id="50" w:name="_Toc285443491"/>
      <w:bookmarkEnd w:id="49"/>
    </w:p>
    <w:p w:rsidR="00223287" w:rsidRDefault="00223287" w:rsidP="00223287">
      <w:r>
        <w:t xml:space="preserve">As of 2010 there has been little activity by in these countries by the main European waste multinationals. </w:t>
      </w:r>
    </w:p>
    <w:p w:rsidR="00325365" w:rsidRPr="00325365" w:rsidRDefault="00223287" w:rsidP="00325365">
      <w:r>
        <w:t xml:space="preserve">FCC have a number </w:t>
      </w:r>
      <w:proofErr w:type="gramStart"/>
      <w:r>
        <w:t>of  waste</w:t>
      </w:r>
      <w:proofErr w:type="gramEnd"/>
      <w:r>
        <w:t xml:space="preserve"> disposal business in the enlargement countries, and in Ukraine. Suez Environnement has no presence in any countries in these groups. The involvement of the international private sector is limited to some contracts held by Remondis/Rethmann and Veolia in Ukraine. The role of local companies appears only as small-scale contractors, or even self-employed scavengers, for refuse collection or disposal, as in many other countries.</w:t>
      </w:r>
    </w:p>
    <w:p w:rsidR="005026E6" w:rsidRDefault="00325365" w:rsidP="00325365">
      <w:pPr>
        <w:pStyle w:val="Heading7"/>
      </w:pPr>
      <w:r>
        <w:t xml:space="preserve"> </w:t>
      </w:r>
      <w:bookmarkStart w:id="51" w:name="_Toc305768527"/>
      <w:r w:rsidR="005026E6">
        <w:t>Waste multinationals active in EP or enlargement countries</w:t>
      </w:r>
      <w:bookmarkEnd w:id="50"/>
      <w:bookmarkEnd w:id="51"/>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567"/>
        <w:gridCol w:w="2977"/>
        <w:gridCol w:w="3543"/>
      </w:tblGrid>
      <w:tr w:rsidR="00A84CFF" w:rsidRPr="00F346D2" w:rsidTr="00A84CFF">
        <w:trPr>
          <w:trHeight w:val="360"/>
        </w:trPr>
        <w:tc>
          <w:tcPr>
            <w:tcW w:w="1384" w:type="dxa"/>
            <w:shd w:val="clear" w:color="auto" w:fill="FFFFCC"/>
          </w:tcPr>
          <w:p w:rsidR="00A84CFF" w:rsidRPr="007C3A90" w:rsidRDefault="00A84CFF" w:rsidP="002326B5">
            <w:pPr>
              <w:jc w:val="both"/>
              <w:rPr>
                <w:rFonts w:ascii="Calibri" w:hAnsi="Calibri" w:cs="Lucida Sans Unicode"/>
                <w:b/>
                <w:bCs/>
                <w:sz w:val="20"/>
                <w:szCs w:val="20"/>
              </w:rPr>
            </w:pPr>
            <w:r w:rsidRPr="007C3A90">
              <w:rPr>
                <w:rFonts w:ascii="Calibri" w:hAnsi="Calibri" w:cs="Lucida Sans Unicode"/>
                <w:b/>
                <w:bCs/>
                <w:sz w:val="20"/>
                <w:szCs w:val="20"/>
              </w:rPr>
              <w:t>Company</w:t>
            </w:r>
          </w:p>
        </w:tc>
        <w:tc>
          <w:tcPr>
            <w:tcW w:w="567" w:type="dxa"/>
            <w:shd w:val="clear" w:color="auto" w:fill="FFFFCC"/>
          </w:tcPr>
          <w:p w:rsidR="00A84CFF" w:rsidRPr="007C3A90" w:rsidRDefault="00A84CFF" w:rsidP="002326B5">
            <w:pPr>
              <w:jc w:val="both"/>
              <w:rPr>
                <w:rFonts w:ascii="Calibri" w:hAnsi="Calibri" w:cs="Lucida Sans Unicode"/>
                <w:sz w:val="20"/>
                <w:szCs w:val="20"/>
              </w:rPr>
            </w:pPr>
          </w:p>
        </w:tc>
        <w:tc>
          <w:tcPr>
            <w:tcW w:w="2977" w:type="dxa"/>
            <w:shd w:val="clear" w:color="auto" w:fill="FFFFCC"/>
          </w:tcPr>
          <w:p w:rsidR="00A84CFF" w:rsidRPr="007C3A90" w:rsidRDefault="00A84CFF" w:rsidP="002326B5">
            <w:pPr>
              <w:tabs>
                <w:tab w:val="center" w:pos="1062"/>
              </w:tabs>
              <w:jc w:val="both"/>
              <w:rPr>
                <w:rFonts w:ascii="Calibri" w:hAnsi="Calibri" w:cs="Lucida Sans Unicode"/>
                <w:sz w:val="20"/>
                <w:szCs w:val="20"/>
              </w:rPr>
            </w:pPr>
            <w:r w:rsidRPr="007C3A90">
              <w:rPr>
                <w:rFonts w:ascii="Calibri" w:hAnsi="Calibri" w:cs="Lucida Sans Unicode"/>
                <w:sz w:val="20"/>
                <w:szCs w:val="20"/>
              </w:rPr>
              <w:t>Parent/website</w:t>
            </w:r>
          </w:p>
        </w:tc>
        <w:tc>
          <w:tcPr>
            <w:tcW w:w="3543" w:type="dxa"/>
            <w:shd w:val="clear" w:color="auto" w:fill="FFFFCC"/>
          </w:tcPr>
          <w:p w:rsidR="00A84CFF" w:rsidRPr="007C3A90" w:rsidRDefault="00A84CFF" w:rsidP="002326B5">
            <w:pPr>
              <w:jc w:val="both"/>
              <w:rPr>
                <w:rFonts w:ascii="Calibri" w:hAnsi="Calibri" w:cs="Lucida Sans Unicode"/>
                <w:sz w:val="20"/>
                <w:szCs w:val="20"/>
              </w:rPr>
            </w:pPr>
            <w:r w:rsidRPr="007C3A90">
              <w:rPr>
                <w:rFonts w:ascii="Calibri" w:hAnsi="Calibri" w:cs="Lucida Sans Unicode"/>
                <w:b/>
                <w:bCs/>
                <w:sz w:val="20"/>
                <w:szCs w:val="20"/>
              </w:rPr>
              <w:t xml:space="preserve">Operates in countries </w:t>
            </w:r>
          </w:p>
        </w:tc>
      </w:tr>
      <w:tr w:rsidR="00A84CFF" w:rsidRPr="00F346D2" w:rsidTr="00A84CFF">
        <w:trPr>
          <w:trHeight w:val="360"/>
        </w:trPr>
        <w:tc>
          <w:tcPr>
            <w:tcW w:w="1384" w:type="dxa"/>
          </w:tcPr>
          <w:p w:rsidR="00A84CFF" w:rsidRPr="007C3A90" w:rsidRDefault="00A84CFF" w:rsidP="002326B5">
            <w:pPr>
              <w:jc w:val="both"/>
              <w:rPr>
                <w:rFonts w:ascii="Calibri" w:hAnsi="Calibri" w:cs="Lucida Sans Unicode"/>
                <w:b/>
                <w:sz w:val="20"/>
                <w:szCs w:val="20"/>
              </w:rPr>
            </w:pPr>
            <w:r w:rsidRPr="007C3A90">
              <w:rPr>
                <w:rFonts w:ascii="Calibri" w:hAnsi="Calibri" w:cs="Lucida Sans Unicode"/>
                <w:b/>
                <w:bCs/>
                <w:sz w:val="20"/>
                <w:szCs w:val="20"/>
              </w:rPr>
              <w:t>Alba/Intersoh</w:t>
            </w:r>
          </w:p>
        </w:tc>
        <w:tc>
          <w:tcPr>
            <w:tcW w:w="567" w:type="dxa"/>
          </w:tcPr>
          <w:p w:rsidR="00A84CFF" w:rsidRPr="007C3A90" w:rsidRDefault="00A84CFF" w:rsidP="002326B5">
            <w:pPr>
              <w:jc w:val="both"/>
              <w:rPr>
                <w:rFonts w:ascii="Calibri" w:hAnsi="Calibri" w:cs="Lucida Sans Unicode"/>
                <w:sz w:val="20"/>
                <w:szCs w:val="20"/>
              </w:rPr>
            </w:pPr>
            <w:r w:rsidRPr="007C3A90">
              <w:rPr>
                <w:rFonts w:ascii="Calibri" w:hAnsi="Calibri" w:cs="Lucida Sans Unicode"/>
                <w:sz w:val="20"/>
                <w:szCs w:val="20"/>
              </w:rPr>
              <w:t>DE</w:t>
            </w:r>
          </w:p>
        </w:tc>
        <w:tc>
          <w:tcPr>
            <w:tcW w:w="2977" w:type="dxa"/>
          </w:tcPr>
          <w:p w:rsidR="00A84CFF" w:rsidRPr="005C5A72" w:rsidRDefault="00A84CFF" w:rsidP="002326B5">
            <w:pPr>
              <w:tabs>
                <w:tab w:val="center" w:pos="1062"/>
              </w:tabs>
              <w:jc w:val="both"/>
              <w:rPr>
                <w:rFonts w:ascii="Calibri" w:hAnsi="Calibri" w:cs="Lucida Sans Unicode"/>
                <w:sz w:val="20"/>
                <w:szCs w:val="20"/>
                <w:lang w:val="es-ES_tradnl"/>
              </w:rPr>
            </w:pPr>
            <w:r w:rsidRPr="005C5A72">
              <w:rPr>
                <w:rFonts w:ascii="Calibri" w:hAnsi="Calibri" w:cs="Lucida Sans Unicode"/>
                <w:sz w:val="20"/>
                <w:szCs w:val="20"/>
                <w:lang w:val="es-ES_tradnl"/>
              </w:rPr>
              <w:t xml:space="preserve">Alba </w:t>
            </w:r>
            <w:hyperlink r:id="rId43" w:history="1">
              <w:r w:rsidRPr="005C5A72">
                <w:rPr>
                  <w:rStyle w:val="Hyperlink"/>
                  <w:rFonts w:ascii="Calibri" w:hAnsi="Calibri" w:cs="Lucida Sans Unicode"/>
                  <w:sz w:val="20"/>
                  <w:szCs w:val="20"/>
                  <w:lang w:val="es-ES_tradnl"/>
                </w:rPr>
                <w:t>www.alba-online.de</w:t>
              </w:r>
            </w:hyperlink>
            <w:r w:rsidRPr="005C5A72">
              <w:rPr>
                <w:rFonts w:ascii="Calibri" w:hAnsi="Calibri" w:cs="Lucida Sans Unicode"/>
                <w:sz w:val="20"/>
                <w:szCs w:val="20"/>
                <w:lang w:val="es-ES_tradnl"/>
              </w:rPr>
              <w:t xml:space="preserve"> </w:t>
            </w:r>
          </w:p>
        </w:tc>
        <w:tc>
          <w:tcPr>
            <w:tcW w:w="3543" w:type="dxa"/>
          </w:tcPr>
          <w:p w:rsidR="00A84CFF" w:rsidRPr="007C3A90" w:rsidRDefault="00A84CFF" w:rsidP="002326B5">
            <w:pPr>
              <w:jc w:val="both"/>
              <w:rPr>
                <w:rFonts w:ascii="Calibri" w:hAnsi="Calibri" w:cs="Lucida Sans Unicode"/>
                <w:sz w:val="20"/>
                <w:szCs w:val="20"/>
              </w:rPr>
            </w:pPr>
            <w:r w:rsidRPr="007C3A90">
              <w:rPr>
                <w:rFonts w:ascii="Calibri" w:hAnsi="Calibri" w:cs="Lucida Sans Unicode"/>
                <w:sz w:val="20"/>
                <w:szCs w:val="20"/>
              </w:rPr>
              <w:t>Bosnia</w:t>
            </w:r>
          </w:p>
        </w:tc>
      </w:tr>
      <w:tr w:rsidR="00A84CFF" w:rsidRPr="00046E77" w:rsidTr="00A84CFF">
        <w:trPr>
          <w:trHeight w:val="360"/>
        </w:trPr>
        <w:tc>
          <w:tcPr>
            <w:tcW w:w="1384" w:type="dxa"/>
          </w:tcPr>
          <w:p w:rsidR="00A84CFF" w:rsidRPr="007C3A90" w:rsidRDefault="00A84CFF" w:rsidP="002326B5">
            <w:pPr>
              <w:jc w:val="both"/>
              <w:rPr>
                <w:rFonts w:ascii="Calibri" w:hAnsi="Calibri" w:cs="Lucida Sans Unicode"/>
                <w:b/>
                <w:sz w:val="20"/>
                <w:szCs w:val="20"/>
              </w:rPr>
            </w:pPr>
            <w:r w:rsidRPr="007C3A90">
              <w:rPr>
                <w:rFonts w:ascii="Calibri" w:hAnsi="Calibri" w:cs="Lucida Sans Unicode"/>
                <w:b/>
                <w:bCs/>
                <w:sz w:val="20"/>
                <w:szCs w:val="20"/>
              </w:rPr>
              <w:t>FCC</w:t>
            </w:r>
          </w:p>
        </w:tc>
        <w:tc>
          <w:tcPr>
            <w:tcW w:w="567" w:type="dxa"/>
          </w:tcPr>
          <w:p w:rsidR="00A84CFF" w:rsidRPr="007C3A90" w:rsidRDefault="00A84CFF" w:rsidP="002326B5">
            <w:pPr>
              <w:jc w:val="both"/>
              <w:rPr>
                <w:rFonts w:ascii="Calibri" w:hAnsi="Calibri" w:cs="Lucida Sans Unicode"/>
                <w:sz w:val="20"/>
                <w:szCs w:val="20"/>
              </w:rPr>
            </w:pPr>
            <w:r w:rsidRPr="007C3A90">
              <w:rPr>
                <w:rFonts w:ascii="Calibri" w:hAnsi="Calibri" w:cs="Lucida Sans Unicode"/>
                <w:sz w:val="20"/>
                <w:szCs w:val="20"/>
              </w:rPr>
              <w:t>ES</w:t>
            </w:r>
          </w:p>
        </w:tc>
        <w:tc>
          <w:tcPr>
            <w:tcW w:w="2977" w:type="dxa"/>
          </w:tcPr>
          <w:p w:rsidR="00A84CFF" w:rsidRPr="007C3A90" w:rsidRDefault="00A84CFF" w:rsidP="002326B5">
            <w:pPr>
              <w:jc w:val="both"/>
              <w:rPr>
                <w:rFonts w:ascii="Calibri" w:hAnsi="Calibri" w:cs="Lucida Sans Unicode"/>
                <w:sz w:val="20"/>
                <w:szCs w:val="20"/>
              </w:rPr>
            </w:pPr>
            <w:r w:rsidRPr="007C3A90">
              <w:rPr>
                <w:rFonts w:ascii="Calibri" w:hAnsi="Calibri" w:cs="Lucida Sans Unicode"/>
                <w:sz w:val="20"/>
                <w:szCs w:val="20"/>
              </w:rPr>
              <w:t xml:space="preserve">FCC </w:t>
            </w:r>
            <w:hyperlink r:id="rId44" w:history="1">
              <w:r w:rsidRPr="007C3A90">
                <w:rPr>
                  <w:rStyle w:val="Hyperlink"/>
                  <w:rFonts w:ascii="Calibri" w:hAnsi="Calibri" w:cs="Lucida Sans Unicode"/>
                  <w:sz w:val="20"/>
                  <w:szCs w:val="20"/>
                </w:rPr>
                <w:t>www.fcc.es</w:t>
              </w:r>
            </w:hyperlink>
          </w:p>
        </w:tc>
        <w:tc>
          <w:tcPr>
            <w:tcW w:w="3543" w:type="dxa"/>
          </w:tcPr>
          <w:p w:rsidR="00A84CFF" w:rsidRPr="00853CA6" w:rsidRDefault="00A84CFF" w:rsidP="002326B5">
            <w:pPr>
              <w:jc w:val="both"/>
              <w:rPr>
                <w:rFonts w:ascii="Calibri" w:hAnsi="Calibri" w:cs="Lucida Sans Unicode"/>
                <w:iCs/>
                <w:sz w:val="20"/>
                <w:szCs w:val="20"/>
                <w:lang w:val="es-ES_tradnl"/>
              </w:rPr>
            </w:pPr>
            <w:r w:rsidRPr="00853CA6">
              <w:rPr>
                <w:rFonts w:ascii="Calibri" w:hAnsi="Calibri" w:cs="Lucida Sans Unicode"/>
                <w:iCs/>
                <w:sz w:val="20"/>
                <w:szCs w:val="20"/>
                <w:lang w:val="es-ES_tradnl"/>
              </w:rPr>
              <w:t>Bosnia, Croatia, Macedonia, Montenegro, Serbia, Ukraine</w:t>
            </w:r>
          </w:p>
        </w:tc>
      </w:tr>
      <w:tr w:rsidR="00A84CFF" w:rsidRPr="00F346D2" w:rsidTr="00A84CFF">
        <w:trPr>
          <w:trHeight w:val="360"/>
        </w:trPr>
        <w:tc>
          <w:tcPr>
            <w:tcW w:w="1384" w:type="dxa"/>
          </w:tcPr>
          <w:p w:rsidR="00A84CFF" w:rsidRPr="007C3A90" w:rsidRDefault="00A84CFF" w:rsidP="002326B5">
            <w:pPr>
              <w:jc w:val="both"/>
              <w:rPr>
                <w:rFonts w:ascii="Calibri" w:hAnsi="Calibri" w:cs="Lucida Sans Unicode"/>
                <w:b/>
                <w:sz w:val="20"/>
                <w:szCs w:val="20"/>
              </w:rPr>
            </w:pPr>
            <w:r w:rsidRPr="007C3A90">
              <w:rPr>
                <w:rFonts w:ascii="Calibri" w:hAnsi="Calibri" w:cs="Lucida Sans Unicode"/>
                <w:b/>
                <w:bCs/>
                <w:sz w:val="20"/>
                <w:szCs w:val="20"/>
              </w:rPr>
              <w:t>Remondis</w:t>
            </w:r>
          </w:p>
        </w:tc>
        <w:tc>
          <w:tcPr>
            <w:tcW w:w="567" w:type="dxa"/>
          </w:tcPr>
          <w:p w:rsidR="00A84CFF" w:rsidRPr="007C3A90" w:rsidRDefault="00A84CFF" w:rsidP="002326B5">
            <w:pPr>
              <w:jc w:val="both"/>
              <w:rPr>
                <w:rFonts w:ascii="Calibri" w:hAnsi="Calibri" w:cs="Lucida Sans Unicode"/>
                <w:sz w:val="20"/>
                <w:szCs w:val="20"/>
              </w:rPr>
            </w:pPr>
            <w:r w:rsidRPr="007C3A90">
              <w:rPr>
                <w:rFonts w:ascii="Calibri" w:hAnsi="Calibri" w:cs="Lucida Sans Unicode"/>
                <w:sz w:val="20"/>
                <w:szCs w:val="20"/>
              </w:rPr>
              <w:t>DE</w:t>
            </w:r>
          </w:p>
        </w:tc>
        <w:tc>
          <w:tcPr>
            <w:tcW w:w="2977" w:type="dxa"/>
          </w:tcPr>
          <w:p w:rsidR="00A84CFF" w:rsidRPr="007C3A90" w:rsidRDefault="00A84CFF" w:rsidP="002326B5">
            <w:pPr>
              <w:jc w:val="both"/>
              <w:rPr>
                <w:rFonts w:ascii="Calibri" w:hAnsi="Calibri" w:cs="Lucida Sans Unicode"/>
                <w:sz w:val="20"/>
                <w:szCs w:val="20"/>
              </w:rPr>
            </w:pPr>
            <w:r w:rsidRPr="007C3A90">
              <w:rPr>
                <w:rFonts w:ascii="Calibri" w:hAnsi="Calibri" w:cs="Lucida Sans Unicode"/>
                <w:sz w:val="20"/>
                <w:szCs w:val="20"/>
              </w:rPr>
              <w:t xml:space="preserve">Rethmann </w:t>
            </w:r>
            <w:hyperlink r:id="rId45" w:history="1">
              <w:r w:rsidRPr="007C3A90">
                <w:rPr>
                  <w:rStyle w:val="Hyperlink"/>
                  <w:rFonts w:ascii="Calibri" w:hAnsi="Calibri" w:cs="Lucida Sans Unicode"/>
                  <w:sz w:val="20"/>
                  <w:szCs w:val="20"/>
                </w:rPr>
                <w:t>www.remondis.com</w:t>
              </w:r>
            </w:hyperlink>
          </w:p>
        </w:tc>
        <w:tc>
          <w:tcPr>
            <w:tcW w:w="3543" w:type="dxa"/>
          </w:tcPr>
          <w:p w:rsidR="00A84CFF" w:rsidRPr="007C3A90" w:rsidRDefault="00A84CFF" w:rsidP="002326B5">
            <w:pPr>
              <w:jc w:val="both"/>
              <w:rPr>
                <w:rFonts w:ascii="Calibri" w:hAnsi="Calibri" w:cs="Lucida Sans Unicode"/>
                <w:sz w:val="20"/>
                <w:szCs w:val="20"/>
              </w:rPr>
            </w:pPr>
            <w:r w:rsidRPr="007C3A90">
              <w:rPr>
                <w:rFonts w:ascii="Calibri" w:hAnsi="Calibri" w:cs="Lucida Sans Unicode"/>
                <w:sz w:val="20"/>
                <w:szCs w:val="20"/>
              </w:rPr>
              <w:t>Ukraine</w:t>
            </w:r>
          </w:p>
        </w:tc>
      </w:tr>
      <w:tr w:rsidR="00A84CFF" w:rsidRPr="00F346D2" w:rsidTr="00A84CFF">
        <w:tblPrEx>
          <w:tblLook w:val="01E0"/>
        </w:tblPrEx>
        <w:trPr>
          <w:trHeight w:val="360"/>
        </w:trPr>
        <w:tc>
          <w:tcPr>
            <w:tcW w:w="1384" w:type="dxa"/>
          </w:tcPr>
          <w:p w:rsidR="00A84CFF" w:rsidRPr="007C3A90" w:rsidRDefault="00A84CFF" w:rsidP="002326B5">
            <w:pPr>
              <w:jc w:val="both"/>
              <w:rPr>
                <w:rFonts w:ascii="Calibri" w:hAnsi="Calibri" w:cs="Lucida Sans Unicode"/>
                <w:b/>
                <w:sz w:val="20"/>
                <w:szCs w:val="20"/>
              </w:rPr>
            </w:pPr>
            <w:r w:rsidRPr="007C3A90">
              <w:rPr>
                <w:rFonts w:ascii="Calibri" w:hAnsi="Calibri" w:cs="Lucida Sans Unicode"/>
                <w:b/>
                <w:bCs/>
                <w:sz w:val="20"/>
                <w:szCs w:val="20"/>
              </w:rPr>
              <w:t>Veolia</w:t>
            </w:r>
          </w:p>
        </w:tc>
        <w:tc>
          <w:tcPr>
            <w:tcW w:w="567" w:type="dxa"/>
          </w:tcPr>
          <w:p w:rsidR="00A84CFF" w:rsidRPr="007C3A90" w:rsidRDefault="00A84CFF" w:rsidP="002326B5">
            <w:pPr>
              <w:jc w:val="both"/>
              <w:rPr>
                <w:rFonts w:ascii="Calibri" w:hAnsi="Calibri" w:cs="Lucida Sans Unicode"/>
                <w:sz w:val="20"/>
                <w:szCs w:val="20"/>
              </w:rPr>
            </w:pPr>
            <w:r w:rsidRPr="007C3A90">
              <w:rPr>
                <w:rFonts w:ascii="Calibri" w:hAnsi="Calibri" w:cs="Lucida Sans Unicode"/>
                <w:sz w:val="20"/>
                <w:szCs w:val="20"/>
              </w:rPr>
              <w:t>FR</w:t>
            </w:r>
          </w:p>
        </w:tc>
        <w:tc>
          <w:tcPr>
            <w:tcW w:w="2977" w:type="dxa"/>
          </w:tcPr>
          <w:p w:rsidR="00A84CFF" w:rsidRPr="007C3A90" w:rsidRDefault="00A84CFF" w:rsidP="002326B5">
            <w:pPr>
              <w:jc w:val="both"/>
              <w:rPr>
                <w:rFonts w:ascii="Calibri" w:hAnsi="Calibri" w:cs="Lucida Sans Unicode"/>
                <w:sz w:val="20"/>
                <w:szCs w:val="20"/>
              </w:rPr>
            </w:pPr>
            <w:r w:rsidRPr="007C3A90">
              <w:rPr>
                <w:rFonts w:ascii="Calibri" w:hAnsi="Calibri" w:cs="Lucida Sans Unicode"/>
                <w:sz w:val="20"/>
                <w:szCs w:val="20"/>
              </w:rPr>
              <w:t>Veolia</w:t>
            </w:r>
          </w:p>
          <w:p w:rsidR="00A84CFF" w:rsidRPr="007C3A90" w:rsidRDefault="00F4142F" w:rsidP="002326B5">
            <w:pPr>
              <w:jc w:val="both"/>
              <w:rPr>
                <w:rFonts w:ascii="Calibri" w:hAnsi="Calibri" w:cs="Lucida Sans Unicode"/>
                <w:sz w:val="20"/>
                <w:szCs w:val="20"/>
              </w:rPr>
            </w:pPr>
            <w:hyperlink r:id="rId46" w:history="1">
              <w:r w:rsidR="00A84CFF" w:rsidRPr="007C3A90">
                <w:rPr>
                  <w:rStyle w:val="Hyperlink"/>
                  <w:rFonts w:ascii="Calibri" w:hAnsi="Calibri" w:cs="Lucida Sans Unicode"/>
                  <w:sz w:val="20"/>
                  <w:szCs w:val="20"/>
                </w:rPr>
                <w:t>www.veoliaenvironnement.com/</w:t>
              </w:r>
            </w:hyperlink>
            <w:r w:rsidR="00A84CFF" w:rsidRPr="007C3A90">
              <w:rPr>
                <w:rFonts w:ascii="Calibri" w:hAnsi="Calibri" w:cs="Lucida Sans Unicode"/>
                <w:sz w:val="20"/>
                <w:szCs w:val="20"/>
              </w:rPr>
              <w:t xml:space="preserve"> </w:t>
            </w:r>
          </w:p>
        </w:tc>
        <w:tc>
          <w:tcPr>
            <w:tcW w:w="3543" w:type="dxa"/>
          </w:tcPr>
          <w:p w:rsidR="00A84CFF" w:rsidRPr="007C3A90" w:rsidRDefault="00A84CFF" w:rsidP="002326B5">
            <w:pPr>
              <w:jc w:val="both"/>
              <w:rPr>
                <w:rFonts w:ascii="Calibri" w:hAnsi="Calibri" w:cs="Lucida Sans Unicode"/>
                <w:sz w:val="20"/>
                <w:szCs w:val="20"/>
              </w:rPr>
            </w:pPr>
            <w:r w:rsidRPr="007C3A90">
              <w:rPr>
                <w:rFonts w:ascii="Calibri" w:hAnsi="Calibri" w:cs="Lucida Sans Unicode"/>
                <w:bCs/>
                <w:iCs/>
                <w:sz w:val="20"/>
                <w:szCs w:val="20"/>
              </w:rPr>
              <w:t>Ukraine</w:t>
            </w:r>
          </w:p>
        </w:tc>
      </w:tr>
    </w:tbl>
    <w:p w:rsidR="005026E6" w:rsidRDefault="005026E6" w:rsidP="005026E6"/>
    <w:p w:rsidR="005026E6" w:rsidRDefault="005026E6" w:rsidP="005026E6">
      <w:pPr>
        <w:pStyle w:val="Heading3"/>
      </w:pPr>
      <w:bookmarkStart w:id="52" w:name="_Toc285443492"/>
      <w:bookmarkStart w:id="53" w:name="_Toc305768528"/>
      <w:r>
        <w:t>FCC</w:t>
      </w:r>
      <w:bookmarkEnd w:id="52"/>
      <w:bookmarkEnd w:id="53"/>
    </w:p>
    <w:p w:rsidR="005026E6" w:rsidRDefault="005026E6" w:rsidP="005026E6">
      <w:r>
        <w:t>FCC has contracts in five Balkan countries and Ukraine. All of these are waste disposal activities, with no element of refuse collection.</w:t>
      </w:r>
    </w:p>
    <w:p w:rsidR="005026E6" w:rsidRPr="007B0DEE" w:rsidRDefault="005026E6" w:rsidP="005026E6">
      <w:r>
        <w:t xml:space="preserve"> </w:t>
      </w:r>
    </w:p>
    <w:p w:rsidR="005026E6" w:rsidRDefault="005026E6" w:rsidP="005026E6">
      <w:pPr>
        <w:pStyle w:val="Heading3"/>
      </w:pPr>
      <w:bookmarkStart w:id="54" w:name="_Toc285443493"/>
      <w:bookmarkStart w:id="55" w:name="_Toc305768529"/>
      <w:r>
        <w:t xml:space="preserve">Remondis: </w:t>
      </w:r>
      <w:r w:rsidRPr="007B0DEE">
        <w:t xml:space="preserve"> </w:t>
      </w:r>
      <w:r>
        <w:t>Ukraine</w:t>
      </w:r>
      <w:bookmarkEnd w:id="54"/>
      <w:bookmarkEnd w:id="55"/>
    </w:p>
    <w:p w:rsidR="00223287" w:rsidRDefault="005026E6" w:rsidP="005026E6">
      <w:r>
        <w:t>Since 2008 Remondis/Rethmann operates in a number of cities in Ukraine. Kiev (2.7m.), Odessa (1.0m.), Zaporozhye (0.8m.), Cherkassy (0.3m.), Melitopol, Pawlograd</w:t>
      </w:r>
      <w:r w:rsidR="00A84CFF">
        <w:rPr>
          <w:rStyle w:val="EndnoteReference"/>
        </w:rPr>
        <w:endnoteReference w:id="39"/>
      </w:r>
      <w:r>
        <w:t xml:space="preserve">, Artemiwsk. It operates both as a refuse collection contractor, and through PPPs. The company says that it provides ‘solutions’ for municipalities faced with stricter regulation, more demanding consumers, and recycling requirements. Specifically, it claims that it uses sorting and recycling to raise new revenue and so enable improved collection services without increasing the costs to the councils or to households. </w:t>
      </w:r>
    </w:p>
    <w:p w:rsidR="00223287" w:rsidRDefault="00223287" w:rsidP="005026E6"/>
    <w:p w:rsidR="005026E6" w:rsidRDefault="00223287" w:rsidP="005026E6">
      <w:r w:rsidRPr="00223287">
        <w:t xml:space="preserve">The Remondis operations are </w:t>
      </w:r>
      <w:r>
        <w:t xml:space="preserve">thus </w:t>
      </w:r>
      <w:r w:rsidRPr="00223287">
        <w:t xml:space="preserve">based on the company increasing its revenues by introducing charges and selling materials by recycling, but it is also clear that the investment in new sorting and recycling equipment </w:t>
      </w:r>
      <w:r w:rsidRPr="00223287">
        <w:lastRenderedPageBreak/>
        <w:t xml:space="preserve">comes from municipalities rather than the companies, so the revenues are used to support profits for the parent companies rather than reinvested. </w:t>
      </w:r>
      <w:r w:rsidR="005026E6">
        <w:rPr>
          <w:rStyle w:val="EndnoteReference"/>
        </w:rPr>
        <w:endnoteReference w:id="40"/>
      </w:r>
      <w:r w:rsidR="005026E6" w:rsidRPr="00201097">
        <w:t> </w:t>
      </w:r>
    </w:p>
    <w:p w:rsidR="005026E6" w:rsidRDefault="005026E6" w:rsidP="005026E6"/>
    <w:p w:rsidR="005026E6" w:rsidRPr="00201097" w:rsidRDefault="005026E6" w:rsidP="005026E6">
      <w:r w:rsidRPr="00201097">
        <w:t> </w:t>
      </w:r>
    </w:p>
    <w:p w:rsidR="005026E6" w:rsidRDefault="005026E6" w:rsidP="005026E6">
      <w:pPr>
        <w:pStyle w:val="Heading3"/>
      </w:pPr>
      <w:bookmarkStart w:id="56" w:name="_Toc285443494"/>
      <w:bookmarkStart w:id="57" w:name="_Toc305768530"/>
      <w:r>
        <w:t>Veolia: Ukraine</w:t>
      </w:r>
      <w:bookmarkEnd w:id="56"/>
      <w:bookmarkEnd w:id="57"/>
    </w:p>
    <w:p w:rsidR="005026E6" w:rsidRDefault="005026E6" w:rsidP="005026E6">
      <w:r>
        <w:t>Veolia has subsidiaries operating in Kiev</w:t>
      </w:r>
      <w:r w:rsidR="00A84CFF">
        <w:rPr>
          <w:rStyle w:val="EndnoteReference"/>
        </w:rPr>
        <w:endnoteReference w:id="41"/>
      </w:r>
      <w:r>
        <w:t>, Ternopil, Chernivtsi, and the Crimea. These were originally set up in the mid-1990s by the German firm Altvater, which Veolia acquired after a series of takeovers.  Veolia report that in Ternopil the municipality decided to invest in waste sorting equipment, following local protests with demonstrations and pickets blockading the local landfill.</w:t>
      </w:r>
      <w:r>
        <w:rPr>
          <w:rStyle w:val="EndnoteReference"/>
        </w:rPr>
        <w:endnoteReference w:id="42"/>
      </w:r>
      <w:r>
        <w:t xml:space="preserve">  Veolia also participated in a conference of Ukrainian municipalities held in Yalta in September 2010, which discussed the following issues: “</w:t>
      </w:r>
      <w:r w:rsidRPr="00EE000E">
        <w:t>reforming housing and communal services, the use of energy efficient technologies; cooperate and develop a joint position of public authorities and the Association of Ukrainian cities on the development of self-government, law reform, strategic planning and economic development and competitiveness of cities, etc.</w:t>
      </w:r>
      <w:r>
        <w:t>”</w:t>
      </w:r>
      <w:r>
        <w:rPr>
          <w:rStyle w:val="EndnoteReference"/>
        </w:rPr>
        <w:endnoteReference w:id="43"/>
      </w:r>
    </w:p>
    <w:p w:rsidR="005026E6" w:rsidRDefault="005026E6" w:rsidP="005026E6"/>
    <w:p w:rsidR="005026E6" w:rsidRPr="007D5857" w:rsidRDefault="005026E6" w:rsidP="005026E6"/>
    <w:p w:rsidR="005026E6" w:rsidRPr="0069076C" w:rsidRDefault="0069076C" w:rsidP="0069076C">
      <w:pPr>
        <w:pStyle w:val="Heading1"/>
      </w:pPr>
      <w:bookmarkStart w:id="58" w:name="_Toc285051129"/>
      <w:bookmarkStart w:id="59" w:name="_Toc285050788"/>
      <w:bookmarkStart w:id="60" w:name="_Toc305768531"/>
      <w:r w:rsidRPr="0069076C">
        <w:t>Sectoral trends: Energy</w:t>
      </w:r>
      <w:bookmarkEnd w:id="60"/>
    </w:p>
    <w:p w:rsidR="005316A4" w:rsidRDefault="005316A4" w:rsidP="005026E6">
      <w:pPr>
        <w:pStyle w:val="Heading2"/>
      </w:pPr>
      <w:bookmarkStart w:id="61" w:name="_Toc285441712"/>
      <w:bookmarkStart w:id="62" w:name="_Toc285443477"/>
      <w:bookmarkStart w:id="63" w:name="_Toc305768532"/>
      <w:r>
        <w:t>EU policies and instruments</w:t>
      </w:r>
      <w:bookmarkEnd w:id="63"/>
    </w:p>
    <w:p w:rsidR="005C51AB" w:rsidRPr="005C51AB" w:rsidRDefault="005C51AB" w:rsidP="005C51AB"/>
    <w:p w:rsidR="005026E6" w:rsidRDefault="005026E6" w:rsidP="008374FB">
      <w:pPr>
        <w:pStyle w:val="Heading3"/>
      </w:pPr>
      <w:bookmarkStart w:id="64" w:name="_Toc305768533"/>
      <w:r>
        <w:t>Energy Community Treaty</w:t>
      </w:r>
      <w:bookmarkEnd w:id="64"/>
    </w:p>
    <w:p w:rsidR="005026E6" w:rsidRDefault="005026E6" w:rsidP="005026E6">
      <w:r>
        <w:t xml:space="preserve">The Energy Community Treaty </w:t>
      </w:r>
      <w:hyperlink r:id="rId47" w:history="1">
        <w:r w:rsidRPr="00D717AF">
          <w:rPr>
            <w:rStyle w:val="Hyperlink"/>
          </w:rPr>
          <w:t>http://www.energy-community.org</w:t>
        </w:r>
      </w:hyperlink>
      <w:r>
        <w:t xml:space="preserve"> effectively extends the EU internal market on electricity and gas to countries on the south-east borders of the EU, thus requiring unbundling and liberalisation of energy systems in these countries. It covers Albania, Bosnia, Croatia, Kosovo</w:t>
      </w:r>
      <w:proofErr w:type="gramStart"/>
      <w:r>
        <w:t xml:space="preserve">, </w:t>
      </w:r>
      <w:r w:rsidRPr="006573EC">
        <w:t xml:space="preserve"> </w:t>
      </w:r>
      <w:r>
        <w:t>Macedonia</w:t>
      </w:r>
      <w:proofErr w:type="gramEnd"/>
      <w:r>
        <w:t>, Montengro, and Serbia; Moldova joined in 2010, and Ukraine in February 2011.</w:t>
      </w:r>
      <w:r w:rsidR="005316A4">
        <w:rPr>
          <w:rStyle w:val="EndnoteReference"/>
        </w:rPr>
        <w:endnoteReference w:id="44"/>
      </w:r>
    </w:p>
    <w:p w:rsidR="005026E6" w:rsidRPr="00522C03" w:rsidRDefault="005026E6" w:rsidP="005026E6"/>
    <w:p w:rsidR="005026E6" w:rsidRDefault="005026E6" w:rsidP="008374FB">
      <w:pPr>
        <w:pStyle w:val="Heading3"/>
      </w:pPr>
      <w:bookmarkStart w:id="65" w:name="_Toc305768534"/>
      <w:r>
        <w:t>Energy Charter Treaty</w:t>
      </w:r>
      <w:bookmarkEnd w:id="65"/>
    </w:p>
    <w:p w:rsidR="005026E6" w:rsidRDefault="005026E6" w:rsidP="005026E6">
      <w:r>
        <w:t xml:space="preserve">The Energy Charter Treaty </w:t>
      </w:r>
      <w:proofErr w:type="gramStart"/>
      <w:r>
        <w:t xml:space="preserve">( </w:t>
      </w:r>
      <w:proofErr w:type="gramEnd"/>
      <w:r w:rsidR="00F4142F">
        <w:fldChar w:fldCharType="begin"/>
      </w:r>
      <w:r w:rsidR="00F4142F">
        <w:instrText>HYPERLINK "http://www.encharter.org"</w:instrText>
      </w:r>
      <w:r w:rsidR="00F4142F">
        <w:fldChar w:fldCharType="separate"/>
      </w:r>
      <w:r w:rsidRPr="00D717AF">
        <w:rPr>
          <w:rStyle w:val="Hyperlink"/>
        </w:rPr>
        <w:t>http://www.encharter.org</w:t>
      </w:r>
      <w:r w:rsidR="00F4142F">
        <w:fldChar w:fldCharType="end"/>
      </w:r>
      <w:r>
        <w:t xml:space="preserve"> ) is designed to provide legal protection for private companies investing in the energy sector and for  international trade and transport of electricity and gas. Of the accession countries in this report, Albania, Bosnia and Croatia are signatories (Macedonia, Montengro, and Serbia are not); of the eastern partnership countries, Armenia, Azerbaijan, Moldova, Georgia and Ukraine have ratified the treaty, but Belarus has not (nor has Russia).</w:t>
      </w:r>
      <w:r w:rsidR="005316A4">
        <w:rPr>
          <w:rStyle w:val="EndnoteReference"/>
        </w:rPr>
        <w:endnoteReference w:id="45"/>
      </w:r>
    </w:p>
    <w:p w:rsidR="005026E6" w:rsidRDefault="005026E6" w:rsidP="005026E6"/>
    <w:p w:rsidR="00A84CFF" w:rsidRDefault="00A84CFF" w:rsidP="00A84CFF">
      <w:pPr>
        <w:pStyle w:val="Heading3"/>
      </w:pPr>
      <w:bookmarkStart w:id="66" w:name="_Toc305768535"/>
      <w:r>
        <w:t>2020 energy strategy</w:t>
      </w:r>
      <w:bookmarkEnd w:id="66"/>
    </w:p>
    <w:p w:rsidR="00A84CFF" w:rsidRPr="005316A4" w:rsidRDefault="00A84CFF" w:rsidP="00A84CFF">
      <w:r w:rsidRPr="005316A4">
        <w:t xml:space="preserve">There is a specific 2020 paper on energy policy, which devotes an entire section to the international dimension. </w:t>
      </w:r>
      <w:r w:rsidRPr="005316A4">
        <w:rPr>
          <w:rStyle w:val="EndnoteReference"/>
        </w:rPr>
        <w:endnoteReference w:id="46"/>
      </w:r>
      <w:r w:rsidRPr="005316A4">
        <w:t xml:space="preserve"> It identifies the’ external dimension’ as one of the five key priorities, both because of the need for secure access to energy supplies, and because of market opportunities:</w:t>
      </w:r>
    </w:p>
    <w:p w:rsidR="00A84CFF" w:rsidRPr="005316A4" w:rsidRDefault="00A84CFF" w:rsidP="00A84CFF"/>
    <w:p w:rsidR="00A84CFF" w:rsidRPr="005316A4" w:rsidRDefault="00A84CFF" w:rsidP="00A84CFF">
      <w:pPr>
        <w:autoSpaceDE w:val="0"/>
        <w:autoSpaceDN w:val="0"/>
        <w:adjustRightInd w:val="0"/>
        <w:ind w:left="720"/>
        <w:rPr>
          <w:rFonts w:eastAsia="Times New Roman"/>
          <w:lang w:eastAsia="en-GB"/>
        </w:rPr>
      </w:pPr>
      <w:r w:rsidRPr="005316A4">
        <w:t>“</w:t>
      </w:r>
      <w:r w:rsidRPr="005316A4">
        <w:rPr>
          <w:rFonts w:eastAsia="Times New Roman"/>
          <w:lang w:eastAsia="en-GB"/>
        </w:rPr>
        <w:t>New patterns of supply and demand in global energy markets and increasing competition for energy resources make it essential for the EU to be able to throw its combined market weight effectively in relations with key third-country energy partners. Europe should be in a position to rely on significant additional energy supply sources and routes by 2020….. Energy security is closely intertwined with EU's foreign and security priorities”</w:t>
      </w:r>
    </w:p>
    <w:p w:rsidR="00A84CFF" w:rsidRPr="005316A4" w:rsidRDefault="00A84CFF" w:rsidP="00A84CFF">
      <w:pPr>
        <w:rPr>
          <w:rFonts w:eastAsia="Times New Roman"/>
          <w:lang w:eastAsia="en-GB"/>
        </w:rPr>
      </w:pPr>
    </w:p>
    <w:p w:rsidR="00A84CFF" w:rsidRPr="005316A4" w:rsidRDefault="00A84CFF" w:rsidP="00A84CFF">
      <w:pPr>
        <w:rPr>
          <w:rFonts w:eastAsia="Times New Roman"/>
          <w:lang w:eastAsia="en-GB"/>
        </w:rPr>
      </w:pPr>
      <w:r w:rsidRPr="005316A4">
        <w:rPr>
          <w:rFonts w:eastAsia="Times New Roman"/>
          <w:lang w:eastAsia="en-GB"/>
        </w:rPr>
        <w:t>This policy involves major initiatives with north African countries in the southern neighbourhood, such as the Desertec project (see PSIRU paper), but Priority 5 of the 2020 energy strategy paper emphasises the importance of the eastern neighbourhood most strongly because of their importance as transit companies and new markets. The Energy Community Treaty is seen as the key way of extending not only the existing internal market but also, automatically, any future legislation:</w:t>
      </w:r>
    </w:p>
    <w:p w:rsidR="00A84CFF" w:rsidRPr="005316A4" w:rsidRDefault="00A84CFF" w:rsidP="00A84CFF">
      <w:pPr>
        <w:rPr>
          <w:rFonts w:eastAsia="Times New Roman"/>
          <w:lang w:eastAsia="en-GB"/>
        </w:rPr>
      </w:pPr>
    </w:p>
    <w:p w:rsidR="00A84CFF" w:rsidRPr="005316A4" w:rsidRDefault="00A84CFF" w:rsidP="00A84CFF">
      <w:pPr>
        <w:ind w:left="720"/>
        <w:rPr>
          <w:rFonts w:eastAsia="Times New Roman"/>
          <w:lang w:eastAsia="en-GB"/>
        </w:rPr>
      </w:pPr>
      <w:r w:rsidRPr="005316A4">
        <w:rPr>
          <w:rFonts w:eastAsia="Times New Roman"/>
          <w:lang w:eastAsia="en-GB"/>
        </w:rPr>
        <w:t xml:space="preserve">“The Energy Community Treaty should be implemented and extended to all those EU neighbours who are willing to adopt the EU market model. In this context, market integration and regulatory convergence should be pursued through comprehensive EU agreements based on the EU rules in the countries covered by the European Neighbourhood Policy and the Enlargement process, in particular </w:t>
      </w:r>
      <w:r w:rsidRPr="005316A4">
        <w:rPr>
          <w:rFonts w:eastAsia="Times New Roman"/>
          <w:lang w:eastAsia="en-GB"/>
        </w:rPr>
        <w:lastRenderedPageBreak/>
        <w:t xml:space="preserve">in the Mediterranean region and with transit countries such as Ukraine and Turkey. Moreover, the Energy Community Treaty should be deepened by extending new </w:t>
      </w:r>
      <w:r w:rsidRPr="005316A4">
        <w:rPr>
          <w:rFonts w:eastAsia="Times New Roman"/>
          <w:i/>
          <w:iCs/>
          <w:lang w:eastAsia="en-GB"/>
        </w:rPr>
        <w:t xml:space="preserve">acquis </w:t>
      </w:r>
      <w:r w:rsidRPr="005316A4">
        <w:rPr>
          <w:rFonts w:eastAsia="Times New Roman"/>
          <w:lang w:eastAsia="en-GB"/>
        </w:rPr>
        <w:t xml:space="preserve">to the signatories to the Treaty.”  </w:t>
      </w:r>
    </w:p>
    <w:p w:rsidR="00A84CFF" w:rsidRPr="005316A4" w:rsidRDefault="00A84CFF" w:rsidP="00A84CFF">
      <w:pPr>
        <w:ind w:left="720"/>
        <w:rPr>
          <w:rFonts w:eastAsia="Times New Roman"/>
          <w:lang w:eastAsia="en-GB"/>
        </w:rPr>
      </w:pPr>
    </w:p>
    <w:p w:rsidR="00A84CFF" w:rsidRPr="005316A4" w:rsidRDefault="00A84CFF" w:rsidP="00A84CFF">
      <w:pPr>
        <w:ind w:left="720"/>
        <w:rPr>
          <w:rFonts w:eastAsia="Times New Roman"/>
          <w:lang w:eastAsia="en-GB"/>
        </w:rPr>
      </w:pPr>
      <w:r w:rsidRPr="005316A4">
        <w:rPr>
          <w:rFonts w:eastAsia="Times New Roman"/>
          <w:lang w:eastAsia="en-GB"/>
        </w:rPr>
        <w:t xml:space="preserve">“While pursuing diversification of import sources and routes, reinforced energy partnerships will be established by the EU with key suppliers and transit countries. They will aim at promoting key principles such as those contained in the Energy Charter Treaty (for example the freedom of transit, transparency, safety, investment opportunities as well as compliance with international law).” </w:t>
      </w:r>
    </w:p>
    <w:p w:rsidR="00A84CFF" w:rsidRPr="00522C03" w:rsidRDefault="00A84CFF" w:rsidP="005026E6"/>
    <w:p w:rsidR="005026E6" w:rsidRDefault="008374FB" w:rsidP="008374FB">
      <w:pPr>
        <w:pStyle w:val="Heading2"/>
      </w:pPr>
      <w:bookmarkStart w:id="67" w:name="_Toc305768536"/>
      <w:r>
        <w:t xml:space="preserve">EU </w:t>
      </w:r>
      <w:r w:rsidR="005026E6">
        <w:t>Neighbourhood policy</w:t>
      </w:r>
      <w:bookmarkEnd w:id="61"/>
      <w:bookmarkEnd w:id="62"/>
      <w:bookmarkEnd w:id="67"/>
      <w:r w:rsidR="005026E6">
        <w:t xml:space="preserve"> </w:t>
      </w:r>
    </w:p>
    <w:p w:rsidR="005316A4" w:rsidRDefault="005026E6" w:rsidP="005026E6">
      <w:pPr>
        <w:rPr>
          <w:lang w:eastAsia="en-GB"/>
        </w:rPr>
      </w:pPr>
      <w:r>
        <w:rPr>
          <w:lang w:eastAsia="en-GB"/>
        </w:rPr>
        <w:t>The progress reports on ne</w:t>
      </w:r>
      <w:r w:rsidR="005225DE">
        <w:rPr>
          <w:lang w:eastAsia="en-GB"/>
        </w:rPr>
        <w:t xml:space="preserve">ighbourhood policies with the </w:t>
      </w:r>
      <w:proofErr w:type="gramStart"/>
      <w:r w:rsidR="005225DE">
        <w:rPr>
          <w:lang w:eastAsia="en-GB"/>
        </w:rPr>
        <w:t>ea</w:t>
      </w:r>
      <w:r>
        <w:rPr>
          <w:lang w:eastAsia="en-GB"/>
        </w:rPr>
        <w:t>stern  partnership</w:t>
      </w:r>
      <w:proofErr w:type="gramEnd"/>
      <w:r>
        <w:rPr>
          <w:lang w:eastAsia="en-GB"/>
        </w:rPr>
        <w:t xml:space="preserve"> countries all include sections on energy policies</w:t>
      </w:r>
      <w:r w:rsidR="005225DE">
        <w:rPr>
          <w:lang w:eastAsia="en-GB"/>
        </w:rPr>
        <w:t xml:space="preserve">, most extensively for Ukraine. </w:t>
      </w:r>
      <w:r>
        <w:rPr>
          <w:rStyle w:val="EndnoteReference"/>
          <w:lang w:eastAsia="en-GB"/>
        </w:rPr>
        <w:endnoteReference w:id="47"/>
      </w:r>
      <w:r>
        <w:rPr>
          <w:lang w:eastAsia="en-GB"/>
        </w:rPr>
        <w:t xml:space="preserve"> These focus on a number of issues:</w:t>
      </w:r>
    </w:p>
    <w:p w:rsidR="005316A4" w:rsidRDefault="005026E6" w:rsidP="005316A4">
      <w:pPr>
        <w:pStyle w:val="ListParagraph"/>
        <w:numPr>
          <w:ilvl w:val="0"/>
          <w:numId w:val="46"/>
        </w:numPr>
        <w:rPr>
          <w:lang w:eastAsia="en-GB"/>
        </w:rPr>
      </w:pPr>
      <w:r>
        <w:rPr>
          <w:lang w:eastAsia="en-GB"/>
        </w:rPr>
        <w:t>interconnections for gas (Armenia, Ukraine) and electricity (Armenia,  Azerbaijan, Georgia, Moldova, Ukraine );</w:t>
      </w:r>
    </w:p>
    <w:p w:rsidR="006E6E8B" w:rsidRDefault="006E6E8B" w:rsidP="006E6E8B">
      <w:pPr>
        <w:pStyle w:val="ListParagraph"/>
        <w:numPr>
          <w:ilvl w:val="0"/>
          <w:numId w:val="46"/>
        </w:numPr>
        <w:rPr>
          <w:lang w:eastAsia="en-GB"/>
        </w:rPr>
      </w:pPr>
      <w:r>
        <w:rPr>
          <w:lang w:eastAsia="en-GB"/>
        </w:rPr>
        <w:t xml:space="preserve">renewables and energy efficiency (Armenia, Azerbaijan , Ukraine  ); </w:t>
      </w:r>
    </w:p>
    <w:p w:rsidR="00EE0578" w:rsidRDefault="00EE0578" w:rsidP="00EE0578">
      <w:pPr>
        <w:pStyle w:val="ListParagraph"/>
        <w:numPr>
          <w:ilvl w:val="0"/>
          <w:numId w:val="46"/>
        </w:numPr>
        <w:rPr>
          <w:lang w:eastAsia="en-GB"/>
        </w:rPr>
      </w:pPr>
      <w:r>
        <w:rPr>
          <w:lang w:eastAsia="en-GB"/>
        </w:rPr>
        <w:t>new generating capacity (Armenia, Azerbaijan , Georgia );</w:t>
      </w:r>
    </w:p>
    <w:p w:rsidR="006E6E8B" w:rsidRDefault="00EE0578" w:rsidP="006E6E8B">
      <w:pPr>
        <w:pStyle w:val="ListParagraph"/>
        <w:numPr>
          <w:ilvl w:val="0"/>
          <w:numId w:val="46"/>
        </w:numPr>
        <w:rPr>
          <w:lang w:eastAsia="en-GB"/>
        </w:rPr>
      </w:pPr>
      <w:r>
        <w:rPr>
          <w:lang w:eastAsia="en-GB"/>
        </w:rPr>
        <w:t xml:space="preserve">Energy Community Treaty and </w:t>
      </w:r>
      <w:r w:rsidR="006E6E8B">
        <w:rPr>
          <w:lang w:eastAsia="en-GB"/>
        </w:rPr>
        <w:t xml:space="preserve">convergence with EU internal market (Georgia, Moldova, </w:t>
      </w:r>
      <w:proofErr w:type="gramStart"/>
      <w:r w:rsidR="006E6E8B">
        <w:rPr>
          <w:lang w:eastAsia="en-GB"/>
        </w:rPr>
        <w:t>Ukraine</w:t>
      </w:r>
      <w:proofErr w:type="gramEnd"/>
      <w:r w:rsidR="006E6E8B">
        <w:rPr>
          <w:lang w:eastAsia="en-GB"/>
        </w:rPr>
        <w:t xml:space="preserve">). </w:t>
      </w:r>
    </w:p>
    <w:p w:rsidR="005316A4" w:rsidRDefault="005026E6" w:rsidP="005316A4">
      <w:pPr>
        <w:pStyle w:val="ListParagraph"/>
        <w:numPr>
          <w:ilvl w:val="0"/>
          <w:numId w:val="46"/>
        </w:numPr>
        <w:rPr>
          <w:lang w:eastAsia="en-GB"/>
        </w:rPr>
      </w:pPr>
      <w:r>
        <w:rPr>
          <w:lang w:eastAsia="en-GB"/>
        </w:rPr>
        <w:t xml:space="preserve">increases in tariffs (Armenia, Georgia, Moldova, Ukraine); </w:t>
      </w:r>
    </w:p>
    <w:p w:rsidR="005026E6" w:rsidRDefault="005026E6" w:rsidP="005026E6">
      <w:pPr>
        <w:rPr>
          <w:lang w:eastAsia="en-GB"/>
        </w:rPr>
      </w:pPr>
    </w:p>
    <w:p w:rsidR="006E6E8B" w:rsidRDefault="005026E6" w:rsidP="006E6E8B">
      <w:r>
        <w:rPr>
          <w:lang w:eastAsia="en-GB"/>
        </w:rPr>
        <w:t xml:space="preserve">The great emphasis on interconnection reflects the importance of the region for energy security policy of the EU. </w:t>
      </w:r>
      <w:r w:rsidR="00EE0578">
        <w:t xml:space="preserve"> The concern for the internal market, and for tariffs, </w:t>
      </w:r>
      <w:r w:rsidR="00F66B96">
        <w:t xml:space="preserve">rather reflects policies concerned with liberalisation and commercialisation of the sector, and the persistent belief of the IFIs that full cost recovery is a necessary part of policy in the energy sector. </w:t>
      </w:r>
      <w:r w:rsidR="00DC73B2">
        <w:t xml:space="preserve"> </w:t>
      </w:r>
    </w:p>
    <w:p w:rsidR="005026E6" w:rsidRDefault="005026E6" w:rsidP="005026E6">
      <w:pPr>
        <w:rPr>
          <w:lang w:eastAsia="en-GB"/>
        </w:rPr>
      </w:pPr>
    </w:p>
    <w:p w:rsidR="005026E6" w:rsidRDefault="005026E6" w:rsidP="00EE0578">
      <w:r>
        <w:t>Climate change policies are of lesser importance</w:t>
      </w:r>
      <w:r w:rsidR="00F66B96">
        <w:t xml:space="preserve"> in the ENP </w:t>
      </w:r>
      <w:proofErr w:type="gramStart"/>
      <w:r w:rsidR="00F66B96">
        <w:t>reports.</w:t>
      </w:r>
      <w:r>
        <w:t>,</w:t>
      </w:r>
      <w:proofErr w:type="gramEnd"/>
      <w:r>
        <w:t xml:space="preserve"> but a specific fund for development of renewables and energy efficiency has been created, initially targeted at Ukraine:</w:t>
      </w:r>
      <w:r w:rsidR="00EE0578">
        <w:t xml:space="preserve"> </w:t>
      </w:r>
      <w:r>
        <w:t xml:space="preserve"> “The EU, Ukraine and bilateral donors launched, an Eastern Europe Energy Efficiency and Environment Partnership in Stockholm in November 2009. A multi-donor support fund is to be created with initial funding of approximately EUR 90 million. The partnership will initially focus on Ukraine and at a later stage on other EaP countries.”</w:t>
      </w:r>
    </w:p>
    <w:p w:rsidR="005026E6" w:rsidRDefault="005026E6" w:rsidP="005026E6"/>
    <w:p w:rsidR="006E6E8B" w:rsidRDefault="006E6E8B" w:rsidP="005026E6">
      <w:r>
        <w:t>The following extracts</w:t>
      </w:r>
      <w:r w:rsidRPr="006E6E8B">
        <w:rPr>
          <w:lang w:eastAsia="en-GB"/>
        </w:rPr>
        <w:t xml:space="preserve"> </w:t>
      </w:r>
      <w:r>
        <w:rPr>
          <w:lang w:eastAsia="en-GB"/>
        </w:rPr>
        <w:t xml:space="preserve">from </w:t>
      </w:r>
      <w:r w:rsidR="00EE0578">
        <w:rPr>
          <w:lang w:eastAsia="en-GB"/>
        </w:rPr>
        <w:t xml:space="preserve">the </w:t>
      </w:r>
      <w:r>
        <w:rPr>
          <w:lang w:eastAsia="en-GB"/>
        </w:rPr>
        <w:t>country ENP progress reports</w:t>
      </w:r>
      <w:r>
        <w:t xml:space="preserve"> </w:t>
      </w:r>
      <w:r w:rsidR="00EE0578">
        <w:t xml:space="preserve">for Armenia and Moldova </w:t>
      </w:r>
      <w:r>
        <w:t>illustrate this</w:t>
      </w:r>
      <w:r w:rsidR="00DC73B2">
        <w:t xml:space="preserve"> emphasis</w:t>
      </w:r>
      <w:r>
        <w:t>.</w:t>
      </w:r>
      <w:r w:rsidR="00DC73B2" w:rsidRPr="00DC73B2">
        <w:rPr>
          <w:lang w:eastAsia="en-GB"/>
        </w:rPr>
        <w:t xml:space="preserve"> </w:t>
      </w:r>
    </w:p>
    <w:p w:rsidR="005026E6" w:rsidRDefault="006E6E8B" w:rsidP="00A84CFF">
      <w:pPr>
        <w:pStyle w:val="Heading3"/>
        <w:rPr>
          <w:lang w:eastAsia="en-GB"/>
        </w:rPr>
      </w:pPr>
      <w:bookmarkStart w:id="68" w:name="_Toc305768537"/>
      <w:r>
        <w:rPr>
          <w:lang w:eastAsia="en-GB"/>
        </w:rPr>
        <w:t>Armenia</w:t>
      </w:r>
      <w:r w:rsidR="00A84CFF">
        <w:rPr>
          <w:lang w:eastAsia="en-GB"/>
        </w:rPr>
        <w:t xml:space="preserve"> ENP progress report</w:t>
      </w:r>
      <w:bookmarkEnd w:id="68"/>
    </w:p>
    <w:p w:rsidR="005026E6" w:rsidRDefault="00F66B96" w:rsidP="00EE0578">
      <w:pPr>
        <w:rPr>
          <w:lang w:eastAsia="en-GB"/>
        </w:rPr>
      </w:pPr>
      <w:proofErr w:type="gramStart"/>
      <w:r>
        <w:rPr>
          <w:lang w:eastAsia="en-GB"/>
        </w:rPr>
        <w:t xml:space="preserve">The report on Armenia Armenia’s </w:t>
      </w:r>
      <w:r w:rsidR="005026E6">
        <w:rPr>
          <w:lang w:eastAsia="en-GB"/>
        </w:rPr>
        <w:t>“In April 2009, Armenia raised gas and electricity tariffs following the increase of the gas price.</w:t>
      </w:r>
      <w:proofErr w:type="gramEnd"/>
      <w:r w:rsidR="005026E6">
        <w:rPr>
          <w:lang w:eastAsia="en-GB"/>
        </w:rPr>
        <w:t xml:space="preserve"> It continued the construction of conventional electricity generation units (</w:t>
      </w:r>
      <w:proofErr w:type="gramStart"/>
      <w:r w:rsidR="005026E6">
        <w:rPr>
          <w:lang w:eastAsia="en-GB"/>
        </w:rPr>
        <w:t>including  hydro</w:t>
      </w:r>
      <w:proofErr w:type="gramEnd"/>
      <w:r w:rsidR="005026E6">
        <w:rPr>
          <w:lang w:eastAsia="en-GB"/>
        </w:rPr>
        <w:t>) and the rehabilitation of electricity and gas infrastructure. Armenia pursued preparatory work for additional electricity interconnections with Georgia and Iran. In March 2009 Armenia agreed with Turkey to export electricity once the grid has been upgraded. In May 2009, the Armenia-Iran gas pipeline became operational. The deal between the two countries aims to export gas to Armenia and electricity to Iran. In April 2009, Armenia and</w:t>
      </w:r>
      <w:r w:rsidR="005316A4">
        <w:rPr>
          <w:lang w:eastAsia="en-GB"/>
        </w:rPr>
        <w:t xml:space="preserve"> I</w:t>
      </w:r>
      <w:r w:rsidR="005026E6">
        <w:rPr>
          <w:lang w:eastAsia="en-GB"/>
        </w:rPr>
        <w:t xml:space="preserve">ran confirmed their plan to construct an oil refinery. Armenia pursued the development of an energy efficiency </w:t>
      </w:r>
      <w:proofErr w:type="gramStart"/>
      <w:r w:rsidR="005026E6">
        <w:rPr>
          <w:lang w:eastAsia="en-GB"/>
        </w:rPr>
        <w:t>and  renewable</w:t>
      </w:r>
      <w:proofErr w:type="gramEnd"/>
      <w:r w:rsidR="005026E6">
        <w:rPr>
          <w:lang w:eastAsia="en-GB"/>
        </w:rPr>
        <w:t xml:space="preserve"> energy programme.”</w:t>
      </w:r>
      <w:r w:rsidR="008731E3">
        <w:rPr>
          <w:rStyle w:val="EndnoteReference"/>
          <w:lang w:eastAsia="en-GB"/>
        </w:rPr>
        <w:endnoteReference w:id="48"/>
      </w:r>
    </w:p>
    <w:p w:rsidR="00EE0578" w:rsidRPr="006E6E8B" w:rsidRDefault="00EE0578" w:rsidP="00EE0578">
      <w:pPr>
        <w:autoSpaceDE w:val="0"/>
        <w:autoSpaceDN w:val="0"/>
        <w:adjustRightInd w:val="0"/>
        <w:rPr>
          <w:rFonts w:eastAsia="Times New Roman"/>
          <w:lang w:eastAsia="en-GB"/>
        </w:rPr>
      </w:pPr>
    </w:p>
    <w:p w:rsidR="006E6E8B" w:rsidRPr="00EE0578" w:rsidRDefault="006E6E8B" w:rsidP="00EE0578">
      <w:pPr>
        <w:pStyle w:val="Heading3"/>
        <w:rPr>
          <w:lang w:eastAsia="en-GB"/>
        </w:rPr>
      </w:pPr>
      <w:bookmarkStart w:id="69" w:name="_Toc305768538"/>
      <w:r>
        <w:rPr>
          <w:lang w:eastAsia="en-GB"/>
        </w:rPr>
        <w:t>Moldova</w:t>
      </w:r>
      <w:r w:rsidR="00A84CFF">
        <w:rPr>
          <w:lang w:eastAsia="en-GB"/>
        </w:rPr>
        <w:t xml:space="preserve"> </w:t>
      </w:r>
      <w:r w:rsidR="00A84CFF" w:rsidRPr="00A84CFF">
        <w:rPr>
          <w:lang w:eastAsia="en-GB"/>
        </w:rPr>
        <w:t>ENP progress report</w:t>
      </w:r>
      <w:bookmarkEnd w:id="69"/>
    </w:p>
    <w:p w:rsidR="005026E6" w:rsidRDefault="005026E6" w:rsidP="00EE0578">
      <w:pPr>
        <w:autoSpaceDE w:val="0"/>
        <w:autoSpaceDN w:val="0"/>
        <w:adjustRightInd w:val="0"/>
      </w:pPr>
      <w:r w:rsidRPr="006E6E8B">
        <w:t xml:space="preserve">“In April 2009, negotiations were concluded on the Energy Community Treaty. In December2009 the Energy Community ministerial approved the accession which will be effective subject to the gas law complying with the EU </w:t>
      </w:r>
      <w:r w:rsidRPr="006E6E8B">
        <w:rPr>
          <w:i/>
          <w:iCs/>
        </w:rPr>
        <w:t xml:space="preserve">acquis </w:t>
      </w:r>
      <w:r w:rsidRPr="006E6E8B">
        <w:t>and subsequent ratification by the</w:t>
      </w:r>
      <w:r w:rsidR="006E6E8B" w:rsidRPr="006E6E8B">
        <w:t xml:space="preserve"> </w:t>
      </w:r>
      <w:r w:rsidRPr="006E6E8B">
        <w:t>parties. In December 2009, the Parliament adopted new gas and electricity laws. The laws will</w:t>
      </w:r>
      <w:r w:rsidR="006E6E8B" w:rsidRPr="006E6E8B">
        <w:t xml:space="preserve"> </w:t>
      </w:r>
      <w:r w:rsidRPr="006E6E8B">
        <w:t>contribute to strengthening the independence of the energy regulator. Complete compliance</w:t>
      </w:r>
      <w:r w:rsidR="006E6E8B" w:rsidRPr="006E6E8B">
        <w:t xml:space="preserve"> </w:t>
      </w:r>
      <w:r w:rsidRPr="006E6E8B">
        <w:t>with the EU legislation relevant for the Energy Community will need to be ensured by the</w:t>
      </w:r>
      <w:r w:rsidR="006E6E8B" w:rsidRPr="006E6E8B">
        <w:t xml:space="preserve"> </w:t>
      </w:r>
      <w:r w:rsidRPr="006E6E8B">
        <w:t>deadlines indicated in the Protocol of accession. In 2009, Moldova continued to improve bill</w:t>
      </w:r>
      <w:r w:rsidR="006E6E8B" w:rsidRPr="006E6E8B">
        <w:t xml:space="preserve"> </w:t>
      </w:r>
      <w:r w:rsidRPr="006E6E8B">
        <w:t>collection rates. In November 2009, a study on heat tariffs for Chisinau was completed. As of</w:t>
      </w:r>
      <w:r w:rsidR="006E6E8B" w:rsidRPr="006E6E8B">
        <w:t xml:space="preserve"> </w:t>
      </w:r>
      <w:r w:rsidRPr="006E6E8B">
        <w:t>January 2010, Moldova increased electricity, gas and heat tariffs.</w:t>
      </w:r>
      <w:r w:rsidR="006E6E8B" w:rsidRPr="006E6E8B">
        <w:t xml:space="preserve"> </w:t>
      </w:r>
      <w:r w:rsidRPr="006E6E8B">
        <w:t>Moldova continued to study the conditions under which it could join, together with Ukraine,</w:t>
      </w:r>
      <w:r w:rsidR="006E6E8B" w:rsidRPr="006E6E8B">
        <w:t xml:space="preserve"> </w:t>
      </w:r>
      <w:r w:rsidRPr="006E6E8B">
        <w:t>the interconnected electricity networks of continental Europe (ENTSO-e, European Network</w:t>
      </w:r>
      <w:r w:rsidR="006E6E8B" w:rsidRPr="006E6E8B">
        <w:t xml:space="preserve"> </w:t>
      </w:r>
      <w:r w:rsidRPr="006E6E8B">
        <w:t>of Transmission System Operators for Electricity, the successor of UCTE)</w:t>
      </w:r>
      <w:r w:rsidR="00E42727">
        <w:t>…</w:t>
      </w:r>
      <w:r>
        <w:t xml:space="preserve">.In November 2009, the Government approved an Instruction "About changes to thecomprehensive </w:t>
      </w:r>
      <w:r>
        <w:lastRenderedPageBreak/>
        <w:t>action plan on the financial stabilisation of energy sector enterprises", which</w:t>
      </w:r>
      <w:r w:rsidR="00E42727">
        <w:t xml:space="preserve"> </w:t>
      </w:r>
      <w:r>
        <w:t>postpones previously planned energy prices increase for the households and other categories</w:t>
      </w:r>
      <w:r w:rsidR="00E42727">
        <w:t xml:space="preserve"> </w:t>
      </w:r>
      <w:r>
        <w:t>of consumers. Energy tariffs do not yet cover costs.”</w:t>
      </w:r>
      <w:r w:rsidR="00E42727" w:rsidRPr="00E42727">
        <w:rPr>
          <w:rStyle w:val="EndnoteReference"/>
        </w:rPr>
        <w:t xml:space="preserve"> </w:t>
      </w:r>
      <w:r w:rsidR="00E42727">
        <w:rPr>
          <w:rStyle w:val="EndnoteReference"/>
        </w:rPr>
        <w:endnoteReference w:id="49"/>
      </w:r>
    </w:p>
    <w:p w:rsidR="00160A21" w:rsidRDefault="005225DE" w:rsidP="00160A21">
      <w:pPr>
        <w:pStyle w:val="Heading2"/>
      </w:pPr>
      <w:bookmarkStart w:id="70" w:name="_Toc305768539"/>
      <w:r>
        <w:t>Development banks</w:t>
      </w:r>
      <w:proofErr w:type="gramStart"/>
      <w:r>
        <w:t xml:space="preserve">, </w:t>
      </w:r>
      <w:r w:rsidRPr="005225DE">
        <w:t xml:space="preserve"> </w:t>
      </w:r>
      <w:r>
        <w:t>OECD</w:t>
      </w:r>
      <w:proofErr w:type="gramEnd"/>
      <w:r>
        <w:t xml:space="preserve"> and UNECE</w:t>
      </w:r>
      <w:bookmarkEnd w:id="70"/>
    </w:p>
    <w:p w:rsidR="00A84CFF" w:rsidRPr="00325365" w:rsidRDefault="00F66B96" w:rsidP="00F66B96">
      <w:r>
        <w:t xml:space="preserve">The operations and activity of the development banks and other institutions are strongly reflective of EU policies in this sector. The EIB provides substantial loans to finance network infrastructure.  </w:t>
      </w:r>
      <w:r w:rsidR="00A84CFF">
        <w:t xml:space="preserve">In Serbia, the EBRD is </w:t>
      </w:r>
      <w:r>
        <w:t>“</w:t>
      </w:r>
      <w:r w:rsidR="00A84CFF">
        <w:t>assisting energy sector</w:t>
      </w:r>
      <w:r w:rsidR="00455DCD">
        <w:t xml:space="preserve"> </w:t>
      </w:r>
      <w:r w:rsidR="00A84CFF">
        <w:t>reform through conditionality linked to a €150 million corporate loan to Srbijagas, the national gas company</w:t>
      </w:r>
      <w:r w:rsidR="00455DCD">
        <w:t xml:space="preserve">”: the conditions include accelerated </w:t>
      </w:r>
      <w:r w:rsidR="00A84CFF">
        <w:t xml:space="preserve">harmonisation with EU </w:t>
      </w:r>
      <w:r w:rsidR="00455DCD">
        <w:t xml:space="preserve">internal market, including </w:t>
      </w:r>
      <w:r w:rsidR="00A84CFF">
        <w:t xml:space="preserve">unbundling of the </w:t>
      </w:r>
      <w:r w:rsidR="00455DCD">
        <w:t>c</w:t>
      </w:r>
      <w:r w:rsidR="00A84CFF">
        <w:t>ompany’s gas transmission, distribution and trading activities.</w:t>
      </w:r>
      <w:r w:rsidR="00455DCD" w:rsidRPr="00455DCD">
        <w:rPr>
          <w:vertAlign w:val="superscript"/>
        </w:rPr>
        <w:t xml:space="preserve"> </w:t>
      </w:r>
      <w:r w:rsidR="00455DCD" w:rsidRPr="00455DCD">
        <w:rPr>
          <w:vertAlign w:val="superscript"/>
        </w:rPr>
        <w:endnoteReference w:id="50"/>
      </w:r>
      <w:r>
        <w:rPr>
          <w:vertAlign w:val="superscript"/>
        </w:rPr>
        <w:t xml:space="preserve"> </w:t>
      </w:r>
    </w:p>
    <w:p w:rsidR="00325365" w:rsidRDefault="00E377DB" w:rsidP="00E377DB">
      <w:pPr>
        <w:pStyle w:val="Heading7"/>
      </w:pPr>
      <w:bookmarkStart w:id="71" w:name="_Toc305768540"/>
      <w:r>
        <w:t>EIB projects in electricity in the region</w:t>
      </w:r>
      <w:bookmarkEnd w:id="71"/>
    </w:p>
    <w:tbl>
      <w:tblPr>
        <w:tblW w:w="9684" w:type="dxa"/>
        <w:tblCellSpacing w:w="15" w:type="dxa"/>
        <w:tblCellMar>
          <w:top w:w="15" w:type="dxa"/>
          <w:left w:w="15" w:type="dxa"/>
          <w:bottom w:w="15" w:type="dxa"/>
          <w:right w:w="15" w:type="dxa"/>
        </w:tblCellMar>
        <w:tblLook w:val="04A0"/>
      </w:tblPr>
      <w:tblGrid>
        <w:gridCol w:w="903"/>
        <w:gridCol w:w="2391"/>
        <w:gridCol w:w="5215"/>
        <w:gridCol w:w="1175"/>
      </w:tblGrid>
      <w:tr w:rsidR="00E377DB" w:rsidTr="00E377DB">
        <w:trPr>
          <w:tblCellSpacing w:w="15" w:type="dxa"/>
        </w:trPr>
        <w:tc>
          <w:tcPr>
            <w:tcW w:w="861" w:type="dxa"/>
            <w:vAlign w:val="center"/>
            <w:hideMark/>
          </w:tcPr>
          <w:p w:rsidR="00E377DB" w:rsidRDefault="00E377DB" w:rsidP="00E377DB">
            <w:pPr>
              <w:jc w:val="right"/>
              <w:rPr>
                <w:sz w:val="24"/>
                <w:szCs w:val="24"/>
              </w:rPr>
            </w:pPr>
            <w:r>
              <w:t>2010</w:t>
            </w:r>
          </w:p>
        </w:tc>
        <w:tc>
          <w:tcPr>
            <w:tcW w:w="2370" w:type="dxa"/>
            <w:vAlign w:val="center"/>
          </w:tcPr>
          <w:p w:rsidR="00E377DB" w:rsidRDefault="00E377DB" w:rsidP="00E377DB">
            <w:pPr>
              <w:rPr>
                <w:sz w:val="24"/>
                <w:szCs w:val="24"/>
              </w:rPr>
            </w:pPr>
            <w:r>
              <w:t>Georgia</w:t>
            </w:r>
          </w:p>
        </w:tc>
        <w:tc>
          <w:tcPr>
            <w:tcW w:w="5214" w:type="dxa"/>
            <w:vAlign w:val="center"/>
          </w:tcPr>
          <w:p w:rsidR="00E377DB" w:rsidRDefault="00F4142F" w:rsidP="00E377DB">
            <w:pPr>
              <w:rPr>
                <w:sz w:val="24"/>
                <w:szCs w:val="24"/>
              </w:rPr>
            </w:pPr>
            <w:hyperlink r:id="rId48" w:history="1">
              <w:r w:rsidR="009F7D0A">
                <w:rPr>
                  <w:rStyle w:val="Hyperlink"/>
                </w:rPr>
                <w:t>Vardnili &amp; Enguri Hydro Rehabilitation</w:t>
              </w:r>
            </w:hyperlink>
          </w:p>
        </w:tc>
        <w:tc>
          <w:tcPr>
            <w:tcW w:w="1089" w:type="dxa"/>
            <w:vAlign w:val="center"/>
            <w:hideMark/>
          </w:tcPr>
          <w:p w:rsidR="00E377DB" w:rsidRDefault="00E377DB" w:rsidP="00E377DB">
            <w:pPr>
              <w:jc w:val="right"/>
              <w:rPr>
                <w:sz w:val="24"/>
                <w:szCs w:val="24"/>
              </w:rPr>
            </w:pPr>
            <w:r>
              <w:t>20,000,000</w:t>
            </w:r>
          </w:p>
        </w:tc>
      </w:tr>
      <w:tr w:rsidR="00E377DB" w:rsidTr="00E377DB">
        <w:trPr>
          <w:tblCellSpacing w:w="15" w:type="dxa"/>
        </w:trPr>
        <w:tc>
          <w:tcPr>
            <w:tcW w:w="861" w:type="dxa"/>
            <w:vAlign w:val="center"/>
            <w:hideMark/>
          </w:tcPr>
          <w:p w:rsidR="00E377DB" w:rsidRDefault="00E377DB" w:rsidP="00E377DB">
            <w:pPr>
              <w:jc w:val="right"/>
              <w:rPr>
                <w:sz w:val="24"/>
                <w:szCs w:val="24"/>
              </w:rPr>
            </w:pPr>
            <w:r>
              <w:t>2010</w:t>
            </w:r>
          </w:p>
        </w:tc>
        <w:tc>
          <w:tcPr>
            <w:tcW w:w="2370" w:type="dxa"/>
            <w:vAlign w:val="center"/>
          </w:tcPr>
          <w:p w:rsidR="00E377DB" w:rsidRDefault="00E377DB" w:rsidP="00E377DB">
            <w:pPr>
              <w:rPr>
                <w:sz w:val="24"/>
                <w:szCs w:val="24"/>
              </w:rPr>
            </w:pPr>
            <w:r>
              <w:t>Georgia</w:t>
            </w:r>
          </w:p>
        </w:tc>
        <w:tc>
          <w:tcPr>
            <w:tcW w:w="5214" w:type="dxa"/>
            <w:vAlign w:val="center"/>
          </w:tcPr>
          <w:p w:rsidR="00E377DB" w:rsidRDefault="00F4142F" w:rsidP="00E377DB">
            <w:pPr>
              <w:rPr>
                <w:sz w:val="24"/>
                <w:szCs w:val="24"/>
              </w:rPr>
            </w:pPr>
            <w:hyperlink r:id="rId49" w:history="1">
              <w:r w:rsidR="009F7D0A">
                <w:rPr>
                  <w:rStyle w:val="Hyperlink"/>
                </w:rPr>
                <w:t>High Voltage Transmission Lines</w:t>
              </w:r>
            </w:hyperlink>
          </w:p>
        </w:tc>
        <w:tc>
          <w:tcPr>
            <w:tcW w:w="1089" w:type="dxa"/>
            <w:vAlign w:val="center"/>
            <w:hideMark/>
          </w:tcPr>
          <w:p w:rsidR="00E377DB" w:rsidRDefault="00E377DB" w:rsidP="00E377DB">
            <w:pPr>
              <w:jc w:val="right"/>
              <w:rPr>
                <w:sz w:val="24"/>
                <w:szCs w:val="24"/>
              </w:rPr>
            </w:pPr>
            <w:r>
              <w:t>80,000,000</w:t>
            </w:r>
          </w:p>
        </w:tc>
      </w:tr>
      <w:tr w:rsidR="00E377DB" w:rsidTr="00E377DB">
        <w:trPr>
          <w:tblCellSpacing w:w="15" w:type="dxa"/>
        </w:trPr>
        <w:tc>
          <w:tcPr>
            <w:tcW w:w="861" w:type="dxa"/>
            <w:vAlign w:val="center"/>
            <w:hideMark/>
          </w:tcPr>
          <w:p w:rsidR="00E377DB" w:rsidRDefault="00E377DB" w:rsidP="00E377DB">
            <w:pPr>
              <w:jc w:val="right"/>
              <w:rPr>
                <w:sz w:val="24"/>
                <w:szCs w:val="24"/>
              </w:rPr>
            </w:pPr>
            <w:r>
              <w:t>2008</w:t>
            </w:r>
          </w:p>
        </w:tc>
        <w:tc>
          <w:tcPr>
            <w:tcW w:w="2370" w:type="dxa"/>
            <w:vAlign w:val="center"/>
          </w:tcPr>
          <w:p w:rsidR="00E377DB" w:rsidRDefault="00E377DB" w:rsidP="00E377DB">
            <w:pPr>
              <w:rPr>
                <w:sz w:val="24"/>
                <w:szCs w:val="24"/>
              </w:rPr>
            </w:pPr>
            <w:r>
              <w:t>Ukraine</w:t>
            </w:r>
          </w:p>
        </w:tc>
        <w:tc>
          <w:tcPr>
            <w:tcW w:w="5214" w:type="dxa"/>
            <w:vAlign w:val="center"/>
          </w:tcPr>
          <w:p w:rsidR="00E377DB" w:rsidRDefault="00F4142F" w:rsidP="00E377DB">
            <w:pPr>
              <w:rPr>
                <w:sz w:val="24"/>
                <w:szCs w:val="24"/>
              </w:rPr>
            </w:pPr>
            <w:hyperlink r:id="rId50" w:history="1">
              <w:r w:rsidR="009F7D0A">
                <w:rPr>
                  <w:rStyle w:val="Hyperlink"/>
                </w:rPr>
                <w:t>Rivne-Kyiv High Voltage Line</w:t>
              </w:r>
            </w:hyperlink>
          </w:p>
        </w:tc>
        <w:tc>
          <w:tcPr>
            <w:tcW w:w="1089" w:type="dxa"/>
            <w:vAlign w:val="center"/>
            <w:hideMark/>
          </w:tcPr>
          <w:p w:rsidR="00E377DB" w:rsidRDefault="00E377DB" w:rsidP="00E377DB">
            <w:pPr>
              <w:jc w:val="right"/>
              <w:rPr>
                <w:sz w:val="24"/>
                <w:szCs w:val="24"/>
              </w:rPr>
            </w:pPr>
            <w:r>
              <w:t>150,000,000</w:t>
            </w:r>
          </w:p>
        </w:tc>
      </w:tr>
      <w:tr w:rsidR="00E377DB" w:rsidRPr="00325365" w:rsidTr="00E377DB">
        <w:trPr>
          <w:tblCellSpacing w:w="15" w:type="dxa"/>
        </w:trPr>
        <w:tc>
          <w:tcPr>
            <w:tcW w:w="861" w:type="dxa"/>
            <w:vAlign w:val="center"/>
            <w:hideMark/>
          </w:tcPr>
          <w:p w:rsidR="00E377DB" w:rsidRPr="00325365" w:rsidRDefault="00E377DB" w:rsidP="00E377DB">
            <w:pPr>
              <w:jc w:val="right"/>
            </w:pPr>
            <w:r w:rsidRPr="00325365">
              <w:t>2010</w:t>
            </w:r>
          </w:p>
        </w:tc>
        <w:tc>
          <w:tcPr>
            <w:tcW w:w="2370" w:type="dxa"/>
            <w:vAlign w:val="center"/>
          </w:tcPr>
          <w:p w:rsidR="00E377DB" w:rsidRPr="00325365" w:rsidRDefault="00E377DB" w:rsidP="00E377DB">
            <w:r w:rsidRPr="00325365">
              <w:t>Serbia</w:t>
            </w:r>
          </w:p>
        </w:tc>
        <w:tc>
          <w:tcPr>
            <w:tcW w:w="5214" w:type="dxa"/>
            <w:vAlign w:val="center"/>
          </w:tcPr>
          <w:p w:rsidR="00E377DB" w:rsidRPr="00325365" w:rsidRDefault="00F4142F" w:rsidP="00E377DB">
            <w:hyperlink r:id="rId51" w:history="1">
              <w:r w:rsidR="009F7D0A" w:rsidRPr="00325365">
                <w:rPr>
                  <w:rStyle w:val="Hyperlink"/>
                </w:rPr>
                <w:t>EPS Electronic Meters</w:t>
              </w:r>
            </w:hyperlink>
          </w:p>
        </w:tc>
        <w:tc>
          <w:tcPr>
            <w:tcW w:w="1089" w:type="dxa"/>
            <w:vAlign w:val="center"/>
            <w:hideMark/>
          </w:tcPr>
          <w:p w:rsidR="00E377DB" w:rsidRPr="00325365" w:rsidRDefault="00E377DB" w:rsidP="00E377DB">
            <w:pPr>
              <w:jc w:val="right"/>
            </w:pPr>
            <w:r w:rsidRPr="00325365">
              <w:t>40,000,000</w:t>
            </w:r>
          </w:p>
        </w:tc>
      </w:tr>
      <w:tr w:rsidR="00E377DB" w:rsidRPr="00325365" w:rsidTr="00E377DB">
        <w:trPr>
          <w:tblCellSpacing w:w="15" w:type="dxa"/>
        </w:trPr>
        <w:tc>
          <w:tcPr>
            <w:tcW w:w="861" w:type="dxa"/>
            <w:vAlign w:val="center"/>
            <w:hideMark/>
          </w:tcPr>
          <w:p w:rsidR="00E377DB" w:rsidRPr="00325365" w:rsidRDefault="00E377DB" w:rsidP="00E377DB">
            <w:pPr>
              <w:jc w:val="right"/>
            </w:pPr>
            <w:r w:rsidRPr="00325365">
              <w:t>2009</w:t>
            </w:r>
          </w:p>
        </w:tc>
        <w:tc>
          <w:tcPr>
            <w:tcW w:w="2370" w:type="dxa"/>
            <w:vAlign w:val="center"/>
          </w:tcPr>
          <w:p w:rsidR="00E377DB" w:rsidRPr="00325365" w:rsidRDefault="00E377DB" w:rsidP="00E377DB">
            <w:r w:rsidRPr="00325365">
              <w:t>Serbia</w:t>
            </w:r>
          </w:p>
        </w:tc>
        <w:tc>
          <w:tcPr>
            <w:tcW w:w="5214" w:type="dxa"/>
            <w:vAlign w:val="center"/>
          </w:tcPr>
          <w:p w:rsidR="00E377DB" w:rsidRPr="00325365" w:rsidRDefault="00F4142F" w:rsidP="00E377DB">
            <w:hyperlink r:id="rId52" w:history="1">
              <w:r w:rsidR="009F7D0A" w:rsidRPr="00325365">
                <w:rPr>
                  <w:rStyle w:val="Hyperlink"/>
                </w:rPr>
                <w:t>EMS Electricity Network Upgrading</w:t>
              </w:r>
            </w:hyperlink>
          </w:p>
        </w:tc>
        <w:tc>
          <w:tcPr>
            <w:tcW w:w="1089" w:type="dxa"/>
            <w:vAlign w:val="center"/>
            <w:hideMark/>
          </w:tcPr>
          <w:p w:rsidR="00E377DB" w:rsidRPr="00325365" w:rsidRDefault="00E377DB" w:rsidP="00E377DB">
            <w:pPr>
              <w:jc w:val="right"/>
            </w:pPr>
            <w:r w:rsidRPr="00325365">
              <w:t>24,500,000</w:t>
            </w:r>
          </w:p>
        </w:tc>
      </w:tr>
      <w:tr w:rsidR="00E377DB" w:rsidRPr="00325365" w:rsidTr="00E377DB">
        <w:trPr>
          <w:tblCellSpacing w:w="15" w:type="dxa"/>
        </w:trPr>
        <w:tc>
          <w:tcPr>
            <w:tcW w:w="861" w:type="dxa"/>
            <w:vAlign w:val="center"/>
            <w:hideMark/>
          </w:tcPr>
          <w:p w:rsidR="00E377DB" w:rsidRPr="00325365" w:rsidRDefault="00E377DB" w:rsidP="00E377DB">
            <w:pPr>
              <w:jc w:val="right"/>
            </w:pPr>
            <w:r w:rsidRPr="00325365">
              <w:t>2008</w:t>
            </w:r>
          </w:p>
        </w:tc>
        <w:tc>
          <w:tcPr>
            <w:tcW w:w="2370" w:type="dxa"/>
            <w:vAlign w:val="center"/>
          </w:tcPr>
          <w:p w:rsidR="00E377DB" w:rsidRPr="00325365" w:rsidRDefault="00E377DB" w:rsidP="00E377DB">
            <w:r w:rsidRPr="00325365">
              <w:t>Montenegro</w:t>
            </w:r>
          </w:p>
        </w:tc>
        <w:tc>
          <w:tcPr>
            <w:tcW w:w="5214" w:type="dxa"/>
            <w:vAlign w:val="center"/>
          </w:tcPr>
          <w:p w:rsidR="00E377DB" w:rsidRPr="00325365" w:rsidRDefault="00F4142F" w:rsidP="00E377DB">
            <w:hyperlink r:id="rId53" w:history="1">
              <w:r w:rsidR="009F7D0A" w:rsidRPr="00325365">
                <w:rPr>
                  <w:rStyle w:val="Hyperlink"/>
                </w:rPr>
                <w:t>Power Sector Reconstruction</w:t>
              </w:r>
            </w:hyperlink>
          </w:p>
        </w:tc>
        <w:tc>
          <w:tcPr>
            <w:tcW w:w="1089" w:type="dxa"/>
            <w:vAlign w:val="center"/>
            <w:hideMark/>
          </w:tcPr>
          <w:p w:rsidR="00E377DB" w:rsidRPr="00325365" w:rsidRDefault="00E377DB" w:rsidP="00E377DB">
            <w:pPr>
              <w:jc w:val="right"/>
            </w:pPr>
            <w:r w:rsidRPr="00325365">
              <w:t>2,976,910</w:t>
            </w:r>
          </w:p>
        </w:tc>
      </w:tr>
      <w:tr w:rsidR="00E377DB" w:rsidRPr="00325365" w:rsidTr="00E377DB">
        <w:trPr>
          <w:tblCellSpacing w:w="15" w:type="dxa"/>
        </w:trPr>
        <w:tc>
          <w:tcPr>
            <w:tcW w:w="861" w:type="dxa"/>
            <w:vAlign w:val="center"/>
            <w:hideMark/>
          </w:tcPr>
          <w:p w:rsidR="00E377DB" w:rsidRPr="00325365" w:rsidRDefault="00E377DB" w:rsidP="00E377DB">
            <w:pPr>
              <w:jc w:val="right"/>
            </w:pPr>
            <w:r w:rsidRPr="00325365">
              <w:t>2007</w:t>
            </w:r>
          </w:p>
        </w:tc>
        <w:tc>
          <w:tcPr>
            <w:tcW w:w="2370" w:type="dxa"/>
            <w:vAlign w:val="center"/>
          </w:tcPr>
          <w:p w:rsidR="00E377DB" w:rsidRPr="00325365" w:rsidRDefault="00E377DB" w:rsidP="00E377DB">
            <w:r w:rsidRPr="00325365">
              <w:t>Croatia</w:t>
            </w:r>
          </w:p>
        </w:tc>
        <w:tc>
          <w:tcPr>
            <w:tcW w:w="5214" w:type="dxa"/>
            <w:vAlign w:val="center"/>
          </w:tcPr>
          <w:p w:rsidR="00E377DB" w:rsidRPr="00325365" w:rsidRDefault="00F4142F" w:rsidP="00E377DB">
            <w:hyperlink r:id="rId54" w:history="1">
              <w:r w:rsidR="009F7D0A" w:rsidRPr="00325365">
                <w:rPr>
                  <w:rStyle w:val="Hyperlink"/>
                </w:rPr>
                <w:t>Plinacro Gas Pipelines II</w:t>
              </w:r>
            </w:hyperlink>
          </w:p>
        </w:tc>
        <w:tc>
          <w:tcPr>
            <w:tcW w:w="1089" w:type="dxa"/>
            <w:vAlign w:val="center"/>
            <w:hideMark/>
          </w:tcPr>
          <w:p w:rsidR="00E377DB" w:rsidRPr="00325365" w:rsidRDefault="00E377DB" w:rsidP="00E377DB">
            <w:pPr>
              <w:jc w:val="right"/>
            </w:pPr>
            <w:r w:rsidRPr="00325365">
              <w:t>190,000,000</w:t>
            </w:r>
          </w:p>
        </w:tc>
      </w:tr>
      <w:tr w:rsidR="00E377DB" w:rsidRPr="00325365" w:rsidTr="00E377DB">
        <w:trPr>
          <w:tblCellSpacing w:w="15" w:type="dxa"/>
        </w:trPr>
        <w:tc>
          <w:tcPr>
            <w:tcW w:w="861" w:type="dxa"/>
            <w:vAlign w:val="center"/>
            <w:hideMark/>
          </w:tcPr>
          <w:p w:rsidR="00E377DB" w:rsidRPr="00325365" w:rsidRDefault="00E377DB" w:rsidP="00E377DB">
            <w:pPr>
              <w:jc w:val="right"/>
            </w:pPr>
            <w:r w:rsidRPr="00325365">
              <w:t>2007</w:t>
            </w:r>
          </w:p>
        </w:tc>
        <w:tc>
          <w:tcPr>
            <w:tcW w:w="2370" w:type="dxa"/>
            <w:vAlign w:val="center"/>
          </w:tcPr>
          <w:p w:rsidR="00E377DB" w:rsidRPr="00325365" w:rsidRDefault="00E377DB" w:rsidP="00E377DB">
            <w:r w:rsidRPr="00325365">
              <w:t>Bosnia and Herzegovina</w:t>
            </w:r>
          </w:p>
        </w:tc>
        <w:tc>
          <w:tcPr>
            <w:tcW w:w="5214" w:type="dxa"/>
            <w:vAlign w:val="center"/>
          </w:tcPr>
          <w:p w:rsidR="00E377DB" w:rsidRPr="00325365" w:rsidRDefault="00F4142F" w:rsidP="00E377DB">
            <w:hyperlink r:id="rId55" w:history="1">
              <w:r w:rsidR="009F7D0A" w:rsidRPr="00325365">
                <w:rPr>
                  <w:rStyle w:val="Hyperlink"/>
                </w:rPr>
                <w:t>Electric Power Reconstruction II</w:t>
              </w:r>
            </w:hyperlink>
          </w:p>
        </w:tc>
        <w:tc>
          <w:tcPr>
            <w:tcW w:w="1089" w:type="dxa"/>
            <w:vAlign w:val="center"/>
            <w:hideMark/>
          </w:tcPr>
          <w:p w:rsidR="00E377DB" w:rsidRPr="00325365" w:rsidRDefault="00E377DB" w:rsidP="00E377DB">
            <w:pPr>
              <w:jc w:val="right"/>
            </w:pPr>
            <w:r w:rsidRPr="00325365">
              <w:t>103,000,000</w:t>
            </w:r>
          </w:p>
        </w:tc>
      </w:tr>
    </w:tbl>
    <w:p w:rsidR="00325365" w:rsidRDefault="00325365" w:rsidP="00325365"/>
    <w:p w:rsidR="00160A21" w:rsidRPr="00160A21" w:rsidRDefault="00160A21" w:rsidP="00160A21"/>
    <w:p w:rsidR="005026E6" w:rsidRPr="0030394E" w:rsidRDefault="005026E6" w:rsidP="005026E6">
      <w:pPr>
        <w:pStyle w:val="Heading2"/>
        <w:rPr>
          <w:rFonts w:ascii="Cambria" w:hAnsi="Cambria"/>
          <w:sz w:val="26"/>
          <w:szCs w:val="26"/>
          <w:lang w:val="en-US" w:bidi="en-US"/>
        </w:rPr>
      </w:pPr>
      <w:bookmarkStart w:id="72" w:name="_Toc285051130"/>
      <w:bookmarkStart w:id="73" w:name="_Toc285050789"/>
      <w:bookmarkStart w:id="74" w:name="_Toc285443437"/>
      <w:bookmarkStart w:id="75" w:name="_Toc305768541"/>
      <w:bookmarkEnd w:id="58"/>
      <w:bookmarkEnd w:id="59"/>
      <w:r>
        <w:t>Croatia</w:t>
      </w:r>
      <w:bookmarkEnd w:id="72"/>
      <w:bookmarkEnd w:id="73"/>
      <w:bookmarkEnd w:id="74"/>
      <w:bookmarkEnd w:id="75"/>
    </w:p>
    <w:p w:rsidR="005026E6" w:rsidRDefault="005026E6" w:rsidP="005026E6">
      <w:pPr>
        <w:pStyle w:val="Heading3"/>
      </w:pPr>
      <w:bookmarkStart w:id="76" w:name="_Toc285051131"/>
      <w:bookmarkStart w:id="77" w:name="_Toc285050790"/>
      <w:bookmarkStart w:id="78" w:name="_Toc285443438"/>
      <w:bookmarkStart w:id="79" w:name="_Toc305768542"/>
      <w:r>
        <w:t>Electricity</w:t>
      </w:r>
      <w:bookmarkEnd w:id="76"/>
      <w:bookmarkEnd w:id="77"/>
      <w:bookmarkEnd w:id="78"/>
      <w:bookmarkEnd w:id="79"/>
    </w:p>
    <w:p w:rsidR="005026E6" w:rsidRDefault="005026E6" w:rsidP="005026E6">
      <w:r>
        <w:t>The total installed electricity capacity for Croatia is about 3.7GW. It gets about 60% of itys power from hydro and imports, much of the latter being its entitlement from its co-ownership of the Krsko nuclear power plant (632MW) in Slovenia.</w:t>
      </w:r>
    </w:p>
    <w:p w:rsidR="005026E6" w:rsidRDefault="005026E6" w:rsidP="005026E6">
      <w:r>
        <w:t>The main company is Hrvatska Elektroprivedra (HEP)</w:t>
      </w:r>
      <w:r>
        <w:rPr>
          <w:rStyle w:val="FootnoteReference"/>
        </w:rPr>
        <w:footnoteReference w:id="1"/>
      </w:r>
      <w:r>
        <w:t xml:space="preserve">, which owns all the major power plants including the stake in the Krsko plant, except for </w:t>
      </w:r>
      <w:proofErr w:type="gramStart"/>
      <w:r>
        <w:t>the  Plomin</w:t>
      </w:r>
      <w:proofErr w:type="gramEnd"/>
      <w:r>
        <w:t xml:space="preserve"> 2 coal-fired plant (210MW) which it jointly owns with RWE. In 2009, it employed 14,197 employees. HEP is a holding company with several subsidiaries:</w:t>
      </w:r>
    </w:p>
    <w:p w:rsidR="005026E6" w:rsidRDefault="005026E6" w:rsidP="005026E6">
      <w:pPr>
        <w:pStyle w:val="ListParagraph"/>
        <w:numPr>
          <w:ilvl w:val="0"/>
          <w:numId w:val="41"/>
        </w:numPr>
        <w:spacing w:after="200" w:line="276" w:lineRule="auto"/>
      </w:pPr>
      <w:r>
        <w:t>The generation assets are mainly owned by HEP Proizvodnja;</w:t>
      </w:r>
    </w:p>
    <w:p w:rsidR="005026E6" w:rsidRDefault="005026E6" w:rsidP="005026E6">
      <w:pPr>
        <w:pStyle w:val="ListParagraph"/>
        <w:numPr>
          <w:ilvl w:val="0"/>
          <w:numId w:val="41"/>
        </w:numPr>
        <w:spacing w:after="200" w:line="276" w:lineRule="auto"/>
      </w:pPr>
      <w:r>
        <w:t>The transmission system operator is HEP Operator priejenosnog sustava;</w:t>
      </w:r>
    </w:p>
    <w:p w:rsidR="005026E6" w:rsidRDefault="005026E6" w:rsidP="005026E6">
      <w:pPr>
        <w:pStyle w:val="ListParagraph"/>
        <w:numPr>
          <w:ilvl w:val="0"/>
          <w:numId w:val="41"/>
        </w:numPr>
        <w:spacing w:after="200" w:line="276" w:lineRule="auto"/>
      </w:pPr>
      <w:r>
        <w:t>The distribution system operator and retail supply for tariff consumers is carried out by HEP Operator distribucijskpg sustava;</w:t>
      </w:r>
    </w:p>
    <w:p w:rsidR="005026E6" w:rsidRDefault="005026E6" w:rsidP="005026E6">
      <w:pPr>
        <w:pStyle w:val="ListParagraph"/>
        <w:numPr>
          <w:ilvl w:val="0"/>
          <w:numId w:val="41"/>
        </w:numPr>
        <w:spacing w:after="200" w:line="276" w:lineRule="auto"/>
      </w:pPr>
      <w:r>
        <w:t>Retail supply is for the competitive market is HEP Opskrba.</w:t>
      </w:r>
    </w:p>
    <w:p w:rsidR="005026E6" w:rsidRDefault="005026E6" w:rsidP="005026E6">
      <w:r>
        <w:t>In theory, the electricity market has been fully open since 2008, but in practice, there is no real competition in either generation or retail. There have been various proposals to privatise HEP but these were not being actively pursued in February 2011. The electricity and gas regulatory body is the Croatian Energy Regulatory Agency (CERA).</w:t>
      </w:r>
      <w:r>
        <w:rPr>
          <w:rStyle w:val="FootnoteReference"/>
        </w:rPr>
        <w:footnoteReference w:id="2"/>
      </w:r>
    </w:p>
    <w:p w:rsidR="005026E6" w:rsidRPr="0030394E" w:rsidRDefault="005026E6" w:rsidP="005026E6">
      <w:pPr>
        <w:rPr>
          <w:rFonts w:ascii="Calibri" w:hAnsi="Calibri"/>
          <w:b/>
          <w:sz w:val="24"/>
          <w:szCs w:val="24"/>
        </w:rPr>
      </w:pPr>
      <w:r>
        <w:rPr>
          <w:b/>
          <w:sz w:val="24"/>
          <w:szCs w:val="24"/>
        </w:rPr>
        <w:t>Supply of electricity for Croatia 2008 (GWh)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8"/>
        <w:gridCol w:w="1848"/>
      </w:tblGrid>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tcPr>
          <w:p w:rsidR="005026E6" w:rsidRPr="00E5602F" w:rsidRDefault="005026E6" w:rsidP="002326B5">
            <w:pPr>
              <w:rPr>
                <w:b/>
                <w:lang w:val="en-US" w:bidi="en-US"/>
              </w:rPr>
            </w:pP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Supply</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Hydro</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5326</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Coal</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2495</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Oil</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1985</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Gas</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2459</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Renewables</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61</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Net imports</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6577</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Total</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18903</w:t>
            </w:r>
          </w:p>
        </w:tc>
      </w:tr>
    </w:tbl>
    <w:p w:rsidR="005026E6" w:rsidRPr="00657FF8" w:rsidRDefault="005026E6" w:rsidP="005026E6">
      <w:pPr>
        <w:rPr>
          <w:rFonts w:ascii="Calibri" w:hAnsi="Calibri"/>
          <w:lang w:val="fr-FR" w:bidi="en-US"/>
        </w:rPr>
      </w:pPr>
      <w:r w:rsidRPr="00657FF8">
        <w:rPr>
          <w:lang w:val="fr-FR"/>
        </w:rPr>
        <w:lastRenderedPageBreak/>
        <w:t xml:space="preserve">Source: </w:t>
      </w:r>
      <w:hyperlink r:id="rId56" w:history="1">
        <w:r w:rsidRPr="00657FF8">
          <w:rPr>
            <w:rStyle w:val="Hyperlink"/>
            <w:lang w:val="fr-FR"/>
          </w:rPr>
          <w:t>http://www.iea.org/stats/electricitydata.asp?COUNTRY_CODE=HR</w:t>
        </w:r>
      </w:hyperlink>
      <w:r w:rsidRPr="00657FF8">
        <w:rPr>
          <w:lang w:val="fr-FR"/>
        </w:rPr>
        <w:t xml:space="preserve">  </w:t>
      </w:r>
    </w:p>
    <w:p w:rsidR="005026E6" w:rsidRDefault="005026E6" w:rsidP="005026E6">
      <w:pPr>
        <w:pStyle w:val="Heading3"/>
      </w:pPr>
      <w:bookmarkStart w:id="80" w:name="_Toc285051132"/>
      <w:bookmarkStart w:id="81" w:name="_Toc285050791"/>
      <w:bookmarkStart w:id="82" w:name="_Toc285443439"/>
      <w:bookmarkStart w:id="83" w:name="_Toc305768543"/>
      <w:r>
        <w:t>Gas</w:t>
      </w:r>
      <w:bookmarkEnd w:id="80"/>
      <w:bookmarkEnd w:id="81"/>
      <w:bookmarkEnd w:id="82"/>
      <w:bookmarkEnd w:id="83"/>
    </w:p>
    <w:p w:rsidR="005026E6" w:rsidRDefault="005026E6" w:rsidP="005026E6">
      <w:r>
        <w:t>About two thirds of the gas available in Croatia is produced from national sources and distributed by 20 locally companies, which were originally municipally owned but are now mostly privately owned. The main import and production company is INA, which is jointly owned by the Hungarian company, MOL (47%), the Croatian state (45%) and private investors (8%).</w:t>
      </w:r>
      <w:r>
        <w:rPr>
          <w:rStyle w:val="FootnoteReference"/>
        </w:rPr>
        <w:footnoteReference w:id="3"/>
      </w:r>
      <w:r>
        <w:t xml:space="preserve"> It is active in the oil and gas sector, in Croatia and abroad. The INA group employs about 16,000 employees. In January 2011, MOL was unsuccessful in buying shares from private investors to make it majority owner.</w:t>
      </w:r>
      <w:r>
        <w:rPr>
          <w:rStyle w:val="FootnoteReference"/>
        </w:rPr>
        <w:footnoteReference w:id="4"/>
      </w:r>
      <w:r>
        <w:t xml:space="preserve"> The transmission system is owned and operated by Plinacro, a fully state-owned company employing 266 workers.</w:t>
      </w:r>
      <w:r>
        <w:rPr>
          <w:rStyle w:val="FootnoteReference"/>
        </w:rPr>
        <w:footnoteReference w:id="5"/>
      </w:r>
    </w:p>
    <w:p w:rsidR="005026E6" w:rsidRDefault="005026E6" w:rsidP="005026E6">
      <w:r>
        <w:t>The natural gas market has been open to all consumers since 2008 but in practice, there is little retail competition.</w:t>
      </w:r>
    </w:p>
    <w:p w:rsidR="005026E6" w:rsidRPr="0030394E" w:rsidRDefault="005026E6" w:rsidP="005026E6">
      <w:pPr>
        <w:rPr>
          <w:rFonts w:ascii="Calibri" w:hAnsi="Calibri"/>
          <w:b/>
          <w:sz w:val="24"/>
          <w:szCs w:val="24"/>
        </w:rPr>
      </w:pPr>
      <w:r>
        <w:rPr>
          <w:b/>
          <w:sz w:val="24"/>
          <w:szCs w:val="24"/>
        </w:rPr>
        <w:t>Supply of gas for Croatia 2008 (TJ)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603"/>
      </w:tblGrid>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tcPr>
          <w:p w:rsidR="005026E6" w:rsidRPr="00E5602F" w:rsidRDefault="005026E6" w:rsidP="002326B5">
            <w:pPr>
              <w:rPr>
                <w:b/>
                <w:lang w:val="en-US" w:bidi="en-US"/>
              </w:rPr>
            </w:pP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Supply</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Production</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102080</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Net Imports</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19855</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Final consumption</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77560</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 xml:space="preserve">      Industry</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26333</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 xml:space="preserve">      Commercial</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5999</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 xml:space="preserve">      Residential</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25533</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 xml:space="preserve">      Non-energy use</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18917</w:t>
            </w:r>
          </w:p>
        </w:tc>
      </w:tr>
    </w:tbl>
    <w:p w:rsidR="005026E6" w:rsidRPr="00657FF8" w:rsidRDefault="005026E6" w:rsidP="005026E6">
      <w:pPr>
        <w:rPr>
          <w:rFonts w:ascii="Calibri" w:hAnsi="Calibri"/>
          <w:lang w:val="fr-FR" w:bidi="en-US"/>
        </w:rPr>
      </w:pPr>
      <w:r w:rsidRPr="00657FF8">
        <w:rPr>
          <w:lang w:val="fr-FR"/>
        </w:rPr>
        <w:t xml:space="preserve">Source: </w:t>
      </w:r>
      <w:hyperlink r:id="rId57" w:history="1">
        <w:r w:rsidRPr="00657FF8">
          <w:rPr>
            <w:rStyle w:val="Hyperlink"/>
            <w:lang w:val="fr-FR"/>
          </w:rPr>
          <w:t>http://www.iea.org/stats/gasdata.asp?COUNTRY_CODE=HR</w:t>
        </w:r>
      </w:hyperlink>
      <w:r w:rsidRPr="00657FF8">
        <w:rPr>
          <w:lang w:val="fr-FR"/>
        </w:rPr>
        <w:t xml:space="preserve"> </w:t>
      </w:r>
    </w:p>
    <w:p w:rsidR="005026E6" w:rsidRDefault="005026E6" w:rsidP="005026E6">
      <w:pPr>
        <w:pStyle w:val="Heading2"/>
      </w:pPr>
      <w:bookmarkStart w:id="86" w:name="_Toc285051133"/>
      <w:bookmarkStart w:id="87" w:name="_Toc285050792"/>
      <w:bookmarkStart w:id="88" w:name="_Toc285443440"/>
      <w:bookmarkStart w:id="89" w:name="_Toc305768544"/>
      <w:r>
        <w:t>Serbia</w:t>
      </w:r>
      <w:bookmarkEnd w:id="86"/>
      <w:bookmarkEnd w:id="87"/>
      <w:bookmarkEnd w:id="88"/>
      <w:bookmarkEnd w:id="89"/>
    </w:p>
    <w:p w:rsidR="005026E6" w:rsidRDefault="005026E6" w:rsidP="005026E6">
      <w:pPr>
        <w:pStyle w:val="Heading3"/>
      </w:pPr>
      <w:bookmarkStart w:id="90" w:name="_Toc285051134"/>
      <w:bookmarkStart w:id="91" w:name="_Toc285050793"/>
      <w:bookmarkStart w:id="92" w:name="_Toc285443441"/>
      <w:bookmarkStart w:id="93" w:name="_Toc305768545"/>
      <w:r>
        <w:t>Electricity</w:t>
      </w:r>
      <w:bookmarkEnd w:id="90"/>
      <w:bookmarkEnd w:id="91"/>
      <w:bookmarkEnd w:id="92"/>
      <w:bookmarkEnd w:id="93"/>
    </w:p>
    <w:p w:rsidR="005026E6" w:rsidRDefault="005026E6" w:rsidP="005026E6">
      <w:r>
        <w:t>The main electricity company is Elektroprivreda Srbije (EPS)</w:t>
      </w:r>
      <w:r>
        <w:rPr>
          <w:rStyle w:val="FootnoteReference"/>
        </w:rPr>
        <w:footnoteReference w:id="6"/>
      </w:r>
      <w:r>
        <w:t>. This was established in 2005 and is a fully integrated state-owned company. In 2009, its installed capacity was 8.4GW and it employed about 35,000 employees. EPS is the largest producer of lignite in Serbia. The IMF has urged Serbia to privatise EPS and the gas company, Sribijagas, but the government is resisting this pressure.</w:t>
      </w:r>
      <w:r>
        <w:rPr>
          <w:rStyle w:val="FootnoteReference"/>
        </w:rPr>
        <w:footnoteReference w:id="7"/>
      </w:r>
      <w:r>
        <w:t xml:space="preserve"> There is no scope for wholesale or retail competition in Serbia. The electricity and gas regulatory body is the Energy Agency of the Republic of Serbia (AERS).</w:t>
      </w:r>
      <w:r>
        <w:rPr>
          <w:rStyle w:val="FootnoteReference"/>
        </w:rPr>
        <w:footnoteReference w:id="8"/>
      </w:r>
    </w:p>
    <w:p w:rsidR="005026E6" w:rsidRPr="0030394E" w:rsidRDefault="005026E6" w:rsidP="005026E6">
      <w:pPr>
        <w:rPr>
          <w:rFonts w:ascii="Calibri" w:hAnsi="Calibri"/>
          <w:b/>
          <w:sz w:val="24"/>
          <w:szCs w:val="24"/>
        </w:rPr>
      </w:pPr>
      <w:r>
        <w:rPr>
          <w:b/>
          <w:sz w:val="24"/>
          <w:szCs w:val="24"/>
        </w:rPr>
        <w:t>Supply of electricity for Serbia 2008 (GWh)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8"/>
        <w:gridCol w:w="1848"/>
      </w:tblGrid>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tcPr>
          <w:p w:rsidR="005026E6" w:rsidRPr="00E5602F" w:rsidRDefault="005026E6" w:rsidP="002326B5">
            <w:pPr>
              <w:rPr>
                <w:b/>
                <w:lang w:val="en-US" w:bidi="en-US"/>
              </w:rPr>
            </w:pP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Supply</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Hydro</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10109</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Coal</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26622</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Oil</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172</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Gas</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415</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Renewables</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0</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Net imports</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73</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Total</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37391</w:t>
            </w:r>
          </w:p>
        </w:tc>
      </w:tr>
    </w:tbl>
    <w:p w:rsidR="005026E6" w:rsidRPr="00657FF8" w:rsidRDefault="005026E6" w:rsidP="005026E6">
      <w:pPr>
        <w:rPr>
          <w:rFonts w:ascii="Calibri" w:hAnsi="Calibri"/>
          <w:lang w:val="fr-FR" w:bidi="en-US"/>
        </w:rPr>
      </w:pPr>
      <w:r w:rsidRPr="00657FF8">
        <w:rPr>
          <w:lang w:val="fr-FR"/>
        </w:rPr>
        <w:t xml:space="preserve">Source: </w:t>
      </w:r>
      <w:hyperlink r:id="rId58" w:history="1">
        <w:r w:rsidRPr="00657FF8">
          <w:rPr>
            <w:rStyle w:val="Hyperlink"/>
            <w:lang w:val="fr-FR"/>
          </w:rPr>
          <w:t>http://www.iea.org/stats/electricitydata.asp?COUNTRY_CODE=RS</w:t>
        </w:r>
      </w:hyperlink>
      <w:r w:rsidRPr="00657FF8">
        <w:rPr>
          <w:lang w:val="fr-FR"/>
        </w:rPr>
        <w:t xml:space="preserve"> </w:t>
      </w:r>
    </w:p>
    <w:p w:rsidR="005026E6" w:rsidRDefault="005026E6" w:rsidP="005026E6">
      <w:pPr>
        <w:pStyle w:val="Heading3"/>
      </w:pPr>
      <w:bookmarkStart w:id="94" w:name="_Toc285051135"/>
      <w:bookmarkStart w:id="95" w:name="_Toc285050794"/>
      <w:bookmarkStart w:id="96" w:name="_Toc285443442"/>
      <w:bookmarkStart w:id="97" w:name="_Toc305768546"/>
      <w:r>
        <w:t>Gas</w:t>
      </w:r>
      <w:bookmarkEnd w:id="94"/>
      <w:bookmarkEnd w:id="95"/>
      <w:bookmarkEnd w:id="96"/>
      <w:bookmarkEnd w:id="97"/>
    </w:p>
    <w:p w:rsidR="005026E6" w:rsidRDefault="005026E6" w:rsidP="005026E6">
      <w:r>
        <w:t>Sribijagas spun off from the integrated oil and gas company, NIS, in 2005.</w:t>
      </w:r>
      <w:r>
        <w:rPr>
          <w:rStyle w:val="FootnoteReference"/>
        </w:rPr>
        <w:footnoteReference w:id="9"/>
      </w:r>
      <w:r>
        <w:t xml:space="preserve"> It employs about 3900 employees. Most of the gas consumed is imported from Russia and there is significant political concern about Croatia’s overdependence on Russia for gas.</w:t>
      </w:r>
    </w:p>
    <w:p w:rsidR="005026E6" w:rsidRPr="0030394E" w:rsidRDefault="005026E6" w:rsidP="005026E6">
      <w:pPr>
        <w:rPr>
          <w:rFonts w:ascii="Calibri" w:hAnsi="Calibri"/>
          <w:b/>
          <w:sz w:val="24"/>
          <w:szCs w:val="24"/>
        </w:rPr>
      </w:pPr>
      <w:r>
        <w:rPr>
          <w:b/>
          <w:sz w:val="24"/>
          <w:szCs w:val="24"/>
        </w:rPr>
        <w:t>Supply of gas for Serbia 2008 (TJ)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603"/>
      </w:tblGrid>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tcPr>
          <w:p w:rsidR="005026E6" w:rsidRPr="00E5602F" w:rsidRDefault="005026E6" w:rsidP="002326B5">
            <w:pPr>
              <w:rPr>
                <w:b/>
                <w:lang w:val="en-US" w:bidi="en-US"/>
              </w:rPr>
            </w:pP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Supply</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lastRenderedPageBreak/>
              <w:t>Production</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9975</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Net Imports</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83149</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Final consumption</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66070</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 xml:space="preserve">      Industry</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46633</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 xml:space="preserve">      Commercial</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7079</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 xml:space="preserve">      Residential</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3024</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 xml:space="preserve">      Non-energy use</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6141</w:t>
            </w:r>
          </w:p>
        </w:tc>
      </w:tr>
    </w:tbl>
    <w:p w:rsidR="005026E6" w:rsidRPr="0030394E" w:rsidRDefault="00F4142F" w:rsidP="005026E6">
      <w:pPr>
        <w:rPr>
          <w:rFonts w:ascii="Calibri" w:hAnsi="Calibri"/>
          <w:lang w:val="en-US" w:bidi="en-US"/>
        </w:rPr>
      </w:pPr>
      <w:hyperlink r:id="rId59" w:history="1">
        <w:r w:rsidR="005026E6">
          <w:rPr>
            <w:rStyle w:val="Hyperlink"/>
          </w:rPr>
          <w:t>http://www.iea.org/stats/gasdata.asp?COUNTRY_CODE=RS</w:t>
        </w:r>
      </w:hyperlink>
      <w:r w:rsidR="005026E6">
        <w:t xml:space="preserve"> </w:t>
      </w:r>
    </w:p>
    <w:p w:rsidR="005026E6" w:rsidRDefault="005026E6" w:rsidP="005026E6">
      <w:pPr>
        <w:pStyle w:val="Heading2"/>
      </w:pPr>
      <w:bookmarkStart w:id="98" w:name="_Toc285051136"/>
      <w:bookmarkStart w:id="99" w:name="_Toc285050795"/>
      <w:bookmarkStart w:id="100" w:name="_Toc285443443"/>
      <w:bookmarkStart w:id="101" w:name="_Toc305768547"/>
      <w:r>
        <w:t>Macedonia</w:t>
      </w:r>
      <w:bookmarkEnd w:id="98"/>
      <w:bookmarkEnd w:id="99"/>
      <w:bookmarkEnd w:id="100"/>
      <w:bookmarkEnd w:id="101"/>
    </w:p>
    <w:p w:rsidR="005026E6" w:rsidRDefault="005026E6" w:rsidP="005026E6">
      <w:pPr>
        <w:pStyle w:val="Heading3"/>
      </w:pPr>
      <w:bookmarkStart w:id="102" w:name="_Toc285051137"/>
      <w:bookmarkStart w:id="103" w:name="_Toc285050796"/>
      <w:bookmarkStart w:id="104" w:name="_Toc285443444"/>
      <w:bookmarkStart w:id="105" w:name="_Toc305768548"/>
      <w:r>
        <w:t>Electricity</w:t>
      </w:r>
      <w:bookmarkEnd w:id="102"/>
      <w:bookmarkEnd w:id="103"/>
      <w:bookmarkEnd w:id="104"/>
      <w:bookmarkEnd w:id="105"/>
    </w:p>
    <w:p w:rsidR="005026E6" w:rsidRDefault="005026E6" w:rsidP="005026E6">
      <w:r>
        <w:t xml:space="preserve">The main generator is the state-owned ELEM </w:t>
      </w:r>
      <w:proofErr w:type="gramStart"/>
      <w:r>
        <w:t>company</w:t>
      </w:r>
      <w:proofErr w:type="gramEnd"/>
      <w:r>
        <w:rPr>
          <w:rStyle w:val="FootnoteReference"/>
        </w:rPr>
        <w:footnoteReference w:id="10"/>
      </w:r>
      <w:r>
        <w:t>. It generates about 96% of Macedonia’s electricity, employing about 3600 employees.</w:t>
      </w:r>
      <w:r>
        <w:rPr>
          <w:rStyle w:val="FootnoteReference"/>
        </w:rPr>
        <w:footnoteReference w:id="11"/>
      </w:r>
      <w:r>
        <w:t xml:space="preserve"> MEPSO, also fully state-owned is the transmission system owner and operator.</w:t>
      </w:r>
      <w:r>
        <w:rPr>
          <w:rStyle w:val="FootnoteReference"/>
        </w:rPr>
        <w:footnoteReference w:id="12"/>
      </w:r>
      <w:r>
        <w:t xml:space="preserve">  The main distributor was ESM, in which EVN, the Austrian company, EVN took a 90% stake from the Macedonian state in 2006, renaming the company EVN Macedonia.</w:t>
      </w:r>
      <w:r>
        <w:rPr>
          <w:rStyle w:val="FootnoteReference"/>
        </w:rPr>
        <w:footnoteReference w:id="13"/>
      </w:r>
      <w:r>
        <w:t xml:space="preserve"> Since 2006, there has been a long-running dispute between ELEM and EVN Macedonia about the sale of electricity from ELEM to EVN Macedonia.</w:t>
      </w:r>
      <w:r>
        <w:rPr>
          <w:rStyle w:val="FootnoteReference"/>
        </w:rPr>
        <w:footnoteReference w:id="14"/>
      </w:r>
      <w:r>
        <w:t xml:space="preserve"> There were 9 consumers eligible to choose their electricity supplier in 2008.</w:t>
      </w:r>
      <w:r>
        <w:rPr>
          <w:rStyle w:val="FootnoteReference"/>
        </w:rPr>
        <w:footnoteReference w:id="15"/>
      </w:r>
      <w:r>
        <w:t xml:space="preserve"> The electricity and gas regulatory body is the Energy Regulatory Commission of the Republic of Macedonia (ERC).</w:t>
      </w:r>
      <w:r>
        <w:rPr>
          <w:rStyle w:val="FootnoteReference"/>
        </w:rPr>
        <w:footnoteReference w:id="16"/>
      </w:r>
      <w:r>
        <w:t xml:space="preserve"> </w:t>
      </w:r>
    </w:p>
    <w:p w:rsidR="005026E6" w:rsidRPr="0030394E" w:rsidRDefault="005026E6" w:rsidP="005026E6">
      <w:pPr>
        <w:rPr>
          <w:rFonts w:ascii="Calibri" w:hAnsi="Calibri"/>
          <w:b/>
          <w:sz w:val="24"/>
          <w:szCs w:val="24"/>
        </w:rPr>
      </w:pPr>
      <w:r>
        <w:rPr>
          <w:b/>
          <w:sz w:val="24"/>
          <w:szCs w:val="24"/>
        </w:rPr>
        <w:t>Supply of electricity for Macedonia 2008 (GWh)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8"/>
        <w:gridCol w:w="1848"/>
      </w:tblGrid>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tcPr>
          <w:p w:rsidR="005026E6" w:rsidRPr="00E5602F" w:rsidRDefault="005026E6" w:rsidP="002326B5">
            <w:pPr>
              <w:rPr>
                <w:b/>
                <w:lang w:val="en-US" w:bidi="en-US"/>
              </w:rPr>
            </w:pP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Supply</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Hydro</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840</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Coal</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5289</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Oil</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182</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Gas</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0</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Renewables</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0</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Net imports</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2733</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Total</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9044</w:t>
            </w:r>
          </w:p>
        </w:tc>
      </w:tr>
    </w:tbl>
    <w:p w:rsidR="005026E6" w:rsidRPr="0030394E" w:rsidRDefault="00F4142F" w:rsidP="005026E6">
      <w:pPr>
        <w:rPr>
          <w:rFonts w:ascii="Calibri" w:hAnsi="Calibri"/>
          <w:lang w:val="en-US" w:bidi="en-US"/>
        </w:rPr>
      </w:pPr>
      <w:hyperlink r:id="rId60" w:history="1">
        <w:r w:rsidR="005026E6">
          <w:rPr>
            <w:rStyle w:val="Hyperlink"/>
          </w:rPr>
          <w:t>http://www.iea.org/stats/electricitydata.asp?COUNTRY_CODE=MK</w:t>
        </w:r>
      </w:hyperlink>
      <w:r w:rsidR="005026E6">
        <w:t xml:space="preserve"> </w:t>
      </w:r>
    </w:p>
    <w:p w:rsidR="005026E6" w:rsidRDefault="005026E6" w:rsidP="005026E6">
      <w:pPr>
        <w:pStyle w:val="Heading3"/>
      </w:pPr>
      <w:bookmarkStart w:id="106" w:name="_Toc285051138"/>
      <w:bookmarkStart w:id="107" w:name="_Toc285050797"/>
      <w:bookmarkStart w:id="108" w:name="_Toc285443445"/>
      <w:bookmarkStart w:id="109" w:name="_Toc305768549"/>
      <w:r>
        <w:t>Gas</w:t>
      </w:r>
      <w:bookmarkEnd w:id="106"/>
      <w:bookmarkEnd w:id="107"/>
      <w:bookmarkEnd w:id="108"/>
      <w:bookmarkEnd w:id="109"/>
    </w:p>
    <w:p w:rsidR="005026E6" w:rsidRDefault="005026E6" w:rsidP="005026E6">
      <w:r>
        <w:t>All gas is imported and virtually all of it is used by industry with none used by residential consumers or for power generation.</w:t>
      </w:r>
    </w:p>
    <w:p w:rsidR="005026E6" w:rsidRPr="0030394E" w:rsidRDefault="005026E6" w:rsidP="005026E6">
      <w:pPr>
        <w:rPr>
          <w:rFonts w:ascii="Calibri" w:hAnsi="Calibri"/>
          <w:b/>
          <w:sz w:val="24"/>
          <w:szCs w:val="24"/>
        </w:rPr>
      </w:pPr>
      <w:r>
        <w:rPr>
          <w:b/>
          <w:sz w:val="24"/>
          <w:szCs w:val="24"/>
        </w:rPr>
        <w:t>Supply of gas for Macedonia 2008 (TJ)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603"/>
      </w:tblGrid>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tcPr>
          <w:p w:rsidR="005026E6" w:rsidRPr="00E5602F" w:rsidRDefault="005026E6" w:rsidP="002326B5">
            <w:pPr>
              <w:rPr>
                <w:b/>
                <w:lang w:val="en-US" w:bidi="en-US"/>
              </w:rPr>
            </w:pP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Supply</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Production</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0</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Net Imports</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4529</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Final consumption</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1460</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 xml:space="preserve">      Industry</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1421</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 xml:space="preserve">      Commercial</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29</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 xml:space="preserve">      Residential</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0</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 xml:space="preserve">      Non-energy use</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0</w:t>
            </w:r>
          </w:p>
        </w:tc>
      </w:tr>
    </w:tbl>
    <w:p w:rsidR="005026E6" w:rsidRPr="0030394E" w:rsidRDefault="00F4142F" w:rsidP="005026E6">
      <w:pPr>
        <w:rPr>
          <w:rFonts w:ascii="Calibri" w:hAnsi="Calibri"/>
          <w:lang w:val="en-US" w:bidi="en-US"/>
        </w:rPr>
      </w:pPr>
      <w:hyperlink r:id="rId61" w:history="1">
        <w:r w:rsidR="005026E6">
          <w:rPr>
            <w:rStyle w:val="Hyperlink"/>
          </w:rPr>
          <w:t>http://www.iea.org/stats/gasdata.asp?COUNTRY_CODE=RS</w:t>
        </w:r>
      </w:hyperlink>
    </w:p>
    <w:p w:rsidR="005026E6" w:rsidRDefault="005026E6" w:rsidP="005026E6">
      <w:pPr>
        <w:pStyle w:val="Heading2"/>
      </w:pPr>
      <w:bookmarkStart w:id="110" w:name="_Toc285051139"/>
      <w:bookmarkStart w:id="111" w:name="_Toc285050798"/>
      <w:bookmarkStart w:id="112" w:name="_Toc285443446"/>
      <w:bookmarkStart w:id="113" w:name="_Toc305768550"/>
      <w:r>
        <w:lastRenderedPageBreak/>
        <w:t>Montenegro</w:t>
      </w:r>
      <w:bookmarkEnd w:id="110"/>
      <w:bookmarkEnd w:id="111"/>
      <w:bookmarkEnd w:id="112"/>
      <w:bookmarkEnd w:id="113"/>
    </w:p>
    <w:p w:rsidR="005026E6" w:rsidRDefault="005026E6" w:rsidP="005026E6">
      <w:pPr>
        <w:pStyle w:val="Heading3"/>
      </w:pPr>
      <w:bookmarkStart w:id="114" w:name="_Toc285051140"/>
      <w:bookmarkStart w:id="115" w:name="_Toc285050799"/>
      <w:bookmarkStart w:id="116" w:name="_Toc285443447"/>
      <w:bookmarkStart w:id="117" w:name="_Toc305768551"/>
      <w:r>
        <w:t>Electricity</w:t>
      </w:r>
      <w:bookmarkEnd w:id="114"/>
      <w:bookmarkEnd w:id="115"/>
      <w:bookmarkEnd w:id="116"/>
      <w:bookmarkEnd w:id="117"/>
    </w:p>
    <w:p w:rsidR="005026E6" w:rsidRDefault="005026E6" w:rsidP="005026E6">
      <w:r>
        <w:rPr>
          <w:bCs/>
        </w:rPr>
        <w:t xml:space="preserve">Total generation is 2679GWh with net imports of 1050GWh. The main company is </w:t>
      </w:r>
      <w:r>
        <w:rPr>
          <w:rStyle w:val="kenyer"/>
        </w:rPr>
        <w:t>Elektroprivreda Crne Gore (EPCG)</w:t>
      </w:r>
      <w:r>
        <w:rPr>
          <w:rStyle w:val="FootnoteReference"/>
        </w:rPr>
        <w:footnoteReference w:id="17"/>
      </w:r>
      <w:r>
        <w:rPr>
          <w:rStyle w:val="kenyer"/>
        </w:rPr>
        <w:t xml:space="preserve">. It is a joint stock company, 55% owned by the State. Most of the rest of the stock is owned by the Italian company A2A, which acquired 43.7% of the stock in 2009. Its installed capacity is 868MW, nearly 80% of which hydro and it employs nearly 3000 employees. </w:t>
      </w:r>
      <w:r>
        <w:t xml:space="preserve">The market is to be opened in two stages with all non-household consumers given choice in 2009 and household consumers to be given choice in 2015. The electricity and liquid fuels regulatory body is </w:t>
      </w:r>
      <w:r>
        <w:rPr>
          <w:bCs/>
        </w:rPr>
        <w:t>Energy Regulatory Agency of the Republic of Montenegro (ERA).</w:t>
      </w:r>
      <w:r>
        <w:rPr>
          <w:rStyle w:val="FootnoteReference"/>
          <w:bCs/>
        </w:rPr>
        <w:footnoteReference w:id="18"/>
      </w:r>
    </w:p>
    <w:p w:rsidR="005026E6" w:rsidRPr="0030394E" w:rsidRDefault="005026E6" w:rsidP="005026E6">
      <w:pPr>
        <w:pStyle w:val="Heading3"/>
        <w:rPr>
          <w:rFonts w:ascii="Cambria" w:hAnsi="Cambria"/>
        </w:rPr>
      </w:pPr>
      <w:bookmarkStart w:id="118" w:name="_Toc285051141"/>
      <w:bookmarkStart w:id="119" w:name="_Toc285050800"/>
      <w:bookmarkStart w:id="120" w:name="_Toc285443448"/>
      <w:bookmarkStart w:id="121" w:name="_Toc305768552"/>
      <w:r>
        <w:t>Gas</w:t>
      </w:r>
      <w:bookmarkEnd w:id="118"/>
      <w:bookmarkEnd w:id="119"/>
      <w:bookmarkEnd w:id="120"/>
      <w:bookmarkEnd w:id="121"/>
    </w:p>
    <w:p w:rsidR="005026E6" w:rsidRDefault="005026E6" w:rsidP="005026E6">
      <w:r>
        <w:t>No natural gas is used in Montenegro.</w:t>
      </w:r>
    </w:p>
    <w:p w:rsidR="005026E6" w:rsidRPr="0030394E" w:rsidRDefault="005026E6" w:rsidP="005026E6">
      <w:pPr>
        <w:pStyle w:val="Heading2"/>
        <w:rPr>
          <w:rFonts w:ascii="Cambria" w:hAnsi="Cambria"/>
        </w:rPr>
      </w:pPr>
      <w:bookmarkStart w:id="122" w:name="_Toc285051142"/>
      <w:bookmarkStart w:id="123" w:name="_Toc285050801"/>
      <w:bookmarkStart w:id="124" w:name="_Toc285443449"/>
      <w:bookmarkStart w:id="125" w:name="_Toc305768553"/>
      <w:r>
        <w:t>Kosovo</w:t>
      </w:r>
      <w:bookmarkEnd w:id="122"/>
      <w:bookmarkEnd w:id="123"/>
      <w:bookmarkEnd w:id="124"/>
      <w:bookmarkEnd w:id="125"/>
    </w:p>
    <w:p w:rsidR="005026E6" w:rsidRDefault="005026E6" w:rsidP="005026E6">
      <w:pPr>
        <w:pStyle w:val="Heading3"/>
      </w:pPr>
      <w:bookmarkStart w:id="126" w:name="_Toc285051143"/>
      <w:bookmarkStart w:id="127" w:name="_Toc285050802"/>
      <w:bookmarkStart w:id="128" w:name="_Toc285443450"/>
      <w:bookmarkStart w:id="129" w:name="_Toc305768554"/>
      <w:r>
        <w:t>Electricity</w:t>
      </w:r>
      <w:bookmarkEnd w:id="126"/>
      <w:bookmarkEnd w:id="127"/>
      <w:bookmarkEnd w:id="128"/>
      <w:bookmarkEnd w:id="129"/>
    </w:p>
    <w:p w:rsidR="005026E6" w:rsidRDefault="005026E6" w:rsidP="005026E6">
      <w:r>
        <w:t>Electricity supply is 5275GWh per year of which 413GWH is imported. Of this, 98% is generated from fossil fuels with the rest hydro. The main company is the vertically integrated K</w:t>
      </w:r>
      <w:r>
        <w:rPr>
          <w:rStyle w:val="fontebanner"/>
        </w:rPr>
        <w:t>orporata Energjetike e Kosovës</w:t>
      </w:r>
      <w:r>
        <w:t xml:space="preserve"> (KEK).</w:t>
      </w:r>
      <w:r>
        <w:rPr>
          <w:rStyle w:val="FootnoteReference"/>
        </w:rPr>
        <w:footnoteReference w:id="19"/>
      </w:r>
      <w:r>
        <w:t xml:space="preserve"> It is state-owned by the Kosovo government is under strong pressure from the IMF to privatise it with the distribution business planned to be first to be sold. The electricity regulatory body is the </w:t>
      </w:r>
      <w:r>
        <w:rPr>
          <w:rStyle w:val="errablack"/>
        </w:rPr>
        <w:t>Energy Regulatory Office (ERO).</w:t>
      </w:r>
      <w:r>
        <w:rPr>
          <w:rStyle w:val="FootnoteReference"/>
        </w:rPr>
        <w:footnoteReference w:id="20"/>
      </w:r>
    </w:p>
    <w:p w:rsidR="005026E6" w:rsidRPr="0030394E" w:rsidRDefault="005026E6" w:rsidP="005026E6">
      <w:pPr>
        <w:pStyle w:val="Heading3"/>
        <w:rPr>
          <w:rFonts w:ascii="Cambria" w:hAnsi="Cambria"/>
        </w:rPr>
      </w:pPr>
      <w:bookmarkStart w:id="130" w:name="_Toc285051144"/>
      <w:bookmarkStart w:id="131" w:name="_Toc285050803"/>
      <w:bookmarkStart w:id="132" w:name="_Toc285443451"/>
      <w:bookmarkStart w:id="133" w:name="_Toc305768555"/>
      <w:r>
        <w:t>Gas</w:t>
      </w:r>
      <w:bookmarkEnd w:id="130"/>
      <w:bookmarkEnd w:id="131"/>
      <w:bookmarkEnd w:id="132"/>
      <w:bookmarkEnd w:id="133"/>
    </w:p>
    <w:p w:rsidR="005026E6" w:rsidRDefault="005026E6" w:rsidP="005026E6">
      <w:r>
        <w:t>No natural gas is used in Kosovo.</w:t>
      </w:r>
    </w:p>
    <w:p w:rsidR="005026E6" w:rsidRPr="0030394E" w:rsidRDefault="005026E6" w:rsidP="005026E6">
      <w:pPr>
        <w:pStyle w:val="Heading2"/>
        <w:rPr>
          <w:rFonts w:ascii="Cambria" w:hAnsi="Cambria"/>
        </w:rPr>
      </w:pPr>
      <w:bookmarkStart w:id="134" w:name="_Toc285051145"/>
      <w:bookmarkStart w:id="135" w:name="_Toc285050804"/>
      <w:bookmarkStart w:id="136" w:name="_Toc285443452"/>
      <w:bookmarkStart w:id="137" w:name="_Toc305768556"/>
      <w:r>
        <w:t>Bosnia &amp; Herzegovina</w:t>
      </w:r>
      <w:bookmarkEnd w:id="134"/>
      <w:bookmarkEnd w:id="135"/>
      <w:bookmarkEnd w:id="136"/>
      <w:bookmarkEnd w:id="137"/>
    </w:p>
    <w:p w:rsidR="005026E6" w:rsidRDefault="005026E6" w:rsidP="005026E6">
      <w:pPr>
        <w:pStyle w:val="Heading3"/>
      </w:pPr>
      <w:bookmarkStart w:id="138" w:name="_Toc285051146"/>
      <w:bookmarkStart w:id="139" w:name="_Toc285050805"/>
      <w:bookmarkStart w:id="140" w:name="_Toc285443453"/>
      <w:bookmarkStart w:id="141" w:name="_Toc305768557"/>
      <w:r>
        <w:t>Electricity</w:t>
      </w:r>
      <w:bookmarkEnd w:id="138"/>
      <w:bookmarkEnd w:id="139"/>
      <w:bookmarkEnd w:id="140"/>
      <w:bookmarkEnd w:id="141"/>
    </w:p>
    <w:p w:rsidR="005026E6" w:rsidRDefault="005026E6" w:rsidP="005026E6">
      <w:r>
        <w:t>Three vertically integrated companies control generation, distribution and retail: Elektroprivreda BIH Sarajevo</w:t>
      </w:r>
      <w:r>
        <w:rPr>
          <w:rStyle w:val="FootnoteReference"/>
        </w:rPr>
        <w:footnoteReference w:id="21"/>
      </w:r>
      <w:r>
        <w:t xml:space="preserve">, Elektroprivreda HZHB Mostar and Elektroprivreda RS Tribinje. Elektroprivreda BIH Sarajevo, the largest of the three employing more than 5000 workers </w:t>
      </w:r>
      <w:r>
        <w:rPr>
          <w:rStyle w:val="verdana"/>
        </w:rPr>
        <w:t xml:space="preserve">is 90% owned by the State and 10% owned by </w:t>
      </w:r>
      <w:bookmarkStart w:id="142" w:name="ORIGHIT_7"/>
      <w:bookmarkStart w:id="143" w:name="HIT_7"/>
      <w:bookmarkEnd w:id="142"/>
      <w:bookmarkEnd w:id="143"/>
      <w:r>
        <w:rPr>
          <w:rStyle w:val="hit"/>
        </w:rPr>
        <w:t>other shareholders</w:t>
      </w:r>
      <w:r>
        <w:rPr>
          <w:rStyle w:val="verdana"/>
        </w:rPr>
        <w:t>.</w:t>
      </w:r>
      <w:r>
        <w:t xml:space="preserve"> Elektroprivreda HZHB Mostar is state-controlled and has 1500 employees. Elektroprivreda RS Tribinje</w:t>
      </w:r>
      <w:r>
        <w:rPr>
          <w:rStyle w:val="FootnoteReference"/>
        </w:rPr>
        <w:t xml:space="preserve"> </w:t>
      </w:r>
      <w:r>
        <w:t>is state controlled</w:t>
      </w:r>
      <w:r>
        <w:rPr>
          <w:rStyle w:val="FootnoteReference"/>
        </w:rPr>
        <w:footnoteReference w:id="22"/>
      </w:r>
    </w:p>
    <w:p w:rsidR="005026E6" w:rsidRDefault="005026E6" w:rsidP="005026E6">
      <w:r>
        <w:t>Transmission is carried out by Elektroprenos Bosne i Hercegovine.</w:t>
      </w:r>
      <w:r>
        <w:rPr>
          <w:rStyle w:val="FootnoteReference"/>
        </w:rPr>
        <w:footnoteReference w:id="23"/>
      </w:r>
      <w:r>
        <w:t xml:space="preserve"> The market is to be opened in two stages with all non-household consumers given choice in 2008 and household consumers to be given choice in 2015.</w:t>
      </w:r>
    </w:p>
    <w:p w:rsidR="005026E6" w:rsidRDefault="005026E6" w:rsidP="005026E6">
      <w:r>
        <w:t>The electricity and gas regulatory body is the State Electricity Regulatory Commission (SERC).</w:t>
      </w:r>
      <w:r>
        <w:rPr>
          <w:rStyle w:val="FootnoteReference"/>
        </w:rPr>
        <w:footnoteReference w:id="24"/>
      </w:r>
    </w:p>
    <w:p w:rsidR="005026E6" w:rsidRPr="0030394E" w:rsidRDefault="005026E6" w:rsidP="005026E6">
      <w:pPr>
        <w:rPr>
          <w:rFonts w:ascii="Calibri" w:hAnsi="Calibri"/>
          <w:b/>
          <w:sz w:val="24"/>
          <w:szCs w:val="24"/>
        </w:rPr>
      </w:pPr>
      <w:r>
        <w:rPr>
          <w:b/>
          <w:sz w:val="24"/>
          <w:szCs w:val="24"/>
        </w:rPr>
        <w:t>Supply of electricity for Bosnia &amp; Herzegovina 2008 (GWh)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8"/>
        <w:gridCol w:w="1848"/>
      </w:tblGrid>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tcPr>
          <w:p w:rsidR="005026E6" w:rsidRPr="00E5602F" w:rsidRDefault="005026E6" w:rsidP="002326B5">
            <w:pPr>
              <w:rPr>
                <w:b/>
                <w:lang w:val="en-US" w:bidi="en-US"/>
              </w:rPr>
            </w:pP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Supply</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Hydro</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4552</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Coal</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8536</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Oil</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173</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Gas</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0</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Renewables</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0</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Net exports</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1650</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Total</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11611</w:t>
            </w:r>
          </w:p>
        </w:tc>
      </w:tr>
    </w:tbl>
    <w:p w:rsidR="005026E6" w:rsidRPr="00657FF8" w:rsidRDefault="005026E6" w:rsidP="005026E6">
      <w:pPr>
        <w:rPr>
          <w:rFonts w:ascii="Calibri" w:hAnsi="Calibri"/>
          <w:lang w:val="fr-FR" w:bidi="en-US"/>
        </w:rPr>
      </w:pPr>
      <w:r w:rsidRPr="00657FF8">
        <w:rPr>
          <w:lang w:val="fr-FR"/>
        </w:rPr>
        <w:t xml:space="preserve">Source: </w:t>
      </w:r>
      <w:hyperlink r:id="rId62" w:history="1">
        <w:r w:rsidRPr="00657FF8">
          <w:rPr>
            <w:rStyle w:val="Hyperlink"/>
            <w:lang w:val="fr-FR"/>
          </w:rPr>
          <w:t>http://www.iea.org/stats/electricitydata.asp?COUNTRY_CODE=BA</w:t>
        </w:r>
      </w:hyperlink>
      <w:r w:rsidRPr="00657FF8">
        <w:rPr>
          <w:lang w:val="fr-FR"/>
        </w:rPr>
        <w:t xml:space="preserve"> </w:t>
      </w:r>
    </w:p>
    <w:p w:rsidR="005026E6" w:rsidRDefault="005026E6" w:rsidP="005026E6">
      <w:pPr>
        <w:pStyle w:val="Heading3"/>
      </w:pPr>
      <w:bookmarkStart w:id="144" w:name="_Toc285051147"/>
      <w:bookmarkStart w:id="145" w:name="_Toc285050806"/>
      <w:bookmarkStart w:id="146" w:name="_Toc285443454"/>
      <w:bookmarkStart w:id="147" w:name="_Toc305768558"/>
      <w:r>
        <w:lastRenderedPageBreak/>
        <w:t>Gas</w:t>
      </w:r>
      <w:bookmarkEnd w:id="144"/>
      <w:bookmarkEnd w:id="145"/>
      <w:bookmarkEnd w:id="146"/>
      <w:bookmarkEnd w:id="147"/>
    </w:p>
    <w:p w:rsidR="005026E6" w:rsidRDefault="005026E6" w:rsidP="005026E6">
      <w:r>
        <w:t>The gas sector is small. BH-Gas Sarajevo is the main wholesale supplier operating 68% of the gas pipelines.</w:t>
      </w:r>
      <w:r>
        <w:rPr>
          <w:rStyle w:val="FootnoteReference"/>
        </w:rPr>
        <w:footnoteReference w:id="25"/>
      </w:r>
      <w:r>
        <w:t xml:space="preserve"> It is state-owned employing 38 people but is being prepared for privatisation with the assistance of the World Bank. There are 4 distribution companies, but the largest, Sarajevogas Sarajevo, with 307 employees, accounts for 94% of gas sales.</w:t>
      </w:r>
      <w:r>
        <w:rPr>
          <w:rStyle w:val="FootnoteReference"/>
        </w:rPr>
        <w:footnoteReference w:id="26"/>
      </w:r>
      <w:r>
        <w:t xml:space="preserve"> The company is 97.75% state-owned. There are no firm plans to open the gas sector to competition.</w:t>
      </w:r>
    </w:p>
    <w:p w:rsidR="005026E6" w:rsidRDefault="005026E6" w:rsidP="005026E6">
      <w:pPr>
        <w:rPr>
          <w:b/>
          <w:sz w:val="24"/>
          <w:szCs w:val="24"/>
        </w:rPr>
      </w:pPr>
      <w:r>
        <w:rPr>
          <w:b/>
          <w:sz w:val="24"/>
          <w:szCs w:val="24"/>
        </w:rPr>
        <w:t>Supply of gas for Bosnia &amp; Herzegovina 2008 (TJ)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603"/>
      </w:tblGrid>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tcPr>
          <w:p w:rsidR="005026E6" w:rsidRPr="00E5602F" w:rsidRDefault="005026E6" w:rsidP="002326B5">
            <w:pPr>
              <w:rPr>
                <w:b/>
                <w:lang w:val="en-US" w:bidi="en-US"/>
              </w:rPr>
            </w:pP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Supply</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Production</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0</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Net Imports</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16422</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Final consumption</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13269</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 xml:space="preserve">      Industry</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10839</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 xml:space="preserve">      Commercial</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344</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 xml:space="preserve">      Residential</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2086</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 xml:space="preserve">      Non-energy use</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0</w:t>
            </w:r>
          </w:p>
        </w:tc>
      </w:tr>
    </w:tbl>
    <w:p w:rsidR="005026E6" w:rsidRPr="00657FF8" w:rsidRDefault="005026E6" w:rsidP="005026E6">
      <w:pPr>
        <w:rPr>
          <w:rFonts w:ascii="Calibri" w:hAnsi="Calibri"/>
          <w:lang w:val="fr-FR" w:bidi="en-US"/>
        </w:rPr>
      </w:pPr>
      <w:r w:rsidRPr="00657FF8">
        <w:rPr>
          <w:lang w:val="fr-FR"/>
        </w:rPr>
        <w:t xml:space="preserve">Source: </w:t>
      </w:r>
      <w:hyperlink r:id="rId63" w:history="1">
        <w:r w:rsidRPr="00657FF8">
          <w:rPr>
            <w:rStyle w:val="Hyperlink"/>
            <w:lang w:val="fr-FR"/>
          </w:rPr>
          <w:t>http://www.iea.org/stats/gasdata.asp?COUNTRY_CODE=BA</w:t>
        </w:r>
      </w:hyperlink>
      <w:r w:rsidRPr="00657FF8">
        <w:rPr>
          <w:lang w:val="fr-FR"/>
        </w:rPr>
        <w:t xml:space="preserve"> </w:t>
      </w:r>
    </w:p>
    <w:p w:rsidR="005026E6" w:rsidRDefault="005026E6" w:rsidP="005026E6">
      <w:pPr>
        <w:pStyle w:val="Heading2"/>
      </w:pPr>
      <w:bookmarkStart w:id="148" w:name="_Toc285051148"/>
      <w:bookmarkStart w:id="149" w:name="_Toc285050807"/>
      <w:bookmarkStart w:id="150" w:name="_Toc285443455"/>
      <w:bookmarkStart w:id="151" w:name="_Toc305768559"/>
      <w:r>
        <w:t>Albania</w:t>
      </w:r>
      <w:bookmarkEnd w:id="148"/>
      <w:bookmarkEnd w:id="149"/>
      <w:bookmarkEnd w:id="150"/>
      <w:bookmarkEnd w:id="151"/>
    </w:p>
    <w:p w:rsidR="005026E6" w:rsidRDefault="005026E6" w:rsidP="005026E6">
      <w:pPr>
        <w:pStyle w:val="Heading2"/>
      </w:pPr>
      <w:bookmarkStart w:id="152" w:name="_Toc285051149"/>
      <w:bookmarkStart w:id="153" w:name="_Toc285050808"/>
      <w:bookmarkStart w:id="154" w:name="_Toc285443456"/>
      <w:bookmarkStart w:id="155" w:name="_Toc305768560"/>
      <w:r>
        <w:t>Electricity</w:t>
      </w:r>
      <w:bookmarkEnd w:id="152"/>
      <w:bookmarkEnd w:id="153"/>
      <w:bookmarkEnd w:id="154"/>
      <w:bookmarkEnd w:id="155"/>
    </w:p>
    <w:p w:rsidR="005026E6" w:rsidRDefault="005026E6" w:rsidP="005026E6">
      <w:r>
        <w:t xml:space="preserve">Albania’s electricity supply is met entirely by hydro and imports of power. In the past, Albania has exported power but it is currently suffering from shortages of power. The main company is the state-owned Albanian Power Corporation (KESH), which used to be a fully integrated company. It still has a monopoly in power generation. </w:t>
      </w:r>
      <w:proofErr w:type="gramStart"/>
      <w:r>
        <w:t>The transmission system operator.</w:t>
      </w:r>
      <w:proofErr w:type="gramEnd"/>
      <w:r>
        <w:t xml:space="preserve"> </w:t>
      </w:r>
      <w:proofErr w:type="gramStart"/>
      <w:r>
        <w:t>OST,</w:t>
      </w:r>
      <w:proofErr w:type="gramEnd"/>
      <w:r>
        <w:t xml:space="preserve"> was unbundled in 2004 but it remains a subsidiary of KESH. The sole distribution company, OSSH</w:t>
      </w:r>
      <w:proofErr w:type="gramStart"/>
      <w:r>
        <w:t>,which</w:t>
      </w:r>
      <w:proofErr w:type="gramEnd"/>
      <w:r>
        <w:t xml:space="preserve"> has 1.1m customers, was privatized in October 2008 (the deal was not formally completed until June 2009), with CEZ taking a 76% stake for €120m, the government retaining the rest of the shares.</w:t>
      </w:r>
      <w:r>
        <w:rPr>
          <w:rStyle w:val="FootnoteReference"/>
        </w:rPr>
        <w:footnoteReference w:id="27"/>
      </w:r>
      <w:r>
        <w:t xml:space="preserve"> The company is now known as CEZ </w:t>
      </w:r>
      <w:r>
        <w:rPr>
          <w:rStyle w:val="Strong"/>
        </w:rPr>
        <w:t>Shpërndarje</w:t>
      </w:r>
      <w:r>
        <w:t>.</w:t>
      </w:r>
      <w:r>
        <w:rPr>
          <w:rStyle w:val="FootnoteReference"/>
        </w:rPr>
        <w:footnoteReference w:id="28"/>
      </w:r>
    </w:p>
    <w:p w:rsidR="005026E6" w:rsidRDefault="005026E6" w:rsidP="005026E6">
      <w:r>
        <w:t>From 2010, all consumers were eligible to choose their electricity supplier but only one customer has exercised that right. The regulator for the electricity sector is the Albanian Energy Regulator (ERE).</w:t>
      </w:r>
      <w:r>
        <w:rPr>
          <w:rStyle w:val="FootnoteReference"/>
        </w:rPr>
        <w:footnoteReference w:id="29"/>
      </w:r>
    </w:p>
    <w:p w:rsidR="005026E6" w:rsidRPr="0030394E" w:rsidRDefault="005026E6" w:rsidP="005026E6">
      <w:pPr>
        <w:rPr>
          <w:rFonts w:ascii="Calibri" w:hAnsi="Calibri"/>
          <w:b/>
          <w:sz w:val="24"/>
          <w:szCs w:val="24"/>
        </w:rPr>
      </w:pPr>
      <w:r>
        <w:rPr>
          <w:b/>
          <w:sz w:val="24"/>
          <w:szCs w:val="24"/>
        </w:rPr>
        <w:t>Supply of electricity for Albania 2008 (GWh)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8"/>
        <w:gridCol w:w="1848"/>
      </w:tblGrid>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tcPr>
          <w:p w:rsidR="005026E6" w:rsidRPr="00E5602F" w:rsidRDefault="005026E6" w:rsidP="002326B5">
            <w:pPr>
              <w:rPr>
                <w:b/>
                <w:lang w:val="en-US" w:bidi="en-US"/>
              </w:rPr>
            </w:pP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Supply</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Hydro</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3797</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Coal</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0</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Oil</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0</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Gas</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0</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Renewables</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0</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Net exports</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2434</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Total</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6231</w:t>
            </w:r>
          </w:p>
        </w:tc>
      </w:tr>
    </w:tbl>
    <w:p w:rsidR="005026E6" w:rsidRPr="00657FF8" w:rsidRDefault="005026E6" w:rsidP="005026E6">
      <w:pPr>
        <w:rPr>
          <w:rFonts w:ascii="Calibri" w:hAnsi="Calibri"/>
          <w:lang w:val="fr-FR" w:bidi="en-US"/>
        </w:rPr>
      </w:pPr>
      <w:r w:rsidRPr="00657FF8">
        <w:rPr>
          <w:lang w:val="fr-FR"/>
        </w:rPr>
        <w:t xml:space="preserve">Source: </w:t>
      </w:r>
      <w:hyperlink r:id="rId64" w:history="1">
        <w:r w:rsidRPr="00657FF8">
          <w:rPr>
            <w:rStyle w:val="Hyperlink"/>
            <w:lang w:val="fr-FR"/>
          </w:rPr>
          <w:t>http://www.iea.org/stats/electricitydata.asp?COUNTRY_CODE=AL</w:t>
        </w:r>
      </w:hyperlink>
      <w:r w:rsidRPr="00657FF8">
        <w:rPr>
          <w:lang w:val="fr-FR"/>
        </w:rPr>
        <w:t xml:space="preserve"> </w:t>
      </w:r>
    </w:p>
    <w:p w:rsidR="005026E6" w:rsidRDefault="005026E6" w:rsidP="005026E6">
      <w:pPr>
        <w:pStyle w:val="Heading3"/>
      </w:pPr>
      <w:bookmarkStart w:id="156" w:name="_Toc285051150"/>
      <w:bookmarkStart w:id="157" w:name="_Toc285050809"/>
      <w:bookmarkStart w:id="158" w:name="_Toc285443457"/>
      <w:bookmarkStart w:id="159" w:name="_Toc305768561"/>
      <w:r>
        <w:t>Gas</w:t>
      </w:r>
      <w:bookmarkEnd w:id="156"/>
      <w:bookmarkEnd w:id="157"/>
      <w:bookmarkEnd w:id="158"/>
      <w:bookmarkEnd w:id="159"/>
    </w:p>
    <w:p w:rsidR="005026E6" w:rsidRDefault="005026E6" w:rsidP="005026E6">
      <w:r>
        <w:t>Albania produces a small amount of gas (335TJ) but all of this is used by the energy industry and none supplied to final consumers.</w:t>
      </w:r>
    </w:p>
    <w:p w:rsidR="005026E6" w:rsidRPr="0030394E" w:rsidRDefault="005026E6" w:rsidP="005026E6">
      <w:pPr>
        <w:pStyle w:val="Heading2"/>
        <w:rPr>
          <w:rFonts w:ascii="Cambria" w:hAnsi="Cambria"/>
          <w:sz w:val="26"/>
          <w:szCs w:val="26"/>
          <w:lang w:val="en-US" w:bidi="en-US"/>
        </w:rPr>
      </w:pPr>
      <w:bookmarkStart w:id="160" w:name="_Toc285051152"/>
      <w:bookmarkStart w:id="161" w:name="_Toc285050811"/>
      <w:bookmarkStart w:id="162" w:name="_Toc285443458"/>
      <w:bookmarkStart w:id="163" w:name="_Toc305768562"/>
      <w:r>
        <w:t>Armenia</w:t>
      </w:r>
      <w:bookmarkEnd w:id="160"/>
      <w:bookmarkEnd w:id="161"/>
      <w:bookmarkEnd w:id="162"/>
      <w:bookmarkEnd w:id="163"/>
    </w:p>
    <w:p w:rsidR="005026E6" w:rsidRDefault="005026E6" w:rsidP="005026E6">
      <w:pPr>
        <w:pStyle w:val="Heading3"/>
      </w:pPr>
      <w:bookmarkStart w:id="164" w:name="_Toc285051153"/>
      <w:bookmarkStart w:id="165" w:name="_Toc285050812"/>
      <w:bookmarkStart w:id="166" w:name="_Toc285443459"/>
      <w:bookmarkStart w:id="167" w:name="_Toc305768563"/>
      <w:r>
        <w:t>Electricity</w:t>
      </w:r>
      <w:bookmarkEnd w:id="164"/>
      <w:bookmarkEnd w:id="165"/>
      <w:bookmarkEnd w:id="166"/>
      <w:bookmarkEnd w:id="167"/>
    </w:p>
    <w:p w:rsidR="005026E6" w:rsidRDefault="005026E6" w:rsidP="005026E6">
      <w:r>
        <w:t>The state regulatory body claims there are 79 generation companies, four of which are state-owned, although Armenia only has 11 power stations only five of which are of a significant size.</w:t>
      </w:r>
      <w:r>
        <w:rPr>
          <w:rStyle w:val="FootnoteReference"/>
        </w:rPr>
        <w:footnoteReference w:id="30"/>
      </w:r>
      <w:r>
        <w:t xml:space="preserve"> The Metsamor nuclear power plant, which supplies about 40% of Armenia’s power, is state-owned. It used to have two units each of </w:t>
      </w:r>
      <w:r>
        <w:lastRenderedPageBreak/>
        <w:t>440 MW, but one of these was permanently closed in 1989. Since 2003 and until 2013, the plant’s output will be sold by the Russian company Inter RAO to pay for past debts. In 2010, an agreement was signed with Russia for the supply of a 1000MW reactor to replace Metsamor with Russia providing 20% of the investment needs.</w:t>
      </w:r>
      <w:r>
        <w:rPr>
          <w:rStyle w:val="FootnoteReference"/>
        </w:rPr>
        <w:footnoteReference w:id="31"/>
      </w:r>
      <w:r>
        <w:t xml:space="preserve"> The Hrazdan thermal power plant (using mainly gas with oil as back-up), 1100MW, is owned by Hrazdan Energy Company</w:t>
      </w:r>
      <w:r>
        <w:rPr>
          <w:rStyle w:val="FootnoteReference"/>
        </w:rPr>
        <w:footnoteReference w:id="32"/>
      </w:r>
      <w:r>
        <w:t>, which is owned by the Russian Federation. The state-owned Yerevan Power Plant originally had a capacity of 550MW burning natural gas but by 2009, it was only operating at 50MW. It was reconstructed with Japanese finance with a capacity in combined cycle of 272MW and re-opened in 2010.</w:t>
      </w:r>
      <w:r>
        <w:rPr>
          <w:rStyle w:val="FootnoteReference"/>
        </w:rPr>
        <w:footnoteReference w:id="33"/>
      </w:r>
    </w:p>
    <w:p w:rsidR="005026E6" w:rsidRDefault="005026E6" w:rsidP="005026E6">
      <w:r>
        <w:t>The hydroelectric plant is mostly owned by the International Energy Corporation</w:t>
      </w:r>
      <w:r>
        <w:rPr>
          <w:rStyle w:val="FootnoteReference"/>
        </w:rPr>
        <w:footnoteReference w:id="34"/>
      </w:r>
      <w:r>
        <w:t xml:space="preserve"> which has a total capacity of 559MW. The company was owned by Inter RAO UES until December 2010, when it was taken over RusHydro.</w:t>
      </w:r>
      <w:r>
        <w:rPr>
          <w:rStyle w:val="FootnoteReference"/>
        </w:rPr>
        <w:footnoteReference w:id="35"/>
      </w:r>
    </w:p>
    <w:p w:rsidR="005026E6" w:rsidRDefault="005026E6" w:rsidP="005026E6">
      <w:r>
        <w:t>The distribution company, Electric Networks of Armenia</w:t>
      </w:r>
      <w:r>
        <w:rPr>
          <w:rStyle w:val="FootnoteReference"/>
        </w:rPr>
        <w:footnoteReference w:id="36"/>
      </w:r>
      <w:r>
        <w:t>, is owned by Inter RAO UES. It bought these rights in 2005 for US$73m.</w:t>
      </w:r>
      <w:r>
        <w:rPr>
          <w:rStyle w:val="FootnoteReference"/>
        </w:rPr>
        <w:footnoteReference w:id="37"/>
      </w:r>
      <w:r>
        <w:t xml:space="preserve"> The transmission grid is owned and operated by the state-owned ArmEnergo.</w:t>
      </w:r>
      <w:r>
        <w:rPr>
          <w:rStyle w:val="FootnoteReference"/>
        </w:rPr>
        <w:footnoteReference w:id="38"/>
      </w:r>
      <w:r>
        <w:t xml:space="preserve"> The electricity and gas regulatory body is the Public Services Regulatory Commission of Armenia (PSRC).</w:t>
      </w:r>
      <w:r>
        <w:rPr>
          <w:rStyle w:val="FootnoteReference"/>
        </w:rPr>
        <w:footnoteReference w:id="39"/>
      </w:r>
    </w:p>
    <w:p w:rsidR="00144DF1" w:rsidRDefault="00144DF1" w:rsidP="005026E6"/>
    <w:p w:rsidR="005026E6" w:rsidRPr="0030394E" w:rsidRDefault="005026E6" w:rsidP="005026E6">
      <w:pPr>
        <w:rPr>
          <w:rFonts w:ascii="Calibri" w:hAnsi="Calibri"/>
          <w:b/>
          <w:sz w:val="24"/>
          <w:szCs w:val="24"/>
        </w:rPr>
      </w:pPr>
      <w:r>
        <w:rPr>
          <w:b/>
          <w:sz w:val="24"/>
          <w:szCs w:val="24"/>
        </w:rPr>
        <w:t>Supply of electricity for Armenia 2008 (GWh)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8"/>
        <w:gridCol w:w="1848"/>
      </w:tblGrid>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tcPr>
          <w:p w:rsidR="005026E6" w:rsidRPr="00E5602F" w:rsidRDefault="005026E6" w:rsidP="002326B5">
            <w:pPr>
              <w:rPr>
                <w:b/>
                <w:lang w:val="en-US" w:bidi="en-US"/>
              </w:rPr>
            </w:pP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Supply</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Hydro</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1797</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Coal</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0</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Oil</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0</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Gas</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1510</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Nuclear</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2461</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Renewables</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4</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Net exports</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24</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Total</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5748</w:t>
            </w:r>
          </w:p>
        </w:tc>
      </w:tr>
    </w:tbl>
    <w:p w:rsidR="005026E6" w:rsidRDefault="005026E6" w:rsidP="005026E6">
      <w:pPr>
        <w:rPr>
          <w:lang w:val="fr-FR"/>
        </w:rPr>
      </w:pPr>
      <w:r w:rsidRPr="00657FF8">
        <w:rPr>
          <w:lang w:val="fr-FR"/>
        </w:rPr>
        <w:t xml:space="preserve">Source: </w:t>
      </w:r>
      <w:hyperlink r:id="rId65" w:history="1">
        <w:r w:rsidRPr="00657FF8">
          <w:rPr>
            <w:rStyle w:val="Hyperlink"/>
            <w:lang w:val="fr-FR"/>
          </w:rPr>
          <w:t>http://www.iea.org/stats/electricitydata.asp?COUNTRY_CODE=AM</w:t>
        </w:r>
      </w:hyperlink>
      <w:r w:rsidRPr="00657FF8">
        <w:rPr>
          <w:lang w:val="fr-FR"/>
        </w:rPr>
        <w:t xml:space="preserve"> </w:t>
      </w:r>
    </w:p>
    <w:p w:rsidR="00502DB1" w:rsidRPr="00657FF8" w:rsidRDefault="00502DB1" w:rsidP="005026E6">
      <w:pPr>
        <w:rPr>
          <w:rFonts w:ascii="Calibri" w:hAnsi="Calibri"/>
          <w:lang w:val="fr-FR" w:bidi="en-US"/>
        </w:rPr>
      </w:pPr>
    </w:p>
    <w:p w:rsidR="005026E6" w:rsidRDefault="005026E6" w:rsidP="005026E6">
      <w:pPr>
        <w:pStyle w:val="Heading3"/>
      </w:pPr>
      <w:bookmarkStart w:id="168" w:name="_Toc285051154"/>
      <w:bookmarkStart w:id="169" w:name="_Toc285050813"/>
      <w:bookmarkStart w:id="170" w:name="_Toc285443460"/>
      <w:bookmarkStart w:id="171" w:name="_Toc305768564"/>
      <w:r>
        <w:t>Gas</w:t>
      </w:r>
      <w:bookmarkEnd w:id="168"/>
      <w:bookmarkEnd w:id="169"/>
      <w:bookmarkEnd w:id="170"/>
      <w:bookmarkEnd w:id="171"/>
    </w:p>
    <w:p w:rsidR="005026E6" w:rsidRDefault="005026E6" w:rsidP="005026E6">
      <w:r>
        <w:t>IEA statistics show no residential consumption of gas, but a large amount is categorized as unspecified and this seems to include residential supply. The network is owned by ArmRusgasprom.</w:t>
      </w:r>
      <w:r>
        <w:rPr>
          <w:rStyle w:val="FootnoteReference"/>
        </w:rPr>
        <w:footnoteReference w:id="40"/>
      </w:r>
    </w:p>
    <w:p w:rsidR="005026E6" w:rsidRPr="0030394E" w:rsidRDefault="005026E6" w:rsidP="005026E6">
      <w:pPr>
        <w:rPr>
          <w:rFonts w:ascii="Calibri" w:hAnsi="Calibri"/>
          <w:b/>
          <w:sz w:val="24"/>
          <w:szCs w:val="24"/>
        </w:rPr>
      </w:pPr>
      <w:r>
        <w:rPr>
          <w:b/>
          <w:sz w:val="24"/>
          <w:szCs w:val="24"/>
        </w:rPr>
        <w:t>Supply of gas for Armenia 2008 (TJ)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1461"/>
      </w:tblGrid>
      <w:tr w:rsidR="005026E6" w:rsidRPr="00E5602F" w:rsidTr="002326B5">
        <w:tc>
          <w:tcPr>
            <w:tcW w:w="2235" w:type="dxa"/>
            <w:tcBorders>
              <w:top w:val="single" w:sz="4" w:space="0" w:color="auto"/>
              <w:left w:val="single" w:sz="4" w:space="0" w:color="auto"/>
              <w:bottom w:val="single" w:sz="4" w:space="0" w:color="auto"/>
              <w:right w:val="single" w:sz="4" w:space="0" w:color="auto"/>
            </w:tcBorders>
            <w:shd w:val="clear" w:color="auto" w:fill="auto"/>
          </w:tcPr>
          <w:p w:rsidR="005026E6" w:rsidRPr="00E5602F" w:rsidRDefault="005026E6" w:rsidP="002326B5">
            <w:pPr>
              <w:rPr>
                <w:b/>
                <w:lang w:val="en-US" w:bidi="en-US"/>
              </w:rPr>
            </w:pP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Supply</w:t>
            </w:r>
          </w:p>
        </w:tc>
      </w:tr>
      <w:tr w:rsidR="005026E6" w:rsidRPr="00E5602F" w:rsidTr="002326B5">
        <w:tc>
          <w:tcPr>
            <w:tcW w:w="2235"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Production</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0</w:t>
            </w:r>
          </w:p>
        </w:tc>
      </w:tr>
      <w:tr w:rsidR="005026E6" w:rsidRPr="00E5602F" w:rsidTr="002326B5">
        <w:tc>
          <w:tcPr>
            <w:tcW w:w="2235"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Net Imports</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83769</w:t>
            </w:r>
          </w:p>
        </w:tc>
      </w:tr>
      <w:tr w:rsidR="005026E6" w:rsidRPr="00E5602F" w:rsidTr="002326B5">
        <w:tc>
          <w:tcPr>
            <w:tcW w:w="2235"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Final consumption</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63163</w:t>
            </w:r>
          </w:p>
        </w:tc>
      </w:tr>
      <w:tr w:rsidR="005026E6" w:rsidRPr="00E5602F" w:rsidTr="002326B5">
        <w:tc>
          <w:tcPr>
            <w:tcW w:w="2235"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 xml:space="preserve">      Industry</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39101</w:t>
            </w:r>
          </w:p>
        </w:tc>
      </w:tr>
      <w:tr w:rsidR="005026E6" w:rsidRPr="00E5602F" w:rsidTr="002326B5">
        <w:tc>
          <w:tcPr>
            <w:tcW w:w="2235"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 xml:space="preserve">      Commercial</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0</w:t>
            </w:r>
          </w:p>
        </w:tc>
      </w:tr>
      <w:tr w:rsidR="005026E6" w:rsidRPr="00E5602F" w:rsidTr="002326B5">
        <w:tc>
          <w:tcPr>
            <w:tcW w:w="2235"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 xml:space="preserve">      Residential</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0</w:t>
            </w:r>
          </w:p>
        </w:tc>
      </w:tr>
      <w:tr w:rsidR="005026E6" w:rsidRPr="00E5602F" w:rsidTr="002326B5">
        <w:tc>
          <w:tcPr>
            <w:tcW w:w="2235"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 xml:space="preserve">      Non-energy use</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0</w:t>
            </w:r>
          </w:p>
        </w:tc>
      </w:tr>
      <w:tr w:rsidR="005026E6" w:rsidRPr="00E5602F" w:rsidTr="002326B5">
        <w:tc>
          <w:tcPr>
            <w:tcW w:w="2235"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 xml:space="preserve">      Other unspecified</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17075</w:t>
            </w:r>
          </w:p>
        </w:tc>
      </w:tr>
    </w:tbl>
    <w:p w:rsidR="005026E6" w:rsidRPr="00657FF8" w:rsidRDefault="005026E6" w:rsidP="005026E6">
      <w:pPr>
        <w:rPr>
          <w:rFonts w:ascii="Calibri" w:hAnsi="Calibri"/>
          <w:lang w:val="fr-FR" w:bidi="en-US"/>
        </w:rPr>
      </w:pPr>
      <w:r w:rsidRPr="00657FF8">
        <w:rPr>
          <w:lang w:val="fr-FR"/>
        </w:rPr>
        <w:t xml:space="preserve">Source: </w:t>
      </w:r>
      <w:hyperlink r:id="rId66" w:history="1">
        <w:r w:rsidRPr="00657FF8">
          <w:rPr>
            <w:rStyle w:val="Hyperlink"/>
            <w:lang w:val="fr-FR"/>
          </w:rPr>
          <w:t>http://www.iea.org/stats/gasdata.asp?COUNTRY_CODE=AM</w:t>
        </w:r>
      </w:hyperlink>
      <w:r w:rsidRPr="00657FF8">
        <w:rPr>
          <w:lang w:val="fr-FR"/>
        </w:rPr>
        <w:t xml:space="preserve"> </w:t>
      </w:r>
    </w:p>
    <w:p w:rsidR="005026E6" w:rsidRDefault="005026E6" w:rsidP="005026E6">
      <w:pPr>
        <w:pStyle w:val="Heading2"/>
      </w:pPr>
      <w:bookmarkStart w:id="172" w:name="_Toc285051155"/>
      <w:bookmarkStart w:id="173" w:name="_Toc285050814"/>
      <w:bookmarkStart w:id="174" w:name="_Toc285443461"/>
      <w:bookmarkStart w:id="175" w:name="_Toc305768565"/>
      <w:r>
        <w:lastRenderedPageBreak/>
        <w:t>Azerbaijan</w:t>
      </w:r>
      <w:bookmarkEnd w:id="172"/>
      <w:bookmarkEnd w:id="173"/>
      <w:bookmarkEnd w:id="174"/>
      <w:bookmarkEnd w:id="175"/>
    </w:p>
    <w:p w:rsidR="005026E6" w:rsidRDefault="005026E6" w:rsidP="005026E6">
      <w:pPr>
        <w:pStyle w:val="Heading3"/>
      </w:pPr>
      <w:bookmarkStart w:id="176" w:name="_Toc285051156"/>
      <w:bookmarkStart w:id="177" w:name="_Toc285050815"/>
      <w:bookmarkStart w:id="178" w:name="_Toc285443462"/>
      <w:bookmarkStart w:id="179" w:name="_Toc305768566"/>
      <w:r>
        <w:t>Electricity</w:t>
      </w:r>
      <w:bookmarkEnd w:id="176"/>
      <w:bookmarkEnd w:id="177"/>
      <w:bookmarkEnd w:id="178"/>
      <w:bookmarkEnd w:id="179"/>
    </w:p>
    <w:p w:rsidR="005026E6" w:rsidRDefault="005026E6" w:rsidP="005026E6">
      <w:r>
        <w:t>The main electricity company in Azerbaijan is the integrated company, Azerenergy, owning 6400MW of plant.</w:t>
      </w:r>
      <w:r>
        <w:rPr>
          <w:rStyle w:val="FootnoteReference"/>
        </w:rPr>
        <w:footnoteReference w:id="41"/>
      </w:r>
      <w:r>
        <w:t xml:space="preserve"> It is also the largest distribution company and it owns the transmission network.</w:t>
      </w:r>
      <w:r>
        <w:rPr>
          <w:rStyle w:val="FootnoteReference"/>
        </w:rPr>
        <w:footnoteReference w:id="42"/>
      </w:r>
      <w:r>
        <w:t xml:space="preserve">  It is a state-owned joint stock company employing 19746 workers.</w:t>
      </w:r>
    </w:p>
    <w:p w:rsidR="005026E6" w:rsidRDefault="005026E6" w:rsidP="005026E6">
      <w:pPr>
        <w:rPr>
          <w:b/>
          <w:sz w:val="24"/>
          <w:szCs w:val="24"/>
        </w:rPr>
      </w:pPr>
      <w:r>
        <w:t>The electricity and gas regulatory body is the</w:t>
      </w:r>
      <w:r>
        <w:rPr>
          <w:b/>
        </w:rPr>
        <w:t xml:space="preserve"> </w:t>
      </w:r>
      <w:r>
        <w:rPr>
          <w:rStyle w:val="Strong"/>
        </w:rPr>
        <w:t>Tariff (Price) Council of the Republic of Azerbaijan.</w:t>
      </w:r>
      <w:r>
        <w:rPr>
          <w:rStyle w:val="FootnoteReference"/>
          <w:b/>
          <w:bCs/>
        </w:rPr>
        <w:footnoteReference w:id="43"/>
      </w:r>
    </w:p>
    <w:p w:rsidR="005026E6" w:rsidRPr="0030394E" w:rsidRDefault="005026E6" w:rsidP="005026E6">
      <w:pPr>
        <w:rPr>
          <w:rFonts w:ascii="Calibri" w:hAnsi="Calibri"/>
          <w:b/>
          <w:sz w:val="24"/>
          <w:szCs w:val="24"/>
        </w:rPr>
      </w:pPr>
      <w:r>
        <w:rPr>
          <w:b/>
          <w:sz w:val="24"/>
          <w:szCs w:val="24"/>
        </w:rPr>
        <w:t>Supply of electricity for Azerbaijan 2008 (GWh)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8"/>
        <w:gridCol w:w="1848"/>
      </w:tblGrid>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tcPr>
          <w:p w:rsidR="005026E6" w:rsidRPr="00E5602F" w:rsidRDefault="005026E6" w:rsidP="002326B5">
            <w:pPr>
              <w:rPr>
                <w:b/>
                <w:lang w:val="en-US" w:bidi="en-US"/>
              </w:rPr>
            </w:pP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Supply</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Hydro</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2232</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Coal</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0</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Oil</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1565</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Gas</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20078</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Renewables</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0</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Net exports</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596</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Total</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23279</w:t>
            </w:r>
          </w:p>
        </w:tc>
      </w:tr>
    </w:tbl>
    <w:p w:rsidR="005026E6" w:rsidRPr="00657FF8" w:rsidRDefault="005026E6" w:rsidP="005026E6">
      <w:pPr>
        <w:rPr>
          <w:rFonts w:ascii="Calibri" w:hAnsi="Calibri"/>
          <w:lang w:val="fr-FR" w:bidi="en-US"/>
        </w:rPr>
      </w:pPr>
      <w:r w:rsidRPr="00657FF8">
        <w:rPr>
          <w:lang w:val="fr-FR"/>
        </w:rPr>
        <w:t>Source</w:t>
      </w:r>
      <w:proofErr w:type="gramStart"/>
      <w:r w:rsidRPr="00657FF8">
        <w:rPr>
          <w:lang w:val="fr-FR"/>
        </w:rPr>
        <w:t xml:space="preserve">:  </w:t>
      </w:r>
      <w:proofErr w:type="gramEnd"/>
      <w:r w:rsidR="00F4142F">
        <w:fldChar w:fldCharType="begin"/>
      </w:r>
      <w:r w:rsidR="00F4142F">
        <w:instrText>HYPERLINK "http://www.iea.org/stats/electricitydata.asp?COUNTRY_CODE=AZ"</w:instrText>
      </w:r>
      <w:r w:rsidR="00F4142F">
        <w:fldChar w:fldCharType="separate"/>
      </w:r>
      <w:r w:rsidRPr="00657FF8">
        <w:rPr>
          <w:rStyle w:val="Hyperlink"/>
          <w:lang w:val="fr-FR"/>
        </w:rPr>
        <w:t>http://www.iea.org/stats/electricitydata.asp?COUNTRY_CODE=AZ</w:t>
      </w:r>
      <w:r w:rsidR="00F4142F">
        <w:fldChar w:fldCharType="end"/>
      </w:r>
      <w:r w:rsidRPr="00657FF8">
        <w:rPr>
          <w:lang w:val="fr-FR"/>
        </w:rPr>
        <w:t xml:space="preserve"> </w:t>
      </w:r>
    </w:p>
    <w:p w:rsidR="005026E6" w:rsidRDefault="005026E6" w:rsidP="005026E6">
      <w:pPr>
        <w:pStyle w:val="Heading3"/>
      </w:pPr>
      <w:bookmarkStart w:id="180" w:name="_Toc285051157"/>
      <w:bookmarkStart w:id="181" w:name="_Toc285050816"/>
      <w:bookmarkStart w:id="182" w:name="_Toc285443463"/>
      <w:bookmarkStart w:id="183" w:name="_Toc305768567"/>
      <w:r>
        <w:t>Gas</w:t>
      </w:r>
      <w:bookmarkEnd w:id="180"/>
      <w:bookmarkEnd w:id="181"/>
      <w:bookmarkEnd w:id="182"/>
      <w:bookmarkEnd w:id="183"/>
    </w:p>
    <w:p w:rsidR="005026E6" w:rsidRDefault="005026E6" w:rsidP="005026E6">
      <w:r>
        <w:t>The gas distribution company is the state-controlled Azerigaz.</w:t>
      </w:r>
      <w:r>
        <w:rPr>
          <w:rStyle w:val="FootnoteReference"/>
        </w:rPr>
        <w:footnoteReference w:id="44"/>
      </w:r>
      <w:r>
        <w:t xml:space="preserve"> Ownership of this was transferred to the state energy company, SOCAR in 2009.</w:t>
      </w:r>
      <w:r>
        <w:rPr>
          <w:rStyle w:val="FootnoteReference"/>
        </w:rPr>
        <w:footnoteReference w:id="45"/>
      </w:r>
    </w:p>
    <w:p w:rsidR="005026E6" w:rsidRPr="0030394E" w:rsidRDefault="005026E6" w:rsidP="005026E6">
      <w:pPr>
        <w:rPr>
          <w:rFonts w:ascii="Calibri" w:hAnsi="Calibri"/>
          <w:b/>
          <w:sz w:val="24"/>
          <w:szCs w:val="24"/>
        </w:rPr>
      </w:pPr>
      <w:r>
        <w:rPr>
          <w:b/>
          <w:sz w:val="24"/>
          <w:szCs w:val="24"/>
        </w:rPr>
        <w:t>Supply of gas for Azerbaijan 2008 (TJ)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603"/>
      </w:tblGrid>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tcPr>
          <w:p w:rsidR="005026E6" w:rsidRPr="00E5602F" w:rsidRDefault="005026E6" w:rsidP="002326B5">
            <w:pPr>
              <w:rPr>
                <w:b/>
                <w:lang w:val="en-US" w:bidi="en-US"/>
              </w:rPr>
            </w:pP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Supply</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Production</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636091</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Net Exports</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204814</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Final consumption</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152676</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 xml:space="preserve">      Industry</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27023</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 xml:space="preserve">      Commercial</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1985</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 xml:space="preserve">      Residential</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120085</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 xml:space="preserve">      Non-energy use</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3115</w:t>
            </w:r>
          </w:p>
        </w:tc>
      </w:tr>
    </w:tbl>
    <w:p w:rsidR="005026E6" w:rsidRPr="00657FF8" w:rsidRDefault="005026E6" w:rsidP="005026E6">
      <w:pPr>
        <w:rPr>
          <w:rFonts w:ascii="Calibri" w:hAnsi="Calibri"/>
          <w:lang w:val="fr-FR" w:bidi="en-US"/>
        </w:rPr>
      </w:pPr>
      <w:r w:rsidRPr="00657FF8">
        <w:rPr>
          <w:lang w:val="fr-FR"/>
        </w:rPr>
        <w:t xml:space="preserve">Source: </w:t>
      </w:r>
      <w:hyperlink r:id="rId67" w:history="1">
        <w:r w:rsidRPr="00657FF8">
          <w:rPr>
            <w:rStyle w:val="Hyperlink"/>
            <w:lang w:val="fr-FR"/>
          </w:rPr>
          <w:t>http://www.iea.org/stats/gasdata.asp?COUNTRY_CODE=AZ</w:t>
        </w:r>
      </w:hyperlink>
      <w:r w:rsidRPr="00657FF8">
        <w:rPr>
          <w:lang w:val="fr-FR"/>
        </w:rPr>
        <w:t xml:space="preserve"> </w:t>
      </w:r>
    </w:p>
    <w:p w:rsidR="005026E6" w:rsidRDefault="005026E6" w:rsidP="005026E6">
      <w:pPr>
        <w:pStyle w:val="Heading2"/>
      </w:pPr>
      <w:bookmarkStart w:id="184" w:name="_Toc285051158"/>
      <w:bookmarkStart w:id="185" w:name="_Toc285050817"/>
      <w:bookmarkStart w:id="186" w:name="_Toc285443464"/>
      <w:bookmarkStart w:id="187" w:name="_Toc305768568"/>
      <w:r>
        <w:t>Belarus</w:t>
      </w:r>
      <w:bookmarkEnd w:id="184"/>
      <w:bookmarkEnd w:id="185"/>
      <w:bookmarkEnd w:id="186"/>
      <w:bookmarkEnd w:id="187"/>
    </w:p>
    <w:p w:rsidR="005026E6" w:rsidRDefault="005026E6" w:rsidP="005026E6">
      <w:pPr>
        <w:pStyle w:val="Heading3"/>
      </w:pPr>
      <w:bookmarkStart w:id="188" w:name="_Toc285051159"/>
      <w:bookmarkStart w:id="189" w:name="_Toc285050818"/>
      <w:bookmarkStart w:id="190" w:name="_Toc285443465"/>
      <w:bookmarkStart w:id="191" w:name="_Toc305768569"/>
      <w:r>
        <w:t>Electricity</w:t>
      </w:r>
      <w:bookmarkEnd w:id="188"/>
      <w:bookmarkEnd w:id="189"/>
      <w:bookmarkEnd w:id="190"/>
      <w:bookmarkEnd w:id="191"/>
    </w:p>
    <w:p w:rsidR="005026E6" w:rsidRDefault="005026E6" w:rsidP="005026E6">
      <w:r>
        <w:t>The main electricity company is the state-owned integrated company, Belenergo, which owns most of the 8247MW generating capacity. Six ‘republican unitary electricity enterprises’ (RUE ‘Oblenergo’), which are part of Belenergo, carry out the distribution of electricity.</w:t>
      </w:r>
      <w:r>
        <w:rPr>
          <w:rStyle w:val="FootnoteReference"/>
        </w:rPr>
        <w:footnoteReference w:id="46"/>
      </w:r>
    </w:p>
    <w:p w:rsidR="005026E6" w:rsidRPr="0030394E" w:rsidRDefault="005026E6" w:rsidP="005026E6">
      <w:pPr>
        <w:rPr>
          <w:rFonts w:ascii="Calibri" w:hAnsi="Calibri"/>
          <w:b/>
          <w:sz w:val="24"/>
          <w:szCs w:val="24"/>
        </w:rPr>
      </w:pPr>
      <w:r>
        <w:t>There is no electricity and gas regulatory body.</w:t>
      </w:r>
    </w:p>
    <w:p w:rsidR="005026E6" w:rsidRDefault="005026E6" w:rsidP="005026E6">
      <w:pPr>
        <w:rPr>
          <w:b/>
          <w:sz w:val="24"/>
          <w:szCs w:val="24"/>
        </w:rPr>
      </w:pPr>
      <w:r>
        <w:rPr>
          <w:b/>
          <w:sz w:val="24"/>
          <w:szCs w:val="24"/>
        </w:rPr>
        <w:t>Supply of electricity for Belarus 2008 (GWh)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8"/>
        <w:gridCol w:w="1848"/>
      </w:tblGrid>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tcPr>
          <w:p w:rsidR="005026E6" w:rsidRPr="00E5602F" w:rsidRDefault="005026E6" w:rsidP="002326B5">
            <w:pPr>
              <w:rPr>
                <w:b/>
                <w:lang w:val="en-US" w:bidi="en-US"/>
              </w:rPr>
            </w:pP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Supply</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Hydro</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39</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Coal</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10</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Oil</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959</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Gas</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33958</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Renewables</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82</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Net imports</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1840</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Total</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36888</w:t>
            </w:r>
          </w:p>
        </w:tc>
      </w:tr>
    </w:tbl>
    <w:p w:rsidR="005026E6" w:rsidRPr="00657FF8" w:rsidRDefault="005026E6" w:rsidP="005026E6">
      <w:pPr>
        <w:rPr>
          <w:rFonts w:ascii="Calibri" w:hAnsi="Calibri"/>
          <w:lang w:val="fr-FR" w:bidi="en-US"/>
        </w:rPr>
      </w:pPr>
      <w:r w:rsidRPr="00657FF8">
        <w:rPr>
          <w:lang w:val="fr-FR"/>
        </w:rPr>
        <w:t xml:space="preserve">Source: </w:t>
      </w:r>
      <w:hyperlink r:id="rId68" w:history="1">
        <w:r w:rsidRPr="00657FF8">
          <w:rPr>
            <w:rStyle w:val="Hyperlink"/>
            <w:lang w:val="fr-FR"/>
          </w:rPr>
          <w:t>http://www.iea.org/stats/electricitydata.asp?COUNTRY_CODE=BY</w:t>
        </w:r>
      </w:hyperlink>
      <w:r w:rsidRPr="00657FF8">
        <w:rPr>
          <w:lang w:val="fr-FR"/>
        </w:rPr>
        <w:t xml:space="preserve"> </w:t>
      </w:r>
    </w:p>
    <w:p w:rsidR="005026E6" w:rsidRDefault="005026E6" w:rsidP="005026E6">
      <w:pPr>
        <w:pStyle w:val="Heading3"/>
      </w:pPr>
      <w:bookmarkStart w:id="192" w:name="_Toc285051160"/>
      <w:bookmarkStart w:id="193" w:name="_Toc285050819"/>
      <w:bookmarkStart w:id="194" w:name="_Toc285443466"/>
      <w:bookmarkStart w:id="195" w:name="_Toc305768570"/>
      <w:r>
        <w:lastRenderedPageBreak/>
        <w:t>Gas</w:t>
      </w:r>
      <w:bookmarkEnd w:id="192"/>
      <w:bookmarkEnd w:id="193"/>
      <w:bookmarkEnd w:id="194"/>
      <w:bookmarkEnd w:id="195"/>
    </w:p>
    <w:p w:rsidR="005026E6" w:rsidRDefault="005026E6" w:rsidP="005026E6">
      <w:pPr>
        <w:rPr>
          <w:b/>
          <w:sz w:val="24"/>
          <w:szCs w:val="24"/>
        </w:rPr>
      </w:pPr>
      <w:r>
        <w:t>The state-owned Beltopgas carries out gas distribution and retail sales to final consumers.</w:t>
      </w:r>
    </w:p>
    <w:p w:rsidR="005026E6" w:rsidRPr="0030394E" w:rsidRDefault="005026E6" w:rsidP="005026E6">
      <w:pPr>
        <w:rPr>
          <w:rFonts w:ascii="Calibri" w:hAnsi="Calibri"/>
          <w:b/>
          <w:sz w:val="24"/>
          <w:szCs w:val="24"/>
        </w:rPr>
      </w:pPr>
      <w:r>
        <w:rPr>
          <w:b/>
          <w:sz w:val="24"/>
          <w:szCs w:val="24"/>
        </w:rPr>
        <w:t>Supply of gas for Belarus 2008 (TJ)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603"/>
      </w:tblGrid>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tcPr>
          <w:p w:rsidR="005026E6" w:rsidRPr="00E5602F" w:rsidRDefault="005026E6" w:rsidP="002326B5">
            <w:pPr>
              <w:rPr>
                <w:b/>
                <w:lang w:val="en-US" w:bidi="en-US"/>
              </w:rPr>
            </w:pP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Supply</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Production</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7840</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Net Imports</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813418</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Final consumption</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218350</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 xml:space="preserve">      Industry</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82959</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 xml:space="preserve">      Commercial</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1681</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 xml:space="preserve">      Residential</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55732</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 xml:space="preserve">      Non-energy use</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53685</w:t>
            </w:r>
          </w:p>
        </w:tc>
      </w:tr>
    </w:tbl>
    <w:p w:rsidR="005026E6" w:rsidRPr="00657FF8" w:rsidRDefault="005026E6" w:rsidP="005026E6">
      <w:pPr>
        <w:rPr>
          <w:rFonts w:ascii="Calibri" w:hAnsi="Calibri"/>
          <w:lang w:val="fr-FR" w:bidi="en-US"/>
        </w:rPr>
      </w:pPr>
      <w:r w:rsidRPr="00657FF8">
        <w:rPr>
          <w:lang w:val="fr-FR"/>
        </w:rPr>
        <w:t xml:space="preserve">Source: </w:t>
      </w:r>
      <w:hyperlink r:id="rId69" w:history="1">
        <w:r w:rsidRPr="00657FF8">
          <w:rPr>
            <w:rStyle w:val="Hyperlink"/>
            <w:lang w:val="fr-FR"/>
          </w:rPr>
          <w:t>http://www.iea.org/stats/gasdata.asp?COUNTRY_CODE=BY</w:t>
        </w:r>
      </w:hyperlink>
      <w:r w:rsidRPr="00657FF8">
        <w:rPr>
          <w:lang w:val="fr-FR"/>
        </w:rPr>
        <w:t xml:space="preserve"> </w:t>
      </w:r>
    </w:p>
    <w:p w:rsidR="005026E6" w:rsidRDefault="005026E6" w:rsidP="005026E6">
      <w:pPr>
        <w:pStyle w:val="Heading2"/>
      </w:pPr>
      <w:bookmarkStart w:id="196" w:name="_Toc285051161"/>
      <w:bookmarkStart w:id="197" w:name="_Toc285050820"/>
      <w:bookmarkStart w:id="198" w:name="_Toc285443467"/>
      <w:bookmarkStart w:id="199" w:name="_Toc305768571"/>
      <w:r>
        <w:t>Georgia</w:t>
      </w:r>
      <w:bookmarkEnd w:id="196"/>
      <w:bookmarkEnd w:id="197"/>
      <w:bookmarkEnd w:id="198"/>
      <w:bookmarkEnd w:id="199"/>
    </w:p>
    <w:p w:rsidR="005026E6" w:rsidRDefault="005026E6" w:rsidP="005026E6">
      <w:pPr>
        <w:pStyle w:val="Heading3"/>
      </w:pPr>
      <w:bookmarkStart w:id="200" w:name="_Toc285051162"/>
      <w:bookmarkStart w:id="201" w:name="_Toc285050821"/>
      <w:bookmarkStart w:id="202" w:name="_Toc285443468"/>
      <w:bookmarkStart w:id="203" w:name="_Toc305768572"/>
      <w:r>
        <w:t>Electricity</w:t>
      </w:r>
      <w:bookmarkEnd w:id="200"/>
      <w:bookmarkEnd w:id="201"/>
      <w:bookmarkEnd w:id="202"/>
      <w:bookmarkEnd w:id="203"/>
    </w:p>
    <w:p w:rsidR="005026E6" w:rsidRDefault="005026E6" w:rsidP="005026E6">
      <w:r>
        <w:t>Total generating capacity for Georgia is 2.6GW, 70% of which is hydroelectric and about half of the country’s generation comes from the 1300MW Enguri dam, which is state-owned.</w:t>
      </w:r>
      <w:r>
        <w:rPr>
          <w:rStyle w:val="FootnoteReference"/>
        </w:rPr>
        <w:footnoteReference w:id="47"/>
      </w:r>
    </w:p>
    <w:p w:rsidR="005026E6" w:rsidRDefault="005026E6" w:rsidP="005026E6">
      <w:r>
        <w:t xml:space="preserve">There are three distribution companies: Energo-Pro Georgia, Telasi and Kakheti Energy Distribution. The Czech company, Energo-Pro, bought the distribution companes, </w:t>
      </w:r>
      <w:r>
        <w:rPr>
          <w:rStyle w:val="verdana"/>
        </w:rPr>
        <w:t>United Energy Distribution Company, and Ajaria Power Company, plus six hydroelectric plants (362MW) in 2007 for US$132m</w:t>
      </w:r>
      <w:r>
        <w:t>.</w:t>
      </w:r>
      <w:r>
        <w:rPr>
          <w:rStyle w:val="FootnoteReference"/>
        </w:rPr>
        <w:footnoteReference w:id="48"/>
      </w:r>
      <w:r>
        <w:t xml:space="preserve"> </w:t>
      </w:r>
      <w:r>
        <w:rPr>
          <w:rStyle w:val="FootnoteReference"/>
        </w:rPr>
        <w:footnoteReference w:id="49"/>
      </w:r>
      <w:r>
        <w:t xml:space="preserve"> Its service area covers 70% of Georgia, and they supply 860,000 customers. Telasi, which supplies 450,000 consumers including </w:t>
      </w:r>
      <w:proofErr w:type="gramStart"/>
      <w:r>
        <w:t>Tbilisi</w:t>
      </w:r>
      <w:proofErr w:type="gramEnd"/>
      <w:r>
        <w:t xml:space="preserve"> was sold to the US company, AES, in 1998, who sold it on to Inter RAO UES in 2003.</w:t>
      </w:r>
      <w:r>
        <w:rPr>
          <w:rStyle w:val="FootnoteReference"/>
        </w:rPr>
        <w:footnoteReference w:id="50"/>
      </w:r>
      <w:r>
        <w:t xml:space="preserve"> Inter RAO UES owns 75% of the shares with the Georgia state owning the rest. Kakheti Energy Distribution</w:t>
      </w:r>
      <w:r>
        <w:rPr>
          <w:rStyle w:val="arttext"/>
        </w:rPr>
        <w:t xml:space="preserve"> is owned by the Georgian company TBC Energy and has a total of 111,000 costumers. TBC bought the company in 2006 for US$5.1m</w:t>
      </w:r>
    </w:p>
    <w:p w:rsidR="005026E6" w:rsidRDefault="005026E6" w:rsidP="005026E6">
      <w:pPr>
        <w:rPr>
          <w:b/>
          <w:sz w:val="24"/>
          <w:szCs w:val="24"/>
        </w:rPr>
      </w:pPr>
      <w:r>
        <w:t>The electricity and gas regulatory body is the Georgian National Energy and Water Supply Regulatory Commission (GNERC).</w:t>
      </w:r>
      <w:r>
        <w:rPr>
          <w:rStyle w:val="FootnoteReference"/>
        </w:rPr>
        <w:footnoteReference w:id="51"/>
      </w:r>
    </w:p>
    <w:p w:rsidR="005026E6" w:rsidRPr="0030394E" w:rsidRDefault="005026E6" w:rsidP="005026E6">
      <w:pPr>
        <w:rPr>
          <w:rFonts w:ascii="Calibri" w:hAnsi="Calibri"/>
          <w:b/>
          <w:sz w:val="24"/>
          <w:szCs w:val="24"/>
        </w:rPr>
      </w:pPr>
      <w:r>
        <w:rPr>
          <w:b/>
          <w:sz w:val="24"/>
          <w:szCs w:val="24"/>
        </w:rPr>
        <w:t>Supply of electricity for Georgia 2008 (GWh)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8"/>
        <w:gridCol w:w="1848"/>
      </w:tblGrid>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tcPr>
          <w:p w:rsidR="005026E6" w:rsidRPr="00E5602F" w:rsidRDefault="005026E6" w:rsidP="002326B5">
            <w:pPr>
              <w:rPr>
                <w:b/>
                <w:lang w:val="en-US" w:bidi="en-US"/>
              </w:rPr>
            </w:pP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Supply</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Hydro</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7162</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Coal</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0</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Oil</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0</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Gas</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1279</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Renewables</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0</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Net imports</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117</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Total</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8324</w:t>
            </w:r>
          </w:p>
        </w:tc>
      </w:tr>
    </w:tbl>
    <w:p w:rsidR="005026E6" w:rsidRPr="00657FF8" w:rsidRDefault="005026E6" w:rsidP="005026E6">
      <w:pPr>
        <w:rPr>
          <w:rFonts w:ascii="Calibri" w:hAnsi="Calibri"/>
          <w:lang w:val="fr-FR" w:bidi="en-US"/>
        </w:rPr>
      </w:pPr>
      <w:r w:rsidRPr="00657FF8">
        <w:rPr>
          <w:lang w:val="fr-FR"/>
        </w:rPr>
        <w:t xml:space="preserve">Source: </w:t>
      </w:r>
      <w:hyperlink r:id="rId70" w:history="1">
        <w:r w:rsidRPr="00657FF8">
          <w:rPr>
            <w:rStyle w:val="Hyperlink"/>
            <w:lang w:val="fr-FR"/>
          </w:rPr>
          <w:t>http://www.iea.org/stats/electricitydata.asp?COUNTRY_CODE=GE</w:t>
        </w:r>
      </w:hyperlink>
      <w:r w:rsidRPr="00657FF8">
        <w:rPr>
          <w:lang w:val="fr-FR"/>
        </w:rPr>
        <w:t xml:space="preserve"> </w:t>
      </w:r>
    </w:p>
    <w:p w:rsidR="005026E6" w:rsidRDefault="005026E6" w:rsidP="005026E6">
      <w:pPr>
        <w:pStyle w:val="Heading3"/>
      </w:pPr>
      <w:bookmarkStart w:id="204" w:name="_Toc285051163"/>
      <w:bookmarkStart w:id="205" w:name="_Toc285050822"/>
      <w:bookmarkStart w:id="206" w:name="_Toc285443469"/>
      <w:bookmarkStart w:id="207" w:name="_Toc305768573"/>
      <w:r>
        <w:t>Gas</w:t>
      </w:r>
      <w:bookmarkEnd w:id="204"/>
      <w:bookmarkEnd w:id="205"/>
      <w:bookmarkEnd w:id="206"/>
      <w:bookmarkEnd w:id="207"/>
    </w:p>
    <w:p w:rsidR="005026E6" w:rsidRDefault="005026E6" w:rsidP="005026E6">
      <w:r>
        <w:t>SOCAR (Azerbaijan) bought 22 Georgian gas distribution companies in 2008, giving it a dominant position in gas supply to Georgia</w:t>
      </w:r>
      <w:r>
        <w:rPr>
          <w:rStyle w:val="FootnoteReference"/>
        </w:rPr>
        <w:footnoteReference w:id="52"/>
      </w:r>
      <w:r>
        <w:t xml:space="preserve">, although the Tbilisi distribution company is owned by </w:t>
      </w:r>
      <w:r>
        <w:rPr>
          <w:rStyle w:val="verdana"/>
        </w:rPr>
        <w:t>a subsidiary of Kazakhstan's Kazmunaigaz</w:t>
      </w:r>
    </w:p>
    <w:p w:rsidR="005026E6" w:rsidRPr="0030394E" w:rsidRDefault="005026E6" w:rsidP="005026E6">
      <w:pPr>
        <w:rPr>
          <w:rFonts w:ascii="Calibri" w:hAnsi="Calibri"/>
          <w:b/>
          <w:sz w:val="24"/>
          <w:szCs w:val="24"/>
        </w:rPr>
      </w:pPr>
      <w:r>
        <w:rPr>
          <w:b/>
          <w:sz w:val="24"/>
          <w:szCs w:val="24"/>
        </w:rPr>
        <w:t>Supply of gas for Georgia 2008 (TJ)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603"/>
      </w:tblGrid>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tcPr>
          <w:p w:rsidR="005026E6" w:rsidRPr="00E5602F" w:rsidRDefault="005026E6" w:rsidP="002326B5">
            <w:pPr>
              <w:rPr>
                <w:b/>
                <w:lang w:val="en-US" w:bidi="en-US"/>
              </w:rPr>
            </w:pP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Supply</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Production</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502</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Net Imports</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49488</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Final consumption</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28301</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 xml:space="preserve">      Industry</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8331</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lastRenderedPageBreak/>
              <w:t xml:space="preserve">      Commercial</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2512</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 xml:space="preserve">      Residential</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8960</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 xml:space="preserve">      Non-energy use</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3391</w:t>
            </w:r>
          </w:p>
        </w:tc>
      </w:tr>
    </w:tbl>
    <w:p w:rsidR="005026E6" w:rsidRPr="00657FF8" w:rsidRDefault="005026E6" w:rsidP="005026E6">
      <w:pPr>
        <w:rPr>
          <w:rFonts w:ascii="Calibri" w:hAnsi="Calibri"/>
          <w:lang w:val="fr-FR" w:bidi="en-US"/>
        </w:rPr>
      </w:pPr>
      <w:r w:rsidRPr="00657FF8">
        <w:rPr>
          <w:lang w:val="fr-FR"/>
        </w:rPr>
        <w:t xml:space="preserve">Source: </w:t>
      </w:r>
      <w:hyperlink r:id="rId71" w:history="1">
        <w:r w:rsidRPr="00657FF8">
          <w:rPr>
            <w:rStyle w:val="Hyperlink"/>
            <w:lang w:val="fr-FR"/>
          </w:rPr>
          <w:t>http://www.iea.org/stats/gasdata.asp?COUNTRY_CODE=GE</w:t>
        </w:r>
      </w:hyperlink>
      <w:r w:rsidRPr="00657FF8">
        <w:rPr>
          <w:lang w:val="fr-FR"/>
        </w:rPr>
        <w:t xml:space="preserve"> </w:t>
      </w:r>
    </w:p>
    <w:p w:rsidR="005026E6" w:rsidRDefault="005026E6" w:rsidP="005026E6">
      <w:pPr>
        <w:pStyle w:val="Heading2"/>
      </w:pPr>
      <w:bookmarkStart w:id="208" w:name="_Toc285051164"/>
      <w:bookmarkStart w:id="209" w:name="_Toc285050823"/>
      <w:bookmarkStart w:id="210" w:name="_Toc285443470"/>
      <w:bookmarkStart w:id="211" w:name="_Toc305768574"/>
      <w:r>
        <w:t>Moldova</w:t>
      </w:r>
      <w:bookmarkEnd w:id="208"/>
      <w:bookmarkEnd w:id="209"/>
      <w:bookmarkEnd w:id="210"/>
      <w:bookmarkEnd w:id="211"/>
    </w:p>
    <w:p w:rsidR="005026E6" w:rsidRDefault="005026E6" w:rsidP="005026E6">
      <w:pPr>
        <w:pStyle w:val="Heading3"/>
      </w:pPr>
      <w:bookmarkStart w:id="212" w:name="_Toc285051165"/>
      <w:bookmarkStart w:id="213" w:name="_Toc285050824"/>
      <w:bookmarkStart w:id="214" w:name="_Toc285443471"/>
      <w:bookmarkStart w:id="215" w:name="_Toc305768575"/>
      <w:r>
        <w:t>Electricity</w:t>
      </w:r>
      <w:bookmarkEnd w:id="212"/>
      <w:bookmarkEnd w:id="213"/>
      <w:bookmarkEnd w:id="214"/>
      <w:bookmarkEnd w:id="215"/>
    </w:p>
    <w:p w:rsidR="005026E6" w:rsidRDefault="005026E6" w:rsidP="005026E6">
      <w:pPr>
        <w:rPr>
          <w:rFonts w:eastAsia="Times New Roman"/>
          <w:lang w:eastAsia="en-GB"/>
        </w:rPr>
      </w:pPr>
      <w:r>
        <w:rPr>
          <w:rFonts w:eastAsia="Times New Roman"/>
          <w:lang w:eastAsia="en-GB"/>
        </w:rPr>
        <w:t xml:space="preserve">There are four main power plants, three thermal power plants and one hydroelectric plant. The largest generation company is </w:t>
      </w:r>
      <w:r>
        <w:rPr>
          <w:rStyle w:val="verdana"/>
        </w:rPr>
        <w:t>Moldavskaya GRES, which is a subsidiary of Inter RAO UES and owns the gas-fired Kuchurgan plant (2520MW), much the largest plant in Moldova.</w:t>
      </w:r>
      <w:r>
        <w:rPr>
          <w:rStyle w:val="FootnoteReference"/>
        </w:rPr>
        <w:footnoteReference w:id="53"/>
      </w:r>
      <w:r>
        <w:rPr>
          <w:rFonts w:eastAsia="Times New Roman"/>
          <w:lang w:eastAsia="en-GB"/>
        </w:rPr>
        <w:t xml:space="preserve"> The transmission operator is state-owned </w:t>
      </w:r>
      <w:r>
        <w:t>Moldelectrica</w:t>
      </w:r>
      <w:r>
        <w:rPr>
          <w:rFonts w:eastAsia="Times New Roman"/>
          <w:lang w:eastAsia="en-GB"/>
        </w:rPr>
        <w:t xml:space="preserve">. The largest of the three distribution companies covering Central and Southern Moldova including Chisinau is majority owned by the Spanish company, Union Fenosa, </w:t>
      </w:r>
      <w:r>
        <w:rPr>
          <w:rStyle w:val="verdana"/>
        </w:rPr>
        <w:t xml:space="preserve">RED </w:t>
      </w:r>
      <w:r>
        <w:rPr>
          <w:rStyle w:val="hit"/>
        </w:rPr>
        <w:t>Union Fenosa Moldova</w:t>
      </w:r>
      <w:r>
        <w:rPr>
          <w:rStyle w:val="FootnoteReference"/>
        </w:rPr>
        <w:footnoteReference w:id="54"/>
      </w:r>
      <w:r>
        <w:rPr>
          <w:rStyle w:val="hit"/>
        </w:rPr>
        <w:t>.</w:t>
      </w:r>
      <w:r>
        <w:rPr>
          <w:rFonts w:eastAsia="Times New Roman"/>
          <w:lang w:eastAsia="en-GB"/>
        </w:rPr>
        <w:t xml:space="preserve"> It purchased the company in 2000 for US$25m. The European Bank for Reconstruction and Development holds a minority stake (19%). The other two, </w:t>
      </w:r>
      <w:r>
        <w:t>RED Nord</w:t>
      </w:r>
      <w:r>
        <w:rPr>
          <w:rFonts w:eastAsia="Times New Roman"/>
          <w:lang w:eastAsia="en-GB"/>
        </w:rPr>
        <w:t xml:space="preserve"> and </w:t>
      </w:r>
      <w:r>
        <w:t>RED Nord-Vest</w:t>
      </w:r>
      <w:r>
        <w:rPr>
          <w:rFonts w:eastAsia="Times New Roman"/>
          <w:lang w:eastAsia="en-GB"/>
        </w:rPr>
        <w:t xml:space="preserve"> are state-owned. There were plans to privatise RED Nord and RED Nord-Vest in 2005, but these were abandoned and have not been re-started. The retail market is 100% open.</w:t>
      </w:r>
    </w:p>
    <w:p w:rsidR="005026E6" w:rsidRPr="0030394E" w:rsidRDefault="005026E6" w:rsidP="005026E6">
      <w:pPr>
        <w:rPr>
          <w:rFonts w:eastAsia="Times New Roman"/>
          <w:lang w:val="en-US" w:bidi="en-US"/>
        </w:rPr>
      </w:pPr>
      <w:r>
        <w:t>The electricity and gas regulatory body is the National Energy Regulatory Agency (ANRE).</w:t>
      </w:r>
      <w:r>
        <w:rPr>
          <w:rStyle w:val="FootnoteReference"/>
        </w:rPr>
        <w:footnoteReference w:id="55"/>
      </w:r>
    </w:p>
    <w:p w:rsidR="005026E6" w:rsidRPr="0030394E" w:rsidRDefault="005026E6" w:rsidP="005026E6">
      <w:pPr>
        <w:rPr>
          <w:rFonts w:ascii="Calibri" w:hAnsi="Calibri"/>
          <w:b/>
          <w:sz w:val="24"/>
          <w:szCs w:val="24"/>
        </w:rPr>
      </w:pPr>
      <w:r>
        <w:rPr>
          <w:b/>
          <w:sz w:val="24"/>
          <w:szCs w:val="24"/>
        </w:rPr>
        <w:t>Supply of electricity for Moldova 2008 (GWh)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8"/>
        <w:gridCol w:w="1848"/>
      </w:tblGrid>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tcPr>
          <w:p w:rsidR="005026E6" w:rsidRPr="00E5602F" w:rsidRDefault="005026E6" w:rsidP="002326B5">
            <w:pPr>
              <w:rPr>
                <w:b/>
                <w:lang w:val="en-US" w:bidi="en-US"/>
              </w:rPr>
            </w:pP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Supply</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Hydro</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82</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Coal</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76</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Oil</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0</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Gas</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3468</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Renewables</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0</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Net imports</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2958</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Total</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6584</w:t>
            </w:r>
          </w:p>
        </w:tc>
      </w:tr>
    </w:tbl>
    <w:p w:rsidR="005026E6" w:rsidRPr="00657FF8" w:rsidRDefault="005026E6" w:rsidP="005026E6">
      <w:pPr>
        <w:rPr>
          <w:rFonts w:ascii="Calibri" w:hAnsi="Calibri"/>
          <w:lang w:val="fr-FR" w:bidi="en-US"/>
        </w:rPr>
      </w:pPr>
      <w:r w:rsidRPr="00657FF8">
        <w:rPr>
          <w:lang w:val="fr-FR"/>
        </w:rPr>
        <w:t xml:space="preserve">Source: </w:t>
      </w:r>
      <w:hyperlink r:id="rId72" w:history="1">
        <w:r w:rsidRPr="00657FF8">
          <w:rPr>
            <w:rStyle w:val="Hyperlink"/>
            <w:lang w:val="fr-FR"/>
          </w:rPr>
          <w:t>http://www.iea.org/stats/electricitydata.asp?COUNTRY_CODE=MD</w:t>
        </w:r>
      </w:hyperlink>
      <w:r w:rsidRPr="00657FF8">
        <w:rPr>
          <w:lang w:val="fr-FR"/>
        </w:rPr>
        <w:t xml:space="preserve"> </w:t>
      </w:r>
    </w:p>
    <w:p w:rsidR="005026E6" w:rsidRDefault="005026E6" w:rsidP="005026E6">
      <w:pPr>
        <w:pStyle w:val="Heading3"/>
      </w:pPr>
      <w:bookmarkStart w:id="216" w:name="_Toc285051166"/>
      <w:bookmarkStart w:id="217" w:name="_Toc285050825"/>
      <w:bookmarkStart w:id="218" w:name="_Toc285443472"/>
      <w:bookmarkStart w:id="219" w:name="_Toc305768576"/>
      <w:r>
        <w:t>Gas</w:t>
      </w:r>
      <w:bookmarkEnd w:id="216"/>
      <w:bookmarkEnd w:id="217"/>
      <w:bookmarkEnd w:id="218"/>
      <w:bookmarkEnd w:id="219"/>
    </w:p>
    <w:p w:rsidR="005026E6" w:rsidRDefault="005026E6" w:rsidP="005026E6">
      <w:r>
        <w:t>Moldovagaz is the monopoly gas supplier for Moldova. It is majority owned by Gazprom, which bought 50%+1 of the shares in 1998 in lieu of debt repayment.</w:t>
      </w:r>
      <w:r>
        <w:rPr>
          <w:rStyle w:val="FootnoteReference"/>
        </w:rPr>
        <w:footnoteReference w:id="56"/>
      </w:r>
    </w:p>
    <w:p w:rsidR="005026E6" w:rsidRPr="0030394E" w:rsidRDefault="005026E6" w:rsidP="005026E6">
      <w:pPr>
        <w:rPr>
          <w:rFonts w:ascii="Calibri" w:hAnsi="Calibri"/>
          <w:b/>
          <w:sz w:val="24"/>
          <w:szCs w:val="24"/>
        </w:rPr>
      </w:pPr>
      <w:r>
        <w:rPr>
          <w:b/>
          <w:sz w:val="24"/>
          <w:szCs w:val="24"/>
        </w:rPr>
        <w:t>Supply of gas for Moldova 2008 (TJ)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603"/>
      </w:tblGrid>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tcPr>
          <w:p w:rsidR="005026E6" w:rsidRPr="00E5602F" w:rsidRDefault="005026E6" w:rsidP="002326B5">
            <w:pPr>
              <w:rPr>
                <w:b/>
                <w:lang w:val="en-US" w:bidi="en-US"/>
              </w:rPr>
            </w:pP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Supply</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Production</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0</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Net Imports</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92257</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Final consumption</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24716</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 xml:space="preserve">      Industry</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9311</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 xml:space="preserve">      Commercial</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3893</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 xml:space="preserve">      Residential</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10597</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 xml:space="preserve">      Non-energy use</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0</w:t>
            </w:r>
          </w:p>
        </w:tc>
      </w:tr>
    </w:tbl>
    <w:p w:rsidR="005026E6" w:rsidRPr="00657FF8" w:rsidRDefault="005026E6" w:rsidP="005026E6">
      <w:pPr>
        <w:rPr>
          <w:rFonts w:ascii="Calibri" w:hAnsi="Calibri"/>
          <w:lang w:val="fr-FR" w:bidi="en-US"/>
        </w:rPr>
      </w:pPr>
      <w:r w:rsidRPr="00657FF8">
        <w:rPr>
          <w:lang w:val="fr-FR"/>
        </w:rPr>
        <w:t xml:space="preserve">Source: </w:t>
      </w:r>
      <w:hyperlink r:id="rId73" w:history="1">
        <w:r w:rsidRPr="00657FF8">
          <w:rPr>
            <w:rStyle w:val="Hyperlink"/>
            <w:lang w:val="fr-FR"/>
          </w:rPr>
          <w:t>http://www.iea.org/stats/gasdata.asp?COUNTRY_CODE=MD</w:t>
        </w:r>
      </w:hyperlink>
      <w:r w:rsidRPr="00657FF8">
        <w:rPr>
          <w:lang w:val="fr-FR"/>
        </w:rPr>
        <w:t xml:space="preserve"> </w:t>
      </w:r>
    </w:p>
    <w:p w:rsidR="005026E6" w:rsidRDefault="005026E6" w:rsidP="005026E6">
      <w:pPr>
        <w:pStyle w:val="Heading2"/>
      </w:pPr>
      <w:bookmarkStart w:id="222" w:name="_Toc285051167"/>
      <w:bookmarkStart w:id="223" w:name="_Toc285050826"/>
      <w:bookmarkStart w:id="224" w:name="_Toc285443473"/>
      <w:bookmarkStart w:id="225" w:name="_Toc305768577"/>
      <w:r>
        <w:t>Ukraine</w:t>
      </w:r>
      <w:bookmarkEnd w:id="222"/>
      <w:bookmarkEnd w:id="223"/>
      <w:bookmarkEnd w:id="224"/>
      <w:bookmarkEnd w:id="225"/>
    </w:p>
    <w:p w:rsidR="005026E6" w:rsidRDefault="005026E6" w:rsidP="005026E6">
      <w:pPr>
        <w:pStyle w:val="Heading3"/>
      </w:pPr>
      <w:bookmarkStart w:id="226" w:name="_Toc285051168"/>
      <w:bookmarkStart w:id="227" w:name="_Toc285050827"/>
      <w:bookmarkStart w:id="228" w:name="_Toc285443474"/>
      <w:bookmarkStart w:id="229" w:name="_Toc305768578"/>
      <w:r>
        <w:t>Electricity</w:t>
      </w:r>
      <w:bookmarkEnd w:id="226"/>
      <w:bookmarkEnd w:id="227"/>
      <w:bookmarkEnd w:id="228"/>
      <w:bookmarkEnd w:id="229"/>
    </w:p>
    <w:p w:rsidR="005026E6" w:rsidRDefault="005026E6" w:rsidP="005026E6">
      <w:proofErr w:type="gramStart"/>
      <w:r>
        <w:t>According to the electricity regulatory body, the National Electricity Regulatory Commission of Ukraine (NERC)</w:t>
      </w:r>
      <w:r>
        <w:rPr>
          <w:rStyle w:val="FootnoteReference"/>
        </w:rPr>
        <w:footnoteReference w:id="57"/>
      </w:r>
      <w:r>
        <w:t>, there 40 electricity generators, 36 retail companies and a single transmission company, the state-owned Ukrenergo.</w:t>
      </w:r>
      <w:proofErr w:type="gramEnd"/>
      <w:r>
        <w:rPr>
          <w:rStyle w:val="FootnoteReference"/>
        </w:rPr>
        <w:footnoteReference w:id="58"/>
      </w:r>
      <w:r>
        <w:t xml:space="preserve"> </w:t>
      </w:r>
    </w:p>
    <w:p w:rsidR="005026E6" w:rsidRDefault="005026E6" w:rsidP="005026E6">
      <w:proofErr w:type="gramStart"/>
      <w:r>
        <w:lastRenderedPageBreak/>
        <w:t>About half the generation comes from the nuclear power plants, which are owned by Energoatom</w:t>
      </w:r>
      <w:r>
        <w:rPr>
          <w:rStyle w:val="FootnoteReference"/>
        </w:rPr>
        <w:footnoteReference w:id="59"/>
      </w:r>
      <w:r>
        <w:t xml:space="preserve"> and controlled by the Ministry of Fuel and Energy of Ukraine.</w:t>
      </w:r>
      <w:proofErr w:type="gramEnd"/>
      <w:r>
        <w:t xml:space="preserve"> The four largest fossil fuel generators are Donbassenergo, Zakhidenergo, Tsentrenergo, and Dniproenergo, with a total capacity of 29670MW. The state owns a majority share in these companies and all other energy holdings through the National Joint Stock Company, Energy Company of Ukraine (EKU)</w:t>
      </w:r>
      <w:r>
        <w:rPr>
          <w:rStyle w:val="FootnoteReference"/>
        </w:rPr>
        <w:footnoteReference w:id="60"/>
      </w:r>
      <w:r>
        <w:t>. There have been various attempts to privatise them, the latest scheduled for the second quarter of 2011.</w:t>
      </w:r>
      <w:r>
        <w:rPr>
          <w:rStyle w:val="FootnoteReference"/>
        </w:rPr>
        <w:footnoteReference w:id="61"/>
      </w:r>
      <w:r>
        <w:t xml:space="preserve"> Donbassenergo owns 3.7GW of plant and the state owns 85.8% of the shares; Zakhidenergo,</w:t>
      </w:r>
      <w:r>
        <w:rPr>
          <w:rStyle w:val="FootnoteReference"/>
        </w:rPr>
        <w:footnoteReference w:id="62"/>
      </w:r>
      <w:r>
        <w:t xml:space="preserve"> 70% state-owned, owns 4707MW of plants; Tsentrenergo, 78% state-owned, has 7550MW of plant</w:t>
      </w:r>
      <w:r>
        <w:rPr>
          <w:rStyle w:val="FootnoteReference"/>
        </w:rPr>
        <w:footnoteReference w:id="63"/>
      </w:r>
      <w:r>
        <w:t>; Dniproenergo, 76% state-owned, owns 8185MW of capacity.</w:t>
      </w:r>
      <w:r>
        <w:rPr>
          <w:rStyle w:val="FootnoteReference"/>
        </w:rPr>
        <w:footnoteReference w:id="64"/>
      </w:r>
      <w:r>
        <w:t xml:space="preserve"> The hydroelectric plants are owned Ukrhydroenergo, 100% owned by the Energy Company of Ukraine</w:t>
      </w:r>
      <w:r>
        <w:rPr>
          <w:rStyle w:val="FootnoteReference"/>
        </w:rPr>
        <w:footnoteReference w:id="65"/>
      </w:r>
      <w:r>
        <w:t xml:space="preserve"> but there are no plans to privatise this company.</w:t>
      </w:r>
    </w:p>
    <w:p w:rsidR="005026E6" w:rsidRPr="0030394E" w:rsidRDefault="005026E6" w:rsidP="005026E6">
      <w:pPr>
        <w:pStyle w:val="Heading7"/>
        <w:rPr>
          <w:rFonts w:ascii="Calibri" w:hAnsi="Calibri"/>
          <w:sz w:val="24"/>
          <w:szCs w:val="24"/>
        </w:rPr>
      </w:pPr>
      <w:bookmarkStart w:id="230" w:name="_Toc94515511"/>
      <w:bookmarkStart w:id="231" w:name="_Toc285443475"/>
      <w:bookmarkStart w:id="232" w:name="_Toc305768579"/>
      <w:r w:rsidRPr="0030394E">
        <w:rPr>
          <w:rFonts w:ascii="Calibri" w:hAnsi="Calibri"/>
          <w:b w:val="0"/>
          <w:i/>
          <w:sz w:val="24"/>
          <w:szCs w:val="24"/>
        </w:rPr>
        <w:t>Electricity distribution companies in Ukraine</w:t>
      </w:r>
      <w:bookmarkEnd w:id="230"/>
      <w:bookmarkEnd w:id="231"/>
      <w:bookmarkEnd w:id="232"/>
    </w:p>
    <w:p w:rsidR="005026E6" w:rsidRPr="0030394E" w:rsidRDefault="005026E6" w:rsidP="005026E6">
      <w:pPr>
        <w:rPr>
          <w:rFonts w:ascii="Calibri" w:hAnsi="Calibri"/>
          <w:b/>
          <w:sz w:val="20"/>
          <w:szCs w:val="20"/>
        </w:rPr>
      </w:pPr>
      <w:r>
        <w:rPr>
          <w:b/>
          <w:sz w:val="20"/>
          <w:szCs w:val="20"/>
        </w:rPr>
        <w:t>Energo</w:t>
      </w:r>
      <w:r>
        <w:rPr>
          <w:b/>
          <w:sz w:val="20"/>
          <w:szCs w:val="20"/>
        </w:rPr>
        <w:tab/>
      </w:r>
      <w:r>
        <w:rPr>
          <w:b/>
          <w:sz w:val="20"/>
          <w:szCs w:val="20"/>
        </w:rPr>
        <w:tab/>
      </w:r>
      <w:r>
        <w:rPr>
          <w:b/>
          <w:sz w:val="20"/>
          <w:szCs w:val="20"/>
        </w:rPr>
        <w:tab/>
        <w:t>Consumers</w:t>
      </w:r>
      <w:r>
        <w:rPr>
          <w:b/>
          <w:sz w:val="20"/>
          <w:szCs w:val="20"/>
        </w:rPr>
        <w:tab/>
        <w:t>Owners (%)</w:t>
      </w:r>
    </w:p>
    <w:p w:rsidR="005026E6" w:rsidRDefault="005026E6" w:rsidP="005026E6">
      <w:pPr>
        <w:rPr>
          <w:sz w:val="20"/>
          <w:szCs w:val="20"/>
        </w:rPr>
      </w:pPr>
      <w:r>
        <w:rPr>
          <w:sz w:val="20"/>
          <w:szCs w:val="20"/>
        </w:rPr>
        <w:t>Kyivoblenergo</w:t>
      </w:r>
      <w:r>
        <w:rPr>
          <w:sz w:val="20"/>
          <w:szCs w:val="20"/>
        </w:rPr>
        <w:tab/>
      </w:r>
      <w:r>
        <w:rPr>
          <w:sz w:val="20"/>
          <w:szCs w:val="20"/>
        </w:rPr>
        <w:tab/>
        <w:t>763,000</w:t>
      </w:r>
      <w:r>
        <w:rPr>
          <w:sz w:val="20"/>
          <w:szCs w:val="20"/>
        </w:rPr>
        <w:tab/>
      </w:r>
      <w:r>
        <w:rPr>
          <w:sz w:val="20"/>
          <w:szCs w:val="20"/>
        </w:rPr>
        <w:tab/>
        <w:t>AES (75)</w:t>
      </w:r>
    </w:p>
    <w:p w:rsidR="005026E6" w:rsidRDefault="005026E6" w:rsidP="005026E6">
      <w:pPr>
        <w:rPr>
          <w:sz w:val="20"/>
          <w:szCs w:val="20"/>
        </w:rPr>
      </w:pPr>
      <w:r>
        <w:rPr>
          <w:sz w:val="20"/>
          <w:szCs w:val="20"/>
        </w:rPr>
        <w:t>Rivneoblenergo</w:t>
      </w:r>
      <w:r>
        <w:rPr>
          <w:sz w:val="20"/>
          <w:szCs w:val="20"/>
        </w:rPr>
        <w:tab/>
      </w:r>
      <w:r>
        <w:rPr>
          <w:sz w:val="20"/>
          <w:szCs w:val="20"/>
        </w:rPr>
        <w:tab/>
        <w:t>383,000</w:t>
      </w:r>
      <w:r>
        <w:rPr>
          <w:sz w:val="20"/>
          <w:szCs w:val="20"/>
        </w:rPr>
        <w:tab/>
      </w:r>
      <w:r>
        <w:rPr>
          <w:sz w:val="20"/>
          <w:szCs w:val="20"/>
        </w:rPr>
        <w:tab/>
        <w:t>AES (75)</w:t>
      </w:r>
    </w:p>
    <w:p w:rsidR="005026E6" w:rsidRDefault="005026E6" w:rsidP="005026E6">
      <w:pPr>
        <w:rPr>
          <w:sz w:val="20"/>
          <w:szCs w:val="20"/>
        </w:rPr>
      </w:pPr>
      <w:r>
        <w:rPr>
          <w:sz w:val="20"/>
          <w:szCs w:val="20"/>
        </w:rPr>
        <w:t>Zhytomyroblenergo</w:t>
      </w:r>
      <w:r>
        <w:rPr>
          <w:sz w:val="20"/>
          <w:szCs w:val="20"/>
        </w:rPr>
        <w:tab/>
        <w:t>525,000</w:t>
      </w:r>
      <w:r>
        <w:rPr>
          <w:sz w:val="20"/>
          <w:szCs w:val="20"/>
        </w:rPr>
        <w:tab/>
      </w:r>
      <w:r>
        <w:rPr>
          <w:sz w:val="20"/>
          <w:szCs w:val="20"/>
        </w:rPr>
        <w:tab/>
        <w:t>VSE (75.6)</w:t>
      </w:r>
    </w:p>
    <w:p w:rsidR="005026E6" w:rsidRDefault="005026E6" w:rsidP="005026E6">
      <w:pPr>
        <w:rPr>
          <w:sz w:val="20"/>
          <w:szCs w:val="20"/>
        </w:rPr>
      </w:pPr>
      <w:r>
        <w:rPr>
          <w:sz w:val="20"/>
          <w:szCs w:val="20"/>
        </w:rPr>
        <w:t>Sevastopolmiskenergo</w:t>
      </w:r>
      <w:r>
        <w:rPr>
          <w:sz w:val="20"/>
          <w:szCs w:val="20"/>
        </w:rPr>
        <w:tab/>
        <w:t>137,000</w:t>
      </w:r>
      <w:r>
        <w:rPr>
          <w:sz w:val="20"/>
          <w:szCs w:val="20"/>
        </w:rPr>
        <w:tab/>
      </w:r>
      <w:r>
        <w:rPr>
          <w:sz w:val="20"/>
          <w:szCs w:val="20"/>
        </w:rPr>
        <w:tab/>
        <w:t>VSE (70)</w:t>
      </w:r>
    </w:p>
    <w:p w:rsidR="005026E6" w:rsidRDefault="005026E6" w:rsidP="005026E6">
      <w:pPr>
        <w:rPr>
          <w:sz w:val="20"/>
          <w:szCs w:val="20"/>
        </w:rPr>
      </w:pPr>
      <w:r>
        <w:rPr>
          <w:sz w:val="20"/>
          <w:szCs w:val="20"/>
        </w:rPr>
        <w:t>Khersonoblenergo</w:t>
      </w:r>
      <w:r>
        <w:rPr>
          <w:sz w:val="20"/>
          <w:szCs w:val="20"/>
        </w:rPr>
        <w:tab/>
        <w:t>594,000</w:t>
      </w:r>
      <w:r>
        <w:rPr>
          <w:sz w:val="20"/>
          <w:szCs w:val="20"/>
        </w:rPr>
        <w:tab/>
      </w:r>
      <w:r>
        <w:rPr>
          <w:sz w:val="20"/>
          <w:szCs w:val="20"/>
        </w:rPr>
        <w:tab/>
        <w:t>VSE (65)</w:t>
      </w:r>
    </w:p>
    <w:p w:rsidR="005026E6" w:rsidRDefault="005026E6" w:rsidP="005026E6">
      <w:pPr>
        <w:rPr>
          <w:sz w:val="20"/>
          <w:szCs w:val="20"/>
        </w:rPr>
      </w:pPr>
      <w:r>
        <w:rPr>
          <w:sz w:val="20"/>
          <w:szCs w:val="20"/>
        </w:rPr>
        <w:t>Kirovogradoblenergo</w:t>
      </w:r>
      <w:r>
        <w:rPr>
          <w:sz w:val="20"/>
          <w:szCs w:val="20"/>
        </w:rPr>
        <w:tab/>
        <w:t>479,000</w:t>
      </w:r>
      <w:r>
        <w:rPr>
          <w:sz w:val="20"/>
          <w:szCs w:val="20"/>
        </w:rPr>
        <w:tab/>
      </w:r>
      <w:r>
        <w:rPr>
          <w:sz w:val="20"/>
          <w:szCs w:val="20"/>
        </w:rPr>
        <w:tab/>
        <w:t>VSE (51)</w:t>
      </w:r>
    </w:p>
    <w:p w:rsidR="005026E6" w:rsidRDefault="005026E6" w:rsidP="005026E6">
      <w:pPr>
        <w:rPr>
          <w:sz w:val="20"/>
          <w:szCs w:val="20"/>
        </w:rPr>
      </w:pPr>
      <w:r>
        <w:rPr>
          <w:sz w:val="20"/>
          <w:szCs w:val="20"/>
        </w:rPr>
        <w:t>Zaporozhyeoblenergo</w:t>
      </w:r>
      <w:r>
        <w:rPr>
          <w:sz w:val="20"/>
          <w:szCs w:val="20"/>
        </w:rPr>
        <w:tab/>
      </w:r>
      <w:r>
        <w:rPr>
          <w:sz w:val="20"/>
          <w:szCs w:val="20"/>
        </w:rPr>
        <w:tab/>
      </w:r>
      <w:r>
        <w:rPr>
          <w:sz w:val="20"/>
          <w:szCs w:val="20"/>
        </w:rPr>
        <w:tab/>
        <w:t>RAO UESR, EKU (60)</w:t>
      </w:r>
    </w:p>
    <w:p w:rsidR="005026E6" w:rsidRDefault="005026E6" w:rsidP="005026E6">
      <w:pPr>
        <w:rPr>
          <w:sz w:val="20"/>
          <w:szCs w:val="20"/>
        </w:rPr>
      </w:pPr>
      <w:r>
        <w:rPr>
          <w:sz w:val="20"/>
          <w:szCs w:val="20"/>
        </w:rPr>
        <w:t>Luganskoblenergo</w:t>
      </w:r>
      <w:r>
        <w:rPr>
          <w:sz w:val="20"/>
          <w:szCs w:val="20"/>
        </w:rPr>
        <w:tab/>
      </w:r>
      <w:r>
        <w:rPr>
          <w:sz w:val="20"/>
          <w:szCs w:val="20"/>
        </w:rPr>
        <w:tab/>
      </w:r>
      <w:r>
        <w:rPr>
          <w:sz w:val="20"/>
          <w:szCs w:val="20"/>
        </w:rPr>
        <w:tab/>
        <w:t>RAO UESR, EKU (60)</w:t>
      </w:r>
    </w:p>
    <w:p w:rsidR="005026E6" w:rsidRDefault="005026E6" w:rsidP="005026E6">
      <w:pPr>
        <w:rPr>
          <w:sz w:val="20"/>
          <w:szCs w:val="20"/>
        </w:rPr>
      </w:pPr>
      <w:r>
        <w:rPr>
          <w:sz w:val="20"/>
          <w:szCs w:val="20"/>
        </w:rPr>
        <w:t>Lvovoblenergo</w:t>
      </w:r>
      <w:r>
        <w:rPr>
          <w:sz w:val="20"/>
          <w:szCs w:val="20"/>
        </w:rPr>
        <w:tab/>
      </w:r>
      <w:r>
        <w:rPr>
          <w:sz w:val="20"/>
          <w:szCs w:val="20"/>
        </w:rPr>
        <w:tab/>
      </w:r>
      <w:r>
        <w:rPr>
          <w:sz w:val="20"/>
          <w:szCs w:val="20"/>
        </w:rPr>
        <w:tab/>
      </w:r>
      <w:r>
        <w:rPr>
          <w:sz w:val="20"/>
          <w:szCs w:val="20"/>
        </w:rPr>
        <w:tab/>
        <w:t>RAO UESR, EKU (27)</w:t>
      </w:r>
    </w:p>
    <w:p w:rsidR="005026E6" w:rsidRDefault="005026E6" w:rsidP="005026E6">
      <w:pPr>
        <w:rPr>
          <w:sz w:val="20"/>
          <w:szCs w:val="20"/>
        </w:rPr>
      </w:pPr>
      <w:r>
        <w:rPr>
          <w:sz w:val="20"/>
          <w:szCs w:val="20"/>
        </w:rPr>
        <w:t>Nikolaevoblenergo</w:t>
      </w:r>
      <w:r>
        <w:rPr>
          <w:sz w:val="20"/>
          <w:szCs w:val="20"/>
        </w:rPr>
        <w:tab/>
      </w:r>
      <w:r>
        <w:rPr>
          <w:sz w:val="20"/>
          <w:szCs w:val="20"/>
        </w:rPr>
        <w:tab/>
      </w:r>
      <w:r>
        <w:rPr>
          <w:sz w:val="20"/>
          <w:szCs w:val="20"/>
        </w:rPr>
        <w:tab/>
        <w:t>RAO UESR, EKU (70)</w:t>
      </w:r>
    </w:p>
    <w:p w:rsidR="005026E6" w:rsidRDefault="005026E6" w:rsidP="005026E6">
      <w:pPr>
        <w:rPr>
          <w:sz w:val="20"/>
          <w:szCs w:val="20"/>
        </w:rPr>
      </w:pPr>
      <w:r>
        <w:rPr>
          <w:sz w:val="20"/>
          <w:szCs w:val="20"/>
        </w:rPr>
        <w:t>Poltavaoblenergo</w:t>
      </w:r>
      <w:r>
        <w:rPr>
          <w:sz w:val="20"/>
          <w:szCs w:val="20"/>
        </w:rPr>
        <w:tab/>
      </w:r>
      <w:r>
        <w:rPr>
          <w:sz w:val="20"/>
          <w:szCs w:val="20"/>
        </w:rPr>
        <w:tab/>
      </w:r>
      <w:r>
        <w:rPr>
          <w:sz w:val="20"/>
          <w:szCs w:val="20"/>
        </w:rPr>
        <w:tab/>
      </w:r>
      <w:r>
        <w:rPr>
          <w:sz w:val="20"/>
          <w:szCs w:val="20"/>
        </w:rPr>
        <w:tab/>
        <w:t>RAO UESR, EKU (25 + 1)</w:t>
      </w:r>
    </w:p>
    <w:p w:rsidR="005026E6" w:rsidRDefault="005026E6" w:rsidP="005026E6">
      <w:pPr>
        <w:rPr>
          <w:sz w:val="20"/>
          <w:szCs w:val="20"/>
        </w:rPr>
      </w:pPr>
      <w:r>
        <w:rPr>
          <w:sz w:val="20"/>
          <w:szCs w:val="20"/>
        </w:rPr>
        <w:t>Prikarpatyeoblenergo</w:t>
      </w:r>
      <w:r>
        <w:rPr>
          <w:sz w:val="20"/>
          <w:szCs w:val="20"/>
        </w:rPr>
        <w:tab/>
      </w:r>
      <w:r>
        <w:rPr>
          <w:sz w:val="20"/>
          <w:szCs w:val="20"/>
        </w:rPr>
        <w:tab/>
      </w:r>
      <w:r>
        <w:rPr>
          <w:sz w:val="20"/>
          <w:szCs w:val="20"/>
        </w:rPr>
        <w:tab/>
        <w:t>RAO UESR, EKU (25)</w:t>
      </w:r>
    </w:p>
    <w:p w:rsidR="005026E6" w:rsidRDefault="005026E6" w:rsidP="005026E6">
      <w:pPr>
        <w:rPr>
          <w:sz w:val="20"/>
          <w:szCs w:val="20"/>
        </w:rPr>
      </w:pPr>
      <w:r>
        <w:rPr>
          <w:sz w:val="20"/>
          <w:szCs w:val="20"/>
        </w:rPr>
        <w:t>Sumyoblenergo</w:t>
      </w:r>
      <w:r>
        <w:rPr>
          <w:sz w:val="20"/>
          <w:szCs w:val="20"/>
        </w:rPr>
        <w:tab/>
      </w:r>
      <w:r>
        <w:rPr>
          <w:sz w:val="20"/>
          <w:szCs w:val="20"/>
        </w:rPr>
        <w:tab/>
      </w:r>
      <w:r>
        <w:rPr>
          <w:sz w:val="20"/>
          <w:szCs w:val="20"/>
        </w:rPr>
        <w:tab/>
      </w:r>
      <w:r>
        <w:rPr>
          <w:sz w:val="20"/>
          <w:szCs w:val="20"/>
        </w:rPr>
        <w:tab/>
        <w:t>RAO UESR, EKU (25 + 1)</w:t>
      </w:r>
    </w:p>
    <w:p w:rsidR="005026E6" w:rsidRDefault="005026E6" w:rsidP="005026E6">
      <w:pPr>
        <w:rPr>
          <w:sz w:val="20"/>
          <w:szCs w:val="20"/>
        </w:rPr>
      </w:pPr>
      <w:r>
        <w:rPr>
          <w:sz w:val="20"/>
          <w:szCs w:val="20"/>
        </w:rPr>
        <w:t>Ternopoloblenergo</w:t>
      </w:r>
      <w:r>
        <w:rPr>
          <w:sz w:val="20"/>
          <w:szCs w:val="20"/>
        </w:rPr>
        <w:tab/>
      </w:r>
      <w:r>
        <w:rPr>
          <w:sz w:val="20"/>
          <w:szCs w:val="20"/>
        </w:rPr>
        <w:tab/>
      </w:r>
      <w:r>
        <w:rPr>
          <w:sz w:val="20"/>
          <w:szCs w:val="20"/>
        </w:rPr>
        <w:tab/>
        <w:t>RAO UESR, EKU (51)</w:t>
      </w:r>
    </w:p>
    <w:p w:rsidR="005026E6" w:rsidRDefault="005026E6" w:rsidP="005026E6">
      <w:pPr>
        <w:rPr>
          <w:sz w:val="20"/>
          <w:szCs w:val="20"/>
        </w:rPr>
      </w:pPr>
      <w:r>
        <w:rPr>
          <w:sz w:val="20"/>
          <w:szCs w:val="20"/>
        </w:rPr>
        <w:t>Chernigovoblenergo</w:t>
      </w:r>
      <w:r>
        <w:rPr>
          <w:sz w:val="20"/>
          <w:szCs w:val="20"/>
        </w:rPr>
        <w:tab/>
      </w:r>
      <w:r>
        <w:rPr>
          <w:sz w:val="20"/>
          <w:szCs w:val="20"/>
        </w:rPr>
        <w:tab/>
      </w:r>
      <w:r>
        <w:rPr>
          <w:sz w:val="20"/>
          <w:szCs w:val="20"/>
        </w:rPr>
        <w:tab/>
        <w:t>RAO UESR, EKU (25 + 1)</w:t>
      </w:r>
    </w:p>
    <w:p w:rsidR="005026E6" w:rsidRDefault="005026E6" w:rsidP="005026E6">
      <w:pPr>
        <w:rPr>
          <w:sz w:val="20"/>
          <w:szCs w:val="20"/>
        </w:rPr>
      </w:pPr>
      <w:r>
        <w:rPr>
          <w:sz w:val="20"/>
          <w:szCs w:val="20"/>
        </w:rPr>
        <w:t>Odessaoblenergo</w:t>
      </w:r>
      <w:r>
        <w:rPr>
          <w:sz w:val="20"/>
          <w:szCs w:val="20"/>
        </w:rPr>
        <w:tab/>
      </w:r>
      <w:r>
        <w:rPr>
          <w:sz w:val="20"/>
          <w:szCs w:val="20"/>
        </w:rPr>
        <w:tab/>
      </w:r>
      <w:r>
        <w:rPr>
          <w:sz w:val="20"/>
          <w:szCs w:val="20"/>
        </w:rPr>
        <w:tab/>
      </w:r>
      <w:r>
        <w:rPr>
          <w:sz w:val="20"/>
          <w:szCs w:val="20"/>
        </w:rPr>
        <w:tab/>
        <w:t>EKU (25)</w:t>
      </w:r>
    </w:p>
    <w:p w:rsidR="005026E6" w:rsidRDefault="005026E6" w:rsidP="005026E6">
      <w:pPr>
        <w:rPr>
          <w:sz w:val="20"/>
          <w:szCs w:val="20"/>
        </w:rPr>
      </w:pPr>
      <w:r>
        <w:rPr>
          <w:sz w:val="20"/>
          <w:szCs w:val="20"/>
        </w:rPr>
        <w:t>Vinnitsaoblenergo</w:t>
      </w:r>
      <w:r>
        <w:rPr>
          <w:sz w:val="20"/>
          <w:szCs w:val="20"/>
        </w:rPr>
        <w:tab/>
      </w:r>
      <w:r>
        <w:rPr>
          <w:sz w:val="20"/>
          <w:szCs w:val="20"/>
        </w:rPr>
        <w:tab/>
      </w:r>
      <w:r>
        <w:rPr>
          <w:sz w:val="20"/>
          <w:szCs w:val="20"/>
        </w:rPr>
        <w:tab/>
        <w:t>EKU (75)</w:t>
      </w:r>
    </w:p>
    <w:p w:rsidR="005026E6" w:rsidRDefault="005026E6" w:rsidP="005026E6">
      <w:pPr>
        <w:rPr>
          <w:sz w:val="20"/>
          <w:szCs w:val="20"/>
        </w:rPr>
      </w:pPr>
      <w:r>
        <w:rPr>
          <w:sz w:val="20"/>
          <w:szCs w:val="20"/>
        </w:rPr>
        <w:t>Volynoblenergo</w:t>
      </w:r>
      <w:r>
        <w:rPr>
          <w:sz w:val="20"/>
          <w:szCs w:val="20"/>
        </w:rPr>
        <w:tab/>
      </w:r>
      <w:r>
        <w:rPr>
          <w:sz w:val="20"/>
          <w:szCs w:val="20"/>
        </w:rPr>
        <w:tab/>
      </w:r>
      <w:r>
        <w:rPr>
          <w:sz w:val="20"/>
          <w:szCs w:val="20"/>
        </w:rPr>
        <w:tab/>
      </w:r>
      <w:r>
        <w:rPr>
          <w:sz w:val="20"/>
          <w:szCs w:val="20"/>
        </w:rPr>
        <w:tab/>
        <w:t>EKU (75)</w:t>
      </w:r>
    </w:p>
    <w:p w:rsidR="005026E6" w:rsidRDefault="005026E6" w:rsidP="005026E6">
      <w:pPr>
        <w:rPr>
          <w:sz w:val="20"/>
          <w:szCs w:val="20"/>
        </w:rPr>
      </w:pPr>
      <w:r>
        <w:rPr>
          <w:sz w:val="20"/>
          <w:szCs w:val="20"/>
        </w:rPr>
        <w:t>Zakarpattyaoblenergo</w:t>
      </w:r>
      <w:r>
        <w:rPr>
          <w:sz w:val="20"/>
          <w:szCs w:val="20"/>
        </w:rPr>
        <w:tab/>
      </w:r>
      <w:r>
        <w:rPr>
          <w:sz w:val="20"/>
          <w:szCs w:val="20"/>
        </w:rPr>
        <w:tab/>
      </w:r>
      <w:r>
        <w:rPr>
          <w:sz w:val="20"/>
          <w:szCs w:val="20"/>
        </w:rPr>
        <w:tab/>
        <w:t>EKU (75)</w:t>
      </w:r>
    </w:p>
    <w:p w:rsidR="005026E6" w:rsidRDefault="005026E6" w:rsidP="005026E6">
      <w:pPr>
        <w:rPr>
          <w:sz w:val="20"/>
          <w:szCs w:val="20"/>
        </w:rPr>
      </w:pPr>
      <w:r>
        <w:rPr>
          <w:sz w:val="20"/>
          <w:szCs w:val="20"/>
        </w:rPr>
        <w:t>Dniproobleenergo</w:t>
      </w:r>
      <w:r>
        <w:rPr>
          <w:sz w:val="20"/>
          <w:szCs w:val="20"/>
        </w:rPr>
        <w:tab/>
      </w:r>
      <w:r>
        <w:rPr>
          <w:sz w:val="20"/>
          <w:szCs w:val="20"/>
        </w:rPr>
        <w:tab/>
      </w:r>
      <w:r>
        <w:rPr>
          <w:sz w:val="20"/>
          <w:szCs w:val="20"/>
        </w:rPr>
        <w:tab/>
        <w:t>EKU (75)</w:t>
      </w:r>
    </w:p>
    <w:p w:rsidR="005026E6" w:rsidRDefault="005026E6" w:rsidP="005026E6">
      <w:pPr>
        <w:rPr>
          <w:sz w:val="20"/>
          <w:szCs w:val="20"/>
        </w:rPr>
      </w:pPr>
      <w:r>
        <w:rPr>
          <w:sz w:val="20"/>
          <w:szCs w:val="20"/>
        </w:rPr>
        <w:t>Khmelnitskobleenergo</w:t>
      </w:r>
      <w:r>
        <w:rPr>
          <w:sz w:val="20"/>
          <w:szCs w:val="20"/>
        </w:rPr>
        <w:tab/>
      </w:r>
      <w:r>
        <w:rPr>
          <w:sz w:val="20"/>
          <w:szCs w:val="20"/>
        </w:rPr>
        <w:tab/>
      </w:r>
      <w:r>
        <w:rPr>
          <w:sz w:val="20"/>
          <w:szCs w:val="20"/>
        </w:rPr>
        <w:tab/>
        <w:t>EKU (70)</w:t>
      </w:r>
    </w:p>
    <w:p w:rsidR="005026E6" w:rsidRDefault="005026E6" w:rsidP="005026E6">
      <w:pPr>
        <w:rPr>
          <w:sz w:val="20"/>
          <w:szCs w:val="20"/>
        </w:rPr>
      </w:pPr>
      <w:r>
        <w:rPr>
          <w:sz w:val="20"/>
          <w:szCs w:val="20"/>
        </w:rPr>
        <w:t>Krymenergo</w:t>
      </w:r>
      <w:r>
        <w:rPr>
          <w:sz w:val="20"/>
          <w:szCs w:val="20"/>
        </w:rPr>
        <w:tab/>
      </w:r>
      <w:r>
        <w:rPr>
          <w:sz w:val="20"/>
          <w:szCs w:val="20"/>
        </w:rPr>
        <w:tab/>
      </w:r>
      <w:r>
        <w:rPr>
          <w:sz w:val="20"/>
          <w:szCs w:val="20"/>
        </w:rPr>
        <w:tab/>
      </w:r>
      <w:r>
        <w:rPr>
          <w:sz w:val="20"/>
          <w:szCs w:val="20"/>
        </w:rPr>
        <w:tab/>
        <w:t>EKU (70)</w:t>
      </w:r>
    </w:p>
    <w:p w:rsidR="005026E6" w:rsidRDefault="005026E6" w:rsidP="005026E6">
      <w:pPr>
        <w:rPr>
          <w:sz w:val="20"/>
          <w:szCs w:val="20"/>
        </w:rPr>
      </w:pPr>
      <w:r>
        <w:rPr>
          <w:sz w:val="20"/>
          <w:szCs w:val="20"/>
        </w:rPr>
        <w:t>Kharkhivenergo</w:t>
      </w:r>
      <w:r>
        <w:rPr>
          <w:sz w:val="20"/>
          <w:szCs w:val="20"/>
        </w:rPr>
        <w:tab/>
      </w:r>
      <w:r>
        <w:rPr>
          <w:sz w:val="20"/>
          <w:szCs w:val="20"/>
        </w:rPr>
        <w:tab/>
      </w:r>
      <w:r>
        <w:rPr>
          <w:sz w:val="20"/>
          <w:szCs w:val="20"/>
        </w:rPr>
        <w:tab/>
      </w:r>
      <w:r>
        <w:rPr>
          <w:sz w:val="20"/>
          <w:szCs w:val="20"/>
        </w:rPr>
        <w:tab/>
        <w:t>EKU (65)</w:t>
      </w:r>
    </w:p>
    <w:p w:rsidR="005026E6" w:rsidRDefault="005026E6" w:rsidP="005026E6">
      <w:pPr>
        <w:rPr>
          <w:sz w:val="20"/>
          <w:szCs w:val="20"/>
        </w:rPr>
      </w:pPr>
      <w:r>
        <w:rPr>
          <w:sz w:val="20"/>
          <w:szCs w:val="20"/>
        </w:rPr>
        <w:t>Donetskoblenergo</w:t>
      </w:r>
      <w:r>
        <w:rPr>
          <w:sz w:val="20"/>
          <w:szCs w:val="20"/>
        </w:rPr>
        <w:tab/>
      </w:r>
      <w:r>
        <w:rPr>
          <w:sz w:val="20"/>
          <w:szCs w:val="20"/>
        </w:rPr>
        <w:tab/>
      </w:r>
      <w:r>
        <w:rPr>
          <w:sz w:val="20"/>
          <w:szCs w:val="20"/>
        </w:rPr>
        <w:tab/>
        <w:t>EKU (65)</w:t>
      </w:r>
    </w:p>
    <w:p w:rsidR="005026E6" w:rsidRDefault="005026E6" w:rsidP="005026E6">
      <w:pPr>
        <w:rPr>
          <w:sz w:val="20"/>
          <w:szCs w:val="20"/>
        </w:rPr>
      </w:pPr>
      <w:r>
        <w:rPr>
          <w:sz w:val="20"/>
          <w:szCs w:val="20"/>
        </w:rPr>
        <w:t>Cherkassyoblenergo</w:t>
      </w:r>
      <w:r>
        <w:rPr>
          <w:sz w:val="20"/>
          <w:szCs w:val="20"/>
        </w:rPr>
        <w:tab/>
      </w:r>
      <w:r>
        <w:rPr>
          <w:sz w:val="20"/>
          <w:szCs w:val="20"/>
        </w:rPr>
        <w:tab/>
      </w:r>
      <w:r>
        <w:rPr>
          <w:sz w:val="20"/>
          <w:szCs w:val="20"/>
        </w:rPr>
        <w:tab/>
        <w:t>EKU (46)</w:t>
      </w:r>
    </w:p>
    <w:p w:rsidR="005026E6" w:rsidRDefault="005026E6" w:rsidP="005026E6">
      <w:pPr>
        <w:rPr>
          <w:sz w:val="20"/>
          <w:szCs w:val="20"/>
        </w:rPr>
      </w:pPr>
      <w:r>
        <w:rPr>
          <w:sz w:val="20"/>
          <w:szCs w:val="20"/>
        </w:rPr>
        <w:t>Chernovtsyoblenergo</w:t>
      </w:r>
      <w:r>
        <w:rPr>
          <w:sz w:val="20"/>
          <w:szCs w:val="20"/>
        </w:rPr>
        <w:tab/>
      </w:r>
      <w:r>
        <w:rPr>
          <w:sz w:val="20"/>
          <w:szCs w:val="20"/>
        </w:rPr>
        <w:tab/>
      </w:r>
      <w:r>
        <w:rPr>
          <w:sz w:val="20"/>
          <w:szCs w:val="20"/>
        </w:rPr>
        <w:tab/>
        <w:t>EKU (70)</w:t>
      </w:r>
    </w:p>
    <w:p w:rsidR="005026E6" w:rsidRDefault="005026E6" w:rsidP="005026E6">
      <w:pPr>
        <w:rPr>
          <w:sz w:val="20"/>
          <w:szCs w:val="20"/>
        </w:rPr>
      </w:pPr>
      <w:r>
        <w:rPr>
          <w:sz w:val="20"/>
          <w:szCs w:val="20"/>
        </w:rPr>
        <w:t>Ivano-Frankiskoblenergo</w:t>
      </w:r>
      <w:r>
        <w:rPr>
          <w:sz w:val="20"/>
          <w:szCs w:val="20"/>
        </w:rPr>
        <w:tab/>
      </w:r>
      <w:r>
        <w:rPr>
          <w:sz w:val="20"/>
          <w:szCs w:val="20"/>
        </w:rPr>
        <w:tab/>
      </w:r>
      <w:r>
        <w:rPr>
          <w:sz w:val="20"/>
          <w:szCs w:val="20"/>
        </w:rPr>
        <w:tab/>
      </w:r>
    </w:p>
    <w:p w:rsidR="005026E6" w:rsidRDefault="005026E6" w:rsidP="005026E6">
      <w:pPr>
        <w:spacing w:after="120"/>
        <w:rPr>
          <w:sz w:val="20"/>
          <w:szCs w:val="20"/>
        </w:rPr>
      </w:pPr>
      <w:r>
        <w:rPr>
          <w:sz w:val="20"/>
          <w:szCs w:val="20"/>
        </w:rPr>
        <w:t>Note: EKU ownership was as at the time of its establishment in June 2004.</w:t>
      </w:r>
    </w:p>
    <w:p w:rsidR="005026E6" w:rsidRDefault="005026E6" w:rsidP="005026E6">
      <w:pPr>
        <w:rPr>
          <w:rStyle w:val="verdana"/>
        </w:rPr>
      </w:pPr>
      <w:r>
        <w:t>There were 27 existing distribution companies, 25 supplying regions (‘oblenergos’) and two ‘energos’ supplying the cities of Kiev and Sevastapol. Six of these have been privatized and a number of the others partly privatized. The largest distributor is Kyivenergo, in which the state owns 50%+1 shares</w:t>
      </w:r>
      <w:r>
        <w:rPr>
          <w:rStyle w:val="FootnoteReference"/>
        </w:rPr>
        <w:footnoteReference w:id="66"/>
      </w:r>
      <w:r>
        <w:t xml:space="preserve">, which also owns 1200MW of thermal plant. </w:t>
      </w:r>
      <w:r>
        <w:rPr>
          <w:rStyle w:val="verdana"/>
        </w:rPr>
        <w:t xml:space="preserve">Private fuel and energy holding DTEK increased its stake in </w:t>
      </w:r>
      <w:r>
        <w:rPr>
          <w:rStyle w:val="hit"/>
        </w:rPr>
        <w:t>Kyivenergo</w:t>
      </w:r>
      <w:r>
        <w:rPr>
          <w:rStyle w:val="verdana"/>
        </w:rPr>
        <w:t xml:space="preserve"> to 24.9% in 2010. It is planned to attempt to privatise Kyivenergo in 2011. In 2009, it employed 13970 workers.</w:t>
      </w:r>
    </w:p>
    <w:p w:rsidR="005026E6" w:rsidRDefault="005026E6" w:rsidP="005026E6">
      <w:r>
        <w:rPr>
          <w:rStyle w:val="verdana"/>
        </w:rPr>
        <w:lastRenderedPageBreak/>
        <w:t>AES owns two distributors, Kyivoblenergo and Rivneoblenergo</w:t>
      </w:r>
      <w:r>
        <w:rPr>
          <w:rStyle w:val="FootnoteReference"/>
        </w:rPr>
        <w:footnoteReference w:id="67"/>
      </w:r>
      <w:r>
        <w:rPr>
          <w:rStyle w:val="verdana"/>
        </w:rPr>
        <w:t xml:space="preserve">. In 2001, it </w:t>
      </w:r>
      <w:r>
        <w:t xml:space="preserve">paid about US$45.9m for the 75% stake in </w:t>
      </w:r>
      <w:r>
        <w:rPr>
          <w:bCs/>
        </w:rPr>
        <w:t>Kyivoblenergo</w:t>
      </w:r>
      <w:r>
        <w:t xml:space="preserve"> and US$23.2m for the 75% interest in Rivneoblenergo. The remaining 25% interests in both companies are either publicly traded or owned by employees.</w:t>
      </w:r>
    </w:p>
    <w:p w:rsidR="005026E6" w:rsidRDefault="005026E6" w:rsidP="005026E6">
      <w:pPr>
        <w:spacing w:after="120"/>
      </w:pPr>
      <w:r>
        <w:t xml:space="preserve">Vychodoslovenske Energeticke Zavody (VSE), bought majority stakes in four oblenergos, Zhytomyroblenergo, Sevastopolmiskenergo, Khersonoblenergo and Kirovogradoblenergo. In March 2002, VSE transferred the shares to a subsidiary, VS Energy, registered in </w:t>
      </w:r>
      <w:smartTag w:uri="urn:schemas-microsoft-com:office:smarttags" w:element="country-region">
        <w:smartTag w:uri="urn:schemas-microsoft-com:office:smarttags" w:element="place">
          <w:r>
            <w:t>Netherlands</w:t>
          </w:r>
        </w:smartTag>
      </w:smartTag>
      <w:r>
        <w:t xml:space="preserve"> in which it has a 90% stake. In January 2004, Vacuna International was negotiating to buy this stake, but the deal was not completed. In 2002, RWE, the German utility, acquired a 49% stake in VSE and subsequently Slovak law was changed to allow a majority stake to be taken in VSE (and the other Slovak distributors). It is expected RWE will take up this opportunity.</w:t>
      </w:r>
    </w:p>
    <w:p w:rsidR="005026E6" w:rsidRDefault="005026E6" w:rsidP="005026E6">
      <w:pPr>
        <w:spacing w:after="120"/>
      </w:pPr>
      <w:r>
        <w:t xml:space="preserve">In November 2003, the state-owned Russian electric utility, RAO UESR, announced it had taken stakes of at least 16 in 10 oblenergos, although generally the stakes were less than controlling ones. It also said it planned to increase these stakes by buying the government holdings in these companies to gain controlling stakes, but Ukraine refused to allow this while a majority of shares in RAO UESR were held by the Russian government. </w:t>
      </w:r>
    </w:p>
    <w:p w:rsidR="005026E6" w:rsidRPr="0030394E" w:rsidRDefault="005026E6" w:rsidP="005026E6">
      <w:pPr>
        <w:rPr>
          <w:rFonts w:ascii="Calibri" w:hAnsi="Calibri"/>
          <w:b/>
          <w:sz w:val="24"/>
          <w:szCs w:val="24"/>
        </w:rPr>
      </w:pPr>
      <w:r>
        <w:rPr>
          <w:b/>
          <w:sz w:val="24"/>
          <w:szCs w:val="24"/>
        </w:rPr>
        <w:t>Supply of electricity for Ukraine 2008 (GWh)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8"/>
        <w:gridCol w:w="1848"/>
      </w:tblGrid>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tcPr>
          <w:p w:rsidR="005026E6" w:rsidRPr="00E5602F" w:rsidRDefault="005026E6" w:rsidP="002326B5">
            <w:pPr>
              <w:rPr>
                <w:b/>
                <w:lang w:val="en-US" w:bidi="en-US"/>
              </w:rPr>
            </w:pP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Supply</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Hydro</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11512</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Coal</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68466</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Oil</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687</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Gas</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22035</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Nuclear</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89841</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Renewables</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45</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Net exports</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6730</w:t>
            </w:r>
          </w:p>
        </w:tc>
      </w:tr>
      <w:tr w:rsidR="005026E6" w:rsidRPr="00E5602F" w:rsidTr="002326B5">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Total</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185856</w:t>
            </w:r>
          </w:p>
        </w:tc>
      </w:tr>
    </w:tbl>
    <w:p w:rsidR="005026E6" w:rsidRPr="00657FF8" w:rsidRDefault="005026E6" w:rsidP="005026E6">
      <w:pPr>
        <w:rPr>
          <w:rFonts w:ascii="Calibri" w:hAnsi="Calibri"/>
          <w:lang w:val="fr-FR" w:bidi="en-US"/>
        </w:rPr>
      </w:pPr>
      <w:r w:rsidRPr="00657FF8">
        <w:rPr>
          <w:lang w:val="fr-FR"/>
        </w:rPr>
        <w:t xml:space="preserve">Source: </w:t>
      </w:r>
      <w:hyperlink r:id="rId74" w:history="1">
        <w:r w:rsidRPr="00657FF8">
          <w:rPr>
            <w:rStyle w:val="Hyperlink"/>
            <w:lang w:val="fr-FR"/>
          </w:rPr>
          <w:t>http://www.iea.org/stats/electricitydata.asp?COUNTRY_CODE=UA</w:t>
        </w:r>
      </w:hyperlink>
      <w:r w:rsidRPr="00657FF8">
        <w:rPr>
          <w:lang w:val="fr-FR"/>
        </w:rPr>
        <w:t xml:space="preserve"> </w:t>
      </w:r>
    </w:p>
    <w:p w:rsidR="005026E6" w:rsidRDefault="005026E6" w:rsidP="005026E6">
      <w:pPr>
        <w:pStyle w:val="Heading3"/>
      </w:pPr>
      <w:bookmarkStart w:id="233" w:name="_Toc285051169"/>
      <w:bookmarkStart w:id="234" w:name="_Toc285050828"/>
      <w:bookmarkStart w:id="235" w:name="_Toc285443476"/>
      <w:bookmarkStart w:id="236" w:name="_Toc305768580"/>
      <w:r>
        <w:t>Gas</w:t>
      </w:r>
      <w:bookmarkEnd w:id="233"/>
      <w:bookmarkEnd w:id="234"/>
      <w:bookmarkEnd w:id="235"/>
      <w:bookmarkEnd w:id="236"/>
    </w:p>
    <w:p w:rsidR="005026E6" w:rsidRDefault="005026E6" w:rsidP="005026E6">
      <w:r>
        <w:t>The main company importing and exporting gas is Naftogaz</w:t>
      </w:r>
      <w:r>
        <w:rPr>
          <w:rStyle w:val="FootnoteReference"/>
        </w:rPr>
        <w:footnoteReference w:id="68"/>
      </w:r>
      <w:r>
        <w:t xml:space="preserve"> employing 175,000 people. The state owns most of the distribution networks in Ukraine, but regional gas distribution companies operate them. Distribution pipelines are operated by regional distribution companies, ‘oblgases’, which are partly privatized. The largest distributor is SC Gas of Ukraine, which is a subsidiary of Naftogaz.</w:t>
      </w:r>
    </w:p>
    <w:p w:rsidR="005026E6" w:rsidRDefault="005026E6" w:rsidP="005026E6">
      <w:r>
        <w:t>Ukrtransgas, also owned by Naftogas, carries out the entire scope of operations relating to natural gas transmission and storage in Ukraine, including gas deliveries to customers, transit of Russian gas to Europe and Turkey, as well as the gas transport infrastructure operating maintenance and construction.</w:t>
      </w:r>
    </w:p>
    <w:p w:rsidR="005026E6" w:rsidRPr="0030394E" w:rsidRDefault="005026E6" w:rsidP="005026E6">
      <w:pPr>
        <w:rPr>
          <w:rFonts w:ascii="Calibri" w:hAnsi="Calibri"/>
          <w:b/>
          <w:sz w:val="24"/>
          <w:szCs w:val="24"/>
        </w:rPr>
      </w:pPr>
      <w:r>
        <w:rPr>
          <w:b/>
          <w:sz w:val="24"/>
          <w:szCs w:val="24"/>
        </w:rPr>
        <w:t>Supply of gas for Ukraine 2008 (TJ)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603"/>
      </w:tblGrid>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tcPr>
          <w:p w:rsidR="005026E6" w:rsidRPr="00E5602F" w:rsidRDefault="005026E6" w:rsidP="002326B5">
            <w:pPr>
              <w:rPr>
                <w:b/>
                <w:lang w:val="en-US" w:bidi="en-US"/>
              </w:rPr>
            </w:pP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Supply</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Production</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836745</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Net Imports</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2051633</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Final consumption</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1481510</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 xml:space="preserve">      Industry</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440656</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 xml:space="preserve">      Commercial</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25354</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 xml:space="preserve">      Residential</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643160</w:t>
            </w:r>
          </w:p>
        </w:tc>
      </w:tr>
      <w:tr w:rsidR="005026E6" w:rsidRPr="00E5602F" w:rsidTr="002326B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b/>
                <w:lang w:val="en-US" w:bidi="en-US"/>
              </w:rPr>
            </w:pPr>
            <w:r w:rsidRPr="00E5602F">
              <w:rPr>
                <w:b/>
              </w:rPr>
              <w:t xml:space="preserve">      Non-energy use</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5026E6" w:rsidRPr="00E5602F" w:rsidRDefault="005026E6" w:rsidP="002326B5">
            <w:pPr>
              <w:rPr>
                <w:lang w:val="en-US" w:bidi="en-US"/>
              </w:rPr>
            </w:pPr>
            <w:r>
              <w:t>223621</w:t>
            </w:r>
          </w:p>
        </w:tc>
      </w:tr>
    </w:tbl>
    <w:p w:rsidR="005026E6" w:rsidRPr="00657FF8" w:rsidRDefault="005026E6" w:rsidP="005026E6">
      <w:pPr>
        <w:rPr>
          <w:rFonts w:ascii="Calibri" w:hAnsi="Calibri"/>
          <w:lang w:val="fr-FR" w:bidi="en-US"/>
        </w:rPr>
      </w:pPr>
      <w:r w:rsidRPr="00657FF8">
        <w:rPr>
          <w:lang w:val="fr-FR"/>
        </w:rPr>
        <w:t xml:space="preserve">Source: </w:t>
      </w:r>
      <w:hyperlink r:id="rId75" w:history="1">
        <w:r w:rsidRPr="00657FF8">
          <w:rPr>
            <w:rStyle w:val="Hyperlink"/>
            <w:lang w:val="fr-FR"/>
          </w:rPr>
          <w:t>http://www.iea.org/stats/gasdata.asp?COUNTRY_CODE=UA</w:t>
        </w:r>
      </w:hyperlink>
      <w:r w:rsidRPr="00657FF8">
        <w:rPr>
          <w:lang w:val="fr-FR"/>
        </w:rPr>
        <w:t xml:space="preserve"> </w:t>
      </w:r>
    </w:p>
    <w:p w:rsidR="009B4458" w:rsidRPr="00657FF8" w:rsidRDefault="009B4458" w:rsidP="009B4458">
      <w:pPr>
        <w:rPr>
          <w:lang w:val="fr-FR"/>
        </w:rPr>
      </w:pPr>
    </w:p>
    <w:p w:rsidR="009B4458" w:rsidRPr="00657FF8" w:rsidRDefault="009B4458" w:rsidP="009B4458">
      <w:pPr>
        <w:rPr>
          <w:lang w:val="fr-FR"/>
        </w:rPr>
      </w:pPr>
    </w:p>
    <w:p w:rsidR="009B4458" w:rsidRPr="00657FF8" w:rsidRDefault="009B4458" w:rsidP="009B4458">
      <w:pPr>
        <w:rPr>
          <w:lang w:val="fr-FR"/>
        </w:rPr>
      </w:pPr>
      <w:r w:rsidRPr="00657FF8">
        <w:rPr>
          <w:lang w:val="fr-FR"/>
        </w:rPr>
        <w:br w:type="page"/>
      </w:r>
    </w:p>
    <w:p w:rsidR="009B4458" w:rsidRDefault="0069076C" w:rsidP="009B4458">
      <w:pPr>
        <w:pStyle w:val="Heading1"/>
      </w:pPr>
      <w:bookmarkStart w:id="237" w:name="_Toc305768581"/>
      <w:r>
        <w:lastRenderedPageBreak/>
        <w:t xml:space="preserve">Sectoral trends: </w:t>
      </w:r>
      <w:r w:rsidR="009B4458">
        <w:t>Water</w:t>
      </w:r>
      <w:bookmarkEnd w:id="237"/>
    </w:p>
    <w:p w:rsidR="00455DCD" w:rsidRDefault="00455DCD" w:rsidP="00455DCD"/>
    <w:p w:rsidR="00455DCD" w:rsidRPr="00455DCD" w:rsidRDefault="00455DCD" w:rsidP="00455DCD"/>
    <w:p w:rsidR="00455DCD" w:rsidRDefault="00455DCD" w:rsidP="009B4458">
      <w:pPr>
        <w:pStyle w:val="Heading2"/>
      </w:pPr>
      <w:bookmarkStart w:id="238" w:name="_Toc305768582"/>
      <w:r>
        <w:t>EU policies</w:t>
      </w:r>
      <w:bookmarkEnd w:id="238"/>
    </w:p>
    <w:p w:rsidR="00455DCD" w:rsidRPr="00455DCD" w:rsidRDefault="002F71AD" w:rsidP="00455DCD">
      <w:r>
        <w:t xml:space="preserve">The 2020 strategy core documents do not mention the water sector. </w:t>
      </w:r>
      <w:r w:rsidR="00455DCD" w:rsidRPr="00455DCD">
        <w:t xml:space="preserve">The ENP </w:t>
      </w:r>
      <w:r>
        <w:t xml:space="preserve">also </w:t>
      </w:r>
      <w:r w:rsidR="00455DCD" w:rsidRPr="00455DCD">
        <w:t>has little to say on water</w:t>
      </w:r>
      <w:r>
        <w:t>: o</w:t>
      </w:r>
      <w:r w:rsidR="00455DCD" w:rsidRPr="00455DCD">
        <w:t>ne of the few references in the progress reports is from Moldova: “A new environment framework law and laws on environmental impact assessment, water and waste management are still under preparation. A convergence plan on water was elaborated”</w:t>
      </w:r>
      <w:r>
        <w:t xml:space="preserve">. </w:t>
      </w:r>
      <w:r w:rsidR="00455DCD" w:rsidRPr="00455DCD">
        <w:rPr>
          <w:vertAlign w:val="superscript"/>
        </w:rPr>
        <w:endnoteReference w:id="51"/>
      </w:r>
      <w:r w:rsidRPr="002F71AD">
        <w:t xml:space="preserve"> </w:t>
      </w:r>
      <w:r>
        <w:t>The EU policies and legislation may have an indirect influence, but it is weakened by the cost constraints on the economies of the region.</w:t>
      </w:r>
    </w:p>
    <w:p w:rsidR="00124832" w:rsidRDefault="00124832" w:rsidP="00124832"/>
    <w:p w:rsidR="0038624E" w:rsidRDefault="0038624E" w:rsidP="0038624E">
      <w:pPr>
        <w:pStyle w:val="Heading2"/>
      </w:pPr>
      <w:bookmarkStart w:id="239" w:name="_Toc272227358"/>
      <w:bookmarkStart w:id="240" w:name="_Toc305768583"/>
      <w:r>
        <w:t>Development banks</w:t>
      </w:r>
      <w:bookmarkEnd w:id="240"/>
    </w:p>
    <w:p w:rsidR="00325365" w:rsidRDefault="00325365" w:rsidP="00124832">
      <w:pPr>
        <w:pStyle w:val="Heading3"/>
      </w:pPr>
      <w:bookmarkStart w:id="241" w:name="_Toc305768584"/>
      <w:r>
        <w:t>EIB</w:t>
      </w:r>
      <w:bookmarkEnd w:id="241"/>
    </w:p>
    <w:p w:rsidR="00784A0B" w:rsidRDefault="005131DB" w:rsidP="00325365">
      <w:r>
        <w:t xml:space="preserve">The EIB is investing in </w:t>
      </w:r>
      <w:r w:rsidR="00C7607D">
        <w:t>water in FYR Macedonia, Georgia, Moldova, Bosnia, Montenegro and Ukraine. In every case, the loans support municipal utilities and aim to improve technical standards, including future compliance with EU water and sanitation standards.</w:t>
      </w:r>
    </w:p>
    <w:p w:rsidR="00784A0B" w:rsidRDefault="00784A0B" w:rsidP="00325365"/>
    <w:p w:rsidR="00325365" w:rsidRDefault="00325365" w:rsidP="00325365">
      <w:pPr>
        <w:pStyle w:val="Heading7"/>
      </w:pPr>
      <w:bookmarkStart w:id="242" w:name="_Toc305768585"/>
      <w:r>
        <w:t>EIB projects in water and sanitation</w:t>
      </w:r>
      <w:r w:rsidR="00E377DB">
        <w:t xml:space="preserve"> in the region</w:t>
      </w:r>
      <w:bookmarkEnd w:id="242"/>
    </w:p>
    <w:tbl>
      <w:tblPr>
        <w:tblW w:w="9259" w:type="dxa"/>
        <w:tblCellSpacing w:w="15" w:type="dxa"/>
        <w:tblCellMar>
          <w:top w:w="15" w:type="dxa"/>
          <w:left w:w="15" w:type="dxa"/>
          <w:bottom w:w="15" w:type="dxa"/>
          <w:right w:w="15" w:type="dxa"/>
        </w:tblCellMar>
        <w:tblLook w:val="04A0"/>
      </w:tblPr>
      <w:tblGrid>
        <w:gridCol w:w="629"/>
        <w:gridCol w:w="2393"/>
        <w:gridCol w:w="4820"/>
        <w:gridCol w:w="1417"/>
      </w:tblGrid>
      <w:tr w:rsidR="00325365" w:rsidRPr="009F7D0A" w:rsidTr="00325365">
        <w:trPr>
          <w:tblCellSpacing w:w="15" w:type="dxa"/>
        </w:trPr>
        <w:tc>
          <w:tcPr>
            <w:tcW w:w="584" w:type="dxa"/>
            <w:vAlign w:val="center"/>
          </w:tcPr>
          <w:p w:rsidR="00325365" w:rsidRPr="009F7D0A" w:rsidRDefault="00325365" w:rsidP="00325365">
            <w:pPr>
              <w:rPr>
                <w:rFonts w:asciiTheme="minorHAnsi" w:hAnsiTheme="minorHAnsi" w:cstheme="minorHAnsi"/>
                <w:sz w:val="20"/>
                <w:szCs w:val="20"/>
              </w:rPr>
            </w:pPr>
            <w:r w:rsidRPr="009F7D0A">
              <w:rPr>
                <w:rFonts w:asciiTheme="minorHAnsi" w:hAnsiTheme="minorHAnsi" w:cstheme="minorHAnsi"/>
                <w:sz w:val="20"/>
                <w:szCs w:val="20"/>
              </w:rPr>
              <w:t>2010</w:t>
            </w:r>
          </w:p>
        </w:tc>
        <w:tc>
          <w:tcPr>
            <w:tcW w:w="2363" w:type="dxa"/>
            <w:vAlign w:val="center"/>
            <w:hideMark/>
          </w:tcPr>
          <w:p w:rsidR="00325365" w:rsidRPr="009F7D0A" w:rsidRDefault="00325365" w:rsidP="00325365">
            <w:pPr>
              <w:rPr>
                <w:rFonts w:asciiTheme="minorHAnsi" w:hAnsiTheme="minorHAnsi" w:cstheme="minorHAnsi"/>
                <w:sz w:val="20"/>
                <w:szCs w:val="20"/>
              </w:rPr>
            </w:pPr>
            <w:r w:rsidRPr="009F7D0A">
              <w:rPr>
                <w:rFonts w:asciiTheme="minorHAnsi" w:hAnsiTheme="minorHAnsi" w:cstheme="minorHAnsi"/>
                <w:sz w:val="20"/>
                <w:szCs w:val="20"/>
              </w:rPr>
              <w:t>FYROM</w:t>
            </w:r>
          </w:p>
        </w:tc>
        <w:tc>
          <w:tcPr>
            <w:tcW w:w="4790" w:type="dxa"/>
            <w:vAlign w:val="center"/>
          </w:tcPr>
          <w:p w:rsidR="00325365" w:rsidRPr="009F7D0A" w:rsidRDefault="00F4142F" w:rsidP="00325365">
            <w:pPr>
              <w:rPr>
                <w:rFonts w:asciiTheme="minorHAnsi" w:hAnsiTheme="minorHAnsi" w:cstheme="minorHAnsi"/>
                <w:sz w:val="20"/>
                <w:szCs w:val="20"/>
              </w:rPr>
            </w:pPr>
            <w:hyperlink r:id="rId76" w:history="1">
              <w:r w:rsidR="009F7D0A" w:rsidRPr="009F7D0A">
                <w:rPr>
                  <w:rStyle w:val="Hyperlink"/>
                  <w:rFonts w:asciiTheme="minorHAnsi" w:hAnsiTheme="minorHAnsi" w:cstheme="minorHAnsi"/>
                  <w:sz w:val="20"/>
                  <w:szCs w:val="20"/>
                </w:rPr>
                <w:t>Water Supply And Wastewater Collection</w:t>
              </w:r>
            </w:hyperlink>
          </w:p>
        </w:tc>
        <w:tc>
          <w:tcPr>
            <w:tcW w:w="1372" w:type="dxa"/>
            <w:vAlign w:val="center"/>
            <w:hideMark/>
          </w:tcPr>
          <w:p w:rsidR="00325365" w:rsidRPr="009F7D0A" w:rsidRDefault="00325365" w:rsidP="00325365">
            <w:pPr>
              <w:jc w:val="right"/>
              <w:rPr>
                <w:rFonts w:asciiTheme="minorHAnsi" w:hAnsiTheme="minorHAnsi" w:cstheme="minorHAnsi"/>
                <w:sz w:val="20"/>
                <w:szCs w:val="20"/>
              </w:rPr>
            </w:pPr>
            <w:r w:rsidRPr="009F7D0A">
              <w:rPr>
                <w:rFonts w:asciiTheme="minorHAnsi" w:hAnsiTheme="minorHAnsi" w:cstheme="minorHAnsi"/>
                <w:sz w:val="20"/>
                <w:szCs w:val="20"/>
              </w:rPr>
              <w:t>50,000,000</w:t>
            </w:r>
          </w:p>
        </w:tc>
      </w:tr>
      <w:tr w:rsidR="00325365" w:rsidRPr="009F7D0A" w:rsidTr="00325365">
        <w:trPr>
          <w:tblCellSpacing w:w="15" w:type="dxa"/>
        </w:trPr>
        <w:tc>
          <w:tcPr>
            <w:tcW w:w="584" w:type="dxa"/>
            <w:vAlign w:val="center"/>
          </w:tcPr>
          <w:p w:rsidR="00325365" w:rsidRPr="009F7D0A" w:rsidRDefault="00325365" w:rsidP="00325365">
            <w:pPr>
              <w:rPr>
                <w:rFonts w:asciiTheme="minorHAnsi" w:hAnsiTheme="minorHAnsi" w:cstheme="minorHAnsi"/>
                <w:sz w:val="20"/>
                <w:szCs w:val="20"/>
              </w:rPr>
            </w:pPr>
            <w:r w:rsidRPr="009F7D0A">
              <w:rPr>
                <w:rFonts w:asciiTheme="minorHAnsi" w:hAnsiTheme="minorHAnsi" w:cstheme="minorHAnsi"/>
                <w:sz w:val="20"/>
                <w:szCs w:val="20"/>
              </w:rPr>
              <w:t>2010</w:t>
            </w:r>
          </w:p>
        </w:tc>
        <w:tc>
          <w:tcPr>
            <w:tcW w:w="2363" w:type="dxa"/>
            <w:vAlign w:val="center"/>
            <w:hideMark/>
          </w:tcPr>
          <w:p w:rsidR="00325365" w:rsidRPr="009F7D0A" w:rsidRDefault="00325365" w:rsidP="00325365">
            <w:pPr>
              <w:rPr>
                <w:rFonts w:asciiTheme="minorHAnsi" w:hAnsiTheme="minorHAnsi" w:cstheme="minorHAnsi"/>
                <w:sz w:val="20"/>
                <w:szCs w:val="20"/>
              </w:rPr>
            </w:pPr>
            <w:r w:rsidRPr="009F7D0A">
              <w:rPr>
                <w:rFonts w:asciiTheme="minorHAnsi" w:hAnsiTheme="minorHAnsi" w:cstheme="minorHAnsi"/>
                <w:sz w:val="20"/>
                <w:szCs w:val="20"/>
              </w:rPr>
              <w:t>Georgia</w:t>
            </w:r>
          </w:p>
        </w:tc>
        <w:tc>
          <w:tcPr>
            <w:tcW w:w="4790" w:type="dxa"/>
            <w:vAlign w:val="center"/>
          </w:tcPr>
          <w:p w:rsidR="00325365" w:rsidRPr="009F7D0A" w:rsidRDefault="00F4142F" w:rsidP="00325365">
            <w:pPr>
              <w:rPr>
                <w:rFonts w:asciiTheme="minorHAnsi" w:hAnsiTheme="minorHAnsi" w:cstheme="minorHAnsi"/>
                <w:sz w:val="20"/>
                <w:szCs w:val="20"/>
              </w:rPr>
            </w:pPr>
            <w:hyperlink r:id="rId77" w:history="1">
              <w:r w:rsidR="009F7D0A" w:rsidRPr="009F7D0A">
                <w:rPr>
                  <w:rStyle w:val="Hyperlink"/>
                  <w:rFonts w:asciiTheme="minorHAnsi" w:hAnsiTheme="minorHAnsi" w:cstheme="minorHAnsi"/>
                  <w:sz w:val="20"/>
                  <w:szCs w:val="20"/>
                </w:rPr>
                <w:t>Water Infrastructure Modernisation</w:t>
              </w:r>
            </w:hyperlink>
          </w:p>
        </w:tc>
        <w:tc>
          <w:tcPr>
            <w:tcW w:w="1372" w:type="dxa"/>
            <w:vAlign w:val="center"/>
            <w:hideMark/>
          </w:tcPr>
          <w:p w:rsidR="00325365" w:rsidRPr="009F7D0A" w:rsidRDefault="00325365" w:rsidP="00325365">
            <w:pPr>
              <w:jc w:val="right"/>
              <w:rPr>
                <w:rFonts w:asciiTheme="minorHAnsi" w:hAnsiTheme="minorHAnsi" w:cstheme="minorHAnsi"/>
                <w:sz w:val="20"/>
                <w:szCs w:val="20"/>
              </w:rPr>
            </w:pPr>
            <w:r w:rsidRPr="009F7D0A">
              <w:rPr>
                <w:rFonts w:asciiTheme="minorHAnsi" w:hAnsiTheme="minorHAnsi" w:cstheme="minorHAnsi"/>
                <w:sz w:val="20"/>
                <w:szCs w:val="20"/>
              </w:rPr>
              <w:t>40,000,000</w:t>
            </w:r>
          </w:p>
        </w:tc>
      </w:tr>
      <w:tr w:rsidR="00325365" w:rsidRPr="009F7D0A" w:rsidTr="00325365">
        <w:trPr>
          <w:tblCellSpacing w:w="15" w:type="dxa"/>
        </w:trPr>
        <w:tc>
          <w:tcPr>
            <w:tcW w:w="584" w:type="dxa"/>
            <w:vAlign w:val="center"/>
          </w:tcPr>
          <w:p w:rsidR="00325365" w:rsidRPr="009F7D0A" w:rsidRDefault="00325365" w:rsidP="00325365">
            <w:pPr>
              <w:rPr>
                <w:rFonts w:asciiTheme="minorHAnsi" w:hAnsiTheme="minorHAnsi" w:cstheme="minorHAnsi"/>
                <w:sz w:val="20"/>
                <w:szCs w:val="20"/>
              </w:rPr>
            </w:pPr>
            <w:r w:rsidRPr="009F7D0A">
              <w:rPr>
                <w:rFonts w:asciiTheme="minorHAnsi" w:hAnsiTheme="minorHAnsi" w:cstheme="minorHAnsi"/>
                <w:sz w:val="20"/>
                <w:szCs w:val="20"/>
              </w:rPr>
              <w:t>2010</w:t>
            </w:r>
          </w:p>
        </w:tc>
        <w:tc>
          <w:tcPr>
            <w:tcW w:w="2363" w:type="dxa"/>
            <w:vAlign w:val="center"/>
            <w:hideMark/>
          </w:tcPr>
          <w:p w:rsidR="00325365" w:rsidRPr="009F7D0A" w:rsidRDefault="00325365" w:rsidP="00325365">
            <w:pPr>
              <w:rPr>
                <w:rFonts w:asciiTheme="minorHAnsi" w:hAnsiTheme="minorHAnsi" w:cstheme="minorHAnsi"/>
                <w:sz w:val="20"/>
                <w:szCs w:val="20"/>
              </w:rPr>
            </w:pPr>
            <w:r w:rsidRPr="009F7D0A">
              <w:rPr>
                <w:rFonts w:asciiTheme="minorHAnsi" w:hAnsiTheme="minorHAnsi" w:cstheme="minorHAnsi"/>
                <w:sz w:val="20"/>
                <w:szCs w:val="20"/>
              </w:rPr>
              <w:t>Moldova, Republic of</w:t>
            </w:r>
          </w:p>
        </w:tc>
        <w:tc>
          <w:tcPr>
            <w:tcW w:w="4790" w:type="dxa"/>
            <w:vAlign w:val="center"/>
          </w:tcPr>
          <w:p w:rsidR="00325365" w:rsidRPr="009F7D0A" w:rsidRDefault="00F4142F" w:rsidP="00325365">
            <w:pPr>
              <w:rPr>
                <w:rFonts w:asciiTheme="minorHAnsi" w:hAnsiTheme="minorHAnsi" w:cstheme="minorHAnsi"/>
                <w:sz w:val="20"/>
                <w:szCs w:val="20"/>
              </w:rPr>
            </w:pPr>
            <w:hyperlink r:id="rId78" w:history="1">
              <w:r w:rsidR="009F7D0A" w:rsidRPr="009F7D0A">
                <w:rPr>
                  <w:rStyle w:val="Hyperlink"/>
                  <w:rFonts w:asciiTheme="minorHAnsi" w:hAnsiTheme="minorHAnsi" w:cstheme="minorHAnsi"/>
                  <w:sz w:val="20"/>
                  <w:szCs w:val="20"/>
                </w:rPr>
                <w:t>Moldova Water Sector Project</w:t>
              </w:r>
            </w:hyperlink>
          </w:p>
        </w:tc>
        <w:tc>
          <w:tcPr>
            <w:tcW w:w="1372" w:type="dxa"/>
            <w:vAlign w:val="center"/>
            <w:hideMark/>
          </w:tcPr>
          <w:p w:rsidR="00325365" w:rsidRPr="009F7D0A" w:rsidRDefault="00325365" w:rsidP="00325365">
            <w:pPr>
              <w:jc w:val="right"/>
              <w:rPr>
                <w:rFonts w:asciiTheme="minorHAnsi" w:hAnsiTheme="minorHAnsi" w:cstheme="minorHAnsi"/>
                <w:sz w:val="20"/>
                <w:szCs w:val="20"/>
              </w:rPr>
            </w:pPr>
            <w:r w:rsidRPr="009F7D0A">
              <w:rPr>
                <w:rFonts w:asciiTheme="minorHAnsi" w:hAnsiTheme="minorHAnsi" w:cstheme="minorHAnsi"/>
                <w:sz w:val="20"/>
                <w:szCs w:val="20"/>
              </w:rPr>
              <w:t>10,000,000</w:t>
            </w:r>
          </w:p>
        </w:tc>
      </w:tr>
      <w:tr w:rsidR="00325365" w:rsidRPr="009F7D0A" w:rsidTr="00325365">
        <w:trPr>
          <w:tblCellSpacing w:w="15" w:type="dxa"/>
        </w:trPr>
        <w:tc>
          <w:tcPr>
            <w:tcW w:w="584" w:type="dxa"/>
            <w:vAlign w:val="center"/>
          </w:tcPr>
          <w:p w:rsidR="00325365" w:rsidRPr="009F7D0A" w:rsidRDefault="00325365" w:rsidP="00325365">
            <w:pPr>
              <w:rPr>
                <w:rFonts w:asciiTheme="minorHAnsi" w:hAnsiTheme="minorHAnsi" w:cstheme="minorHAnsi"/>
                <w:sz w:val="20"/>
                <w:szCs w:val="20"/>
              </w:rPr>
            </w:pPr>
            <w:r w:rsidRPr="009F7D0A">
              <w:rPr>
                <w:rFonts w:asciiTheme="minorHAnsi" w:hAnsiTheme="minorHAnsi" w:cstheme="minorHAnsi"/>
                <w:sz w:val="20"/>
                <w:szCs w:val="20"/>
              </w:rPr>
              <w:t>2010</w:t>
            </w:r>
          </w:p>
        </w:tc>
        <w:tc>
          <w:tcPr>
            <w:tcW w:w="2363" w:type="dxa"/>
            <w:vAlign w:val="center"/>
            <w:hideMark/>
          </w:tcPr>
          <w:p w:rsidR="00325365" w:rsidRPr="009F7D0A" w:rsidRDefault="00325365" w:rsidP="00325365">
            <w:pPr>
              <w:rPr>
                <w:rFonts w:asciiTheme="minorHAnsi" w:hAnsiTheme="minorHAnsi" w:cstheme="minorHAnsi"/>
                <w:sz w:val="20"/>
                <w:szCs w:val="20"/>
              </w:rPr>
            </w:pPr>
            <w:r w:rsidRPr="009F7D0A">
              <w:rPr>
                <w:rFonts w:asciiTheme="minorHAnsi" w:hAnsiTheme="minorHAnsi" w:cstheme="minorHAnsi"/>
                <w:sz w:val="20"/>
                <w:szCs w:val="20"/>
              </w:rPr>
              <w:t>Bosnia and Herzegovina</w:t>
            </w:r>
          </w:p>
        </w:tc>
        <w:tc>
          <w:tcPr>
            <w:tcW w:w="4790" w:type="dxa"/>
            <w:vAlign w:val="center"/>
          </w:tcPr>
          <w:p w:rsidR="00325365" w:rsidRPr="009F7D0A" w:rsidRDefault="00F4142F" w:rsidP="00325365">
            <w:pPr>
              <w:rPr>
                <w:rFonts w:asciiTheme="minorHAnsi" w:hAnsiTheme="minorHAnsi" w:cstheme="minorHAnsi"/>
                <w:sz w:val="20"/>
                <w:szCs w:val="20"/>
              </w:rPr>
            </w:pPr>
            <w:hyperlink r:id="rId79" w:history="1">
              <w:r w:rsidR="009F7D0A" w:rsidRPr="009F7D0A">
                <w:rPr>
                  <w:rStyle w:val="Hyperlink"/>
                  <w:rFonts w:asciiTheme="minorHAnsi" w:hAnsiTheme="minorHAnsi" w:cstheme="minorHAnsi"/>
                  <w:sz w:val="20"/>
                  <w:szCs w:val="20"/>
                </w:rPr>
                <w:t>Water And Sanitation Rs</w:t>
              </w:r>
            </w:hyperlink>
          </w:p>
        </w:tc>
        <w:tc>
          <w:tcPr>
            <w:tcW w:w="1372" w:type="dxa"/>
            <w:vAlign w:val="center"/>
            <w:hideMark/>
          </w:tcPr>
          <w:p w:rsidR="00325365" w:rsidRPr="009F7D0A" w:rsidRDefault="00325365" w:rsidP="00325365">
            <w:pPr>
              <w:jc w:val="right"/>
              <w:rPr>
                <w:rFonts w:asciiTheme="minorHAnsi" w:hAnsiTheme="minorHAnsi" w:cstheme="minorHAnsi"/>
                <w:sz w:val="20"/>
                <w:szCs w:val="20"/>
              </w:rPr>
            </w:pPr>
            <w:r w:rsidRPr="009F7D0A">
              <w:rPr>
                <w:rFonts w:asciiTheme="minorHAnsi" w:hAnsiTheme="minorHAnsi" w:cstheme="minorHAnsi"/>
                <w:sz w:val="20"/>
                <w:szCs w:val="20"/>
              </w:rPr>
              <w:t>50,000,000</w:t>
            </w:r>
          </w:p>
        </w:tc>
      </w:tr>
      <w:tr w:rsidR="00325365" w:rsidRPr="009F7D0A" w:rsidTr="00325365">
        <w:trPr>
          <w:tblCellSpacing w:w="15" w:type="dxa"/>
        </w:trPr>
        <w:tc>
          <w:tcPr>
            <w:tcW w:w="584" w:type="dxa"/>
            <w:vAlign w:val="center"/>
          </w:tcPr>
          <w:p w:rsidR="00325365" w:rsidRPr="009F7D0A" w:rsidRDefault="00325365" w:rsidP="00325365">
            <w:pPr>
              <w:rPr>
                <w:rFonts w:asciiTheme="minorHAnsi" w:hAnsiTheme="minorHAnsi" w:cstheme="minorHAnsi"/>
                <w:sz w:val="20"/>
                <w:szCs w:val="20"/>
              </w:rPr>
            </w:pPr>
            <w:r w:rsidRPr="009F7D0A">
              <w:rPr>
                <w:rFonts w:asciiTheme="minorHAnsi" w:hAnsiTheme="minorHAnsi" w:cstheme="minorHAnsi"/>
                <w:sz w:val="20"/>
                <w:szCs w:val="20"/>
              </w:rPr>
              <w:t>2010</w:t>
            </w:r>
          </w:p>
        </w:tc>
        <w:tc>
          <w:tcPr>
            <w:tcW w:w="2363" w:type="dxa"/>
            <w:vAlign w:val="center"/>
            <w:hideMark/>
          </w:tcPr>
          <w:p w:rsidR="00325365" w:rsidRPr="009F7D0A" w:rsidRDefault="00325365" w:rsidP="00325365">
            <w:pPr>
              <w:rPr>
                <w:rFonts w:asciiTheme="minorHAnsi" w:hAnsiTheme="minorHAnsi" w:cstheme="minorHAnsi"/>
                <w:sz w:val="20"/>
                <w:szCs w:val="20"/>
              </w:rPr>
            </w:pPr>
            <w:r w:rsidRPr="009F7D0A">
              <w:rPr>
                <w:rFonts w:asciiTheme="minorHAnsi" w:hAnsiTheme="minorHAnsi" w:cstheme="minorHAnsi"/>
                <w:sz w:val="20"/>
                <w:szCs w:val="20"/>
              </w:rPr>
              <w:t>Montenegro</w:t>
            </w:r>
          </w:p>
        </w:tc>
        <w:tc>
          <w:tcPr>
            <w:tcW w:w="4790" w:type="dxa"/>
            <w:vAlign w:val="center"/>
          </w:tcPr>
          <w:p w:rsidR="00325365" w:rsidRPr="009F7D0A" w:rsidRDefault="00F4142F" w:rsidP="00325365">
            <w:pPr>
              <w:rPr>
                <w:rFonts w:asciiTheme="minorHAnsi" w:hAnsiTheme="minorHAnsi" w:cstheme="minorHAnsi"/>
                <w:sz w:val="20"/>
                <w:szCs w:val="20"/>
              </w:rPr>
            </w:pPr>
            <w:hyperlink r:id="rId80" w:history="1">
              <w:r w:rsidR="009F7D0A" w:rsidRPr="009F7D0A">
                <w:rPr>
                  <w:rStyle w:val="Hyperlink"/>
                  <w:rFonts w:asciiTheme="minorHAnsi" w:hAnsiTheme="minorHAnsi" w:cstheme="minorHAnsi"/>
                  <w:sz w:val="20"/>
                  <w:szCs w:val="20"/>
                </w:rPr>
                <w:t>Montenegro Water And Sanitation</w:t>
              </w:r>
            </w:hyperlink>
          </w:p>
        </w:tc>
        <w:tc>
          <w:tcPr>
            <w:tcW w:w="1372" w:type="dxa"/>
            <w:vAlign w:val="center"/>
            <w:hideMark/>
          </w:tcPr>
          <w:p w:rsidR="00325365" w:rsidRPr="009F7D0A" w:rsidRDefault="00325365" w:rsidP="00325365">
            <w:pPr>
              <w:jc w:val="right"/>
              <w:rPr>
                <w:rFonts w:asciiTheme="minorHAnsi" w:hAnsiTheme="minorHAnsi" w:cstheme="minorHAnsi"/>
                <w:sz w:val="20"/>
                <w:szCs w:val="20"/>
              </w:rPr>
            </w:pPr>
            <w:r w:rsidRPr="009F7D0A">
              <w:rPr>
                <w:rFonts w:asciiTheme="minorHAnsi" w:hAnsiTheme="minorHAnsi" w:cstheme="minorHAnsi"/>
                <w:sz w:val="20"/>
                <w:szCs w:val="20"/>
              </w:rPr>
              <w:t>16,500,000</w:t>
            </w:r>
          </w:p>
        </w:tc>
      </w:tr>
      <w:tr w:rsidR="005131DB" w:rsidRPr="009F7D0A" w:rsidTr="005131DB">
        <w:trPr>
          <w:tblCellSpacing w:w="15" w:type="dxa"/>
        </w:trPr>
        <w:tc>
          <w:tcPr>
            <w:tcW w:w="584" w:type="dxa"/>
            <w:vAlign w:val="center"/>
          </w:tcPr>
          <w:p w:rsidR="005131DB" w:rsidRPr="009F7D0A" w:rsidRDefault="005131DB" w:rsidP="002A39FE">
            <w:pPr>
              <w:rPr>
                <w:rFonts w:asciiTheme="minorHAnsi" w:hAnsiTheme="minorHAnsi" w:cstheme="minorHAnsi"/>
                <w:sz w:val="20"/>
                <w:szCs w:val="20"/>
              </w:rPr>
            </w:pPr>
            <w:r w:rsidRPr="009F7D0A">
              <w:rPr>
                <w:rFonts w:asciiTheme="minorHAnsi" w:hAnsiTheme="minorHAnsi" w:cstheme="minorHAnsi"/>
                <w:sz w:val="20"/>
                <w:szCs w:val="20"/>
              </w:rPr>
              <w:t>2008</w:t>
            </w:r>
          </w:p>
        </w:tc>
        <w:tc>
          <w:tcPr>
            <w:tcW w:w="2363" w:type="dxa"/>
            <w:vAlign w:val="center"/>
            <w:hideMark/>
          </w:tcPr>
          <w:p w:rsidR="005131DB" w:rsidRPr="009F7D0A" w:rsidRDefault="005131DB" w:rsidP="002A39FE">
            <w:pPr>
              <w:rPr>
                <w:rFonts w:asciiTheme="minorHAnsi" w:hAnsiTheme="minorHAnsi" w:cstheme="minorHAnsi"/>
                <w:sz w:val="20"/>
                <w:szCs w:val="20"/>
              </w:rPr>
            </w:pPr>
            <w:r w:rsidRPr="009F7D0A">
              <w:rPr>
                <w:rFonts w:asciiTheme="minorHAnsi" w:hAnsiTheme="minorHAnsi" w:cstheme="minorHAnsi"/>
                <w:sz w:val="20"/>
                <w:szCs w:val="20"/>
              </w:rPr>
              <w:t>Bosnia and Herzegovina</w:t>
            </w:r>
          </w:p>
        </w:tc>
        <w:tc>
          <w:tcPr>
            <w:tcW w:w="4790" w:type="dxa"/>
            <w:vAlign w:val="center"/>
          </w:tcPr>
          <w:p w:rsidR="005131DB" w:rsidRPr="009F7D0A" w:rsidRDefault="00F4142F" w:rsidP="002A39FE">
            <w:pPr>
              <w:rPr>
                <w:rFonts w:asciiTheme="minorHAnsi" w:hAnsiTheme="minorHAnsi" w:cstheme="minorHAnsi"/>
                <w:sz w:val="20"/>
                <w:szCs w:val="20"/>
              </w:rPr>
            </w:pPr>
            <w:hyperlink r:id="rId81" w:history="1">
              <w:r w:rsidR="009F7D0A" w:rsidRPr="009F7D0A">
                <w:rPr>
                  <w:rStyle w:val="Hyperlink"/>
                  <w:rFonts w:asciiTheme="minorHAnsi" w:hAnsiTheme="minorHAnsi" w:cstheme="minorHAnsi"/>
                  <w:sz w:val="20"/>
                  <w:szCs w:val="20"/>
                </w:rPr>
                <w:t>Water And Sanitation Federation Bih</w:t>
              </w:r>
            </w:hyperlink>
          </w:p>
        </w:tc>
        <w:tc>
          <w:tcPr>
            <w:tcW w:w="1372" w:type="dxa"/>
            <w:vAlign w:val="center"/>
            <w:hideMark/>
          </w:tcPr>
          <w:p w:rsidR="005131DB" w:rsidRPr="009F7D0A" w:rsidRDefault="005131DB" w:rsidP="002A39FE">
            <w:pPr>
              <w:jc w:val="right"/>
              <w:rPr>
                <w:rFonts w:asciiTheme="minorHAnsi" w:hAnsiTheme="minorHAnsi" w:cstheme="minorHAnsi"/>
                <w:sz w:val="20"/>
                <w:szCs w:val="20"/>
              </w:rPr>
            </w:pPr>
            <w:r w:rsidRPr="009F7D0A">
              <w:rPr>
                <w:rFonts w:asciiTheme="minorHAnsi" w:hAnsiTheme="minorHAnsi" w:cstheme="minorHAnsi"/>
                <w:sz w:val="20"/>
                <w:szCs w:val="20"/>
              </w:rPr>
              <w:t>60,000,000</w:t>
            </w:r>
          </w:p>
        </w:tc>
      </w:tr>
      <w:tr w:rsidR="005131DB" w:rsidRPr="009F7D0A" w:rsidTr="005131DB">
        <w:trPr>
          <w:tblCellSpacing w:w="15" w:type="dxa"/>
        </w:trPr>
        <w:tc>
          <w:tcPr>
            <w:tcW w:w="584" w:type="dxa"/>
            <w:vAlign w:val="center"/>
          </w:tcPr>
          <w:p w:rsidR="005131DB" w:rsidRPr="009F7D0A" w:rsidRDefault="005131DB" w:rsidP="002A39FE">
            <w:pPr>
              <w:rPr>
                <w:rFonts w:asciiTheme="minorHAnsi" w:hAnsiTheme="minorHAnsi" w:cstheme="minorHAnsi"/>
                <w:sz w:val="20"/>
                <w:szCs w:val="20"/>
              </w:rPr>
            </w:pPr>
            <w:r w:rsidRPr="009F7D0A">
              <w:rPr>
                <w:rFonts w:asciiTheme="minorHAnsi" w:hAnsiTheme="minorHAnsi" w:cstheme="minorHAnsi"/>
                <w:sz w:val="20"/>
                <w:szCs w:val="20"/>
              </w:rPr>
              <w:t>2008</w:t>
            </w:r>
          </w:p>
        </w:tc>
        <w:tc>
          <w:tcPr>
            <w:tcW w:w="2363" w:type="dxa"/>
            <w:vAlign w:val="center"/>
            <w:hideMark/>
          </w:tcPr>
          <w:p w:rsidR="005131DB" w:rsidRPr="009F7D0A" w:rsidRDefault="005131DB" w:rsidP="002A39FE">
            <w:pPr>
              <w:rPr>
                <w:rFonts w:asciiTheme="minorHAnsi" w:hAnsiTheme="minorHAnsi" w:cstheme="minorHAnsi"/>
                <w:sz w:val="20"/>
                <w:szCs w:val="20"/>
              </w:rPr>
            </w:pPr>
            <w:r w:rsidRPr="009F7D0A">
              <w:rPr>
                <w:rFonts w:asciiTheme="minorHAnsi" w:hAnsiTheme="minorHAnsi" w:cstheme="minorHAnsi"/>
                <w:sz w:val="20"/>
                <w:szCs w:val="20"/>
              </w:rPr>
              <w:t>Montenegro</w:t>
            </w:r>
          </w:p>
        </w:tc>
        <w:tc>
          <w:tcPr>
            <w:tcW w:w="4790" w:type="dxa"/>
            <w:vAlign w:val="center"/>
          </w:tcPr>
          <w:p w:rsidR="005131DB" w:rsidRPr="009F7D0A" w:rsidRDefault="00F4142F" w:rsidP="002A39FE">
            <w:pPr>
              <w:rPr>
                <w:rFonts w:asciiTheme="minorHAnsi" w:hAnsiTheme="minorHAnsi" w:cstheme="minorHAnsi"/>
                <w:sz w:val="20"/>
                <w:szCs w:val="20"/>
              </w:rPr>
            </w:pPr>
            <w:hyperlink r:id="rId82" w:history="1">
              <w:r w:rsidR="009F7D0A" w:rsidRPr="009F7D0A">
                <w:rPr>
                  <w:rStyle w:val="Hyperlink"/>
                  <w:rFonts w:asciiTheme="minorHAnsi" w:hAnsiTheme="minorHAnsi" w:cstheme="minorHAnsi"/>
                  <w:sz w:val="20"/>
                  <w:szCs w:val="20"/>
                </w:rPr>
                <w:t>Montenegro Water And Sanitation</w:t>
              </w:r>
            </w:hyperlink>
          </w:p>
        </w:tc>
        <w:tc>
          <w:tcPr>
            <w:tcW w:w="1372" w:type="dxa"/>
            <w:vAlign w:val="center"/>
            <w:hideMark/>
          </w:tcPr>
          <w:p w:rsidR="005131DB" w:rsidRPr="009F7D0A" w:rsidRDefault="005131DB" w:rsidP="002A39FE">
            <w:pPr>
              <w:jc w:val="right"/>
              <w:rPr>
                <w:rFonts w:asciiTheme="minorHAnsi" w:hAnsiTheme="minorHAnsi" w:cstheme="minorHAnsi"/>
                <w:sz w:val="20"/>
                <w:szCs w:val="20"/>
              </w:rPr>
            </w:pPr>
            <w:r w:rsidRPr="009F7D0A">
              <w:rPr>
                <w:rFonts w:asciiTheme="minorHAnsi" w:hAnsiTheme="minorHAnsi" w:cstheme="minorHAnsi"/>
                <w:sz w:val="20"/>
                <w:szCs w:val="20"/>
              </w:rPr>
              <w:t>5,000,000</w:t>
            </w:r>
          </w:p>
        </w:tc>
      </w:tr>
      <w:tr w:rsidR="005131DB" w:rsidRPr="009F7D0A" w:rsidTr="005131DB">
        <w:trPr>
          <w:tblCellSpacing w:w="15" w:type="dxa"/>
        </w:trPr>
        <w:tc>
          <w:tcPr>
            <w:tcW w:w="584" w:type="dxa"/>
            <w:vAlign w:val="center"/>
          </w:tcPr>
          <w:p w:rsidR="005131DB" w:rsidRPr="009F7D0A" w:rsidRDefault="005131DB" w:rsidP="002A39FE">
            <w:pPr>
              <w:rPr>
                <w:rFonts w:asciiTheme="minorHAnsi" w:hAnsiTheme="minorHAnsi" w:cstheme="minorHAnsi"/>
                <w:sz w:val="20"/>
                <w:szCs w:val="20"/>
              </w:rPr>
            </w:pPr>
            <w:r w:rsidRPr="009F7D0A">
              <w:rPr>
                <w:rFonts w:asciiTheme="minorHAnsi" w:hAnsiTheme="minorHAnsi" w:cstheme="minorHAnsi"/>
                <w:sz w:val="20"/>
                <w:szCs w:val="20"/>
              </w:rPr>
              <w:t>2010</w:t>
            </w:r>
          </w:p>
        </w:tc>
        <w:tc>
          <w:tcPr>
            <w:tcW w:w="2363" w:type="dxa"/>
            <w:vAlign w:val="center"/>
            <w:hideMark/>
          </w:tcPr>
          <w:p w:rsidR="005131DB" w:rsidRPr="009F7D0A" w:rsidRDefault="005131DB" w:rsidP="002A39FE">
            <w:pPr>
              <w:rPr>
                <w:rFonts w:asciiTheme="minorHAnsi" w:hAnsiTheme="minorHAnsi" w:cstheme="minorHAnsi"/>
                <w:sz w:val="20"/>
                <w:szCs w:val="20"/>
              </w:rPr>
            </w:pPr>
            <w:r w:rsidRPr="009F7D0A">
              <w:rPr>
                <w:rFonts w:asciiTheme="minorHAnsi" w:hAnsiTheme="minorHAnsi" w:cstheme="minorHAnsi"/>
                <w:sz w:val="20"/>
                <w:szCs w:val="20"/>
              </w:rPr>
              <w:t>Ukraine</w:t>
            </w:r>
          </w:p>
        </w:tc>
        <w:tc>
          <w:tcPr>
            <w:tcW w:w="4790" w:type="dxa"/>
            <w:vAlign w:val="center"/>
          </w:tcPr>
          <w:p w:rsidR="005131DB" w:rsidRPr="009F7D0A" w:rsidRDefault="00F4142F" w:rsidP="002A39FE">
            <w:pPr>
              <w:rPr>
                <w:rFonts w:asciiTheme="minorHAnsi" w:hAnsiTheme="minorHAnsi" w:cstheme="minorHAnsi"/>
                <w:sz w:val="20"/>
                <w:szCs w:val="20"/>
              </w:rPr>
            </w:pPr>
            <w:hyperlink r:id="rId83" w:history="1">
              <w:r w:rsidR="009F7D0A" w:rsidRPr="009F7D0A">
                <w:rPr>
                  <w:rStyle w:val="Hyperlink"/>
                  <w:rFonts w:asciiTheme="minorHAnsi" w:hAnsiTheme="minorHAnsi" w:cstheme="minorHAnsi"/>
                  <w:sz w:val="20"/>
                  <w:szCs w:val="20"/>
                </w:rPr>
                <w:t>Mykolayiv Vodokanal</w:t>
              </w:r>
            </w:hyperlink>
          </w:p>
        </w:tc>
        <w:tc>
          <w:tcPr>
            <w:tcW w:w="1372" w:type="dxa"/>
            <w:vAlign w:val="center"/>
            <w:hideMark/>
          </w:tcPr>
          <w:p w:rsidR="005131DB" w:rsidRPr="009F7D0A" w:rsidRDefault="005131DB" w:rsidP="002A39FE">
            <w:pPr>
              <w:jc w:val="right"/>
              <w:rPr>
                <w:rFonts w:asciiTheme="minorHAnsi" w:hAnsiTheme="minorHAnsi" w:cstheme="minorHAnsi"/>
                <w:sz w:val="20"/>
                <w:szCs w:val="20"/>
              </w:rPr>
            </w:pPr>
            <w:r w:rsidRPr="009F7D0A">
              <w:rPr>
                <w:rFonts w:asciiTheme="minorHAnsi" w:hAnsiTheme="minorHAnsi" w:cstheme="minorHAnsi"/>
                <w:sz w:val="20"/>
                <w:szCs w:val="20"/>
              </w:rPr>
              <w:t>15,540,000</w:t>
            </w:r>
          </w:p>
        </w:tc>
      </w:tr>
      <w:tr w:rsidR="005131DB" w:rsidRPr="009F7D0A" w:rsidTr="005131DB">
        <w:trPr>
          <w:tblCellSpacing w:w="15" w:type="dxa"/>
        </w:trPr>
        <w:tc>
          <w:tcPr>
            <w:tcW w:w="584" w:type="dxa"/>
            <w:vAlign w:val="center"/>
          </w:tcPr>
          <w:p w:rsidR="005131DB" w:rsidRPr="009F7D0A" w:rsidRDefault="005131DB" w:rsidP="002A39FE">
            <w:pPr>
              <w:rPr>
                <w:rFonts w:asciiTheme="minorHAnsi" w:hAnsiTheme="minorHAnsi" w:cstheme="minorHAnsi"/>
                <w:sz w:val="20"/>
                <w:szCs w:val="20"/>
              </w:rPr>
            </w:pPr>
            <w:r w:rsidRPr="009F7D0A">
              <w:rPr>
                <w:rFonts w:asciiTheme="minorHAnsi" w:hAnsiTheme="minorHAnsi" w:cstheme="minorHAnsi"/>
                <w:sz w:val="20"/>
                <w:szCs w:val="20"/>
              </w:rPr>
              <w:t>2006</w:t>
            </w:r>
          </w:p>
        </w:tc>
        <w:tc>
          <w:tcPr>
            <w:tcW w:w="2363" w:type="dxa"/>
            <w:vAlign w:val="center"/>
            <w:hideMark/>
          </w:tcPr>
          <w:p w:rsidR="005131DB" w:rsidRPr="009F7D0A" w:rsidRDefault="005131DB" w:rsidP="002A39FE">
            <w:pPr>
              <w:rPr>
                <w:rFonts w:asciiTheme="minorHAnsi" w:hAnsiTheme="minorHAnsi" w:cstheme="minorHAnsi"/>
                <w:sz w:val="20"/>
                <w:szCs w:val="20"/>
              </w:rPr>
            </w:pPr>
            <w:r w:rsidRPr="009F7D0A">
              <w:rPr>
                <w:rFonts w:asciiTheme="minorHAnsi" w:hAnsiTheme="minorHAnsi" w:cstheme="minorHAnsi"/>
                <w:sz w:val="20"/>
                <w:szCs w:val="20"/>
              </w:rPr>
              <w:t>Montenegro</w:t>
            </w:r>
          </w:p>
        </w:tc>
        <w:tc>
          <w:tcPr>
            <w:tcW w:w="4790" w:type="dxa"/>
            <w:vAlign w:val="center"/>
          </w:tcPr>
          <w:p w:rsidR="005131DB" w:rsidRPr="009F7D0A" w:rsidRDefault="00F4142F" w:rsidP="002A39FE">
            <w:pPr>
              <w:rPr>
                <w:rFonts w:asciiTheme="minorHAnsi" w:hAnsiTheme="minorHAnsi" w:cstheme="minorHAnsi"/>
                <w:sz w:val="20"/>
                <w:szCs w:val="20"/>
              </w:rPr>
            </w:pPr>
            <w:hyperlink r:id="rId84" w:history="1">
              <w:r w:rsidR="009F7D0A" w:rsidRPr="009F7D0A">
                <w:rPr>
                  <w:rStyle w:val="Hyperlink"/>
                  <w:rFonts w:asciiTheme="minorHAnsi" w:hAnsiTheme="minorHAnsi" w:cstheme="minorHAnsi"/>
                  <w:sz w:val="20"/>
                  <w:szCs w:val="20"/>
                </w:rPr>
                <w:t>Montenegro Water And Sanitation</w:t>
              </w:r>
            </w:hyperlink>
          </w:p>
        </w:tc>
        <w:tc>
          <w:tcPr>
            <w:tcW w:w="1372" w:type="dxa"/>
            <w:vAlign w:val="center"/>
            <w:hideMark/>
          </w:tcPr>
          <w:p w:rsidR="005131DB" w:rsidRPr="009F7D0A" w:rsidRDefault="005131DB" w:rsidP="002A39FE">
            <w:pPr>
              <w:jc w:val="right"/>
              <w:rPr>
                <w:rFonts w:asciiTheme="minorHAnsi" w:hAnsiTheme="minorHAnsi" w:cstheme="minorHAnsi"/>
                <w:sz w:val="20"/>
                <w:szCs w:val="20"/>
              </w:rPr>
            </w:pPr>
            <w:r w:rsidRPr="009F7D0A">
              <w:rPr>
                <w:rFonts w:asciiTheme="minorHAnsi" w:hAnsiTheme="minorHAnsi" w:cstheme="minorHAnsi"/>
                <w:sz w:val="20"/>
                <w:szCs w:val="20"/>
              </w:rPr>
              <w:t>0</w:t>
            </w:r>
          </w:p>
        </w:tc>
      </w:tr>
    </w:tbl>
    <w:p w:rsidR="00325365" w:rsidRDefault="00325365" w:rsidP="00325365"/>
    <w:p w:rsidR="00325365" w:rsidRPr="00325365" w:rsidRDefault="00325365" w:rsidP="00325365"/>
    <w:p w:rsidR="00124832" w:rsidRPr="00FA23B0" w:rsidRDefault="00124832" w:rsidP="00124832">
      <w:pPr>
        <w:pStyle w:val="Heading3"/>
      </w:pPr>
      <w:bookmarkStart w:id="243" w:name="_Toc305768586"/>
      <w:r>
        <w:t xml:space="preserve">EBRD: public finance </w:t>
      </w:r>
      <w:r w:rsidR="00784A0B">
        <w:t>and</w:t>
      </w:r>
      <w:r>
        <w:t xml:space="preserve"> private water companies</w:t>
      </w:r>
      <w:bookmarkEnd w:id="239"/>
      <w:bookmarkEnd w:id="243"/>
    </w:p>
    <w:p w:rsidR="00124832" w:rsidRDefault="00124832" w:rsidP="00124832">
      <w:r w:rsidRPr="00FA23B0">
        <w:t>The European Bank for Reconstruct</w:t>
      </w:r>
      <w:r>
        <w:t>ion and Development (EBRD) f</w:t>
      </w:r>
      <w:r w:rsidRPr="00FA23B0">
        <w:t>inance</w:t>
      </w:r>
      <w:r>
        <w:t>s</w:t>
      </w:r>
      <w:r w:rsidRPr="00FA23B0">
        <w:t xml:space="preserve"> water operations through loans to both public and private </w:t>
      </w:r>
      <w:r w:rsidR="002F71AD">
        <w:t xml:space="preserve">sectors, including </w:t>
      </w:r>
      <w:r>
        <w:t>equity investments in private water companies.</w:t>
      </w:r>
      <w:r w:rsidRPr="00FA23B0">
        <w:t xml:space="preserve"> </w:t>
      </w:r>
    </w:p>
    <w:p w:rsidR="002F71AD" w:rsidRDefault="002F71AD" w:rsidP="00124832"/>
    <w:p w:rsidR="00DC1008" w:rsidRDefault="002F71AD" w:rsidP="00DC1008">
      <w:r>
        <w:t xml:space="preserve">The EBRD has </w:t>
      </w:r>
      <w:r w:rsidR="00DC1008">
        <w:t>for many years provided</w:t>
      </w:r>
      <w:r>
        <w:t xml:space="preserve"> strong support for private companies</w:t>
      </w:r>
      <w:r w:rsidR="00DC1008">
        <w:t xml:space="preserve"> (see below)</w:t>
      </w:r>
      <w:r>
        <w:t xml:space="preserve">, </w:t>
      </w:r>
      <w:r w:rsidR="00DC1008">
        <w:t xml:space="preserve">but recent developments suggest that, like OECD and UNECE, it is changing its view, and is now ready to support regionalisation under public sector operation. In Georgia, for example, it abandoned a planned €12m. </w:t>
      </w:r>
      <w:proofErr w:type="gramStart"/>
      <w:r w:rsidR="00DC1008">
        <w:t>loan</w:t>
      </w:r>
      <w:proofErr w:type="gramEnd"/>
      <w:r w:rsidR="00DC1008">
        <w:t xml:space="preserve"> for a PPP in a region of the country: they system is now being developed under a public water company,</w:t>
      </w:r>
      <w:r w:rsidR="00DC1008">
        <w:rPr>
          <w:rStyle w:val="EndnoteReference"/>
        </w:rPr>
        <w:endnoteReference w:id="52"/>
      </w:r>
      <w:r w:rsidR="00DC1008">
        <w:t xml:space="preserve">  </w:t>
      </w:r>
    </w:p>
    <w:p w:rsidR="002F71AD" w:rsidRDefault="00DC1008" w:rsidP="00F74D4F">
      <w:r>
        <w:t>In</w:t>
      </w:r>
      <w:r w:rsidR="00F74D4F">
        <w:t xml:space="preserve"> Moldova</w:t>
      </w:r>
      <w:r w:rsidR="00060CCF">
        <w:t xml:space="preserve">, </w:t>
      </w:r>
      <w:r w:rsidR="00F74D4F" w:rsidRPr="00F74D4F">
        <w:t xml:space="preserve">the EBRD is </w:t>
      </w:r>
      <w:r w:rsidR="00060CCF">
        <w:t>providing</w:t>
      </w:r>
      <w:r w:rsidR="00F74D4F" w:rsidRPr="00F74D4F">
        <w:t xml:space="preserve"> a</w:t>
      </w:r>
      <w:r w:rsidR="00F74D4F">
        <w:t xml:space="preserve"> </w:t>
      </w:r>
      <w:r w:rsidR="00F74D4F" w:rsidRPr="00F74D4F">
        <w:t>€10 million sovereign loan to finance the upgrade</w:t>
      </w:r>
      <w:r w:rsidR="00F74D4F">
        <w:t xml:space="preserve"> </w:t>
      </w:r>
      <w:r w:rsidR="00F74D4F" w:rsidRPr="00F74D4F">
        <w:t>and extension of the water and wastewater systems in towns</w:t>
      </w:r>
      <w:r w:rsidR="00060CCF">
        <w:t xml:space="preserve"> outside the capital, Chisinau, and </w:t>
      </w:r>
      <w:r w:rsidR="00F74D4F" w:rsidRPr="00F74D4F">
        <w:t>focus</w:t>
      </w:r>
      <w:r w:rsidR="00060CCF">
        <w:t>es</w:t>
      </w:r>
      <w:r w:rsidR="00F74D4F" w:rsidRPr="00F74D4F">
        <w:t xml:space="preserve"> on the</w:t>
      </w:r>
      <w:r w:rsidR="00F74D4F">
        <w:t xml:space="preserve"> </w:t>
      </w:r>
      <w:r w:rsidR="00F74D4F" w:rsidRPr="00F74D4F">
        <w:t>regionalisation of water services.</w:t>
      </w:r>
      <w:r w:rsidR="00F74D4F">
        <w:t xml:space="preserve"> </w:t>
      </w:r>
      <w:r w:rsidR="00F74D4F">
        <w:rPr>
          <w:rStyle w:val="EndnoteReference"/>
        </w:rPr>
        <w:endnoteReference w:id="53"/>
      </w:r>
      <w:r>
        <w:t xml:space="preserve">(This loan is also an example of coordination between the EBRD, EIB and the </w:t>
      </w:r>
      <w:r w:rsidRPr="00F74D4F">
        <w:t>EU’s Neighbourhood</w:t>
      </w:r>
      <w:r>
        <w:t xml:space="preserve"> </w:t>
      </w:r>
      <w:r w:rsidRPr="00F74D4F">
        <w:t>Investment Facility (NIF)</w:t>
      </w:r>
      <w:r>
        <w:t>, each of whom are providing €10m. towards the total cost of €30m.)</w:t>
      </w:r>
      <w:r w:rsidR="00060CCF">
        <w:t>. In this loan, and more recent similar one</w:t>
      </w:r>
      <w:r w:rsidR="00784A0B">
        <w:t>s</w:t>
      </w:r>
      <w:r w:rsidR="00060CCF">
        <w:t xml:space="preserve"> in Armenia</w:t>
      </w:r>
      <w:r w:rsidR="00784A0B">
        <w:t xml:space="preserve"> and Bosnia</w:t>
      </w:r>
      <w:r w:rsidR="00060CCF">
        <w:t xml:space="preserve">, it nevertheless explicitly expects full cost recovery by the public utilities. </w:t>
      </w:r>
    </w:p>
    <w:p w:rsidR="00784A0B" w:rsidRDefault="00942493" w:rsidP="00F74D4F">
      <w:pPr>
        <w:pStyle w:val="Heading7"/>
      </w:pPr>
      <w:bookmarkStart w:id="244" w:name="_Toc305768587"/>
      <w:r>
        <w:t>EBRD public projects in water and sanitation in the region</w:t>
      </w:r>
      <w:bookmarkEnd w:id="244"/>
    </w:p>
    <w:tbl>
      <w:tblPr>
        <w:tblStyle w:val="TableGrid"/>
        <w:tblW w:w="0" w:type="auto"/>
        <w:tblLook w:val="04A0"/>
      </w:tblPr>
      <w:tblGrid>
        <w:gridCol w:w="1809"/>
        <w:gridCol w:w="1985"/>
        <w:gridCol w:w="4111"/>
      </w:tblGrid>
      <w:tr w:rsidR="00942493" w:rsidRPr="00942493" w:rsidTr="00942493">
        <w:tc>
          <w:tcPr>
            <w:tcW w:w="1809" w:type="dxa"/>
          </w:tcPr>
          <w:p w:rsidR="00942493" w:rsidRPr="00942493" w:rsidRDefault="00942493" w:rsidP="00942493">
            <w:r w:rsidRPr="00942493">
              <w:t xml:space="preserve">14 Jan 2011 </w:t>
            </w:r>
          </w:p>
        </w:tc>
        <w:tc>
          <w:tcPr>
            <w:tcW w:w="1985" w:type="dxa"/>
          </w:tcPr>
          <w:p w:rsidR="00942493" w:rsidRPr="00942493" w:rsidRDefault="00942493" w:rsidP="00354397">
            <w:r w:rsidRPr="00942493">
              <w:t>Armenia</w:t>
            </w:r>
          </w:p>
        </w:tc>
        <w:tc>
          <w:tcPr>
            <w:tcW w:w="4111" w:type="dxa"/>
          </w:tcPr>
          <w:p w:rsidR="00942493" w:rsidRPr="00942493" w:rsidRDefault="00F4142F" w:rsidP="00354397">
            <w:hyperlink r:id="rId85" w:history="1">
              <w:r w:rsidR="00942493" w:rsidRPr="00942493">
                <w:rPr>
                  <w:rStyle w:val="Hyperlink"/>
                </w:rPr>
                <w:t>Armenian Small Municipalities Water Project</w:t>
              </w:r>
            </w:hyperlink>
          </w:p>
        </w:tc>
      </w:tr>
      <w:tr w:rsidR="00942493" w:rsidRPr="00942493" w:rsidTr="00942493">
        <w:tc>
          <w:tcPr>
            <w:tcW w:w="1809" w:type="dxa"/>
          </w:tcPr>
          <w:p w:rsidR="00942493" w:rsidRPr="00942493" w:rsidRDefault="00942493" w:rsidP="00942493">
            <w:r w:rsidRPr="00942493">
              <w:t xml:space="preserve">19 Apr 2010  </w:t>
            </w:r>
          </w:p>
        </w:tc>
        <w:tc>
          <w:tcPr>
            <w:tcW w:w="1985" w:type="dxa"/>
          </w:tcPr>
          <w:p w:rsidR="00942493" w:rsidRPr="00942493" w:rsidRDefault="00942493" w:rsidP="00354397">
            <w:r w:rsidRPr="00942493">
              <w:t>Bosnia and Herzegovina</w:t>
            </w:r>
          </w:p>
        </w:tc>
        <w:tc>
          <w:tcPr>
            <w:tcW w:w="4111" w:type="dxa"/>
          </w:tcPr>
          <w:p w:rsidR="00942493" w:rsidRPr="00942493" w:rsidRDefault="00F4142F" w:rsidP="00354397">
            <w:hyperlink r:id="rId86" w:history="1">
              <w:r w:rsidR="00942493" w:rsidRPr="00942493">
                <w:rPr>
                  <w:rStyle w:val="Hyperlink"/>
                </w:rPr>
                <w:t>Sarajevo Canton Water and Wastewater Project</w:t>
              </w:r>
            </w:hyperlink>
          </w:p>
        </w:tc>
      </w:tr>
      <w:tr w:rsidR="00942493" w:rsidRPr="00942493" w:rsidTr="00942493">
        <w:tc>
          <w:tcPr>
            <w:tcW w:w="1809" w:type="dxa"/>
          </w:tcPr>
          <w:p w:rsidR="00942493" w:rsidRPr="00942493" w:rsidRDefault="00942493" w:rsidP="00942493">
            <w:r w:rsidRPr="00942493">
              <w:t xml:space="preserve">23 Feb 2010 </w:t>
            </w:r>
          </w:p>
        </w:tc>
        <w:tc>
          <w:tcPr>
            <w:tcW w:w="1985" w:type="dxa"/>
          </w:tcPr>
          <w:p w:rsidR="00942493" w:rsidRPr="00942493" w:rsidRDefault="00942493" w:rsidP="00354397">
            <w:r w:rsidRPr="00942493">
              <w:t>Moldova</w:t>
            </w:r>
          </w:p>
        </w:tc>
        <w:tc>
          <w:tcPr>
            <w:tcW w:w="4111" w:type="dxa"/>
          </w:tcPr>
          <w:p w:rsidR="00942493" w:rsidRPr="00942493" w:rsidRDefault="00F4142F" w:rsidP="00354397">
            <w:hyperlink r:id="rId87" w:history="1">
              <w:r w:rsidR="00942493" w:rsidRPr="00942493">
                <w:rPr>
                  <w:rStyle w:val="Hyperlink"/>
                </w:rPr>
                <w:t>Moldova - Water Utilities Development Programme</w:t>
              </w:r>
            </w:hyperlink>
          </w:p>
        </w:tc>
      </w:tr>
    </w:tbl>
    <w:p w:rsidR="00784A0B" w:rsidRDefault="00784A0B" w:rsidP="00124832"/>
    <w:p w:rsidR="00124832" w:rsidRDefault="00124832" w:rsidP="00124832">
      <w:r>
        <w:t>The EBRD agreed in 2009 to invest €80 million in shares in a joint venture with FCC’s Aqualia, called Aqualia New Europe. FCC/</w:t>
      </w:r>
      <w:proofErr w:type="gramStart"/>
      <w:r>
        <w:t>Aqualia  will</w:t>
      </w:r>
      <w:proofErr w:type="gramEnd"/>
      <w:r>
        <w:t xml:space="preserve"> own 51%, the EBRD 49%. FCC commented that: “</w:t>
      </w:r>
      <w:r w:rsidRPr="003E77BA">
        <w:t>This project will increase Aqualia's foothold in the Eastern and Central European water sector</w:t>
      </w:r>
      <w:r>
        <w:t xml:space="preserve">”. </w:t>
      </w:r>
      <w:r>
        <w:rPr>
          <w:rStyle w:val="EndnoteReference"/>
        </w:rPr>
        <w:endnoteReference w:id="54"/>
      </w:r>
    </w:p>
    <w:p w:rsidR="00124832" w:rsidRDefault="00124832" w:rsidP="00124832"/>
    <w:p w:rsidR="00124832" w:rsidRDefault="00124832" w:rsidP="00124832">
      <w:r>
        <w:t xml:space="preserve">The EBRD has made similar equity investments in Veolia </w:t>
      </w:r>
      <w:proofErr w:type="gramStart"/>
      <w:r>
        <w:t>Voda,</w:t>
      </w:r>
      <w:proofErr w:type="gramEnd"/>
      <w:r>
        <w:t xml:space="preserve"> Veolia’s operating company in central and eastern Europe, since 2007. The cumulative value of these equity investments is now £175m.  The World Bank’s private sector arm, the IFC, has also invested in Veolia Voda, as well as Veolia’s other international water operations. (</w:t>
      </w:r>
      <w:proofErr w:type="gramStart"/>
      <w:r>
        <w:t>see</w:t>
      </w:r>
      <w:proofErr w:type="gramEnd"/>
      <w:r>
        <w:t xml:space="preserve"> below).</w:t>
      </w:r>
    </w:p>
    <w:p w:rsidR="00124832" w:rsidRDefault="00124832" w:rsidP="00124832"/>
    <w:p w:rsidR="00124832" w:rsidRDefault="00124832" w:rsidP="00124832">
      <w:r>
        <w:t xml:space="preserve">The EBRD has also </w:t>
      </w:r>
      <w:proofErr w:type="gramStart"/>
      <w:r>
        <w:t>financed  other</w:t>
      </w:r>
      <w:proofErr w:type="gramEnd"/>
      <w:r>
        <w:t xml:space="preserve"> private water companies’ operations in central and eastern Europe. It financed the United Utilities commercial ventures in </w:t>
      </w:r>
      <w:proofErr w:type="gramStart"/>
      <w:r>
        <w:t>eastern</w:t>
      </w:r>
      <w:proofErr w:type="gramEnd"/>
      <w:r>
        <w:t xml:space="preserve"> Europe (now part of Veolia), including equity investments; it financed ventures by </w:t>
      </w:r>
      <w:smartTag w:uri="urn:schemas-microsoft-com:office:smarttags" w:element="City">
        <w:smartTag w:uri="urn:schemas-microsoft-com:office:smarttags" w:element="place">
          <w:r>
            <w:t>Suez</w:t>
          </w:r>
        </w:smartTag>
      </w:smartTag>
      <w:r>
        <w:t xml:space="preserve">, who negotiated a ‘multi-project’ loan, tied to </w:t>
      </w:r>
      <w:smartTag w:uri="urn:schemas-microsoft-com:office:smarttags" w:element="City">
        <w:smartTag w:uri="urn:schemas-microsoft-com:office:smarttags" w:element="place">
          <w:r>
            <w:t>Suez</w:t>
          </w:r>
        </w:smartTag>
      </w:smartTag>
      <w:r>
        <w:t>, in 1996.  In addition, Veolia has benefitted from EBRD finance for its operations in energy services (Dalkia) and transport (Connex).</w:t>
      </w:r>
    </w:p>
    <w:p w:rsidR="00124832" w:rsidRDefault="00124832" w:rsidP="00124832"/>
    <w:p w:rsidR="00124832" w:rsidRDefault="00124832" w:rsidP="00124832">
      <w:r>
        <w:t>The table below shows that the cumulative total value of this financing has been €496 million, of which €272 million consists of equity stakes.</w:t>
      </w:r>
    </w:p>
    <w:p w:rsidR="00124832" w:rsidRDefault="00124832" w:rsidP="00124832">
      <w:pPr>
        <w:pStyle w:val="Heading7"/>
        <w:tabs>
          <w:tab w:val="clear" w:pos="180"/>
          <w:tab w:val="num" w:pos="-900"/>
        </w:tabs>
        <w:ind w:left="0"/>
      </w:pPr>
      <w:bookmarkStart w:id="245" w:name="_Toc272227359"/>
      <w:bookmarkStart w:id="246" w:name="_Toc305768588"/>
      <w:r>
        <w:t>EBRD finance for private water, 1991-2009 € million</w:t>
      </w:r>
      <w:bookmarkEnd w:id="245"/>
      <w:bookmarkEnd w:id="2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984"/>
        <w:gridCol w:w="2694"/>
      </w:tblGrid>
      <w:tr w:rsidR="00124832" w:rsidTr="00124832">
        <w:tc>
          <w:tcPr>
            <w:tcW w:w="3227" w:type="dxa"/>
          </w:tcPr>
          <w:p w:rsidR="00124832" w:rsidRDefault="00124832" w:rsidP="00124832"/>
        </w:tc>
        <w:tc>
          <w:tcPr>
            <w:tcW w:w="1984" w:type="dxa"/>
          </w:tcPr>
          <w:p w:rsidR="00124832" w:rsidRDefault="00124832" w:rsidP="00124832">
            <w:r>
              <w:t>EBRD finance 1991-2009</w:t>
            </w:r>
          </w:p>
        </w:tc>
        <w:tc>
          <w:tcPr>
            <w:tcW w:w="2694" w:type="dxa"/>
          </w:tcPr>
          <w:p w:rsidR="00124832" w:rsidRDefault="00124832" w:rsidP="00124832">
            <w:r>
              <w:t>Of which equity investments</w:t>
            </w:r>
          </w:p>
        </w:tc>
      </w:tr>
      <w:tr w:rsidR="00124832" w:rsidTr="00124832">
        <w:tc>
          <w:tcPr>
            <w:tcW w:w="3227" w:type="dxa"/>
          </w:tcPr>
          <w:p w:rsidR="00124832" w:rsidRDefault="00124832" w:rsidP="00124832">
            <w:r>
              <w:t>FCC/Aqualia</w:t>
            </w:r>
          </w:p>
        </w:tc>
        <w:tc>
          <w:tcPr>
            <w:tcW w:w="1984" w:type="dxa"/>
          </w:tcPr>
          <w:p w:rsidR="00124832" w:rsidRDefault="00124832" w:rsidP="00124832">
            <w:pPr>
              <w:jc w:val="right"/>
            </w:pPr>
            <w:r>
              <w:t>80</w:t>
            </w:r>
          </w:p>
        </w:tc>
        <w:tc>
          <w:tcPr>
            <w:tcW w:w="2694" w:type="dxa"/>
          </w:tcPr>
          <w:p w:rsidR="00124832" w:rsidRDefault="00124832" w:rsidP="00124832">
            <w:pPr>
              <w:jc w:val="right"/>
            </w:pPr>
            <w:r>
              <w:t>80</w:t>
            </w:r>
          </w:p>
        </w:tc>
      </w:tr>
      <w:tr w:rsidR="00124832" w:rsidTr="00124832">
        <w:tc>
          <w:tcPr>
            <w:tcW w:w="3227" w:type="dxa"/>
          </w:tcPr>
          <w:p w:rsidR="00124832" w:rsidRDefault="00124832" w:rsidP="00124832">
            <w:smartTag w:uri="urn:schemas-microsoft-com:office:smarttags" w:element="City">
              <w:smartTag w:uri="urn:schemas-microsoft-com:office:smarttags" w:element="place">
                <w:r>
                  <w:t>Suez</w:t>
                </w:r>
              </w:smartTag>
            </w:smartTag>
          </w:p>
        </w:tc>
        <w:tc>
          <w:tcPr>
            <w:tcW w:w="1984" w:type="dxa"/>
          </w:tcPr>
          <w:p w:rsidR="00124832" w:rsidRDefault="00124832" w:rsidP="00124832">
            <w:pPr>
              <w:jc w:val="right"/>
            </w:pPr>
            <w:r>
              <w:t>42</w:t>
            </w:r>
          </w:p>
        </w:tc>
        <w:tc>
          <w:tcPr>
            <w:tcW w:w="2694" w:type="dxa"/>
          </w:tcPr>
          <w:p w:rsidR="00124832" w:rsidRDefault="00124832" w:rsidP="00124832">
            <w:pPr>
              <w:jc w:val="right"/>
            </w:pPr>
            <w:r>
              <w:t>0</w:t>
            </w:r>
          </w:p>
        </w:tc>
      </w:tr>
      <w:tr w:rsidR="00124832" w:rsidTr="00124832">
        <w:tc>
          <w:tcPr>
            <w:tcW w:w="3227" w:type="dxa"/>
          </w:tcPr>
          <w:p w:rsidR="00124832" w:rsidRDefault="00124832" w:rsidP="00124832">
            <w:r>
              <w:t>United Utilities (now Veolia)</w:t>
            </w:r>
          </w:p>
        </w:tc>
        <w:tc>
          <w:tcPr>
            <w:tcW w:w="1984" w:type="dxa"/>
          </w:tcPr>
          <w:p w:rsidR="00124832" w:rsidRDefault="00124832" w:rsidP="00124832">
            <w:pPr>
              <w:jc w:val="right"/>
            </w:pPr>
            <w:r>
              <w:t>111</w:t>
            </w:r>
          </w:p>
        </w:tc>
        <w:tc>
          <w:tcPr>
            <w:tcW w:w="2694" w:type="dxa"/>
          </w:tcPr>
          <w:p w:rsidR="00124832" w:rsidRDefault="00124832" w:rsidP="00124832">
            <w:pPr>
              <w:jc w:val="right"/>
            </w:pPr>
            <w:r>
              <w:t>17</w:t>
            </w:r>
          </w:p>
        </w:tc>
      </w:tr>
      <w:tr w:rsidR="00124832" w:rsidTr="00124832">
        <w:tc>
          <w:tcPr>
            <w:tcW w:w="3227" w:type="dxa"/>
          </w:tcPr>
          <w:p w:rsidR="00124832" w:rsidRDefault="00124832" w:rsidP="00124832">
            <w:r>
              <w:t>Veolia</w:t>
            </w:r>
          </w:p>
        </w:tc>
        <w:tc>
          <w:tcPr>
            <w:tcW w:w="1984" w:type="dxa"/>
          </w:tcPr>
          <w:p w:rsidR="00124832" w:rsidRDefault="00124832" w:rsidP="00124832">
            <w:pPr>
              <w:jc w:val="right"/>
            </w:pPr>
            <w:r>
              <w:t>263</w:t>
            </w:r>
          </w:p>
        </w:tc>
        <w:tc>
          <w:tcPr>
            <w:tcW w:w="2694" w:type="dxa"/>
          </w:tcPr>
          <w:p w:rsidR="00124832" w:rsidRDefault="00124832" w:rsidP="00124832">
            <w:pPr>
              <w:jc w:val="right"/>
            </w:pPr>
            <w:r>
              <w:t>175</w:t>
            </w:r>
          </w:p>
        </w:tc>
      </w:tr>
      <w:tr w:rsidR="00124832" w:rsidRPr="0046270D" w:rsidTr="00124832">
        <w:tc>
          <w:tcPr>
            <w:tcW w:w="3227" w:type="dxa"/>
          </w:tcPr>
          <w:p w:rsidR="00124832" w:rsidRDefault="00124832" w:rsidP="00124832">
            <w:pPr>
              <w:rPr>
                <w:i/>
              </w:rPr>
            </w:pPr>
          </w:p>
        </w:tc>
        <w:tc>
          <w:tcPr>
            <w:tcW w:w="1984" w:type="dxa"/>
          </w:tcPr>
          <w:p w:rsidR="00124832" w:rsidRPr="0046270D" w:rsidRDefault="00124832" w:rsidP="00124832">
            <w:pPr>
              <w:jc w:val="right"/>
              <w:rPr>
                <w:i/>
              </w:rPr>
            </w:pPr>
          </w:p>
        </w:tc>
        <w:tc>
          <w:tcPr>
            <w:tcW w:w="2694" w:type="dxa"/>
          </w:tcPr>
          <w:p w:rsidR="00124832" w:rsidRDefault="00124832" w:rsidP="00124832">
            <w:pPr>
              <w:jc w:val="right"/>
              <w:rPr>
                <w:i/>
              </w:rPr>
            </w:pPr>
          </w:p>
        </w:tc>
      </w:tr>
      <w:tr w:rsidR="00124832" w:rsidRPr="0046270D" w:rsidTr="00124832">
        <w:tc>
          <w:tcPr>
            <w:tcW w:w="3227" w:type="dxa"/>
          </w:tcPr>
          <w:p w:rsidR="00124832" w:rsidRPr="0046270D" w:rsidRDefault="00124832" w:rsidP="00124832">
            <w:pPr>
              <w:rPr>
                <w:i/>
              </w:rPr>
            </w:pPr>
            <w:r>
              <w:rPr>
                <w:i/>
              </w:rPr>
              <w:t>TOTAL</w:t>
            </w:r>
          </w:p>
        </w:tc>
        <w:tc>
          <w:tcPr>
            <w:tcW w:w="1984" w:type="dxa"/>
          </w:tcPr>
          <w:p w:rsidR="00124832" w:rsidRPr="0046270D" w:rsidRDefault="00124832" w:rsidP="00124832">
            <w:pPr>
              <w:jc w:val="right"/>
              <w:rPr>
                <w:i/>
              </w:rPr>
            </w:pPr>
            <w:r>
              <w:rPr>
                <w:i/>
              </w:rPr>
              <w:t>496</w:t>
            </w:r>
          </w:p>
        </w:tc>
        <w:tc>
          <w:tcPr>
            <w:tcW w:w="2694" w:type="dxa"/>
          </w:tcPr>
          <w:p w:rsidR="00124832" w:rsidRPr="0046270D" w:rsidRDefault="00124832" w:rsidP="00124832">
            <w:pPr>
              <w:jc w:val="right"/>
              <w:rPr>
                <w:i/>
              </w:rPr>
            </w:pPr>
            <w:r>
              <w:rPr>
                <w:i/>
              </w:rPr>
              <w:t>272</w:t>
            </w:r>
          </w:p>
        </w:tc>
      </w:tr>
      <w:tr w:rsidR="00124832" w:rsidRPr="0046270D" w:rsidTr="00124832">
        <w:tc>
          <w:tcPr>
            <w:tcW w:w="3227" w:type="dxa"/>
          </w:tcPr>
          <w:p w:rsidR="00124832" w:rsidRPr="0046270D" w:rsidRDefault="00124832" w:rsidP="00124832">
            <w:pPr>
              <w:rPr>
                <w:i/>
              </w:rPr>
            </w:pPr>
          </w:p>
        </w:tc>
        <w:tc>
          <w:tcPr>
            <w:tcW w:w="1984" w:type="dxa"/>
          </w:tcPr>
          <w:p w:rsidR="00124832" w:rsidRPr="0046270D" w:rsidRDefault="00124832" w:rsidP="00124832">
            <w:pPr>
              <w:jc w:val="right"/>
              <w:rPr>
                <w:i/>
              </w:rPr>
            </w:pPr>
          </w:p>
        </w:tc>
        <w:tc>
          <w:tcPr>
            <w:tcW w:w="2694" w:type="dxa"/>
          </w:tcPr>
          <w:p w:rsidR="00124832" w:rsidRPr="0046270D" w:rsidRDefault="00124832" w:rsidP="00124832">
            <w:pPr>
              <w:jc w:val="right"/>
              <w:rPr>
                <w:i/>
              </w:rPr>
            </w:pPr>
          </w:p>
        </w:tc>
      </w:tr>
      <w:tr w:rsidR="00124832" w:rsidRPr="0046270D" w:rsidTr="00124832">
        <w:tc>
          <w:tcPr>
            <w:tcW w:w="3227" w:type="dxa"/>
          </w:tcPr>
          <w:p w:rsidR="00124832" w:rsidRPr="0046270D" w:rsidRDefault="00124832" w:rsidP="00124832">
            <w:pPr>
              <w:rPr>
                <w:i/>
              </w:rPr>
            </w:pPr>
            <w:r w:rsidRPr="0046270D">
              <w:rPr>
                <w:i/>
              </w:rPr>
              <w:t>Veolia – non-water</w:t>
            </w:r>
          </w:p>
          <w:p w:rsidR="00124832" w:rsidRPr="0046270D" w:rsidRDefault="00124832" w:rsidP="00124832">
            <w:pPr>
              <w:rPr>
                <w:i/>
              </w:rPr>
            </w:pPr>
            <w:r w:rsidRPr="0046270D">
              <w:rPr>
                <w:i/>
              </w:rPr>
              <w:t>(Dalkia, Connex)</w:t>
            </w:r>
          </w:p>
        </w:tc>
        <w:tc>
          <w:tcPr>
            <w:tcW w:w="1984" w:type="dxa"/>
          </w:tcPr>
          <w:p w:rsidR="00124832" w:rsidRPr="0046270D" w:rsidRDefault="00124832" w:rsidP="00124832">
            <w:pPr>
              <w:jc w:val="right"/>
              <w:rPr>
                <w:i/>
              </w:rPr>
            </w:pPr>
            <w:r w:rsidRPr="0046270D">
              <w:rPr>
                <w:i/>
              </w:rPr>
              <w:t>208</w:t>
            </w:r>
          </w:p>
        </w:tc>
        <w:tc>
          <w:tcPr>
            <w:tcW w:w="2694" w:type="dxa"/>
          </w:tcPr>
          <w:p w:rsidR="00124832" w:rsidRPr="0046270D" w:rsidRDefault="00124832" w:rsidP="00124832">
            <w:pPr>
              <w:jc w:val="right"/>
              <w:rPr>
                <w:i/>
              </w:rPr>
            </w:pPr>
            <w:r w:rsidRPr="0046270D">
              <w:rPr>
                <w:i/>
              </w:rPr>
              <w:t>141</w:t>
            </w:r>
          </w:p>
        </w:tc>
      </w:tr>
    </w:tbl>
    <w:p w:rsidR="00124832" w:rsidRPr="00D727AA" w:rsidRDefault="00124832" w:rsidP="00124832">
      <w:pPr>
        <w:rPr>
          <w:sz w:val="20"/>
          <w:szCs w:val="20"/>
        </w:rPr>
      </w:pPr>
      <w:r w:rsidRPr="00D727AA">
        <w:rPr>
          <w:sz w:val="20"/>
          <w:szCs w:val="20"/>
        </w:rPr>
        <w:t xml:space="preserve">Source: </w:t>
      </w:r>
      <w:r w:rsidRPr="00D727AA">
        <w:rPr>
          <w:bCs/>
          <w:sz w:val="20"/>
          <w:szCs w:val="20"/>
        </w:rPr>
        <w:t xml:space="preserve">EBRD investments 1991-2009 </w:t>
      </w:r>
      <w:hyperlink r:id="rId88" w:history="1">
        <w:r w:rsidRPr="00D727AA">
          <w:rPr>
            <w:rStyle w:val="Hyperlink"/>
            <w:bCs/>
            <w:iCs/>
            <w:sz w:val="20"/>
            <w:szCs w:val="20"/>
          </w:rPr>
          <w:t>http://www.ebrd.com/downloads/research/annual/invest09.xls</w:t>
        </w:r>
      </w:hyperlink>
    </w:p>
    <w:p w:rsidR="00124832" w:rsidRDefault="00124832" w:rsidP="00124832"/>
    <w:p w:rsidR="00124832" w:rsidRDefault="00124832" w:rsidP="00124832">
      <w:r>
        <w:t>These EBRD equity investments in water represent an extraordinarily high percentage of all EBRD equity stakes in in private companies in all sectors. Equity stakes in private water ventures account for 27% of all EBRD equity investments – despite the fact that the water sector is a much smaller part of the economy, and that the majority of it remains in the public sector. These figures suggest that the water companies have found very effective mechanisms for convincing the EBRD of their need for public finance.</w:t>
      </w:r>
    </w:p>
    <w:p w:rsidR="00124832" w:rsidRDefault="00124832" w:rsidP="00124832">
      <w:pPr>
        <w:pStyle w:val="Heading7"/>
        <w:tabs>
          <w:tab w:val="clear" w:pos="180"/>
          <w:tab w:val="num" w:pos="-900"/>
        </w:tabs>
        <w:ind w:left="0"/>
      </w:pPr>
      <w:bookmarkStart w:id="247" w:name="_Toc272227360"/>
      <w:bookmarkStart w:id="248" w:name="_Toc305768589"/>
      <w:r>
        <w:t>EBRD equity investments1991-2009: heavily weighted to water</w:t>
      </w:r>
      <w:bookmarkEnd w:id="247"/>
      <w:bookmarkEnd w:id="2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2835"/>
        <w:gridCol w:w="1559"/>
        <w:gridCol w:w="1276"/>
      </w:tblGrid>
      <w:tr w:rsidR="00124832" w:rsidTr="00124832">
        <w:tc>
          <w:tcPr>
            <w:tcW w:w="2802" w:type="dxa"/>
          </w:tcPr>
          <w:p w:rsidR="00124832" w:rsidRDefault="00124832" w:rsidP="00124832"/>
        </w:tc>
        <w:tc>
          <w:tcPr>
            <w:tcW w:w="2835" w:type="dxa"/>
          </w:tcPr>
          <w:p w:rsidR="00124832" w:rsidRDefault="00124832" w:rsidP="00124832"/>
        </w:tc>
        <w:tc>
          <w:tcPr>
            <w:tcW w:w="1559" w:type="dxa"/>
          </w:tcPr>
          <w:p w:rsidR="00124832" w:rsidRDefault="00124832" w:rsidP="00124832">
            <w:r>
              <w:t>€ million</w:t>
            </w:r>
          </w:p>
        </w:tc>
        <w:tc>
          <w:tcPr>
            <w:tcW w:w="1276" w:type="dxa"/>
          </w:tcPr>
          <w:p w:rsidR="00124832" w:rsidRDefault="00124832" w:rsidP="00124832">
            <w:r>
              <w:t>% of total</w:t>
            </w:r>
          </w:p>
        </w:tc>
      </w:tr>
      <w:tr w:rsidR="00124832" w:rsidTr="00124832">
        <w:tc>
          <w:tcPr>
            <w:tcW w:w="2802" w:type="dxa"/>
          </w:tcPr>
          <w:p w:rsidR="00124832" w:rsidRDefault="00124832" w:rsidP="00124832">
            <w:r>
              <w:t>TOTAL EBRD equity investments 1991-2009</w:t>
            </w:r>
          </w:p>
        </w:tc>
        <w:tc>
          <w:tcPr>
            <w:tcW w:w="2835" w:type="dxa"/>
          </w:tcPr>
          <w:p w:rsidR="00124832" w:rsidRDefault="00124832" w:rsidP="00124832"/>
        </w:tc>
        <w:tc>
          <w:tcPr>
            <w:tcW w:w="1559" w:type="dxa"/>
          </w:tcPr>
          <w:p w:rsidR="00124832" w:rsidRDefault="00124832" w:rsidP="00124832">
            <w:pPr>
              <w:jc w:val="right"/>
            </w:pPr>
            <w:r>
              <w:t>10021</w:t>
            </w:r>
          </w:p>
        </w:tc>
        <w:tc>
          <w:tcPr>
            <w:tcW w:w="1276" w:type="dxa"/>
          </w:tcPr>
          <w:p w:rsidR="00124832" w:rsidRDefault="00124832" w:rsidP="00124832">
            <w:pPr>
              <w:jc w:val="right"/>
            </w:pPr>
            <w:r>
              <w:t>100.0</w:t>
            </w:r>
          </w:p>
        </w:tc>
      </w:tr>
      <w:tr w:rsidR="00124832" w:rsidTr="00124832">
        <w:tc>
          <w:tcPr>
            <w:tcW w:w="2802" w:type="dxa"/>
          </w:tcPr>
          <w:p w:rsidR="00124832" w:rsidRDefault="00124832" w:rsidP="00124832">
            <w:pPr>
              <w:jc w:val="right"/>
            </w:pPr>
            <w:r>
              <w:t>of which</w:t>
            </w:r>
          </w:p>
        </w:tc>
        <w:tc>
          <w:tcPr>
            <w:tcW w:w="2835" w:type="dxa"/>
          </w:tcPr>
          <w:p w:rsidR="00124832" w:rsidRDefault="00124832" w:rsidP="00124832">
            <w:r>
              <w:t>All municipal  infrastructure</w:t>
            </w:r>
          </w:p>
        </w:tc>
        <w:tc>
          <w:tcPr>
            <w:tcW w:w="1559" w:type="dxa"/>
          </w:tcPr>
          <w:p w:rsidR="00124832" w:rsidRDefault="00124832" w:rsidP="00124832">
            <w:pPr>
              <w:jc w:val="right"/>
            </w:pPr>
            <w:r>
              <w:t>426</w:t>
            </w:r>
          </w:p>
        </w:tc>
        <w:tc>
          <w:tcPr>
            <w:tcW w:w="1276" w:type="dxa"/>
          </w:tcPr>
          <w:p w:rsidR="00124832" w:rsidRDefault="00124832" w:rsidP="00124832">
            <w:pPr>
              <w:jc w:val="right"/>
            </w:pPr>
            <w:r>
              <w:t>42.5</w:t>
            </w:r>
          </w:p>
        </w:tc>
      </w:tr>
      <w:tr w:rsidR="00124832" w:rsidTr="00124832">
        <w:tc>
          <w:tcPr>
            <w:tcW w:w="2802" w:type="dxa"/>
          </w:tcPr>
          <w:p w:rsidR="00124832" w:rsidRDefault="00124832" w:rsidP="00124832">
            <w:pPr>
              <w:jc w:val="right"/>
            </w:pPr>
            <w:r>
              <w:t>of which</w:t>
            </w:r>
          </w:p>
        </w:tc>
        <w:tc>
          <w:tcPr>
            <w:tcW w:w="2835" w:type="dxa"/>
          </w:tcPr>
          <w:p w:rsidR="00124832" w:rsidRDefault="00124832" w:rsidP="00124832">
            <w:r>
              <w:t>Water</w:t>
            </w:r>
          </w:p>
        </w:tc>
        <w:tc>
          <w:tcPr>
            <w:tcW w:w="1559" w:type="dxa"/>
          </w:tcPr>
          <w:p w:rsidR="00124832" w:rsidRDefault="00124832" w:rsidP="00124832">
            <w:pPr>
              <w:jc w:val="right"/>
            </w:pPr>
            <w:r>
              <w:t>272</w:t>
            </w:r>
          </w:p>
        </w:tc>
        <w:tc>
          <w:tcPr>
            <w:tcW w:w="1276" w:type="dxa"/>
          </w:tcPr>
          <w:p w:rsidR="00124832" w:rsidRDefault="00124832" w:rsidP="00124832">
            <w:pPr>
              <w:jc w:val="right"/>
            </w:pPr>
            <w:r>
              <w:t>27.2</w:t>
            </w:r>
          </w:p>
        </w:tc>
      </w:tr>
    </w:tbl>
    <w:p w:rsidR="00124832" w:rsidRPr="00ED6B51" w:rsidRDefault="00124832" w:rsidP="00124832">
      <w:pPr>
        <w:rPr>
          <w:bCs/>
          <w:iCs/>
          <w:sz w:val="20"/>
          <w:szCs w:val="20"/>
        </w:rPr>
      </w:pPr>
      <w:r w:rsidRPr="00ED6B51">
        <w:rPr>
          <w:sz w:val="20"/>
          <w:szCs w:val="20"/>
        </w:rPr>
        <w:t xml:space="preserve">Source: </w:t>
      </w:r>
      <w:r w:rsidRPr="00ED6B51">
        <w:rPr>
          <w:bCs/>
          <w:sz w:val="20"/>
          <w:szCs w:val="20"/>
        </w:rPr>
        <w:t xml:space="preserve">EBRD investments 1991-2009 </w:t>
      </w:r>
      <w:hyperlink r:id="rId89" w:history="1">
        <w:r w:rsidRPr="00ED6B51">
          <w:rPr>
            <w:rStyle w:val="Hyperlink"/>
            <w:bCs/>
            <w:iCs/>
            <w:sz w:val="20"/>
            <w:szCs w:val="20"/>
          </w:rPr>
          <w:t>http://www.ebrd.com/downloads/research/annual/invest09.xls</w:t>
        </w:r>
      </w:hyperlink>
    </w:p>
    <w:p w:rsidR="00124832" w:rsidRPr="00ED6B51" w:rsidRDefault="00124832" w:rsidP="00124832">
      <w:pPr>
        <w:rPr>
          <w:bCs/>
          <w:iCs/>
          <w:sz w:val="20"/>
          <w:szCs w:val="20"/>
        </w:rPr>
      </w:pPr>
    </w:p>
    <w:p w:rsidR="00124832" w:rsidRPr="00CE5390" w:rsidRDefault="00124832" w:rsidP="00124832">
      <w:pPr>
        <w:rPr>
          <w:bCs/>
          <w:iCs/>
        </w:rPr>
      </w:pPr>
      <w:r w:rsidRPr="00CE5390">
        <w:rPr>
          <w:bCs/>
          <w:iCs/>
        </w:rPr>
        <w:t xml:space="preserve">The International Finance Corporation (IFC) has also made substantial equity investments, in two different subsidiaries of Veolia. In June 2010 it announced it </w:t>
      </w:r>
      <w:proofErr w:type="gramStart"/>
      <w:r w:rsidRPr="00CE5390">
        <w:rPr>
          <w:bCs/>
          <w:iCs/>
        </w:rPr>
        <w:t>would  acquire</w:t>
      </w:r>
      <w:proofErr w:type="gramEnd"/>
      <w:r w:rsidRPr="00CE5390">
        <w:rPr>
          <w:bCs/>
          <w:iCs/>
        </w:rPr>
        <w:t xml:space="preserve"> 9.5% of the shares of Veolia Voda through:</w:t>
      </w:r>
    </w:p>
    <w:p w:rsidR="00124832" w:rsidRPr="00CE5390" w:rsidRDefault="00124832" w:rsidP="00124832">
      <w:pPr>
        <w:ind w:left="360"/>
        <w:rPr>
          <w:bCs/>
          <w:iCs/>
        </w:rPr>
      </w:pPr>
      <w:r w:rsidRPr="00CE5390">
        <w:rPr>
          <w:bCs/>
          <w:iCs/>
        </w:rPr>
        <w:t>“</w:t>
      </w:r>
      <w:proofErr w:type="gramStart"/>
      <w:r w:rsidRPr="00CE5390">
        <w:t>an</w:t>
      </w:r>
      <w:proofErr w:type="gramEnd"/>
      <w:r w:rsidRPr="00CE5390">
        <w:t xml:space="preserve"> equity investment of up to €100 million via a new share issue in Veolia Voda, Veolia Water’s Eastern European arm.  The capital will be used to support the expansion of Veolia Voda’s operations into new markets in Central and Eastern Europe, including Russia, Turkey, Ukraine, and the some of the Balkans.</w:t>
      </w:r>
      <w:r w:rsidRPr="00CE5390">
        <w:rPr>
          <w:bCs/>
          <w:iCs/>
        </w:rPr>
        <w:t xml:space="preserve">” </w:t>
      </w:r>
      <w:r w:rsidRPr="00CE5390">
        <w:rPr>
          <w:rStyle w:val="EndnoteReference"/>
          <w:bCs/>
          <w:iCs/>
        </w:rPr>
        <w:endnoteReference w:id="55"/>
      </w:r>
    </w:p>
    <w:p w:rsidR="00124832" w:rsidRPr="00CE5390" w:rsidRDefault="00124832" w:rsidP="00124832">
      <w:pPr>
        <w:rPr>
          <w:bCs/>
          <w:iCs/>
        </w:rPr>
      </w:pPr>
      <w:r w:rsidRPr="00CE5390">
        <w:rPr>
          <w:bCs/>
          <w:iCs/>
        </w:rPr>
        <w:t xml:space="preserve">IFC had previously invested $25million as equity in Veolia AMI, the company’s subsidiary aimed at Africa, Middle East and India. </w:t>
      </w:r>
    </w:p>
    <w:p w:rsidR="00124832" w:rsidRDefault="00124832" w:rsidP="00124832">
      <w:pPr>
        <w:rPr>
          <w:rFonts w:ascii="Calibri" w:hAnsi="Calibri"/>
          <w:bCs/>
          <w:iCs/>
          <w:sz w:val="24"/>
        </w:rPr>
      </w:pPr>
    </w:p>
    <w:p w:rsidR="00124832" w:rsidRPr="00784A0B" w:rsidRDefault="009A59D7" w:rsidP="00455DCD">
      <w:pPr>
        <w:pStyle w:val="Heading2"/>
      </w:pPr>
      <w:bookmarkStart w:id="249" w:name="_Toc272227361"/>
      <w:bookmarkStart w:id="250" w:name="_Toc305768590"/>
      <w:r w:rsidRPr="00784A0B">
        <w:t xml:space="preserve">OECD/UNECE: </w:t>
      </w:r>
      <w:r w:rsidR="00124832" w:rsidRPr="00784A0B">
        <w:t>Eastern strategy</w:t>
      </w:r>
      <w:bookmarkEnd w:id="249"/>
      <w:bookmarkEnd w:id="250"/>
      <w:r w:rsidR="00124832" w:rsidRPr="00784A0B">
        <w:t xml:space="preserve"> </w:t>
      </w:r>
    </w:p>
    <w:p w:rsidR="005131DB" w:rsidRDefault="00124832" w:rsidP="00124832">
      <w:r>
        <w:t xml:space="preserve">The EBRD decisions to finance FCC and Veolia are a clear encouragement to the companies to expand eastwards. Other international institutions - the OECD and the UNECE - have also been actively promoting the possible markets for water privatisation in </w:t>
      </w:r>
      <w:proofErr w:type="gramStart"/>
      <w:r>
        <w:t>eastern</w:t>
      </w:r>
      <w:proofErr w:type="gramEnd"/>
      <w:r>
        <w:t xml:space="preserve"> Europe and central Asia (EECA - i.e. the former </w:t>
      </w:r>
      <w:smartTag w:uri="urn:schemas-microsoft-com:office:smarttags" w:element="place">
        <w:r>
          <w:t>Soviet Union</w:t>
        </w:r>
      </w:smartTag>
      <w:r>
        <w:t>) for the last few years. An OECD conference at the start of 2010 received a detailed report both on the existing cases of privatisation and the potential for future private enterprise in each country (see annexe)</w:t>
      </w:r>
      <w:r w:rsidR="005131DB">
        <w:t>, and the institutions have subsequently supported regional consolidation under the public sector as a policy preference, though continuing to promote full cost recovery as a central objective.</w:t>
      </w:r>
    </w:p>
    <w:p w:rsidR="009B4458" w:rsidRDefault="009B4458" w:rsidP="009B4458">
      <w:pPr>
        <w:pStyle w:val="Heading2"/>
      </w:pPr>
      <w:bookmarkStart w:id="251" w:name="_Toc305768591"/>
      <w:r>
        <w:t>Multinationals active in region</w:t>
      </w:r>
      <w:bookmarkEnd w:id="251"/>
    </w:p>
    <w:p w:rsidR="006C688B" w:rsidRDefault="009F7D0A" w:rsidP="00884E86">
      <w:r>
        <w:t xml:space="preserve">The </w:t>
      </w:r>
      <w:proofErr w:type="gramStart"/>
      <w:r>
        <w:t>overall  record</w:t>
      </w:r>
      <w:proofErr w:type="gramEnd"/>
      <w:r>
        <w:t xml:space="preserve"> of water privatisation in this region shows an extremely high failure rate. In the table below, 6 contracts were </w:t>
      </w:r>
      <w:proofErr w:type="gramStart"/>
      <w:r>
        <w:t>terminated  prematurely</w:t>
      </w:r>
      <w:proofErr w:type="gramEnd"/>
      <w:r>
        <w:t>.</w:t>
      </w:r>
    </w:p>
    <w:p w:rsidR="009F7D0A" w:rsidRDefault="009F7D0A" w:rsidP="009B4458"/>
    <w:p w:rsidR="002A39FE" w:rsidRDefault="00C7607D" w:rsidP="009B4458">
      <w:r>
        <w:t xml:space="preserve">Veolia </w:t>
      </w:r>
      <w:r w:rsidR="006C688B">
        <w:t xml:space="preserve">is the only multinational which is active to any significant extent in these regions. This forms part of the activities of its subsidiary Veolia Voda, which has received significant finance from the EBRD </w:t>
      </w:r>
      <w:proofErr w:type="gramStart"/>
      <w:r w:rsidR="006C688B">
        <w:t>and  the</w:t>
      </w:r>
      <w:proofErr w:type="gramEnd"/>
      <w:r w:rsidR="006C688B">
        <w:t xml:space="preserve"> IFC (see above).  However, even Veolia has few contracts in this region: at the end of 2010, it held a lease contract in Yerevan.  </w:t>
      </w:r>
      <w:r w:rsidR="002A39FE">
        <w:t xml:space="preserve">The other company financed by the </w:t>
      </w:r>
      <w:proofErr w:type="gramStart"/>
      <w:r w:rsidR="002A39FE">
        <w:t>EBRD ,</w:t>
      </w:r>
      <w:proofErr w:type="gramEnd"/>
      <w:r w:rsidR="002A39FE">
        <w:t xml:space="preserve"> the Spanish company FCC, has not yet obtained any business here.</w:t>
      </w:r>
    </w:p>
    <w:p w:rsidR="002A39FE" w:rsidRDefault="002A39FE" w:rsidP="009B4458"/>
    <w:p w:rsidR="006C688B" w:rsidRDefault="00C7607D" w:rsidP="009B4458">
      <w:r>
        <w:t xml:space="preserve">There is little significant activity in these regions by other west European water companies. Some treatment plant BOTs or short-term consultancy or management contracts, have been obtained by </w:t>
      </w:r>
      <w:r w:rsidR="000174E5">
        <w:t>German and Austrian public sector firms, including EVN, Gelsenwasser and Berlinwasser.</w:t>
      </w:r>
      <w:r w:rsidR="002A39FE">
        <w:t xml:space="preserve"> </w:t>
      </w:r>
      <w:r w:rsidR="009F7D0A">
        <w:t xml:space="preserve"> </w:t>
      </w:r>
      <w:r w:rsidR="006C688B">
        <w:t xml:space="preserve">Apart from </w:t>
      </w:r>
      <w:r w:rsidR="009F7D0A">
        <w:t xml:space="preserve">the contract of </w:t>
      </w:r>
      <w:r w:rsidR="006C688B">
        <w:t>Veolia</w:t>
      </w:r>
      <w:r w:rsidR="009F7D0A">
        <w:t xml:space="preserve"> in Yerevan (and the short-term management contracts in Armenia)</w:t>
      </w:r>
      <w:r w:rsidR="006C688B">
        <w:t xml:space="preserve">, the other privatised water operations are owned and </w:t>
      </w:r>
      <w:r w:rsidR="009F7D0A">
        <w:t xml:space="preserve"> </w:t>
      </w:r>
      <w:r w:rsidR="006C688B">
        <w:t xml:space="preserve">run by private companies based in, or connected to, the country of operation: for example Multiplex Systems, </w:t>
      </w:r>
      <w:r w:rsidR="002A39FE">
        <w:t>which operates the water service in Tbilisi, Georgia.</w:t>
      </w:r>
    </w:p>
    <w:p w:rsidR="002A39FE" w:rsidRDefault="002A39FE" w:rsidP="009B4458"/>
    <w:p w:rsidR="00B34880" w:rsidRDefault="00B34880" w:rsidP="009B4458">
      <w:r>
        <w:br w:type="page"/>
      </w:r>
    </w:p>
    <w:p w:rsidR="006C688B" w:rsidRDefault="006C688B" w:rsidP="009B4458"/>
    <w:p w:rsidR="006C688B" w:rsidRDefault="006C688B" w:rsidP="006C688B">
      <w:pPr>
        <w:pStyle w:val="Heading1"/>
      </w:pPr>
      <w:bookmarkStart w:id="252" w:name="_Toc305768592"/>
      <w:r>
        <w:t>Conclusions</w:t>
      </w:r>
      <w:bookmarkEnd w:id="252"/>
    </w:p>
    <w:p w:rsidR="00EE0578" w:rsidRDefault="00EE0578" w:rsidP="00EE0578"/>
    <w:p w:rsidR="00EE0578" w:rsidRDefault="004870FB" w:rsidP="00EE0578">
      <w:r>
        <w:t xml:space="preserve">The impact of the 20202 strategy on these sectors </w:t>
      </w:r>
      <w:r w:rsidR="000D559A">
        <w:t xml:space="preserve">depends </w:t>
      </w:r>
      <w:proofErr w:type="gramStart"/>
      <w:r w:rsidR="000D559A">
        <w:t xml:space="preserve">on </w:t>
      </w:r>
      <w:r>
        <w:t xml:space="preserve"> reinforcement</w:t>
      </w:r>
      <w:proofErr w:type="gramEnd"/>
      <w:r>
        <w:t xml:space="preserve"> of existing policies and mechanisms.  </w:t>
      </w:r>
    </w:p>
    <w:p w:rsidR="000D559A" w:rsidRDefault="000D559A" w:rsidP="00EE0578"/>
    <w:p w:rsidR="00B03894" w:rsidRDefault="004870FB" w:rsidP="00EE0578">
      <w:r>
        <w:t>The fiscal and economic policies reinforced most strongly by the 2020 strategy all have negative impacts – tight fiscal constraint</w:t>
      </w:r>
      <w:r w:rsidR="000D559A">
        <w:t xml:space="preserve">s, ‘structural reforms’ and in particular </w:t>
      </w:r>
      <w:r>
        <w:t xml:space="preserve"> PPPs, which  are currently being strongly promoted by the development banks and other agencies. </w:t>
      </w:r>
      <w:r w:rsidR="000D559A">
        <w:t xml:space="preserve"> </w:t>
      </w:r>
      <w:r w:rsidR="00B03894">
        <w:t xml:space="preserve">The stronger fiscal constraints will be felt most strongly by the accession and enlargement countries: in the eastern neighbourhood they will impact most strongly on countries subject to the conditionalities of IMF packages, including Ukraine and Belarus. </w:t>
      </w:r>
    </w:p>
    <w:p w:rsidR="00B03894" w:rsidRDefault="00B03894" w:rsidP="00EE0578"/>
    <w:p w:rsidR="00914390" w:rsidRDefault="000D559A" w:rsidP="00EE0578">
      <w:r>
        <w:t>However, the effect</w:t>
      </w:r>
      <w:r w:rsidR="00B03894">
        <w:t xml:space="preserve"> on PPP</w:t>
      </w:r>
      <w:r>
        <w:t>s will be limited by real trends</w:t>
      </w:r>
      <w:r w:rsidR="00B03894">
        <w:t xml:space="preserve"> in the sectors</w:t>
      </w:r>
      <w:r>
        <w:t xml:space="preserve">: the review of these sectors has shown clearly that in both waste and water there is currently very little activity by multinational companies, even by the water companies with capital injections from the EBRD.  Without this corporate activity, the possibilities for PPPs will be limited, though it is clear that some </w:t>
      </w:r>
      <w:r w:rsidR="00B03894">
        <w:t xml:space="preserve">potential </w:t>
      </w:r>
      <w:r>
        <w:t>private investors exist w</w:t>
      </w:r>
      <w:r w:rsidR="00B03894">
        <w:t xml:space="preserve">ithin the countries. </w:t>
      </w:r>
      <w:r w:rsidR="00914390">
        <w:t>In energy, there is more corporate involvement in privatisations, but the impact is likely to be small compared with the sectoral policies.</w:t>
      </w:r>
      <w:r w:rsidR="00914390" w:rsidRPr="00914390">
        <w:t xml:space="preserve"> </w:t>
      </w:r>
    </w:p>
    <w:p w:rsidR="00914390" w:rsidRDefault="00914390" w:rsidP="00EE0578"/>
    <w:p w:rsidR="00951205" w:rsidRDefault="00914390" w:rsidP="00951205">
      <w:r>
        <w:t xml:space="preserve">These sectoral policies for energy reinforce the large amount of lending for energy networks and new generation and storage facilities, as well as for renewables. The 2020 strategy also supports the vigorous liberalisation of the energy sector, but the greatest driver for liberalisation in the region is the Energy Community Treaty.  In waste, the </w:t>
      </w:r>
      <w:r w:rsidR="00951205">
        <w:t>strategy is likely to strengthen the impact of higher standards and reinforce the trends to develop improved waste management systems, driven by local and national policies, as well as the lending of IFIs.  In water, the strategy offers nothing, and the dominant trends in this sector in the region remain the dismal record of privatisation and the reluctance of multinationals to operate even when funded. The employment effects of these factors are policy-specific.</w:t>
      </w:r>
    </w:p>
    <w:p w:rsidR="00951205" w:rsidRDefault="00951205" w:rsidP="00951205"/>
    <w:p w:rsidR="006C688B" w:rsidRDefault="006C688B" w:rsidP="00951205">
      <w:pPr>
        <w:sectPr w:rsidR="006C688B" w:rsidSect="006C688B">
          <w:headerReference w:type="even" r:id="rId90"/>
          <w:headerReference w:type="default" r:id="rId91"/>
          <w:footerReference w:type="even" r:id="rId92"/>
          <w:footerReference w:type="default" r:id="rId93"/>
          <w:headerReference w:type="first" r:id="rId94"/>
          <w:footerReference w:type="first" r:id="rId95"/>
          <w:endnotePr>
            <w:numFmt w:val="decimal"/>
          </w:endnotePr>
          <w:pgSz w:w="11906" w:h="16838" w:code="9"/>
          <w:pgMar w:top="1134" w:right="1134" w:bottom="1134" w:left="1134" w:header="567" w:footer="567" w:gutter="0"/>
          <w:cols w:space="708"/>
          <w:titlePg/>
          <w:docGrid w:linePitch="360"/>
        </w:sectPr>
      </w:pPr>
      <w:r w:rsidRPr="0066370C">
        <w:t xml:space="preserve"> </w:t>
      </w:r>
    </w:p>
    <w:p w:rsidR="006C688B" w:rsidRDefault="006C688B" w:rsidP="009B4458"/>
    <w:p w:rsidR="009B4458" w:rsidRDefault="009B4458" w:rsidP="00B34880">
      <w:pPr>
        <w:pStyle w:val="Heading7"/>
      </w:pPr>
      <w:bookmarkStart w:id="253" w:name="_Toc272227395"/>
      <w:bookmarkStart w:id="254" w:name="_Toc305768593"/>
      <w:r>
        <w:t xml:space="preserve">Privatised water operations in </w:t>
      </w:r>
      <w:bookmarkEnd w:id="253"/>
      <w:r w:rsidR="000174E5">
        <w:t>EECA</w:t>
      </w:r>
      <w:bookmarkEnd w:id="254"/>
    </w:p>
    <w:p w:rsidR="009B4458" w:rsidRPr="000174E5" w:rsidRDefault="009B4458" w:rsidP="009B4458">
      <w:r w:rsidRPr="000174E5">
        <w:t>Source: OECD, December 2009</w:t>
      </w:r>
      <w:r w:rsidR="000174E5" w:rsidRPr="000174E5">
        <w:t xml:space="preserve"> </w:t>
      </w:r>
      <w:hyperlink r:id="rId96" w:history="1">
        <w:r w:rsidR="000174E5" w:rsidRPr="000174E5">
          <w:rPr>
            <w:rStyle w:val="Hyperlink"/>
            <w:iCs/>
          </w:rPr>
          <w:t>www.oecd.org/dataoecd/1/32/47755323.pdf</w:t>
        </w:r>
      </w:hyperlink>
      <w:r w:rsidR="000174E5" w:rsidRPr="000174E5">
        <w:rPr>
          <w:iCs/>
        </w:rPr>
        <w:t xml:space="preserve"> </w:t>
      </w:r>
    </w:p>
    <w:tbl>
      <w:tblPr>
        <w:tblW w:w="15135" w:type="dxa"/>
        <w:tblInd w:w="93" w:type="dxa"/>
        <w:tblLayout w:type="fixed"/>
        <w:tblLook w:val="04A0"/>
      </w:tblPr>
      <w:tblGrid>
        <w:gridCol w:w="2846"/>
        <w:gridCol w:w="1411"/>
        <w:gridCol w:w="1616"/>
        <w:gridCol w:w="1180"/>
        <w:gridCol w:w="1373"/>
        <w:gridCol w:w="1238"/>
        <w:gridCol w:w="905"/>
        <w:gridCol w:w="1374"/>
        <w:gridCol w:w="1032"/>
        <w:gridCol w:w="2160"/>
      </w:tblGrid>
      <w:tr w:rsidR="002A39FE" w:rsidRPr="00B34880" w:rsidTr="002A39FE">
        <w:trPr>
          <w:trHeight w:val="255"/>
          <w:tblHeader/>
        </w:trPr>
        <w:tc>
          <w:tcPr>
            <w:tcW w:w="2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39FE" w:rsidRPr="00B34880" w:rsidRDefault="002A39FE" w:rsidP="002A39FE">
            <w:pPr>
              <w:rPr>
                <w:sz w:val="20"/>
                <w:szCs w:val="20"/>
                <w:lang w:val="en-US"/>
              </w:rPr>
            </w:pPr>
            <w:r w:rsidRPr="00B34880">
              <w:rPr>
                <w:sz w:val="20"/>
                <w:szCs w:val="20"/>
                <w:lang w:val="en-US"/>
              </w:rPr>
              <w:t>Operator</w:t>
            </w:r>
          </w:p>
        </w:tc>
        <w:tc>
          <w:tcPr>
            <w:tcW w:w="14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39FE" w:rsidRPr="00B34880" w:rsidRDefault="002A39FE" w:rsidP="002A39FE">
            <w:pPr>
              <w:rPr>
                <w:sz w:val="20"/>
                <w:szCs w:val="20"/>
                <w:lang w:val="en-US"/>
              </w:rPr>
            </w:pPr>
            <w:r w:rsidRPr="00B34880">
              <w:rPr>
                <w:sz w:val="20"/>
                <w:szCs w:val="20"/>
                <w:lang w:val="en-US"/>
              </w:rPr>
              <w:t>Owner of operator</w:t>
            </w:r>
          </w:p>
        </w:tc>
        <w:tc>
          <w:tcPr>
            <w:tcW w:w="16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39FE" w:rsidRPr="00B34880" w:rsidRDefault="002A39FE" w:rsidP="002A39FE">
            <w:pPr>
              <w:rPr>
                <w:sz w:val="20"/>
                <w:szCs w:val="20"/>
                <w:lang w:val="en-US"/>
              </w:rPr>
            </w:pPr>
            <w:r w:rsidRPr="00B34880">
              <w:rPr>
                <w:sz w:val="20"/>
                <w:szCs w:val="20"/>
                <w:lang w:val="en-US"/>
              </w:rPr>
              <w:t>Service territory</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39FE" w:rsidRPr="00B34880" w:rsidRDefault="00B34880" w:rsidP="00B34880">
            <w:pPr>
              <w:rPr>
                <w:sz w:val="20"/>
                <w:szCs w:val="20"/>
                <w:lang w:val="en-US"/>
              </w:rPr>
            </w:pPr>
            <w:r w:rsidRPr="00B34880">
              <w:rPr>
                <w:sz w:val="20"/>
                <w:szCs w:val="20"/>
                <w:lang w:val="en-US"/>
              </w:rPr>
              <w:t xml:space="preserve">Population </w:t>
            </w:r>
            <w:r w:rsidR="002A39FE" w:rsidRPr="00B34880">
              <w:rPr>
                <w:sz w:val="20"/>
                <w:szCs w:val="20"/>
                <w:lang w:val="en-US"/>
              </w:rPr>
              <w:t xml:space="preserve"> </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39FE" w:rsidRPr="00B34880" w:rsidRDefault="002A39FE" w:rsidP="002A39FE">
            <w:pPr>
              <w:rPr>
                <w:sz w:val="20"/>
                <w:szCs w:val="20"/>
                <w:lang w:val="en-US"/>
              </w:rPr>
            </w:pPr>
            <w:r w:rsidRPr="00B34880">
              <w:rPr>
                <w:sz w:val="20"/>
                <w:szCs w:val="20"/>
                <w:lang w:val="en-US"/>
              </w:rPr>
              <w:t>Ground for selection of operator</w:t>
            </w:r>
          </w:p>
        </w:tc>
        <w:tc>
          <w:tcPr>
            <w:tcW w:w="4549" w:type="dxa"/>
            <w:gridSpan w:val="4"/>
            <w:tcBorders>
              <w:top w:val="single" w:sz="4" w:space="0" w:color="auto"/>
              <w:left w:val="nil"/>
              <w:bottom w:val="single" w:sz="4" w:space="0" w:color="auto"/>
              <w:right w:val="single" w:sz="4" w:space="0" w:color="auto"/>
            </w:tcBorders>
            <w:shd w:val="clear" w:color="auto" w:fill="auto"/>
            <w:vAlign w:val="center"/>
          </w:tcPr>
          <w:p w:rsidR="002A39FE" w:rsidRPr="00B34880" w:rsidRDefault="002A39FE" w:rsidP="002A39FE">
            <w:pPr>
              <w:rPr>
                <w:sz w:val="20"/>
                <w:szCs w:val="20"/>
                <w:lang w:val="en-US"/>
              </w:rPr>
            </w:pPr>
            <w:r w:rsidRPr="00B34880">
              <w:rPr>
                <w:sz w:val="20"/>
                <w:szCs w:val="20"/>
                <w:lang w:val="en-US"/>
              </w:rPr>
              <w:t>Contract description</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39FE" w:rsidRPr="00B34880" w:rsidRDefault="002A39FE" w:rsidP="002A39FE">
            <w:pPr>
              <w:rPr>
                <w:sz w:val="20"/>
                <w:szCs w:val="20"/>
                <w:lang w:val="en-US"/>
              </w:rPr>
            </w:pPr>
            <w:r w:rsidRPr="00B34880">
              <w:rPr>
                <w:sz w:val="20"/>
                <w:szCs w:val="20"/>
                <w:lang w:val="en-US"/>
              </w:rPr>
              <w:t>Investments</w:t>
            </w:r>
          </w:p>
        </w:tc>
      </w:tr>
      <w:tr w:rsidR="002A39FE" w:rsidRPr="00B34880" w:rsidTr="002A39FE">
        <w:trPr>
          <w:trHeight w:val="1275"/>
          <w:tblHeader/>
        </w:trPr>
        <w:tc>
          <w:tcPr>
            <w:tcW w:w="2846" w:type="dxa"/>
            <w:vMerge/>
            <w:tcBorders>
              <w:top w:val="single" w:sz="4" w:space="0" w:color="auto"/>
              <w:left w:val="single" w:sz="4" w:space="0" w:color="auto"/>
              <w:bottom w:val="single" w:sz="4" w:space="0" w:color="auto"/>
              <w:right w:val="single" w:sz="4" w:space="0" w:color="auto"/>
            </w:tcBorders>
            <w:vAlign w:val="center"/>
          </w:tcPr>
          <w:p w:rsidR="002A39FE" w:rsidRPr="00B34880" w:rsidRDefault="002A39FE" w:rsidP="002A39FE">
            <w:pPr>
              <w:rPr>
                <w:sz w:val="20"/>
                <w:szCs w:val="20"/>
              </w:rPr>
            </w:pPr>
          </w:p>
        </w:tc>
        <w:tc>
          <w:tcPr>
            <w:tcW w:w="1411" w:type="dxa"/>
            <w:vMerge/>
            <w:tcBorders>
              <w:top w:val="single" w:sz="4" w:space="0" w:color="auto"/>
              <w:left w:val="single" w:sz="4" w:space="0" w:color="auto"/>
              <w:bottom w:val="single" w:sz="4" w:space="0" w:color="auto"/>
              <w:right w:val="single" w:sz="4" w:space="0" w:color="auto"/>
            </w:tcBorders>
            <w:vAlign w:val="center"/>
          </w:tcPr>
          <w:p w:rsidR="002A39FE" w:rsidRPr="00B34880" w:rsidRDefault="002A39FE" w:rsidP="002A39FE">
            <w:pPr>
              <w:rPr>
                <w:sz w:val="20"/>
                <w:szCs w:val="20"/>
              </w:rPr>
            </w:pPr>
          </w:p>
        </w:tc>
        <w:tc>
          <w:tcPr>
            <w:tcW w:w="1616" w:type="dxa"/>
            <w:vMerge/>
            <w:tcBorders>
              <w:top w:val="single" w:sz="4" w:space="0" w:color="auto"/>
              <w:left w:val="single" w:sz="4" w:space="0" w:color="auto"/>
              <w:bottom w:val="single" w:sz="4" w:space="0" w:color="auto"/>
              <w:right w:val="single" w:sz="4" w:space="0" w:color="auto"/>
            </w:tcBorders>
            <w:vAlign w:val="center"/>
          </w:tcPr>
          <w:p w:rsidR="002A39FE" w:rsidRPr="00B34880" w:rsidRDefault="002A39FE" w:rsidP="002A39FE">
            <w:pPr>
              <w:rPr>
                <w:sz w:val="20"/>
                <w:szCs w:val="20"/>
              </w:rPr>
            </w:pPr>
          </w:p>
        </w:tc>
        <w:tc>
          <w:tcPr>
            <w:tcW w:w="1180" w:type="dxa"/>
            <w:vMerge/>
            <w:tcBorders>
              <w:top w:val="single" w:sz="4" w:space="0" w:color="auto"/>
              <w:left w:val="single" w:sz="4" w:space="0" w:color="auto"/>
              <w:bottom w:val="single" w:sz="4" w:space="0" w:color="auto"/>
              <w:right w:val="single" w:sz="4" w:space="0" w:color="auto"/>
            </w:tcBorders>
            <w:vAlign w:val="center"/>
          </w:tcPr>
          <w:p w:rsidR="002A39FE" w:rsidRPr="00B34880" w:rsidRDefault="002A39FE" w:rsidP="002A39FE">
            <w:pPr>
              <w:rPr>
                <w:sz w:val="20"/>
                <w:szCs w:val="20"/>
              </w:rPr>
            </w:pPr>
          </w:p>
        </w:tc>
        <w:tc>
          <w:tcPr>
            <w:tcW w:w="1373" w:type="dxa"/>
            <w:vMerge/>
            <w:tcBorders>
              <w:top w:val="single" w:sz="4" w:space="0" w:color="auto"/>
              <w:left w:val="single" w:sz="4" w:space="0" w:color="auto"/>
              <w:bottom w:val="single" w:sz="4" w:space="0" w:color="auto"/>
              <w:right w:val="single" w:sz="4" w:space="0" w:color="auto"/>
            </w:tcBorders>
            <w:vAlign w:val="center"/>
          </w:tcPr>
          <w:p w:rsidR="002A39FE" w:rsidRPr="00B34880" w:rsidRDefault="002A39FE" w:rsidP="002A39FE">
            <w:pPr>
              <w:rPr>
                <w:sz w:val="20"/>
                <w:szCs w:val="20"/>
              </w:rPr>
            </w:pPr>
          </w:p>
        </w:tc>
        <w:tc>
          <w:tcPr>
            <w:tcW w:w="1238"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sz w:val="20"/>
                <w:szCs w:val="20"/>
                <w:lang w:val="en-US"/>
              </w:rPr>
            </w:pPr>
            <w:r w:rsidRPr="00B34880">
              <w:rPr>
                <w:sz w:val="20"/>
                <w:szCs w:val="20"/>
                <w:lang w:val="en-US"/>
              </w:rPr>
              <w:t>Type of contract</w:t>
            </w:r>
          </w:p>
        </w:tc>
        <w:tc>
          <w:tcPr>
            <w:tcW w:w="905"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sz w:val="20"/>
                <w:szCs w:val="20"/>
                <w:lang w:val="en-US"/>
              </w:rPr>
            </w:pPr>
            <w:r w:rsidRPr="00B34880">
              <w:rPr>
                <w:sz w:val="20"/>
                <w:szCs w:val="20"/>
                <w:lang w:val="en-US"/>
              </w:rPr>
              <w:t>Contract start year</w:t>
            </w:r>
          </w:p>
        </w:tc>
        <w:tc>
          <w:tcPr>
            <w:tcW w:w="1374"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sz w:val="20"/>
                <w:szCs w:val="20"/>
                <w:lang w:val="en-US"/>
              </w:rPr>
            </w:pPr>
            <w:r w:rsidRPr="00B34880">
              <w:rPr>
                <w:sz w:val="20"/>
                <w:szCs w:val="20"/>
                <w:lang w:val="en-US"/>
              </w:rPr>
              <w:t>Contract end year</w:t>
            </w:r>
          </w:p>
        </w:tc>
        <w:tc>
          <w:tcPr>
            <w:tcW w:w="1032"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sz w:val="20"/>
                <w:szCs w:val="20"/>
                <w:lang w:val="en-US"/>
              </w:rPr>
            </w:pPr>
            <w:r w:rsidRPr="00B34880">
              <w:rPr>
                <w:sz w:val="20"/>
                <w:szCs w:val="20"/>
                <w:lang w:val="en-US"/>
              </w:rPr>
              <w:t>Expected contract period</w:t>
            </w:r>
          </w:p>
        </w:tc>
        <w:tc>
          <w:tcPr>
            <w:tcW w:w="2160" w:type="dxa"/>
            <w:vMerge/>
            <w:tcBorders>
              <w:top w:val="single" w:sz="4" w:space="0" w:color="auto"/>
              <w:left w:val="single" w:sz="4" w:space="0" w:color="auto"/>
              <w:bottom w:val="single" w:sz="4" w:space="0" w:color="auto"/>
              <w:right w:val="single" w:sz="4" w:space="0" w:color="auto"/>
            </w:tcBorders>
            <w:vAlign w:val="center"/>
          </w:tcPr>
          <w:p w:rsidR="002A39FE" w:rsidRPr="00B34880" w:rsidRDefault="002A39FE" w:rsidP="002A39FE">
            <w:pPr>
              <w:rPr>
                <w:sz w:val="20"/>
                <w:szCs w:val="20"/>
              </w:rPr>
            </w:pPr>
          </w:p>
        </w:tc>
      </w:tr>
      <w:tr w:rsidR="002A39FE" w:rsidRPr="00B34880" w:rsidTr="002A39FE">
        <w:trPr>
          <w:trHeight w:val="255"/>
        </w:trPr>
        <w:tc>
          <w:tcPr>
            <w:tcW w:w="15135"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rsidR="002A39FE" w:rsidRPr="00B34880" w:rsidRDefault="002A39FE" w:rsidP="002A39FE">
            <w:pPr>
              <w:rPr>
                <w:b/>
                <w:bCs/>
                <w:sz w:val="20"/>
                <w:szCs w:val="20"/>
                <w:lang w:val="en-US"/>
              </w:rPr>
            </w:pPr>
            <w:r w:rsidRPr="00B34880">
              <w:rPr>
                <w:b/>
                <w:bCs/>
                <w:sz w:val="20"/>
                <w:szCs w:val="20"/>
                <w:lang w:val="en-US"/>
              </w:rPr>
              <w:t>Armenia</w:t>
            </w:r>
          </w:p>
        </w:tc>
      </w:tr>
      <w:tr w:rsidR="002A39FE" w:rsidRPr="00B34880" w:rsidTr="002A39FE">
        <w:trPr>
          <w:trHeight w:val="765"/>
        </w:trPr>
        <w:tc>
          <w:tcPr>
            <w:tcW w:w="2846" w:type="dxa"/>
            <w:tcBorders>
              <w:top w:val="nil"/>
              <w:left w:val="single" w:sz="4" w:space="0" w:color="auto"/>
              <w:bottom w:val="single" w:sz="4" w:space="0" w:color="auto"/>
              <w:right w:val="single" w:sz="4" w:space="0" w:color="auto"/>
            </w:tcBorders>
            <w:shd w:val="clear" w:color="auto" w:fill="auto"/>
            <w:vAlign w:val="center"/>
          </w:tcPr>
          <w:p w:rsidR="002A39FE" w:rsidRPr="00B34880" w:rsidRDefault="002A39FE" w:rsidP="002A39FE">
            <w:pPr>
              <w:rPr>
                <w:sz w:val="20"/>
                <w:szCs w:val="20"/>
                <w:lang w:val="en-US"/>
              </w:rPr>
            </w:pPr>
            <w:r w:rsidRPr="00B34880">
              <w:rPr>
                <w:sz w:val="20"/>
                <w:szCs w:val="20"/>
                <w:lang w:val="en-US"/>
              </w:rPr>
              <w:t>Yerevan Water, CJSC</w:t>
            </w:r>
          </w:p>
        </w:tc>
        <w:tc>
          <w:tcPr>
            <w:tcW w:w="1411"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sz w:val="20"/>
                <w:szCs w:val="20"/>
              </w:rPr>
            </w:pPr>
            <w:r w:rsidRPr="00B34880">
              <w:rPr>
                <w:sz w:val="20"/>
                <w:szCs w:val="20"/>
              </w:rPr>
              <w:t>Veolia Water</w:t>
            </w:r>
          </w:p>
        </w:tc>
        <w:tc>
          <w:tcPr>
            <w:tcW w:w="1616"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sz w:val="20"/>
                <w:szCs w:val="20"/>
                <w:lang w:val="en-US"/>
              </w:rPr>
            </w:pPr>
            <w:r w:rsidRPr="00B34880">
              <w:rPr>
                <w:sz w:val="20"/>
                <w:szCs w:val="20"/>
                <w:lang w:val="en-US"/>
              </w:rPr>
              <w:t>Yerevan and 32 neighboring rural settlements</w:t>
            </w:r>
          </w:p>
        </w:tc>
        <w:tc>
          <w:tcPr>
            <w:tcW w:w="1180" w:type="dxa"/>
            <w:tcBorders>
              <w:top w:val="nil"/>
              <w:left w:val="nil"/>
              <w:bottom w:val="single" w:sz="4" w:space="0" w:color="auto"/>
              <w:right w:val="single" w:sz="4" w:space="0" w:color="auto"/>
            </w:tcBorders>
            <w:shd w:val="clear" w:color="auto" w:fill="auto"/>
            <w:noWrap/>
            <w:vAlign w:val="center"/>
          </w:tcPr>
          <w:p w:rsidR="002A39FE" w:rsidRPr="00B34880" w:rsidRDefault="002A39FE" w:rsidP="002A39FE">
            <w:pPr>
              <w:rPr>
                <w:sz w:val="20"/>
                <w:szCs w:val="20"/>
              </w:rPr>
            </w:pPr>
            <w:r w:rsidRPr="00B34880">
              <w:rPr>
                <w:sz w:val="20"/>
                <w:szCs w:val="20"/>
              </w:rPr>
              <w:t>1100</w:t>
            </w:r>
          </w:p>
        </w:tc>
        <w:tc>
          <w:tcPr>
            <w:tcW w:w="1373"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sz w:val="20"/>
                <w:szCs w:val="20"/>
                <w:lang w:val="en-US"/>
              </w:rPr>
            </w:pPr>
            <w:r w:rsidRPr="00B34880">
              <w:rPr>
                <w:sz w:val="20"/>
                <w:szCs w:val="20"/>
                <w:lang w:val="en-US"/>
              </w:rPr>
              <w:t>Competition</w:t>
            </w:r>
          </w:p>
        </w:tc>
        <w:tc>
          <w:tcPr>
            <w:tcW w:w="1238"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sz w:val="20"/>
                <w:szCs w:val="20"/>
                <w:lang w:val="en-US"/>
              </w:rPr>
            </w:pPr>
            <w:r w:rsidRPr="00B34880">
              <w:rPr>
                <w:sz w:val="20"/>
                <w:szCs w:val="20"/>
                <w:lang w:val="en-US"/>
              </w:rPr>
              <w:t>Lease agreement</w:t>
            </w:r>
          </w:p>
        </w:tc>
        <w:tc>
          <w:tcPr>
            <w:tcW w:w="905" w:type="dxa"/>
            <w:tcBorders>
              <w:top w:val="nil"/>
              <w:left w:val="nil"/>
              <w:bottom w:val="single" w:sz="4" w:space="0" w:color="auto"/>
              <w:right w:val="single" w:sz="4" w:space="0" w:color="auto"/>
            </w:tcBorders>
            <w:shd w:val="clear" w:color="auto" w:fill="auto"/>
            <w:noWrap/>
            <w:vAlign w:val="center"/>
          </w:tcPr>
          <w:p w:rsidR="002A39FE" w:rsidRPr="00B34880" w:rsidRDefault="002A39FE" w:rsidP="002A39FE">
            <w:pPr>
              <w:rPr>
                <w:sz w:val="20"/>
                <w:szCs w:val="20"/>
              </w:rPr>
            </w:pPr>
            <w:r w:rsidRPr="00B34880">
              <w:rPr>
                <w:sz w:val="20"/>
                <w:szCs w:val="20"/>
              </w:rPr>
              <w:t>2006</w:t>
            </w:r>
          </w:p>
        </w:tc>
        <w:tc>
          <w:tcPr>
            <w:tcW w:w="1374"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sz w:val="20"/>
                <w:szCs w:val="20"/>
              </w:rPr>
            </w:pPr>
            <w:r w:rsidRPr="00B34880">
              <w:rPr>
                <w:sz w:val="20"/>
                <w:szCs w:val="20"/>
              </w:rPr>
              <w:t>2016</w:t>
            </w:r>
          </w:p>
        </w:tc>
        <w:tc>
          <w:tcPr>
            <w:tcW w:w="1032"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sz w:val="20"/>
                <w:szCs w:val="20"/>
              </w:rPr>
            </w:pPr>
            <w:r w:rsidRPr="00B34880">
              <w:rPr>
                <w:sz w:val="20"/>
                <w:szCs w:val="20"/>
              </w:rPr>
              <w:t>10</w:t>
            </w:r>
          </w:p>
        </w:tc>
        <w:tc>
          <w:tcPr>
            <w:tcW w:w="2160"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sz w:val="20"/>
                <w:szCs w:val="20"/>
                <w:lang w:val="en-US"/>
              </w:rPr>
            </w:pPr>
            <w:r w:rsidRPr="00B34880">
              <w:rPr>
                <w:sz w:val="20"/>
                <w:szCs w:val="20"/>
                <w:lang w:val="en-US"/>
              </w:rPr>
              <w:t>Plan: Euro 9.1 million of Operator’s own funds within the contract period</w:t>
            </w:r>
          </w:p>
        </w:tc>
      </w:tr>
      <w:tr w:rsidR="002A39FE" w:rsidRPr="00B34880" w:rsidTr="002A39FE">
        <w:trPr>
          <w:trHeight w:val="510"/>
        </w:trPr>
        <w:tc>
          <w:tcPr>
            <w:tcW w:w="2846" w:type="dxa"/>
            <w:tcBorders>
              <w:top w:val="nil"/>
              <w:left w:val="single" w:sz="4" w:space="0" w:color="auto"/>
              <w:bottom w:val="single" w:sz="4" w:space="0" w:color="auto"/>
              <w:right w:val="single" w:sz="4" w:space="0" w:color="auto"/>
            </w:tcBorders>
            <w:shd w:val="clear" w:color="auto" w:fill="auto"/>
            <w:vAlign w:val="center"/>
          </w:tcPr>
          <w:p w:rsidR="002A39FE" w:rsidRPr="00B34880" w:rsidRDefault="002A39FE" w:rsidP="002A39FE">
            <w:pPr>
              <w:rPr>
                <w:sz w:val="20"/>
                <w:szCs w:val="20"/>
                <w:lang w:val="en-US"/>
              </w:rPr>
            </w:pPr>
            <w:r w:rsidRPr="00B34880">
              <w:rPr>
                <w:sz w:val="20"/>
                <w:szCs w:val="20"/>
                <w:lang w:val="en-US"/>
              </w:rPr>
              <w:t>Armenian Water and Sewerage Company, CJSC</w:t>
            </w:r>
          </w:p>
        </w:tc>
        <w:tc>
          <w:tcPr>
            <w:tcW w:w="1411"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sz w:val="20"/>
                <w:szCs w:val="20"/>
                <w:lang w:val="en-US"/>
              </w:rPr>
            </w:pPr>
            <w:r w:rsidRPr="00B34880">
              <w:rPr>
                <w:sz w:val="20"/>
                <w:szCs w:val="20"/>
                <w:lang w:val="en-US"/>
              </w:rPr>
              <w:t>SAUR</w:t>
            </w:r>
          </w:p>
        </w:tc>
        <w:tc>
          <w:tcPr>
            <w:tcW w:w="1616"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sz w:val="20"/>
                <w:szCs w:val="20"/>
                <w:lang w:val="en-US"/>
              </w:rPr>
            </w:pPr>
            <w:r w:rsidRPr="00B34880">
              <w:rPr>
                <w:sz w:val="20"/>
                <w:szCs w:val="20"/>
                <w:lang w:val="en-US"/>
              </w:rPr>
              <w:t>37 towns and 280 rural settlements</w:t>
            </w:r>
          </w:p>
        </w:tc>
        <w:tc>
          <w:tcPr>
            <w:tcW w:w="1180" w:type="dxa"/>
            <w:tcBorders>
              <w:top w:val="nil"/>
              <w:left w:val="nil"/>
              <w:bottom w:val="single" w:sz="4" w:space="0" w:color="auto"/>
              <w:right w:val="single" w:sz="4" w:space="0" w:color="auto"/>
            </w:tcBorders>
            <w:shd w:val="clear" w:color="auto" w:fill="auto"/>
            <w:noWrap/>
            <w:vAlign w:val="center"/>
          </w:tcPr>
          <w:p w:rsidR="002A39FE" w:rsidRPr="00B34880" w:rsidRDefault="002A39FE" w:rsidP="002A39FE">
            <w:pPr>
              <w:rPr>
                <w:sz w:val="20"/>
                <w:szCs w:val="20"/>
                <w:lang w:val="en-US"/>
              </w:rPr>
            </w:pPr>
            <w:r w:rsidRPr="00B34880">
              <w:rPr>
                <w:sz w:val="20"/>
                <w:szCs w:val="20"/>
                <w:lang w:val="en-US"/>
              </w:rPr>
              <w:t>619</w:t>
            </w:r>
          </w:p>
        </w:tc>
        <w:tc>
          <w:tcPr>
            <w:tcW w:w="1373"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sz w:val="20"/>
                <w:szCs w:val="20"/>
                <w:lang w:val="en-US"/>
              </w:rPr>
            </w:pPr>
            <w:r w:rsidRPr="00B34880">
              <w:rPr>
                <w:sz w:val="20"/>
                <w:szCs w:val="20"/>
                <w:lang w:val="en-US"/>
              </w:rPr>
              <w:t>Competition</w:t>
            </w:r>
          </w:p>
        </w:tc>
        <w:tc>
          <w:tcPr>
            <w:tcW w:w="1238"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sz w:val="20"/>
                <w:szCs w:val="20"/>
                <w:lang w:val="en-US"/>
              </w:rPr>
            </w:pPr>
            <w:r w:rsidRPr="00B34880">
              <w:rPr>
                <w:sz w:val="20"/>
                <w:szCs w:val="20"/>
                <w:lang w:val="en-US"/>
              </w:rPr>
              <w:t>Contract for management</w:t>
            </w:r>
          </w:p>
        </w:tc>
        <w:tc>
          <w:tcPr>
            <w:tcW w:w="905" w:type="dxa"/>
            <w:tcBorders>
              <w:top w:val="nil"/>
              <w:left w:val="nil"/>
              <w:bottom w:val="single" w:sz="4" w:space="0" w:color="auto"/>
              <w:right w:val="single" w:sz="4" w:space="0" w:color="auto"/>
            </w:tcBorders>
            <w:shd w:val="clear" w:color="auto" w:fill="auto"/>
            <w:noWrap/>
            <w:vAlign w:val="center"/>
          </w:tcPr>
          <w:p w:rsidR="002A39FE" w:rsidRPr="00B34880" w:rsidRDefault="002A39FE" w:rsidP="002A39FE">
            <w:pPr>
              <w:rPr>
                <w:sz w:val="20"/>
                <w:szCs w:val="20"/>
                <w:lang w:val="en-US"/>
              </w:rPr>
            </w:pPr>
            <w:r w:rsidRPr="00B34880">
              <w:rPr>
                <w:sz w:val="20"/>
                <w:szCs w:val="20"/>
                <w:lang w:val="en-US"/>
              </w:rPr>
              <w:t>2005</w:t>
            </w:r>
          </w:p>
        </w:tc>
        <w:tc>
          <w:tcPr>
            <w:tcW w:w="1374"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sz w:val="20"/>
                <w:szCs w:val="20"/>
                <w:lang w:val="en-US"/>
              </w:rPr>
            </w:pPr>
            <w:r w:rsidRPr="00B34880">
              <w:rPr>
                <w:sz w:val="20"/>
                <w:szCs w:val="20"/>
                <w:lang w:val="en-US"/>
              </w:rPr>
              <w:t>2010</w:t>
            </w:r>
          </w:p>
        </w:tc>
        <w:tc>
          <w:tcPr>
            <w:tcW w:w="1032"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sz w:val="20"/>
                <w:szCs w:val="20"/>
                <w:lang w:val="en-US"/>
              </w:rPr>
            </w:pPr>
            <w:r w:rsidRPr="00B34880">
              <w:rPr>
                <w:sz w:val="20"/>
                <w:szCs w:val="20"/>
                <w:lang w:val="en-US"/>
              </w:rPr>
              <w:t>4 + 2</w:t>
            </w:r>
          </w:p>
        </w:tc>
        <w:tc>
          <w:tcPr>
            <w:tcW w:w="2160"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sz w:val="20"/>
                <w:szCs w:val="20"/>
                <w:lang w:val="en-US"/>
              </w:rPr>
            </w:pPr>
            <w:r w:rsidRPr="00B34880">
              <w:rPr>
                <w:sz w:val="20"/>
                <w:szCs w:val="20"/>
                <w:lang w:val="en-US"/>
              </w:rPr>
              <w:t>n/a</w:t>
            </w:r>
          </w:p>
        </w:tc>
      </w:tr>
      <w:tr w:rsidR="002A39FE" w:rsidRPr="00B34880" w:rsidTr="002A39FE">
        <w:trPr>
          <w:trHeight w:val="510"/>
        </w:trPr>
        <w:tc>
          <w:tcPr>
            <w:tcW w:w="2846" w:type="dxa"/>
            <w:tcBorders>
              <w:top w:val="nil"/>
              <w:left w:val="single" w:sz="4" w:space="0" w:color="auto"/>
              <w:bottom w:val="single" w:sz="4" w:space="0" w:color="auto"/>
              <w:right w:val="single" w:sz="4" w:space="0" w:color="auto"/>
            </w:tcBorders>
            <w:shd w:val="clear" w:color="auto" w:fill="auto"/>
            <w:vAlign w:val="center"/>
          </w:tcPr>
          <w:p w:rsidR="002A39FE" w:rsidRPr="00B34880" w:rsidRDefault="002A39FE" w:rsidP="002A39FE">
            <w:pPr>
              <w:rPr>
                <w:sz w:val="20"/>
                <w:szCs w:val="20"/>
              </w:rPr>
            </w:pPr>
            <w:r w:rsidRPr="00B34880">
              <w:rPr>
                <w:sz w:val="20"/>
                <w:szCs w:val="20"/>
                <w:lang w:val="en-US"/>
              </w:rPr>
              <w:t>Lori Water Sewerage , CJSC</w:t>
            </w:r>
          </w:p>
        </w:tc>
        <w:tc>
          <w:tcPr>
            <w:tcW w:w="1411" w:type="dxa"/>
            <w:vMerge w:val="restart"/>
            <w:tcBorders>
              <w:top w:val="nil"/>
              <w:left w:val="single" w:sz="4" w:space="0" w:color="auto"/>
              <w:bottom w:val="single" w:sz="4" w:space="0" w:color="auto"/>
              <w:right w:val="single" w:sz="4" w:space="0" w:color="auto"/>
            </w:tcBorders>
            <w:shd w:val="clear" w:color="auto" w:fill="auto"/>
            <w:vAlign w:val="center"/>
          </w:tcPr>
          <w:p w:rsidR="002A39FE" w:rsidRPr="00B34880" w:rsidRDefault="002A39FE" w:rsidP="002A39FE">
            <w:pPr>
              <w:rPr>
                <w:sz w:val="20"/>
                <w:szCs w:val="20"/>
                <w:lang w:val="en-US"/>
              </w:rPr>
            </w:pPr>
            <w:r w:rsidRPr="00B34880">
              <w:rPr>
                <w:sz w:val="20"/>
                <w:szCs w:val="20"/>
                <w:lang w:val="en-US"/>
              </w:rPr>
              <w:t xml:space="preserve">Consortium of </w:t>
            </w:r>
            <w:r w:rsidRPr="00B34880">
              <w:rPr>
                <w:sz w:val="20"/>
                <w:szCs w:val="20"/>
                <w:lang w:val="en-US"/>
              </w:rPr>
              <w:br/>
              <w:t>MVV Decon, MVV Energie, and</w:t>
            </w:r>
            <w:r w:rsidRPr="00B34880">
              <w:rPr>
                <w:sz w:val="20"/>
                <w:szCs w:val="20"/>
                <w:lang w:val="en-US"/>
              </w:rPr>
              <w:br/>
              <w:t>AEG Service</w:t>
            </w:r>
          </w:p>
        </w:tc>
        <w:tc>
          <w:tcPr>
            <w:tcW w:w="1616"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sz w:val="20"/>
                <w:szCs w:val="20"/>
              </w:rPr>
            </w:pPr>
            <w:r w:rsidRPr="00B34880">
              <w:rPr>
                <w:sz w:val="20"/>
                <w:szCs w:val="20"/>
              </w:rPr>
              <w:t xml:space="preserve">1 </w:t>
            </w:r>
            <w:r w:rsidRPr="00B34880">
              <w:rPr>
                <w:sz w:val="20"/>
                <w:szCs w:val="20"/>
                <w:lang w:val="en-US"/>
              </w:rPr>
              <w:t>town</w:t>
            </w:r>
            <w:r w:rsidRPr="00B34880">
              <w:rPr>
                <w:sz w:val="20"/>
                <w:szCs w:val="20"/>
              </w:rPr>
              <w:t xml:space="preserve"> </w:t>
            </w:r>
            <w:r w:rsidRPr="00B34880">
              <w:rPr>
                <w:sz w:val="20"/>
                <w:szCs w:val="20"/>
                <w:lang w:val="en-US"/>
              </w:rPr>
              <w:t>and</w:t>
            </w:r>
            <w:r w:rsidRPr="00B34880">
              <w:rPr>
                <w:sz w:val="20"/>
                <w:szCs w:val="20"/>
              </w:rPr>
              <w:t xml:space="preserve"> 16 </w:t>
            </w:r>
            <w:r w:rsidRPr="00B34880">
              <w:rPr>
                <w:sz w:val="20"/>
                <w:szCs w:val="20"/>
                <w:lang w:val="en-US"/>
              </w:rPr>
              <w:t>rural settlements</w:t>
            </w:r>
          </w:p>
        </w:tc>
        <w:tc>
          <w:tcPr>
            <w:tcW w:w="1180" w:type="dxa"/>
            <w:vMerge w:val="restart"/>
            <w:tcBorders>
              <w:top w:val="nil"/>
              <w:left w:val="single" w:sz="4" w:space="0" w:color="auto"/>
              <w:bottom w:val="single" w:sz="4" w:space="0" w:color="auto"/>
              <w:right w:val="single" w:sz="4" w:space="0" w:color="auto"/>
            </w:tcBorders>
            <w:shd w:val="clear" w:color="auto" w:fill="auto"/>
            <w:noWrap/>
            <w:vAlign w:val="center"/>
          </w:tcPr>
          <w:p w:rsidR="002A39FE" w:rsidRPr="00B34880" w:rsidRDefault="002A39FE" w:rsidP="002A39FE">
            <w:pPr>
              <w:rPr>
                <w:sz w:val="20"/>
                <w:szCs w:val="20"/>
              </w:rPr>
            </w:pPr>
            <w:r w:rsidRPr="00B34880">
              <w:rPr>
                <w:sz w:val="20"/>
                <w:szCs w:val="20"/>
              </w:rPr>
              <w:t>375</w:t>
            </w:r>
          </w:p>
        </w:tc>
        <w:tc>
          <w:tcPr>
            <w:tcW w:w="1373" w:type="dxa"/>
            <w:vMerge w:val="restart"/>
            <w:tcBorders>
              <w:top w:val="nil"/>
              <w:left w:val="single" w:sz="4" w:space="0" w:color="auto"/>
              <w:bottom w:val="single" w:sz="4" w:space="0" w:color="auto"/>
              <w:right w:val="single" w:sz="4" w:space="0" w:color="auto"/>
            </w:tcBorders>
            <w:shd w:val="clear" w:color="auto" w:fill="auto"/>
            <w:vAlign w:val="center"/>
          </w:tcPr>
          <w:p w:rsidR="002A39FE" w:rsidRPr="00B34880" w:rsidRDefault="002A39FE" w:rsidP="002A39FE">
            <w:pPr>
              <w:rPr>
                <w:sz w:val="20"/>
                <w:szCs w:val="20"/>
              </w:rPr>
            </w:pPr>
            <w:r w:rsidRPr="00B34880">
              <w:rPr>
                <w:sz w:val="20"/>
                <w:szCs w:val="20"/>
                <w:lang w:val="en-US"/>
              </w:rPr>
              <w:t>Competition</w:t>
            </w:r>
          </w:p>
        </w:tc>
        <w:tc>
          <w:tcPr>
            <w:tcW w:w="1238" w:type="dxa"/>
            <w:vMerge w:val="restart"/>
            <w:tcBorders>
              <w:top w:val="nil"/>
              <w:left w:val="single" w:sz="4" w:space="0" w:color="auto"/>
              <w:bottom w:val="single" w:sz="4" w:space="0" w:color="auto"/>
              <w:right w:val="single" w:sz="4" w:space="0" w:color="auto"/>
            </w:tcBorders>
            <w:shd w:val="clear" w:color="auto" w:fill="auto"/>
            <w:vAlign w:val="center"/>
          </w:tcPr>
          <w:p w:rsidR="002A39FE" w:rsidRPr="00B34880" w:rsidRDefault="002A39FE" w:rsidP="002A39FE">
            <w:pPr>
              <w:rPr>
                <w:sz w:val="20"/>
                <w:szCs w:val="20"/>
              </w:rPr>
            </w:pPr>
            <w:r w:rsidRPr="00B34880">
              <w:rPr>
                <w:sz w:val="20"/>
                <w:szCs w:val="20"/>
                <w:lang w:val="en-US"/>
              </w:rPr>
              <w:t>Contract for management</w:t>
            </w:r>
          </w:p>
        </w:tc>
        <w:tc>
          <w:tcPr>
            <w:tcW w:w="905" w:type="dxa"/>
            <w:vMerge w:val="restart"/>
            <w:tcBorders>
              <w:top w:val="nil"/>
              <w:left w:val="single" w:sz="4" w:space="0" w:color="auto"/>
              <w:bottom w:val="single" w:sz="4" w:space="0" w:color="auto"/>
              <w:right w:val="single" w:sz="4" w:space="0" w:color="auto"/>
            </w:tcBorders>
            <w:shd w:val="clear" w:color="auto" w:fill="auto"/>
            <w:noWrap/>
            <w:vAlign w:val="center"/>
          </w:tcPr>
          <w:p w:rsidR="002A39FE" w:rsidRPr="00B34880" w:rsidRDefault="002A39FE" w:rsidP="002A39FE">
            <w:pPr>
              <w:rPr>
                <w:sz w:val="20"/>
                <w:szCs w:val="20"/>
              </w:rPr>
            </w:pPr>
            <w:r w:rsidRPr="00B34880">
              <w:rPr>
                <w:sz w:val="20"/>
                <w:szCs w:val="20"/>
              </w:rPr>
              <w:t>2009</w:t>
            </w:r>
          </w:p>
        </w:tc>
        <w:tc>
          <w:tcPr>
            <w:tcW w:w="1374" w:type="dxa"/>
            <w:vMerge w:val="restart"/>
            <w:tcBorders>
              <w:top w:val="nil"/>
              <w:left w:val="single" w:sz="4" w:space="0" w:color="auto"/>
              <w:bottom w:val="single" w:sz="4" w:space="0" w:color="auto"/>
              <w:right w:val="single" w:sz="4" w:space="0" w:color="auto"/>
            </w:tcBorders>
            <w:shd w:val="clear" w:color="auto" w:fill="auto"/>
            <w:vAlign w:val="center"/>
          </w:tcPr>
          <w:p w:rsidR="002A39FE" w:rsidRPr="00B34880" w:rsidRDefault="002A39FE" w:rsidP="002A39FE">
            <w:pPr>
              <w:rPr>
                <w:sz w:val="20"/>
                <w:szCs w:val="20"/>
              </w:rPr>
            </w:pPr>
            <w:r w:rsidRPr="00B34880">
              <w:rPr>
                <w:sz w:val="20"/>
                <w:szCs w:val="20"/>
              </w:rPr>
              <w:t>2012</w:t>
            </w:r>
          </w:p>
        </w:tc>
        <w:tc>
          <w:tcPr>
            <w:tcW w:w="1032" w:type="dxa"/>
            <w:vMerge w:val="restart"/>
            <w:tcBorders>
              <w:top w:val="nil"/>
              <w:left w:val="single" w:sz="4" w:space="0" w:color="auto"/>
              <w:bottom w:val="single" w:sz="4" w:space="0" w:color="auto"/>
              <w:right w:val="single" w:sz="4" w:space="0" w:color="auto"/>
            </w:tcBorders>
            <w:shd w:val="clear" w:color="auto" w:fill="auto"/>
            <w:vAlign w:val="center"/>
          </w:tcPr>
          <w:p w:rsidR="002A39FE" w:rsidRPr="00B34880" w:rsidRDefault="002A39FE" w:rsidP="002A39FE">
            <w:pPr>
              <w:rPr>
                <w:sz w:val="20"/>
                <w:szCs w:val="20"/>
              </w:rPr>
            </w:pPr>
            <w:r w:rsidRPr="00B34880">
              <w:rPr>
                <w:sz w:val="20"/>
                <w:szCs w:val="20"/>
              </w:rPr>
              <w:t>3 + 1</w:t>
            </w:r>
          </w:p>
        </w:tc>
        <w:tc>
          <w:tcPr>
            <w:tcW w:w="2160"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sz w:val="20"/>
                <w:szCs w:val="20"/>
              </w:rPr>
            </w:pPr>
            <w:r w:rsidRPr="00B34880">
              <w:rPr>
                <w:sz w:val="20"/>
                <w:szCs w:val="20"/>
                <w:lang w:val="en-US"/>
              </w:rPr>
              <w:t>n/a</w:t>
            </w:r>
          </w:p>
        </w:tc>
      </w:tr>
      <w:tr w:rsidR="002A39FE" w:rsidRPr="00B34880" w:rsidTr="002A39FE">
        <w:trPr>
          <w:trHeight w:val="510"/>
        </w:trPr>
        <w:tc>
          <w:tcPr>
            <w:tcW w:w="2846" w:type="dxa"/>
            <w:tcBorders>
              <w:top w:val="nil"/>
              <w:left w:val="single" w:sz="4" w:space="0" w:color="auto"/>
              <w:bottom w:val="single" w:sz="4" w:space="0" w:color="auto"/>
              <w:right w:val="single" w:sz="4" w:space="0" w:color="auto"/>
            </w:tcBorders>
            <w:shd w:val="clear" w:color="auto" w:fill="auto"/>
            <w:vAlign w:val="center"/>
          </w:tcPr>
          <w:p w:rsidR="002A39FE" w:rsidRPr="00B34880" w:rsidRDefault="002A39FE" w:rsidP="002A39FE">
            <w:pPr>
              <w:rPr>
                <w:sz w:val="20"/>
                <w:szCs w:val="20"/>
              </w:rPr>
            </w:pPr>
            <w:r w:rsidRPr="00B34880">
              <w:rPr>
                <w:sz w:val="20"/>
                <w:szCs w:val="20"/>
                <w:lang w:val="en-US"/>
              </w:rPr>
              <w:t>Shirak Water Sewerage, CJSC</w:t>
            </w:r>
          </w:p>
        </w:tc>
        <w:tc>
          <w:tcPr>
            <w:tcW w:w="1411" w:type="dxa"/>
            <w:vMerge/>
            <w:tcBorders>
              <w:top w:val="nil"/>
              <w:left w:val="single" w:sz="4" w:space="0" w:color="auto"/>
              <w:bottom w:val="single" w:sz="4" w:space="0" w:color="auto"/>
              <w:right w:val="single" w:sz="4" w:space="0" w:color="auto"/>
            </w:tcBorders>
            <w:vAlign w:val="center"/>
          </w:tcPr>
          <w:p w:rsidR="002A39FE" w:rsidRPr="00B34880" w:rsidRDefault="002A39FE" w:rsidP="002A39FE">
            <w:pPr>
              <w:rPr>
                <w:sz w:val="20"/>
                <w:szCs w:val="20"/>
              </w:rPr>
            </w:pPr>
          </w:p>
        </w:tc>
        <w:tc>
          <w:tcPr>
            <w:tcW w:w="1616"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sz w:val="20"/>
                <w:szCs w:val="20"/>
              </w:rPr>
            </w:pPr>
            <w:r w:rsidRPr="00B34880">
              <w:rPr>
                <w:sz w:val="20"/>
                <w:szCs w:val="20"/>
              </w:rPr>
              <w:t xml:space="preserve">2 </w:t>
            </w:r>
            <w:r w:rsidRPr="00B34880">
              <w:rPr>
                <w:sz w:val="20"/>
                <w:szCs w:val="20"/>
                <w:lang w:val="en-US"/>
              </w:rPr>
              <w:t>towns</w:t>
            </w:r>
            <w:r w:rsidRPr="00B34880">
              <w:rPr>
                <w:sz w:val="20"/>
                <w:szCs w:val="20"/>
              </w:rPr>
              <w:t xml:space="preserve"> и 35 </w:t>
            </w:r>
            <w:r w:rsidRPr="00B34880">
              <w:rPr>
                <w:sz w:val="20"/>
                <w:szCs w:val="20"/>
                <w:lang w:val="en-US"/>
              </w:rPr>
              <w:t>rural settlements</w:t>
            </w:r>
          </w:p>
        </w:tc>
        <w:tc>
          <w:tcPr>
            <w:tcW w:w="1180" w:type="dxa"/>
            <w:vMerge/>
            <w:tcBorders>
              <w:top w:val="nil"/>
              <w:left w:val="single" w:sz="4" w:space="0" w:color="auto"/>
              <w:bottom w:val="single" w:sz="4" w:space="0" w:color="auto"/>
              <w:right w:val="single" w:sz="4" w:space="0" w:color="auto"/>
            </w:tcBorders>
            <w:vAlign w:val="center"/>
          </w:tcPr>
          <w:p w:rsidR="002A39FE" w:rsidRPr="00B34880" w:rsidRDefault="002A39FE" w:rsidP="002A39FE">
            <w:pPr>
              <w:rPr>
                <w:sz w:val="20"/>
                <w:szCs w:val="20"/>
              </w:rPr>
            </w:pPr>
          </w:p>
        </w:tc>
        <w:tc>
          <w:tcPr>
            <w:tcW w:w="1373" w:type="dxa"/>
            <w:vMerge/>
            <w:tcBorders>
              <w:top w:val="nil"/>
              <w:left w:val="single" w:sz="4" w:space="0" w:color="auto"/>
              <w:bottom w:val="single" w:sz="4" w:space="0" w:color="auto"/>
              <w:right w:val="single" w:sz="4" w:space="0" w:color="auto"/>
            </w:tcBorders>
            <w:vAlign w:val="center"/>
          </w:tcPr>
          <w:p w:rsidR="002A39FE" w:rsidRPr="00B34880" w:rsidRDefault="002A39FE" w:rsidP="002A39FE">
            <w:pPr>
              <w:rPr>
                <w:sz w:val="20"/>
                <w:szCs w:val="20"/>
              </w:rPr>
            </w:pPr>
          </w:p>
        </w:tc>
        <w:tc>
          <w:tcPr>
            <w:tcW w:w="1238" w:type="dxa"/>
            <w:vMerge/>
            <w:tcBorders>
              <w:top w:val="nil"/>
              <w:left w:val="single" w:sz="4" w:space="0" w:color="auto"/>
              <w:bottom w:val="single" w:sz="4" w:space="0" w:color="auto"/>
              <w:right w:val="single" w:sz="4" w:space="0" w:color="auto"/>
            </w:tcBorders>
            <w:vAlign w:val="center"/>
          </w:tcPr>
          <w:p w:rsidR="002A39FE" w:rsidRPr="00B34880" w:rsidRDefault="002A39FE" w:rsidP="002A39FE">
            <w:pPr>
              <w:rPr>
                <w:sz w:val="20"/>
                <w:szCs w:val="20"/>
              </w:rPr>
            </w:pPr>
          </w:p>
        </w:tc>
        <w:tc>
          <w:tcPr>
            <w:tcW w:w="905" w:type="dxa"/>
            <w:vMerge/>
            <w:tcBorders>
              <w:top w:val="nil"/>
              <w:left w:val="single" w:sz="4" w:space="0" w:color="auto"/>
              <w:bottom w:val="single" w:sz="4" w:space="0" w:color="auto"/>
              <w:right w:val="single" w:sz="4" w:space="0" w:color="auto"/>
            </w:tcBorders>
            <w:vAlign w:val="center"/>
          </w:tcPr>
          <w:p w:rsidR="002A39FE" w:rsidRPr="00B34880" w:rsidRDefault="002A39FE" w:rsidP="002A39FE">
            <w:pPr>
              <w:rPr>
                <w:sz w:val="20"/>
                <w:szCs w:val="20"/>
              </w:rPr>
            </w:pPr>
          </w:p>
        </w:tc>
        <w:tc>
          <w:tcPr>
            <w:tcW w:w="1374" w:type="dxa"/>
            <w:vMerge/>
            <w:tcBorders>
              <w:top w:val="nil"/>
              <w:left w:val="single" w:sz="4" w:space="0" w:color="auto"/>
              <w:bottom w:val="single" w:sz="4" w:space="0" w:color="auto"/>
              <w:right w:val="single" w:sz="4" w:space="0" w:color="auto"/>
            </w:tcBorders>
            <w:vAlign w:val="center"/>
          </w:tcPr>
          <w:p w:rsidR="002A39FE" w:rsidRPr="00B34880" w:rsidRDefault="002A39FE" w:rsidP="002A39FE">
            <w:pPr>
              <w:rPr>
                <w:sz w:val="20"/>
                <w:szCs w:val="20"/>
              </w:rPr>
            </w:pPr>
          </w:p>
        </w:tc>
        <w:tc>
          <w:tcPr>
            <w:tcW w:w="1032" w:type="dxa"/>
            <w:vMerge/>
            <w:tcBorders>
              <w:top w:val="nil"/>
              <w:left w:val="single" w:sz="4" w:space="0" w:color="auto"/>
              <w:bottom w:val="single" w:sz="4" w:space="0" w:color="auto"/>
              <w:right w:val="single" w:sz="4" w:space="0" w:color="auto"/>
            </w:tcBorders>
            <w:vAlign w:val="center"/>
          </w:tcPr>
          <w:p w:rsidR="002A39FE" w:rsidRPr="00B34880" w:rsidRDefault="002A39FE" w:rsidP="002A39FE">
            <w:pPr>
              <w:rPr>
                <w:sz w:val="20"/>
                <w:szCs w:val="20"/>
              </w:rPr>
            </w:pPr>
          </w:p>
        </w:tc>
        <w:tc>
          <w:tcPr>
            <w:tcW w:w="2160"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sz w:val="20"/>
                <w:szCs w:val="20"/>
              </w:rPr>
            </w:pPr>
            <w:r w:rsidRPr="00B34880">
              <w:rPr>
                <w:sz w:val="20"/>
                <w:szCs w:val="20"/>
                <w:lang w:val="en-US"/>
              </w:rPr>
              <w:t>n/a</w:t>
            </w:r>
          </w:p>
        </w:tc>
      </w:tr>
      <w:tr w:rsidR="002A39FE" w:rsidRPr="00B34880" w:rsidTr="002A39FE">
        <w:trPr>
          <w:trHeight w:val="510"/>
        </w:trPr>
        <w:tc>
          <w:tcPr>
            <w:tcW w:w="2846" w:type="dxa"/>
            <w:tcBorders>
              <w:top w:val="nil"/>
              <w:left w:val="single" w:sz="4" w:space="0" w:color="auto"/>
              <w:bottom w:val="single" w:sz="4" w:space="0" w:color="auto"/>
              <w:right w:val="single" w:sz="4" w:space="0" w:color="auto"/>
            </w:tcBorders>
            <w:shd w:val="clear" w:color="auto" w:fill="auto"/>
            <w:vAlign w:val="center"/>
          </w:tcPr>
          <w:p w:rsidR="002A39FE" w:rsidRPr="00B34880" w:rsidRDefault="002A39FE" w:rsidP="002A39FE">
            <w:pPr>
              <w:rPr>
                <w:sz w:val="20"/>
                <w:szCs w:val="20"/>
                <w:lang w:val="en-US"/>
              </w:rPr>
            </w:pPr>
            <w:r w:rsidRPr="00B34880">
              <w:rPr>
                <w:sz w:val="20"/>
                <w:szCs w:val="20"/>
                <w:lang w:val="en-US"/>
              </w:rPr>
              <w:t>Nor Akunq, CJSC “</w:t>
            </w:r>
          </w:p>
        </w:tc>
        <w:tc>
          <w:tcPr>
            <w:tcW w:w="1411" w:type="dxa"/>
            <w:vMerge/>
            <w:tcBorders>
              <w:top w:val="nil"/>
              <w:left w:val="single" w:sz="4" w:space="0" w:color="auto"/>
              <w:bottom w:val="single" w:sz="4" w:space="0" w:color="auto"/>
              <w:right w:val="single" w:sz="4" w:space="0" w:color="auto"/>
            </w:tcBorders>
            <w:vAlign w:val="center"/>
          </w:tcPr>
          <w:p w:rsidR="002A39FE" w:rsidRPr="00B34880" w:rsidRDefault="002A39FE" w:rsidP="002A39FE">
            <w:pPr>
              <w:rPr>
                <w:sz w:val="20"/>
                <w:szCs w:val="20"/>
                <w:lang w:val="en-US"/>
              </w:rPr>
            </w:pPr>
          </w:p>
        </w:tc>
        <w:tc>
          <w:tcPr>
            <w:tcW w:w="1616"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sz w:val="20"/>
                <w:szCs w:val="20"/>
              </w:rPr>
            </w:pPr>
            <w:r w:rsidRPr="00B34880">
              <w:rPr>
                <w:sz w:val="20"/>
                <w:szCs w:val="20"/>
              </w:rPr>
              <w:t xml:space="preserve">2 </w:t>
            </w:r>
            <w:r w:rsidRPr="00B34880">
              <w:rPr>
                <w:sz w:val="20"/>
                <w:szCs w:val="20"/>
                <w:lang w:val="en-US"/>
              </w:rPr>
              <w:t>towns</w:t>
            </w:r>
            <w:r w:rsidRPr="00B34880">
              <w:rPr>
                <w:sz w:val="20"/>
                <w:szCs w:val="20"/>
              </w:rPr>
              <w:t xml:space="preserve"> и 9 </w:t>
            </w:r>
            <w:r w:rsidRPr="00B34880">
              <w:rPr>
                <w:sz w:val="20"/>
                <w:szCs w:val="20"/>
                <w:lang w:val="en-US"/>
              </w:rPr>
              <w:t>rural settlements</w:t>
            </w:r>
          </w:p>
        </w:tc>
        <w:tc>
          <w:tcPr>
            <w:tcW w:w="1180" w:type="dxa"/>
            <w:vMerge/>
            <w:tcBorders>
              <w:top w:val="nil"/>
              <w:left w:val="single" w:sz="4" w:space="0" w:color="auto"/>
              <w:bottom w:val="single" w:sz="4" w:space="0" w:color="auto"/>
              <w:right w:val="single" w:sz="4" w:space="0" w:color="auto"/>
            </w:tcBorders>
            <w:vAlign w:val="center"/>
          </w:tcPr>
          <w:p w:rsidR="002A39FE" w:rsidRPr="00B34880" w:rsidRDefault="002A39FE" w:rsidP="002A39FE">
            <w:pPr>
              <w:rPr>
                <w:sz w:val="20"/>
                <w:szCs w:val="20"/>
              </w:rPr>
            </w:pPr>
          </w:p>
        </w:tc>
        <w:tc>
          <w:tcPr>
            <w:tcW w:w="1373" w:type="dxa"/>
            <w:vMerge/>
            <w:tcBorders>
              <w:top w:val="nil"/>
              <w:left w:val="single" w:sz="4" w:space="0" w:color="auto"/>
              <w:bottom w:val="single" w:sz="4" w:space="0" w:color="auto"/>
              <w:right w:val="single" w:sz="4" w:space="0" w:color="auto"/>
            </w:tcBorders>
            <w:vAlign w:val="center"/>
          </w:tcPr>
          <w:p w:rsidR="002A39FE" w:rsidRPr="00B34880" w:rsidRDefault="002A39FE" w:rsidP="002A39FE">
            <w:pPr>
              <w:rPr>
                <w:sz w:val="20"/>
                <w:szCs w:val="20"/>
              </w:rPr>
            </w:pPr>
          </w:p>
        </w:tc>
        <w:tc>
          <w:tcPr>
            <w:tcW w:w="1238" w:type="dxa"/>
            <w:vMerge/>
            <w:tcBorders>
              <w:top w:val="nil"/>
              <w:left w:val="single" w:sz="4" w:space="0" w:color="auto"/>
              <w:bottom w:val="single" w:sz="4" w:space="0" w:color="auto"/>
              <w:right w:val="single" w:sz="4" w:space="0" w:color="auto"/>
            </w:tcBorders>
            <w:vAlign w:val="center"/>
          </w:tcPr>
          <w:p w:rsidR="002A39FE" w:rsidRPr="00B34880" w:rsidRDefault="002A39FE" w:rsidP="002A39FE">
            <w:pPr>
              <w:rPr>
                <w:sz w:val="20"/>
                <w:szCs w:val="20"/>
              </w:rPr>
            </w:pPr>
          </w:p>
        </w:tc>
        <w:tc>
          <w:tcPr>
            <w:tcW w:w="905" w:type="dxa"/>
            <w:vMerge/>
            <w:tcBorders>
              <w:top w:val="nil"/>
              <w:left w:val="single" w:sz="4" w:space="0" w:color="auto"/>
              <w:bottom w:val="single" w:sz="4" w:space="0" w:color="auto"/>
              <w:right w:val="single" w:sz="4" w:space="0" w:color="auto"/>
            </w:tcBorders>
            <w:vAlign w:val="center"/>
          </w:tcPr>
          <w:p w:rsidR="002A39FE" w:rsidRPr="00B34880" w:rsidRDefault="002A39FE" w:rsidP="002A39FE">
            <w:pPr>
              <w:rPr>
                <w:sz w:val="20"/>
                <w:szCs w:val="20"/>
              </w:rPr>
            </w:pPr>
          </w:p>
        </w:tc>
        <w:tc>
          <w:tcPr>
            <w:tcW w:w="1374" w:type="dxa"/>
            <w:vMerge/>
            <w:tcBorders>
              <w:top w:val="nil"/>
              <w:left w:val="single" w:sz="4" w:space="0" w:color="auto"/>
              <w:bottom w:val="single" w:sz="4" w:space="0" w:color="auto"/>
              <w:right w:val="single" w:sz="4" w:space="0" w:color="auto"/>
            </w:tcBorders>
            <w:vAlign w:val="center"/>
          </w:tcPr>
          <w:p w:rsidR="002A39FE" w:rsidRPr="00B34880" w:rsidRDefault="002A39FE" w:rsidP="002A39FE">
            <w:pPr>
              <w:rPr>
                <w:sz w:val="20"/>
                <w:szCs w:val="20"/>
              </w:rPr>
            </w:pPr>
          </w:p>
        </w:tc>
        <w:tc>
          <w:tcPr>
            <w:tcW w:w="1032" w:type="dxa"/>
            <w:vMerge/>
            <w:tcBorders>
              <w:top w:val="nil"/>
              <w:left w:val="single" w:sz="4" w:space="0" w:color="auto"/>
              <w:bottom w:val="single" w:sz="4" w:space="0" w:color="auto"/>
              <w:right w:val="single" w:sz="4" w:space="0" w:color="auto"/>
            </w:tcBorders>
            <w:vAlign w:val="center"/>
          </w:tcPr>
          <w:p w:rsidR="002A39FE" w:rsidRPr="00B34880" w:rsidRDefault="002A39FE" w:rsidP="002A39FE">
            <w:pPr>
              <w:rPr>
                <w:sz w:val="20"/>
                <w:szCs w:val="20"/>
              </w:rPr>
            </w:pPr>
          </w:p>
        </w:tc>
        <w:tc>
          <w:tcPr>
            <w:tcW w:w="2160"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sz w:val="20"/>
                <w:szCs w:val="20"/>
              </w:rPr>
            </w:pPr>
            <w:r w:rsidRPr="00B34880">
              <w:rPr>
                <w:sz w:val="20"/>
                <w:szCs w:val="20"/>
                <w:lang w:val="en-US"/>
              </w:rPr>
              <w:t>n/a</w:t>
            </w:r>
          </w:p>
        </w:tc>
      </w:tr>
      <w:tr w:rsidR="002A39FE" w:rsidRPr="00B34880" w:rsidTr="002A39FE">
        <w:trPr>
          <w:trHeight w:val="255"/>
        </w:trPr>
        <w:tc>
          <w:tcPr>
            <w:tcW w:w="15135"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rsidR="002A39FE" w:rsidRPr="00B34880" w:rsidRDefault="002A39FE" w:rsidP="002A39FE">
            <w:pPr>
              <w:rPr>
                <w:b/>
                <w:bCs/>
                <w:sz w:val="20"/>
                <w:szCs w:val="20"/>
                <w:lang w:val="en-US"/>
              </w:rPr>
            </w:pPr>
            <w:r w:rsidRPr="00B34880">
              <w:rPr>
                <w:b/>
                <w:bCs/>
                <w:sz w:val="20"/>
                <w:szCs w:val="20"/>
                <w:lang w:val="en-US"/>
              </w:rPr>
              <w:t>Georgia</w:t>
            </w:r>
          </w:p>
        </w:tc>
      </w:tr>
      <w:tr w:rsidR="002A39FE" w:rsidRPr="00B34880" w:rsidTr="002A39FE">
        <w:trPr>
          <w:trHeight w:val="510"/>
        </w:trPr>
        <w:tc>
          <w:tcPr>
            <w:tcW w:w="2846" w:type="dxa"/>
            <w:tcBorders>
              <w:top w:val="nil"/>
              <w:left w:val="single" w:sz="4" w:space="0" w:color="auto"/>
              <w:bottom w:val="single" w:sz="4" w:space="0" w:color="auto"/>
              <w:right w:val="single" w:sz="4" w:space="0" w:color="auto"/>
            </w:tcBorders>
            <w:shd w:val="clear" w:color="auto" w:fill="auto"/>
            <w:vAlign w:val="center"/>
          </w:tcPr>
          <w:p w:rsidR="002A39FE" w:rsidRPr="00B34880" w:rsidRDefault="002A39FE" w:rsidP="002A39FE">
            <w:pPr>
              <w:rPr>
                <w:color w:val="C00000"/>
                <w:sz w:val="20"/>
                <w:szCs w:val="20"/>
                <w:lang w:val="en-US"/>
              </w:rPr>
            </w:pPr>
            <w:r w:rsidRPr="00B34880">
              <w:rPr>
                <w:color w:val="C00000"/>
                <w:sz w:val="20"/>
                <w:szCs w:val="20"/>
              </w:rPr>
              <w:t xml:space="preserve">АО </w:t>
            </w:r>
            <w:r w:rsidRPr="00B34880">
              <w:rPr>
                <w:color w:val="C00000"/>
                <w:sz w:val="20"/>
                <w:szCs w:val="20"/>
                <w:lang w:val="en-US"/>
              </w:rPr>
              <w:t>“Tbilvodokanal”</w:t>
            </w:r>
          </w:p>
        </w:tc>
        <w:tc>
          <w:tcPr>
            <w:tcW w:w="1411"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color w:val="C00000"/>
                <w:sz w:val="20"/>
                <w:szCs w:val="20"/>
              </w:rPr>
            </w:pPr>
            <w:r w:rsidRPr="00B34880">
              <w:rPr>
                <w:color w:val="C00000"/>
                <w:sz w:val="20"/>
                <w:szCs w:val="20"/>
              </w:rPr>
              <w:t>Veolia Water</w:t>
            </w:r>
          </w:p>
        </w:tc>
        <w:tc>
          <w:tcPr>
            <w:tcW w:w="1616" w:type="dxa"/>
            <w:vMerge w:val="restart"/>
            <w:tcBorders>
              <w:top w:val="nil"/>
              <w:left w:val="single" w:sz="4" w:space="0" w:color="auto"/>
              <w:bottom w:val="single" w:sz="4" w:space="0" w:color="000000"/>
              <w:right w:val="single" w:sz="4" w:space="0" w:color="auto"/>
            </w:tcBorders>
            <w:shd w:val="clear" w:color="auto" w:fill="auto"/>
            <w:vAlign w:val="center"/>
          </w:tcPr>
          <w:p w:rsidR="002A39FE" w:rsidRPr="00B34880" w:rsidRDefault="002A39FE" w:rsidP="002A39FE">
            <w:pPr>
              <w:rPr>
                <w:color w:val="C00000"/>
                <w:sz w:val="20"/>
                <w:szCs w:val="20"/>
                <w:lang w:val="en-US"/>
              </w:rPr>
            </w:pPr>
            <w:r w:rsidRPr="00B34880">
              <w:rPr>
                <w:color w:val="C00000"/>
                <w:sz w:val="20"/>
                <w:szCs w:val="20"/>
                <w:lang w:val="en-US"/>
              </w:rPr>
              <w:t>Tbilisi</w:t>
            </w:r>
          </w:p>
        </w:tc>
        <w:tc>
          <w:tcPr>
            <w:tcW w:w="1180" w:type="dxa"/>
            <w:vMerge w:val="restart"/>
            <w:tcBorders>
              <w:top w:val="nil"/>
              <w:left w:val="single" w:sz="4" w:space="0" w:color="auto"/>
              <w:bottom w:val="single" w:sz="4" w:space="0" w:color="000000"/>
              <w:right w:val="single" w:sz="4" w:space="0" w:color="auto"/>
            </w:tcBorders>
            <w:shd w:val="clear" w:color="auto" w:fill="auto"/>
            <w:noWrap/>
            <w:vAlign w:val="center"/>
          </w:tcPr>
          <w:p w:rsidR="002A39FE" w:rsidRPr="00B34880" w:rsidRDefault="002A39FE" w:rsidP="002A39FE">
            <w:pPr>
              <w:rPr>
                <w:color w:val="C00000"/>
                <w:sz w:val="20"/>
                <w:szCs w:val="20"/>
              </w:rPr>
            </w:pPr>
            <w:r w:rsidRPr="00B34880">
              <w:rPr>
                <w:color w:val="C00000"/>
                <w:sz w:val="20"/>
                <w:szCs w:val="20"/>
              </w:rPr>
              <w:t>1093</w:t>
            </w:r>
          </w:p>
        </w:tc>
        <w:tc>
          <w:tcPr>
            <w:tcW w:w="1373"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color w:val="C00000"/>
                <w:sz w:val="20"/>
                <w:szCs w:val="20"/>
              </w:rPr>
            </w:pPr>
            <w:r w:rsidRPr="00B34880">
              <w:rPr>
                <w:color w:val="C00000"/>
                <w:sz w:val="20"/>
                <w:szCs w:val="20"/>
                <w:lang w:val="en-US"/>
              </w:rPr>
              <w:t>Competition</w:t>
            </w:r>
          </w:p>
        </w:tc>
        <w:tc>
          <w:tcPr>
            <w:tcW w:w="1238"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color w:val="C00000"/>
                <w:sz w:val="20"/>
                <w:szCs w:val="20"/>
              </w:rPr>
            </w:pPr>
            <w:r w:rsidRPr="00B34880">
              <w:rPr>
                <w:color w:val="C00000"/>
                <w:sz w:val="20"/>
                <w:szCs w:val="20"/>
                <w:lang w:val="en-US"/>
              </w:rPr>
              <w:t>Lease</w:t>
            </w:r>
            <w:r w:rsidRPr="00B34880">
              <w:rPr>
                <w:color w:val="C00000"/>
                <w:sz w:val="20"/>
                <w:szCs w:val="20"/>
              </w:rPr>
              <w:t xml:space="preserve"> </w:t>
            </w:r>
            <w:r w:rsidRPr="00B34880">
              <w:rPr>
                <w:color w:val="C00000"/>
                <w:sz w:val="20"/>
                <w:szCs w:val="20"/>
                <w:lang w:val="en-US"/>
              </w:rPr>
              <w:t>agreement</w:t>
            </w:r>
          </w:p>
        </w:tc>
        <w:tc>
          <w:tcPr>
            <w:tcW w:w="905" w:type="dxa"/>
            <w:tcBorders>
              <w:top w:val="nil"/>
              <w:left w:val="nil"/>
              <w:bottom w:val="single" w:sz="4" w:space="0" w:color="auto"/>
              <w:right w:val="single" w:sz="4" w:space="0" w:color="auto"/>
            </w:tcBorders>
            <w:shd w:val="clear" w:color="auto" w:fill="auto"/>
            <w:noWrap/>
            <w:vAlign w:val="center"/>
          </w:tcPr>
          <w:p w:rsidR="002A39FE" w:rsidRPr="00B34880" w:rsidRDefault="002A39FE" w:rsidP="002A39FE">
            <w:pPr>
              <w:rPr>
                <w:color w:val="C00000"/>
                <w:sz w:val="20"/>
                <w:szCs w:val="20"/>
              </w:rPr>
            </w:pPr>
            <w:r w:rsidRPr="00B34880">
              <w:rPr>
                <w:color w:val="C00000"/>
                <w:sz w:val="20"/>
                <w:szCs w:val="20"/>
              </w:rPr>
              <w:t>2001</w:t>
            </w:r>
          </w:p>
        </w:tc>
        <w:tc>
          <w:tcPr>
            <w:tcW w:w="1374"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color w:val="C00000"/>
                <w:sz w:val="20"/>
                <w:szCs w:val="20"/>
              </w:rPr>
            </w:pPr>
            <w:r w:rsidRPr="00B34880">
              <w:rPr>
                <w:color w:val="C00000"/>
                <w:sz w:val="20"/>
                <w:szCs w:val="20"/>
                <w:lang w:val="en-US"/>
              </w:rPr>
              <w:t>Agreement is early terminated</w:t>
            </w:r>
          </w:p>
        </w:tc>
        <w:tc>
          <w:tcPr>
            <w:tcW w:w="1032"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color w:val="C00000"/>
                <w:sz w:val="20"/>
                <w:szCs w:val="20"/>
              </w:rPr>
            </w:pPr>
            <w:r w:rsidRPr="00B34880">
              <w:rPr>
                <w:color w:val="C00000"/>
                <w:sz w:val="20"/>
                <w:szCs w:val="20"/>
              </w:rPr>
              <w:t>5</w:t>
            </w:r>
          </w:p>
        </w:tc>
        <w:tc>
          <w:tcPr>
            <w:tcW w:w="2160"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color w:val="C00000"/>
                <w:sz w:val="20"/>
                <w:szCs w:val="20"/>
              </w:rPr>
            </w:pPr>
            <w:r w:rsidRPr="00B34880">
              <w:rPr>
                <w:color w:val="C00000"/>
                <w:sz w:val="20"/>
                <w:szCs w:val="20"/>
                <w:lang w:val="en-US"/>
              </w:rPr>
              <w:t>n/a</w:t>
            </w:r>
          </w:p>
        </w:tc>
      </w:tr>
      <w:tr w:rsidR="002A39FE" w:rsidRPr="00B34880" w:rsidTr="002A39FE">
        <w:trPr>
          <w:trHeight w:val="255"/>
        </w:trPr>
        <w:tc>
          <w:tcPr>
            <w:tcW w:w="2846" w:type="dxa"/>
            <w:tcBorders>
              <w:top w:val="nil"/>
              <w:left w:val="single" w:sz="4" w:space="0" w:color="auto"/>
              <w:bottom w:val="single" w:sz="4" w:space="0" w:color="auto"/>
              <w:right w:val="single" w:sz="4" w:space="0" w:color="auto"/>
            </w:tcBorders>
            <w:shd w:val="clear" w:color="auto" w:fill="auto"/>
            <w:vAlign w:val="center"/>
          </w:tcPr>
          <w:p w:rsidR="002A39FE" w:rsidRPr="00B34880" w:rsidRDefault="002A39FE" w:rsidP="002A39FE">
            <w:pPr>
              <w:rPr>
                <w:sz w:val="20"/>
                <w:szCs w:val="20"/>
                <w:lang w:val="en-US"/>
              </w:rPr>
            </w:pPr>
            <w:r w:rsidRPr="00B34880">
              <w:rPr>
                <w:sz w:val="20"/>
                <w:szCs w:val="20"/>
                <w:lang w:val="en-US"/>
              </w:rPr>
              <w:t>Georgian Water and Power</w:t>
            </w:r>
          </w:p>
        </w:tc>
        <w:tc>
          <w:tcPr>
            <w:tcW w:w="1411"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sz w:val="20"/>
                <w:szCs w:val="20"/>
              </w:rPr>
            </w:pPr>
            <w:r w:rsidRPr="00B34880">
              <w:rPr>
                <w:sz w:val="20"/>
                <w:szCs w:val="20"/>
              </w:rPr>
              <w:t>Multiplex Solutions</w:t>
            </w:r>
          </w:p>
        </w:tc>
        <w:tc>
          <w:tcPr>
            <w:tcW w:w="1616" w:type="dxa"/>
            <w:vMerge/>
            <w:tcBorders>
              <w:top w:val="nil"/>
              <w:left w:val="single" w:sz="4" w:space="0" w:color="auto"/>
              <w:bottom w:val="single" w:sz="4" w:space="0" w:color="000000"/>
              <w:right w:val="single" w:sz="4" w:space="0" w:color="auto"/>
            </w:tcBorders>
            <w:vAlign w:val="center"/>
          </w:tcPr>
          <w:p w:rsidR="002A39FE" w:rsidRPr="00B34880" w:rsidRDefault="002A39FE" w:rsidP="002A39FE">
            <w:pPr>
              <w:rPr>
                <w:sz w:val="20"/>
                <w:szCs w:val="20"/>
              </w:rPr>
            </w:pPr>
          </w:p>
        </w:tc>
        <w:tc>
          <w:tcPr>
            <w:tcW w:w="1180" w:type="dxa"/>
            <w:vMerge/>
            <w:tcBorders>
              <w:top w:val="nil"/>
              <w:left w:val="single" w:sz="4" w:space="0" w:color="auto"/>
              <w:bottom w:val="single" w:sz="4" w:space="0" w:color="000000"/>
              <w:right w:val="single" w:sz="4" w:space="0" w:color="auto"/>
            </w:tcBorders>
            <w:vAlign w:val="center"/>
          </w:tcPr>
          <w:p w:rsidR="002A39FE" w:rsidRPr="00B34880" w:rsidRDefault="002A39FE" w:rsidP="002A39FE">
            <w:pPr>
              <w:rPr>
                <w:sz w:val="20"/>
                <w:szCs w:val="20"/>
              </w:rPr>
            </w:pPr>
          </w:p>
        </w:tc>
        <w:tc>
          <w:tcPr>
            <w:tcW w:w="1373"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sz w:val="20"/>
                <w:szCs w:val="20"/>
              </w:rPr>
            </w:pPr>
            <w:r w:rsidRPr="00B34880">
              <w:rPr>
                <w:sz w:val="20"/>
                <w:szCs w:val="20"/>
                <w:lang w:val="en-US"/>
              </w:rPr>
              <w:t>Competition</w:t>
            </w:r>
          </w:p>
        </w:tc>
        <w:tc>
          <w:tcPr>
            <w:tcW w:w="1238"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sz w:val="20"/>
                <w:szCs w:val="20"/>
                <w:lang w:val="en-US"/>
              </w:rPr>
            </w:pPr>
            <w:r w:rsidRPr="00B34880">
              <w:rPr>
                <w:sz w:val="20"/>
                <w:szCs w:val="20"/>
                <w:lang w:val="en-US"/>
              </w:rPr>
              <w:t>Privatization</w:t>
            </w:r>
          </w:p>
        </w:tc>
        <w:tc>
          <w:tcPr>
            <w:tcW w:w="905" w:type="dxa"/>
            <w:tcBorders>
              <w:top w:val="nil"/>
              <w:left w:val="nil"/>
              <w:bottom w:val="single" w:sz="4" w:space="0" w:color="auto"/>
              <w:right w:val="single" w:sz="4" w:space="0" w:color="auto"/>
            </w:tcBorders>
            <w:shd w:val="clear" w:color="auto" w:fill="auto"/>
            <w:noWrap/>
            <w:vAlign w:val="center"/>
          </w:tcPr>
          <w:p w:rsidR="002A39FE" w:rsidRPr="00B34880" w:rsidRDefault="002A39FE" w:rsidP="002A39FE">
            <w:pPr>
              <w:rPr>
                <w:sz w:val="20"/>
                <w:szCs w:val="20"/>
              </w:rPr>
            </w:pPr>
            <w:r w:rsidRPr="00B34880">
              <w:rPr>
                <w:sz w:val="20"/>
                <w:szCs w:val="20"/>
              </w:rPr>
              <w:t>2007</w:t>
            </w:r>
          </w:p>
        </w:tc>
        <w:tc>
          <w:tcPr>
            <w:tcW w:w="2406" w:type="dxa"/>
            <w:gridSpan w:val="2"/>
            <w:tcBorders>
              <w:top w:val="single" w:sz="4" w:space="0" w:color="auto"/>
              <w:left w:val="nil"/>
              <w:bottom w:val="single" w:sz="4" w:space="0" w:color="auto"/>
              <w:right w:val="single" w:sz="4" w:space="0" w:color="auto"/>
            </w:tcBorders>
            <w:shd w:val="clear" w:color="auto" w:fill="auto"/>
            <w:vAlign w:val="center"/>
          </w:tcPr>
          <w:p w:rsidR="002A39FE" w:rsidRPr="00B34880" w:rsidRDefault="002A39FE" w:rsidP="002A39FE">
            <w:pPr>
              <w:rPr>
                <w:sz w:val="20"/>
                <w:szCs w:val="20"/>
                <w:lang w:val="en-US"/>
              </w:rPr>
            </w:pPr>
            <w:r w:rsidRPr="00B34880">
              <w:rPr>
                <w:sz w:val="20"/>
                <w:szCs w:val="20"/>
                <w:lang w:val="en-US"/>
              </w:rPr>
              <w:t>WSS facilities have been privatized</w:t>
            </w:r>
          </w:p>
        </w:tc>
        <w:tc>
          <w:tcPr>
            <w:tcW w:w="2160"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sz w:val="20"/>
                <w:szCs w:val="20"/>
              </w:rPr>
            </w:pPr>
            <w:r w:rsidRPr="00B34880">
              <w:rPr>
                <w:sz w:val="20"/>
                <w:szCs w:val="20"/>
                <w:lang w:val="en-US"/>
              </w:rPr>
              <w:t>Plan</w:t>
            </w:r>
            <w:r w:rsidRPr="00B34880">
              <w:rPr>
                <w:sz w:val="20"/>
                <w:szCs w:val="20"/>
              </w:rPr>
              <w:t xml:space="preserve">: </w:t>
            </w:r>
            <w:r w:rsidRPr="00B34880">
              <w:rPr>
                <w:sz w:val="20"/>
                <w:szCs w:val="20"/>
                <w:lang w:val="en-US"/>
              </w:rPr>
              <w:t>USD</w:t>
            </w:r>
            <w:r w:rsidRPr="00B34880">
              <w:rPr>
                <w:sz w:val="20"/>
                <w:szCs w:val="20"/>
              </w:rPr>
              <w:t xml:space="preserve"> 350 </w:t>
            </w:r>
            <w:r w:rsidRPr="00B34880">
              <w:rPr>
                <w:sz w:val="20"/>
                <w:szCs w:val="20"/>
                <w:lang w:val="en-US"/>
              </w:rPr>
              <w:t>million</w:t>
            </w:r>
            <w:r w:rsidRPr="00B34880">
              <w:rPr>
                <w:sz w:val="20"/>
                <w:szCs w:val="20"/>
              </w:rPr>
              <w:t xml:space="preserve"> </w:t>
            </w:r>
          </w:p>
        </w:tc>
      </w:tr>
      <w:tr w:rsidR="002A39FE" w:rsidRPr="00B34880" w:rsidTr="002A39FE">
        <w:trPr>
          <w:trHeight w:val="255"/>
        </w:trPr>
        <w:tc>
          <w:tcPr>
            <w:tcW w:w="15135"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rsidR="002A39FE" w:rsidRPr="00B34880" w:rsidRDefault="002A39FE" w:rsidP="002A39FE">
            <w:pPr>
              <w:rPr>
                <w:b/>
                <w:bCs/>
                <w:sz w:val="20"/>
                <w:szCs w:val="20"/>
                <w:lang w:val="en-US"/>
              </w:rPr>
            </w:pPr>
            <w:r w:rsidRPr="00B34880">
              <w:rPr>
                <w:b/>
                <w:bCs/>
                <w:sz w:val="20"/>
                <w:szCs w:val="20"/>
                <w:lang w:val="en-US"/>
              </w:rPr>
              <w:t>Kazakhstan</w:t>
            </w:r>
          </w:p>
        </w:tc>
      </w:tr>
      <w:tr w:rsidR="002A39FE" w:rsidRPr="00B34880" w:rsidTr="002A39FE">
        <w:trPr>
          <w:trHeight w:val="765"/>
        </w:trPr>
        <w:tc>
          <w:tcPr>
            <w:tcW w:w="2846" w:type="dxa"/>
            <w:tcBorders>
              <w:top w:val="nil"/>
              <w:left w:val="single" w:sz="4" w:space="0" w:color="auto"/>
              <w:bottom w:val="single" w:sz="4" w:space="0" w:color="auto"/>
              <w:right w:val="single" w:sz="4" w:space="0" w:color="auto"/>
            </w:tcBorders>
            <w:shd w:val="clear" w:color="auto" w:fill="auto"/>
            <w:vAlign w:val="center"/>
          </w:tcPr>
          <w:p w:rsidR="002A39FE" w:rsidRPr="00B34880" w:rsidRDefault="002A39FE" w:rsidP="002A39FE">
            <w:pPr>
              <w:rPr>
                <w:sz w:val="20"/>
                <w:szCs w:val="20"/>
                <w:lang w:val="en-US"/>
              </w:rPr>
            </w:pPr>
            <w:r w:rsidRPr="00B34880">
              <w:rPr>
                <w:sz w:val="20"/>
                <w:szCs w:val="20"/>
              </w:rPr>
              <w:t xml:space="preserve">ТОО </w:t>
            </w:r>
            <w:r w:rsidRPr="00B34880">
              <w:rPr>
                <w:sz w:val="20"/>
                <w:szCs w:val="20"/>
                <w:lang w:val="en-US"/>
              </w:rPr>
              <w:t>“Water resources</w:t>
            </w:r>
            <w:r w:rsidRPr="00B34880">
              <w:rPr>
                <w:sz w:val="20"/>
                <w:szCs w:val="20"/>
              </w:rPr>
              <w:t xml:space="preserve"> – </w:t>
            </w:r>
            <w:r w:rsidRPr="00B34880">
              <w:rPr>
                <w:sz w:val="20"/>
                <w:szCs w:val="20"/>
                <w:lang w:val="en-US"/>
              </w:rPr>
              <w:t>Marketing”</w:t>
            </w:r>
          </w:p>
        </w:tc>
        <w:tc>
          <w:tcPr>
            <w:tcW w:w="1411"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sz w:val="20"/>
                <w:szCs w:val="20"/>
                <w:lang w:val="en-US"/>
              </w:rPr>
            </w:pPr>
            <w:r w:rsidRPr="00B34880">
              <w:rPr>
                <w:sz w:val="20"/>
                <w:szCs w:val="20"/>
              </w:rPr>
              <w:t xml:space="preserve">ТОО </w:t>
            </w:r>
            <w:r w:rsidRPr="00B34880">
              <w:rPr>
                <w:sz w:val="20"/>
                <w:szCs w:val="20"/>
                <w:lang w:val="en-US"/>
              </w:rPr>
              <w:t>“Water Resources</w:t>
            </w:r>
            <w:r w:rsidRPr="00B34880">
              <w:rPr>
                <w:sz w:val="20"/>
                <w:szCs w:val="20"/>
              </w:rPr>
              <w:t xml:space="preserve"> – </w:t>
            </w:r>
            <w:r w:rsidRPr="00B34880">
              <w:rPr>
                <w:sz w:val="20"/>
                <w:szCs w:val="20"/>
                <w:lang w:val="en-US"/>
              </w:rPr>
              <w:t>Marketing”</w:t>
            </w:r>
          </w:p>
        </w:tc>
        <w:tc>
          <w:tcPr>
            <w:tcW w:w="1616"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sz w:val="20"/>
                <w:szCs w:val="20"/>
                <w:lang w:val="en-US"/>
              </w:rPr>
            </w:pPr>
            <w:r w:rsidRPr="00B34880">
              <w:rPr>
                <w:sz w:val="20"/>
                <w:szCs w:val="20"/>
                <w:lang w:val="en-US"/>
              </w:rPr>
              <w:t>Shymkent</w:t>
            </w:r>
          </w:p>
        </w:tc>
        <w:tc>
          <w:tcPr>
            <w:tcW w:w="1180" w:type="dxa"/>
            <w:tcBorders>
              <w:top w:val="nil"/>
              <w:left w:val="nil"/>
              <w:bottom w:val="single" w:sz="4" w:space="0" w:color="auto"/>
              <w:right w:val="single" w:sz="4" w:space="0" w:color="auto"/>
            </w:tcBorders>
            <w:shd w:val="clear" w:color="auto" w:fill="auto"/>
            <w:noWrap/>
            <w:vAlign w:val="center"/>
          </w:tcPr>
          <w:p w:rsidR="002A39FE" w:rsidRPr="00B34880" w:rsidRDefault="002A39FE" w:rsidP="002A39FE">
            <w:pPr>
              <w:rPr>
                <w:sz w:val="20"/>
                <w:szCs w:val="20"/>
              </w:rPr>
            </w:pPr>
            <w:r w:rsidRPr="00B34880">
              <w:rPr>
                <w:sz w:val="20"/>
                <w:szCs w:val="20"/>
              </w:rPr>
              <w:t>534</w:t>
            </w:r>
          </w:p>
        </w:tc>
        <w:tc>
          <w:tcPr>
            <w:tcW w:w="5922" w:type="dxa"/>
            <w:gridSpan w:val="5"/>
            <w:tcBorders>
              <w:top w:val="single" w:sz="4" w:space="0" w:color="auto"/>
              <w:left w:val="nil"/>
              <w:bottom w:val="single" w:sz="4" w:space="0" w:color="auto"/>
              <w:right w:val="single" w:sz="4" w:space="0" w:color="auto"/>
            </w:tcBorders>
            <w:shd w:val="clear" w:color="auto" w:fill="auto"/>
            <w:vAlign w:val="center"/>
          </w:tcPr>
          <w:p w:rsidR="002A39FE" w:rsidRPr="00B34880" w:rsidRDefault="002A39FE" w:rsidP="002A39FE">
            <w:pPr>
              <w:rPr>
                <w:sz w:val="20"/>
                <w:szCs w:val="20"/>
                <w:lang w:val="en-US"/>
              </w:rPr>
            </w:pPr>
            <w:r w:rsidRPr="00B34880">
              <w:rPr>
                <w:sz w:val="20"/>
                <w:szCs w:val="20"/>
                <w:lang w:val="en-US"/>
              </w:rPr>
              <w:t>WSS facilities owned by Operator</w:t>
            </w:r>
          </w:p>
        </w:tc>
        <w:tc>
          <w:tcPr>
            <w:tcW w:w="2160"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sz w:val="20"/>
                <w:szCs w:val="20"/>
              </w:rPr>
            </w:pPr>
            <w:r w:rsidRPr="00B34880">
              <w:rPr>
                <w:sz w:val="20"/>
                <w:szCs w:val="20"/>
                <w:lang w:val="en-US"/>
              </w:rPr>
              <w:t>n/a</w:t>
            </w:r>
          </w:p>
        </w:tc>
      </w:tr>
      <w:tr w:rsidR="002A39FE" w:rsidRPr="00B34880" w:rsidTr="002A39FE">
        <w:trPr>
          <w:trHeight w:val="765"/>
        </w:trPr>
        <w:tc>
          <w:tcPr>
            <w:tcW w:w="2846" w:type="dxa"/>
            <w:tcBorders>
              <w:top w:val="nil"/>
              <w:left w:val="single" w:sz="4" w:space="0" w:color="auto"/>
              <w:bottom w:val="single" w:sz="4" w:space="0" w:color="auto"/>
              <w:right w:val="single" w:sz="4" w:space="0" w:color="auto"/>
            </w:tcBorders>
            <w:shd w:val="clear" w:color="auto" w:fill="auto"/>
            <w:vAlign w:val="center"/>
          </w:tcPr>
          <w:p w:rsidR="002A39FE" w:rsidRPr="00B34880" w:rsidRDefault="002A39FE" w:rsidP="002A39FE">
            <w:pPr>
              <w:rPr>
                <w:color w:val="C00000"/>
                <w:sz w:val="20"/>
                <w:szCs w:val="20"/>
                <w:lang w:val="en-US"/>
              </w:rPr>
            </w:pPr>
            <w:r w:rsidRPr="00B34880">
              <w:rPr>
                <w:color w:val="C00000"/>
                <w:sz w:val="20"/>
                <w:szCs w:val="20"/>
                <w:lang w:val="en-US"/>
              </w:rPr>
              <w:lastRenderedPageBreak/>
              <w:t>The “Oskemen-Vodokanal” governmentally owned enterprise</w:t>
            </w:r>
          </w:p>
        </w:tc>
        <w:tc>
          <w:tcPr>
            <w:tcW w:w="1411"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color w:val="C00000"/>
                <w:sz w:val="20"/>
                <w:szCs w:val="20"/>
              </w:rPr>
            </w:pPr>
            <w:r w:rsidRPr="00B34880">
              <w:rPr>
                <w:color w:val="C00000"/>
                <w:sz w:val="20"/>
                <w:szCs w:val="20"/>
              </w:rPr>
              <w:t>"</w:t>
            </w:r>
            <w:r w:rsidRPr="00B34880">
              <w:rPr>
                <w:color w:val="C00000"/>
                <w:sz w:val="20"/>
                <w:szCs w:val="20"/>
                <w:lang w:val="en-US"/>
              </w:rPr>
              <w:t>IR</w:t>
            </w:r>
            <w:r w:rsidRPr="00B34880">
              <w:rPr>
                <w:color w:val="C00000"/>
                <w:sz w:val="20"/>
                <w:szCs w:val="20"/>
              </w:rPr>
              <w:t>-</w:t>
            </w:r>
            <w:r w:rsidRPr="00B34880">
              <w:rPr>
                <w:color w:val="C00000"/>
                <w:sz w:val="20"/>
                <w:szCs w:val="20"/>
                <w:lang w:val="en-US"/>
              </w:rPr>
              <w:t>Group</w:t>
            </w:r>
            <w:r w:rsidRPr="00B34880">
              <w:rPr>
                <w:color w:val="C00000"/>
                <w:sz w:val="20"/>
                <w:szCs w:val="20"/>
              </w:rPr>
              <w:t>"</w:t>
            </w:r>
          </w:p>
        </w:tc>
        <w:tc>
          <w:tcPr>
            <w:tcW w:w="1616"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color w:val="C00000"/>
                <w:sz w:val="20"/>
                <w:szCs w:val="20"/>
                <w:lang w:val="en-US"/>
              </w:rPr>
            </w:pPr>
            <w:r w:rsidRPr="00B34880">
              <w:rPr>
                <w:color w:val="C00000"/>
                <w:sz w:val="20"/>
                <w:szCs w:val="20"/>
                <w:lang w:val="en-US"/>
              </w:rPr>
              <w:t>Ust-Kamenogorsk</w:t>
            </w:r>
          </w:p>
        </w:tc>
        <w:tc>
          <w:tcPr>
            <w:tcW w:w="1180" w:type="dxa"/>
            <w:tcBorders>
              <w:top w:val="nil"/>
              <w:left w:val="nil"/>
              <w:bottom w:val="single" w:sz="4" w:space="0" w:color="auto"/>
              <w:right w:val="single" w:sz="4" w:space="0" w:color="auto"/>
            </w:tcBorders>
            <w:shd w:val="clear" w:color="auto" w:fill="auto"/>
            <w:noWrap/>
            <w:vAlign w:val="center"/>
          </w:tcPr>
          <w:p w:rsidR="002A39FE" w:rsidRPr="00B34880" w:rsidRDefault="002A39FE" w:rsidP="002A39FE">
            <w:pPr>
              <w:rPr>
                <w:color w:val="C00000"/>
                <w:sz w:val="20"/>
                <w:szCs w:val="20"/>
              </w:rPr>
            </w:pPr>
            <w:r w:rsidRPr="00B34880">
              <w:rPr>
                <w:color w:val="C00000"/>
                <w:sz w:val="20"/>
                <w:szCs w:val="20"/>
              </w:rPr>
              <w:t>287</w:t>
            </w:r>
          </w:p>
        </w:tc>
        <w:tc>
          <w:tcPr>
            <w:tcW w:w="1373"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color w:val="C00000"/>
                <w:sz w:val="20"/>
                <w:szCs w:val="20"/>
                <w:lang w:val="en-US"/>
              </w:rPr>
            </w:pPr>
            <w:r w:rsidRPr="00B34880">
              <w:rPr>
                <w:color w:val="C00000"/>
                <w:sz w:val="20"/>
                <w:szCs w:val="20"/>
                <w:lang w:val="en-US"/>
              </w:rPr>
              <w:t>Competition</w:t>
            </w:r>
          </w:p>
        </w:tc>
        <w:tc>
          <w:tcPr>
            <w:tcW w:w="1238"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color w:val="C00000"/>
                <w:sz w:val="20"/>
                <w:szCs w:val="20"/>
                <w:lang w:val="en-US"/>
              </w:rPr>
            </w:pPr>
            <w:r w:rsidRPr="00B34880">
              <w:rPr>
                <w:color w:val="C00000"/>
                <w:sz w:val="20"/>
                <w:szCs w:val="20"/>
                <w:lang w:val="en-US"/>
              </w:rPr>
              <w:t>Trust management agreement</w:t>
            </w:r>
          </w:p>
        </w:tc>
        <w:tc>
          <w:tcPr>
            <w:tcW w:w="905" w:type="dxa"/>
            <w:tcBorders>
              <w:top w:val="nil"/>
              <w:left w:val="nil"/>
              <w:bottom w:val="single" w:sz="4" w:space="0" w:color="auto"/>
              <w:right w:val="single" w:sz="4" w:space="0" w:color="auto"/>
            </w:tcBorders>
            <w:shd w:val="clear" w:color="auto" w:fill="auto"/>
            <w:noWrap/>
            <w:vAlign w:val="center"/>
          </w:tcPr>
          <w:p w:rsidR="002A39FE" w:rsidRPr="00B34880" w:rsidRDefault="002A39FE" w:rsidP="002A39FE">
            <w:pPr>
              <w:rPr>
                <w:color w:val="C00000"/>
                <w:sz w:val="20"/>
                <w:szCs w:val="20"/>
              </w:rPr>
            </w:pPr>
            <w:r w:rsidRPr="00B34880">
              <w:rPr>
                <w:color w:val="C00000"/>
                <w:sz w:val="20"/>
                <w:szCs w:val="20"/>
              </w:rPr>
              <w:t>2004</w:t>
            </w:r>
          </w:p>
        </w:tc>
        <w:tc>
          <w:tcPr>
            <w:tcW w:w="1374"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color w:val="C00000"/>
                <w:sz w:val="20"/>
                <w:szCs w:val="20"/>
                <w:lang w:val="en-US"/>
              </w:rPr>
            </w:pPr>
            <w:r w:rsidRPr="00B34880">
              <w:rPr>
                <w:color w:val="C00000"/>
                <w:sz w:val="20"/>
                <w:szCs w:val="20"/>
                <w:lang w:val="en-US"/>
              </w:rPr>
              <w:t>Agreement was early terminated in 2007.</w:t>
            </w:r>
          </w:p>
        </w:tc>
        <w:tc>
          <w:tcPr>
            <w:tcW w:w="1032"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color w:val="C00000"/>
                <w:sz w:val="20"/>
                <w:szCs w:val="20"/>
              </w:rPr>
            </w:pPr>
            <w:r w:rsidRPr="00B34880">
              <w:rPr>
                <w:color w:val="C00000"/>
                <w:sz w:val="20"/>
                <w:szCs w:val="20"/>
              </w:rPr>
              <w:t>25</w:t>
            </w:r>
          </w:p>
        </w:tc>
        <w:tc>
          <w:tcPr>
            <w:tcW w:w="2160"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color w:val="C00000"/>
                <w:sz w:val="20"/>
                <w:szCs w:val="20"/>
              </w:rPr>
            </w:pPr>
            <w:r w:rsidRPr="00B34880">
              <w:rPr>
                <w:color w:val="C00000"/>
                <w:sz w:val="20"/>
                <w:szCs w:val="20"/>
                <w:lang w:val="en-US"/>
              </w:rPr>
              <w:t>n/a</w:t>
            </w:r>
          </w:p>
        </w:tc>
      </w:tr>
      <w:tr w:rsidR="002A39FE" w:rsidRPr="00B34880" w:rsidTr="002A39FE">
        <w:trPr>
          <w:trHeight w:val="765"/>
        </w:trPr>
        <w:tc>
          <w:tcPr>
            <w:tcW w:w="2846" w:type="dxa"/>
            <w:tcBorders>
              <w:top w:val="nil"/>
              <w:left w:val="single" w:sz="4" w:space="0" w:color="auto"/>
              <w:bottom w:val="single" w:sz="4" w:space="0" w:color="auto"/>
              <w:right w:val="single" w:sz="4" w:space="0" w:color="auto"/>
            </w:tcBorders>
            <w:shd w:val="clear" w:color="auto" w:fill="auto"/>
            <w:vAlign w:val="center"/>
          </w:tcPr>
          <w:p w:rsidR="002A39FE" w:rsidRPr="00B34880" w:rsidRDefault="002A39FE" w:rsidP="002A39FE">
            <w:pPr>
              <w:rPr>
                <w:color w:val="C00000"/>
                <w:sz w:val="20"/>
                <w:szCs w:val="20"/>
                <w:lang w:val="en-US"/>
              </w:rPr>
            </w:pPr>
            <w:r w:rsidRPr="00B34880">
              <w:rPr>
                <w:color w:val="C00000"/>
                <w:sz w:val="20"/>
                <w:szCs w:val="20"/>
                <w:lang w:val="en-US"/>
              </w:rPr>
              <w:t>The “Almaty Suy” Joint Venture</w:t>
            </w:r>
          </w:p>
        </w:tc>
        <w:tc>
          <w:tcPr>
            <w:tcW w:w="1411"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color w:val="C00000"/>
                <w:sz w:val="20"/>
                <w:szCs w:val="20"/>
              </w:rPr>
            </w:pPr>
            <w:r w:rsidRPr="00B34880">
              <w:rPr>
                <w:color w:val="C00000"/>
                <w:sz w:val="20"/>
                <w:szCs w:val="20"/>
              </w:rPr>
              <w:t>Vivendi Water</w:t>
            </w:r>
          </w:p>
        </w:tc>
        <w:tc>
          <w:tcPr>
            <w:tcW w:w="1616"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color w:val="C00000"/>
                <w:sz w:val="20"/>
                <w:szCs w:val="20"/>
                <w:lang w:val="en-US"/>
              </w:rPr>
            </w:pPr>
            <w:r w:rsidRPr="00B34880">
              <w:rPr>
                <w:color w:val="C00000"/>
                <w:sz w:val="20"/>
                <w:szCs w:val="20"/>
                <w:lang w:val="en-US"/>
              </w:rPr>
              <w:t>Almaty</w:t>
            </w:r>
          </w:p>
        </w:tc>
        <w:tc>
          <w:tcPr>
            <w:tcW w:w="1180" w:type="dxa"/>
            <w:tcBorders>
              <w:top w:val="nil"/>
              <w:left w:val="nil"/>
              <w:bottom w:val="single" w:sz="4" w:space="0" w:color="auto"/>
              <w:right w:val="single" w:sz="4" w:space="0" w:color="auto"/>
            </w:tcBorders>
            <w:shd w:val="clear" w:color="auto" w:fill="auto"/>
            <w:noWrap/>
            <w:vAlign w:val="center"/>
          </w:tcPr>
          <w:p w:rsidR="002A39FE" w:rsidRPr="00B34880" w:rsidRDefault="002A39FE" w:rsidP="002A39FE">
            <w:pPr>
              <w:rPr>
                <w:color w:val="C00000"/>
                <w:sz w:val="20"/>
                <w:szCs w:val="20"/>
              </w:rPr>
            </w:pPr>
            <w:r w:rsidRPr="00B34880">
              <w:rPr>
                <w:color w:val="C00000"/>
                <w:sz w:val="20"/>
                <w:szCs w:val="20"/>
              </w:rPr>
              <w:t>1200</w:t>
            </w:r>
          </w:p>
        </w:tc>
        <w:tc>
          <w:tcPr>
            <w:tcW w:w="1373"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color w:val="C00000"/>
                <w:sz w:val="20"/>
                <w:szCs w:val="20"/>
              </w:rPr>
            </w:pPr>
            <w:r w:rsidRPr="00B34880">
              <w:rPr>
                <w:color w:val="C00000"/>
                <w:sz w:val="20"/>
                <w:szCs w:val="20"/>
              </w:rPr>
              <w:t> </w:t>
            </w:r>
          </w:p>
        </w:tc>
        <w:tc>
          <w:tcPr>
            <w:tcW w:w="1238"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color w:val="C00000"/>
                <w:sz w:val="20"/>
                <w:szCs w:val="20"/>
                <w:lang w:val="en-US"/>
              </w:rPr>
            </w:pPr>
            <w:r w:rsidRPr="00B34880">
              <w:rPr>
                <w:color w:val="C00000"/>
                <w:sz w:val="20"/>
                <w:szCs w:val="20"/>
                <w:lang w:val="en-US"/>
              </w:rPr>
              <w:t>Concession agreement</w:t>
            </w:r>
          </w:p>
        </w:tc>
        <w:tc>
          <w:tcPr>
            <w:tcW w:w="905" w:type="dxa"/>
            <w:tcBorders>
              <w:top w:val="nil"/>
              <w:left w:val="nil"/>
              <w:bottom w:val="single" w:sz="4" w:space="0" w:color="auto"/>
              <w:right w:val="single" w:sz="4" w:space="0" w:color="auto"/>
            </w:tcBorders>
            <w:shd w:val="clear" w:color="auto" w:fill="auto"/>
            <w:noWrap/>
            <w:vAlign w:val="center"/>
          </w:tcPr>
          <w:p w:rsidR="002A39FE" w:rsidRPr="00B34880" w:rsidRDefault="002A39FE" w:rsidP="002A39FE">
            <w:pPr>
              <w:rPr>
                <w:color w:val="C00000"/>
                <w:sz w:val="20"/>
                <w:szCs w:val="20"/>
              </w:rPr>
            </w:pPr>
            <w:r w:rsidRPr="00B34880">
              <w:rPr>
                <w:color w:val="C00000"/>
                <w:sz w:val="20"/>
                <w:szCs w:val="20"/>
              </w:rPr>
              <w:t>2001</w:t>
            </w:r>
          </w:p>
        </w:tc>
        <w:tc>
          <w:tcPr>
            <w:tcW w:w="1374"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color w:val="C00000"/>
                <w:sz w:val="20"/>
                <w:szCs w:val="20"/>
                <w:lang w:val="en-US"/>
              </w:rPr>
            </w:pPr>
            <w:r w:rsidRPr="00B34880">
              <w:rPr>
                <w:color w:val="C00000"/>
                <w:sz w:val="20"/>
                <w:szCs w:val="20"/>
                <w:lang w:val="en-US"/>
              </w:rPr>
              <w:t>Agreement has been terminated</w:t>
            </w:r>
          </w:p>
        </w:tc>
        <w:tc>
          <w:tcPr>
            <w:tcW w:w="1032"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color w:val="C00000"/>
                <w:sz w:val="20"/>
                <w:szCs w:val="20"/>
              </w:rPr>
            </w:pPr>
            <w:r w:rsidRPr="00B34880">
              <w:rPr>
                <w:color w:val="C00000"/>
                <w:sz w:val="20"/>
                <w:szCs w:val="20"/>
              </w:rPr>
              <w:t>30</w:t>
            </w:r>
          </w:p>
        </w:tc>
        <w:tc>
          <w:tcPr>
            <w:tcW w:w="2160"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color w:val="C00000"/>
                <w:sz w:val="20"/>
                <w:szCs w:val="20"/>
                <w:lang w:val="en-US"/>
              </w:rPr>
            </w:pPr>
            <w:r w:rsidRPr="00B34880">
              <w:rPr>
                <w:color w:val="C00000"/>
                <w:sz w:val="20"/>
                <w:szCs w:val="20"/>
                <w:lang w:val="en-US"/>
              </w:rPr>
              <w:t>Plan: USD 100 million from all sources of funding</w:t>
            </w:r>
          </w:p>
        </w:tc>
      </w:tr>
      <w:tr w:rsidR="002A39FE" w:rsidRPr="00B34880" w:rsidTr="002A39FE">
        <w:trPr>
          <w:trHeight w:val="255"/>
        </w:trPr>
        <w:tc>
          <w:tcPr>
            <w:tcW w:w="15135" w:type="dxa"/>
            <w:gridSpan w:val="10"/>
            <w:tcBorders>
              <w:top w:val="nil"/>
              <w:left w:val="single" w:sz="4" w:space="0" w:color="auto"/>
              <w:bottom w:val="single" w:sz="4" w:space="0" w:color="auto"/>
              <w:right w:val="single" w:sz="4" w:space="0" w:color="auto"/>
            </w:tcBorders>
            <w:shd w:val="clear" w:color="auto" w:fill="auto"/>
            <w:vAlign w:val="center"/>
          </w:tcPr>
          <w:p w:rsidR="002A39FE" w:rsidRPr="00B34880" w:rsidRDefault="002A39FE" w:rsidP="002A39FE">
            <w:pPr>
              <w:rPr>
                <w:b/>
                <w:bCs/>
                <w:sz w:val="20"/>
                <w:szCs w:val="20"/>
                <w:lang w:val="en-US"/>
              </w:rPr>
            </w:pPr>
            <w:r w:rsidRPr="00B34880">
              <w:rPr>
                <w:b/>
                <w:bCs/>
                <w:sz w:val="20"/>
                <w:szCs w:val="20"/>
                <w:lang w:val="en-US"/>
              </w:rPr>
              <w:t>Ukraine</w:t>
            </w:r>
          </w:p>
        </w:tc>
      </w:tr>
      <w:tr w:rsidR="002A39FE" w:rsidRPr="00B34880" w:rsidTr="002A39FE">
        <w:trPr>
          <w:trHeight w:val="1275"/>
        </w:trPr>
        <w:tc>
          <w:tcPr>
            <w:tcW w:w="2846" w:type="dxa"/>
            <w:tcBorders>
              <w:top w:val="nil"/>
              <w:left w:val="single" w:sz="4" w:space="0" w:color="auto"/>
              <w:bottom w:val="single" w:sz="4" w:space="0" w:color="auto"/>
              <w:right w:val="single" w:sz="4" w:space="0" w:color="auto"/>
            </w:tcBorders>
            <w:shd w:val="clear" w:color="auto" w:fill="auto"/>
            <w:vAlign w:val="center"/>
          </w:tcPr>
          <w:p w:rsidR="002A39FE" w:rsidRPr="00B34880" w:rsidRDefault="002A39FE" w:rsidP="002A39FE">
            <w:pPr>
              <w:rPr>
                <w:color w:val="C00000"/>
                <w:sz w:val="20"/>
                <w:szCs w:val="20"/>
                <w:lang w:val="en-US"/>
              </w:rPr>
            </w:pPr>
            <w:r w:rsidRPr="00B34880">
              <w:rPr>
                <w:color w:val="C00000"/>
                <w:sz w:val="20"/>
                <w:szCs w:val="20"/>
                <w:lang w:val="en-US"/>
              </w:rPr>
              <w:t>Infoxvodokanal</w:t>
            </w:r>
          </w:p>
        </w:tc>
        <w:tc>
          <w:tcPr>
            <w:tcW w:w="1411"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color w:val="C00000"/>
                <w:sz w:val="20"/>
                <w:szCs w:val="20"/>
                <w:lang w:val="en-US"/>
              </w:rPr>
            </w:pPr>
            <w:r w:rsidRPr="00B34880">
              <w:rPr>
                <w:color w:val="C00000"/>
                <w:sz w:val="20"/>
                <w:szCs w:val="20"/>
                <w:lang w:val="en-US"/>
              </w:rPr>
              <w:t>Infox,</w:t>
            </w:r>
            <w:r w:rsidRPr="00B34880">
              <w:rPr>
                <w:color w:val="C00000"/>
                <w:sz w:val="20"/>
                <w:szCs w:val="20"/>
              </w:rPr>
              <w:t xml:space="preserve"> </w:t>
            </w:r>
            <w:r w:rsidRPr="00B34880">
              <w:rPr>
                <w:color w:val="C00000"/>
                <w:sz w:val="20"/>
                <w:szCs w:val="20"/>
                <w:lang w:val="en-US"/>
              </w:rPr>
              <w:t>LLC</w:t>
            </w:r>
          </w:p>
        </w:tc>
        <w:tc>
          <w:tcPr>
            <w:tcW w:w="1616"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color w:val="C00000"/>
                <w:sz w:val="20"/>
                <w:szCs w:val="20"/>
                <w:lang w:val="en-US"/>
              </w:rPr>
            </w:pPr>
            <w:r w:rsidRPr="00B34880">
              <w:rPr>
                <w:color w:val="C00000"/>
                <w:sz w:val="20"/>
                <w:szCs w:val="20"/>
                <w:lang w:val="en-US"/>
              </w:rPr>
              <w:t>Odessa</w:t>
            </w:r>
          </w:p>
        </w:tc>
        <w:tc>
          <w:tcPr>
            <w:tcW w:w="1180" w:type="dxa"/>
            <w:tcBorders>
              <w:top w:val="nil"/>
              <w:left w:val="nil"/>
              <w:bottom w:val="single" w:sz="4" w:space="0" w:color="auto"/>
              <w:right w:val="single" w:sz="4" w:space="0" w:color="auto"/>
            </w:tcBorders>
            <w:shd w:val="clear" w:color="auto" w:fill="auto"/>
            <w:noWrap/>
            <w:vAlign w:val="center"/>
          </w:tcPr>
          <w:p w:rsidR="002A39FE" w:rsidRPr="00B34880" w:rsidRDefault="002A39FE" w:rsidP="002A39FE">
            <w:pPr>
              <w:rPr>
                <w:color w:val="C00000"/>
                <w:sz w:val="20"/>
                <w:szCs w:val="20"/>
              </w:rPr>
            </w:pPr>
            <w:r w:rsidRPr="00B34880">
              <w:rPr>
                <w:color w:val="C00000"/>
                <w:sz w:val="20"/>
                <w:szCs w:val="20"/>
              </w:rPr>
              <w:t>1001</w:t>
            </w:r>
          </w:p>
        </w:tc>
        <w:tc>
          <w:tcPr>
            <w:tcW w:w="1373"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color w:val="C00000"/>
                <w:sz w:val="20"/>
                <w:szCs w:val="20"/>
                <w:lang w:val="en-US"/>
              </w:rPr>
            </w:pPr>
            <w:r w:rsidRPr="00B34880">
              <w:rPr>
                <w:color w:val="C00000"/>
                <w:sz w:val="20"/>
                <w:szCs w:val="20"/>
                <w:lang w:val="en-US"/>
              </w:rPr>
              <w:t>Owner’s decision</w:t>
            </w:r>
          </w:p>
        </w:tc>
        <w:tc>
          <w:tcPr>
            <w:tcW w:w="1238"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color w:val="C00000"/>
                <w:sz w:val="20"/>
                <w:szCs w:val="20"/>
              </w:rPr>
            </w:pPr>
            <w:r w:rsidRPr="00B34880">
              <w:rPr>
                <w:color w:val="C00000"/>
                <w:sz w:val="20"/>
                <w:szCs w:val="20"/>
                <w:lang w:val="en-US"/>
              </w:rPr>
              <w:t>Lease agreement</w:t>
            </w:r>
          </w:p>
        </w:tc>
        <w:tc>
          <w:tcPr>
            <w:tcW w:w="905" w:type="dxa"/>
            <w:tcBorders>
              <w:top w:val="nil"/>
              <w:left w:val="nil"/>
              <w:bottom w:val="single" w:sz="4" w:space="0" w:color="auto"/>
              <w:right w:val="single" w:sz="4" w:space="0" w:color="auto"/>
            </w:tcBorders>
            <w:shd w:val="clear" w:color="auto" w:fill="auto"/>
            <w:noWrap/>
            <w:vAlign w:val="center"/>
          </w:tcPr>
          <w:p w:rsidR="002A39FE" w:rsidRPr="00B34880" w:rsidRDefault="002A39FE" w:rsidP="002A39FE">
            <w:pPr>
              <w:rPr>
                <w:color w:val="C00000"/>
                <w:sz w:val="20"/>
                <w:szCs w:val="20"/>
              </w:rPr>
            </w:pPr>
            <w:r w:rsidRPr="00B34880">
              <w:rPr>
                <w:color w:val="C00000"/>
                <w:sz w:val="20"/>
                <w:szCs w:val="20"/>
              </w:rPr>
              <w:t>2004</w:t>
            </w:r>
          </w:p>
        </w:tc>
        <w:tc>
          <w:tcPr>
            <w:tcW w:w="1374"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color w:val="C00000"/>
                <w:sz w:val="20"/>
                <w:szCs w:val="20"/>
                <w:lang w:val="en-US"/>
              </w:rPr>
            </w:pPr>
            <w:r w:rsidRPr="00B34880">
              <w:rPr>
                <w:color w:val="C00000"/>
                <w:sz w:val="20"/>
                <w:szCs w:val="20"/>
                <w:lang w:val="en-US"/>
              </w:rPr>
              <w:t>Agreement was early terminated in 2008.</w:t>
            </w:r>
          </w:p>
        </w:tc>
        <w:tc>
          <w:tcPr>
            <w:tcW w:w="1032"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color w:val="C00000"/>
                <w:sz w:val="20"/>
                <w:szCs w:val="20"/>
              </w:rPr>
            </w:pPr>
            <w:r w:rsidRPr="00B34880">
              <w:rPr>
                <w:color w:val="C00000"/>
                <w:sz w:val="20"/>
                <w:szCs w:val="20"/>
              </w:rPr>
              <w:t>49</w:t>
            </w:r>
          </w:p>
        </w:tc>
        <w:tc>
          <w:tcPr>
            <w:tcW w:w="2160"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color w:val="C00000"/>
                <w:sz w:val="20"/>
                <w:szCs w:val="20"/>
                <w:lang w:val="en-US"/>
              </w:rPr>
            </w:pPr>
            <w:r w:rsidRPr="00B34880">
              <w:rPr>
                <w:color w:val="C00000"/>
                <w:sz w:val="20"/>
                <w:szCs w:val="20"/>
                <w:lang w:val="en-US"/>
              </w:rPr>
              <w:t>Plan: Euro 44 million during the agreement validity period, including Euro 19 million in 2006-2008</w:t>
            </w:r>
            <w:r w:rsidRPr="00B34880">
              <w:rPr>
                <w:color w:val="C00000"/>
                <w:sz w:val="20"/>
                <w:szCs w:val="20"/>
                <w:lang w:val="en-US"/>
              </w:rPr>
              <w:br/>
              <w:t>Fact: Euro 9 million in 2006-2008 (47% of planned investment)</w:t>
            </w:r>
          </w:p>
        </w:tc>
      </w:tr>
      <w:tr w:rsidR="002A39FE" w:rsidRPr="00B34880" w:rsidTr="002A39FE">
        <w:trPr>
          <w:trHeight w:val="510"/>
        </w:trPr>
        <w:tc>
          <w:tcPr>
            <w:tcW w:w="2846" w:type="dxa"/>
            <w:tcBorders>
              <w:top w:val="nil"/>
              <w:left w:val="single" w:sz="4" w:space="0" w:color="auto"/>
              <w:bottom w:val="single" w:sz="4" w:space="0" w:color="auto"/>
              <w:right w:val="single" w:sz="4" w:space="0" w:color="auto"/>
            </w:tcBorders>
            <w:shd w:val="clear" w:color="auto" w:fill="auto"/>
            <w:vAlign w:val="center"/>
          </w:tcPr>
          <w:p w:rsidR="002A39FE" w:rsidRPr="00B34880" w:rsidRDefault="002A39FE" w:rsidP="002A39FE">
            <w:pPr>
              <w:rPr>
                <w:color w:val="C00000"/>
                <w:sz w:val="20"/>
                <w:szCs w:val="20"/>
              </w:rPr>
            </w:pPr>
            <w:r w:rsidRPr="00B34880">
              <w:rPr>
                <w:color w:val="C00000"/>
                <w:sz w:val="20"/>
                <w:szCs w:val="20"/>
                <w:lang w:val="en-US"/>
              </w:rPr>
              <w:t>Water Services, LLC</w:t>
            </w:r>
          </w:p>
        </w:tc>
        <w:tc>
          <w:tcPr>
            <w:tcW w:w="1411"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color w:val="C00000"/>
                <w:sz w:val="20"/>
                <w:szCs w:val="20"/>
                <w:lang w:val="en-US"/>
              </w:rPr>
            </w:pPr>
            <w:r w:rsidRPr="00B34880">
              <w:rPr>
                <w:color w:val="C00000"/>
                <w:sz w:val="20"/>
                <w:szCs w:val="20"/>
                <w:lang w:val="en-US"/>
              </w:rPr>
              <w:t>Water Services, LLC</w:t>
            </w:r>
          </w:p>
        </w:tc>
        <w:tc>
          <w:tcPr>
            <w:tcW w:w="1616"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color w:val="C00000"/>
                <w:sz w:val="20"/>
                <w:szCs w:val="20"/>
              </w:rPr>
            </w:pPr>
            <w:r w:rsidRPr="00B34880">
              <w:rPr>
                <w:color w:val="C00000"/>
                <w:sz w:val="20"/>
                <w:szCs w:val="20"/>
                <w:lang w:val="en-US"/>
              </w:rPr>
              <w:t>Kirovograd</w:t>
            </w:r>
          </w:p>
        </w:tc>
        <w:tc>
          <w:tcPr>
            <w:tcW w:w="1180" w:type="dxa"/>
            <w:tcBorders>
              <w:top w:val="nil"/>
              <w:left w:val="nil"/>
              <w:bottom w:val="single" w:sz="4" w:space="0" w:color="auto"/>
              <w:right w:val="single" w:sz="4" w:space="0" w:color="auto"/>
            </w:tcBorders>
            <w:shd w:val="clear" w:color="auto" w:fill="auto"/>
            <w:noWrap/>
            <w:vAlign w:val="center"/>
          </w:tcPr>
          <w:p w:rsidR="002A39FE" w:rsidRPr="00B34880" w:rsidRDefault="002A39FE" w:rsidP="002A39FE">
            <w:pPr>
              <w:rPr>
                <w:color w:val="C00000"/>
                <w:sz w:val="20"/>
                <w:szCs w:val="20"/>
              </w:rPr>
            </w:pPr>
            <w:r w:rsidRPr="00B34880">
              <w:rPr>
                <w:color w:val="C00000"/>
                <w:sz w:val="20"/>
                <w:szCs w:val="20"/>
              </w:rPr>
              <w:t>258</w:t>
            </w:r>
          </w:p>
        </w:tc>
        <w:tc>
          <w:tcPr>
            <w:tcW w:w="1373"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color w:val="C00000"/>
                <w:sz w:val="20"/>
                <w:szCs w:val="20"/>
              </w:rPr>
            </w:pPr>
            <w:r w:rsidRPr="00B34880">
              <w:rPr>
                <w:color w:val="C00000"/>
                <w:sz w:val="20"/>
                <w:szCs w:val="20"/>
                <w:lang w:val="en-US"/>
              </w:rPr>
              <w:t>Owner</w:t>
            </w:r>
            <w:r w:rsidRPr="00B34880">
              <w:rPr>
                <w:color w:val="C00000"/>
                <w:sz w:val="20"/>
                <w:szCs w:val="20"/>
              </w:rPr>
              <w:t>’</w:t>
            </w:r>
            <w:r w:rsidRPr="00B34880">
              <w:rPr>
                <w:color w:val="C00000"/>
                <w:sz w:val="20"/>
                <w:szCs w:val="20"/>
                <w:lang w:val="en-US"/>
              </w:rPr>
              <w:t>s</w:t>
            </w:r>
            <w:r w:rsidRPr="00B34880">
              <w:rPr>
                <w:color w:val="C00000"/>
                <w:sz w:val="20"/>
                <w:szCs w:val="20"/>
              </w:rPr>
              <w:t xml:space="preserve"> </w:t>
            </w:r>
            <w:r w:rsidRPr="00B34880">
              <w:rPr>
                <w:color w:val="C00000"/>
                <w:sz w:val="20"/>
                <w:szCs w:val="20"/>
                <w:lang w:val="en-US"/>
              </w:rPr>
              <w:t>decision</w:t>
            </w:r>
          </w:p>
        </w:tc>
        <w:tc>
          <w:tcPr>
            <w:tcW w:w="1238"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color w:val="C00000"/>
                <w:sz w:val="20"/>
                <w:szCs w:val="20"/>
              </w:rPr>
            </w:pPr>
            <w:r w:rsidRPr="00B34880">
              <w:rPr>
                <w:color w:val="C00000"/>
                <w:sz w:val="20"/>
                <w:szCs w:val="20"/>
                <w:lang w:val="en-US"/>
              </w:rPr>
              <w:t>Lease</w:t>
            </w:r>
            <w:r w:rsidRPr="00B34880">
              <w:rPr>
                <w:color w:val="C00000"/>
                <w:sz w:val="20"/>
                <w:szCs w:val="20"/>
              </w:rPr>
              <w:t xml:space="preserve"> </w:t>
            </w:r>
            <w:r w:rsidRPr="00B34880">
              <w:rPr>
                <w:color w:val="C00000"/>
                <w:sz w:val="20"/>
                <w:szCs w:val="20"/>
                <w:lang w:val="en-US"/>
              </w:rPr>
              <w:t>agreement</w:t>
            </w:r>
          </w:p>
        </w:tc>
        <w:tc>
          <w:tcPr>
            <w:tcW w:w="905" w:type="dxa"/>
            <w:tcBorders>
              <w:top w:val="nil"/>
              <w:left w:val="nil"/>
              <w:bottom w:val="single" w:sz="4" w:space="0" w:color="auto"/>
              <w:right w:val="single" w:sz="4" w:space="0" w:color="auto"/>
            </w:tcBorders>
            <w:shd w:val="clear" w:color="auto" w:fill="auto"/>
            <w:noWrap/>
            <w:vAlign w:val="center"/>
          </w:tcPr>
          <w:p w:rsidR="002A39FE" w:rsidRPr="00B34880" w:rsidRDefault="002A39FE" w:rsidP="002A39FE">
            <w:pPr>
              <w:rPr>
                <w:color w:val="C00000"/>
                <w:sz w:val="20"/>
                <w:szCs w:val="20"/>
              </w:rPr>
            </w:pPr>
            <w:r w:rsidRPr="00B34880">
              <w:rPr>
                <w:color w:val="C00000"/>
                <w:sz w:val="20"/>
                <w:szCs w:val="20"/>
              </w:rPr>
              <w:t>2006</w:t>
            </w:r>
          </w:p>
        </w:tc>
        <w:tc>
          <w:tcPr>
            <w:tcW w:w="1374"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color w:val="C00000"/>
                <w:sz w:val="20"/>
                <w:szCs w:val="20"/>
                <w:lang w:val="en-US"/>
              </w:rPr>
            </w:pPr>
            <w:r w:rsidRPr="00B34880">
              <w:rPr>
                <w:color w:val="C00000"/>
                <w:sz w:val="20"/>
                <w:szCs w:val="20"/>
                <w:lang w:val="en-US"/>
              </w:rPr>
              <w:t>Agreement was early terminated in 2008.</w:t>
            </w:r>
          </w:p>
        </w:tc>
        <w:tc>
          <w:tcPr>
            <w:tcW w:w="1032"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color w:val="C00000"/>
                <w:sz w:val="20"/>
                <w:szCs w:val="20"/>
              </w:rPr>
            </w:pPr>
            <w:r w:rsidRPr="00B34880">
              <w:rPr>
                <w:color w:val="C00000"/>
                <w:sz w:val="20"/>
                <w:szCs w:val="20"/>
              </w:rPr>
              <w:t>49</w:t>
            </w:r>
          </w:p>
        </w:tc>
        <w:tc>
          <w:tcPr>
            <w:tcW w:w="2160"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color w:val="C00000"/>
                <w:sz w:val="20"/>
                <w:szCs w:val="20"/>
              </w:rPr>
            </w:pPr>
            <w:r w:rsidRPr="00B34880">
              <w:rPr>
                <w:color w:val="C00000"/>
                <w:sz w:val="20"/>
                <w:szCs w:val="20"/>
                <w:lang w:val="en-US"/>
              </w:rPr>
              <w:t>n/a</w:t>
            </w:r>
          </w:p>
        </w:tc>
      </w:tr>
      <w:tr w:rsidR="002A39FE" w:rsidRPr="00B34880" w:rsidTr="002A39FE">
        <w:trPr>
          <w:trHeight w:val="510"/>
        </w:trPr>
        <w:tc>
          <w:tcPr>
            <w:tcW w:w="2846" w:type="dxa"/>
            <w:tcBorders>
              <w:top w:val="nil"/>
              <w:left w:val="single" w:sz="4" w:space="0" w:color="auto"/>
              <w:bottom w:val="single" w:sz="4" w:space="0" w:color="auto"/>
              <w:right w:val="single" w:sz="4" w:space="0" w:color="auto"/>
            </w:tcBorders>
            <w:shd w:val="clear" w:color="auto" w:fill="auto"/>
            <w:vAlign w:val="center"/>
          </w:tcPr>
          <w:p w:rsidR="002A39FE" w:rsidRPr="00B34880" w:rsidRDefault="002A39FE" w:rsidP="002A39FE">
            <w:pPr>
              <w:rPr>
                <w:sz w:val="20"/>
                <w:szCs w:val="20"/>
                <w:lang w:val="en-US"/>
              </w:rPr>
            </w:pPr>
            <w:r w:rsidRPr="00B34880">
              <w:rPr>
                <w:sz w:val="20"/>
                <w:szCs w:val="20"/>
                <w:lang w:val="en-US"/>
              </w:rPr>
              <w:t>Lugansk Water Company, LLC</w:t>
            </w:r>
          </w:p>
        </w:tc>
        <w:tc>
          <w:tcPr>
            <w:tcW w:w="1411"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sz w:val="20"/>
                <w:szCs w:val="20"/>
                <w:lang w:val="en-US"/>
              </w:rPr>
            </w:pPr>
            <w:r w:rsidRPr="00B34880">
              <w:rPr>
                <w:sz w:val="20"/>
                <w:szCs w:val="20"/>
                <w:lang w:val="en-US"/>
              </w:rPr>
              <w:t>Rosvodokanal, LLC</w:t>
            </w:r>
          </w:p>
        </w:tc>
        <w:tc>
          <w:tcPr>
            <w:tcW w:w="1616"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sz w:val="20"/>
                <w:szCs w:val="20"/>
                <w:lang w:val="en-US"/>
              </w:rPr>
            </w:pPr>
            <w:r w:rsidRPr="00B34880">
              <w:rPr>
                <w:sz w:val="20"/>
                <w:szCs w:val="20"/>
                <w:lang w:val="en-US"/>
              </w:rPr>
              <w:t>Lugansk Oblast</w:t>
            </w:r>
          </w:p>
        </w:tc>
        <w:tc>
          <w:tcPr>
            <w:tcW w:w="1180" w:type="dxa"/>
            <w:tcBorders>
              <w:top w:val="nil"/>
              <w:left w:val="nil"/>
              <w:bottom w:val="single" w:sz="4" w:space="0" w:color="auto"/>
              <w:right w:val="single" w:sz="4" w:space="0" w:color="auto"/>
            </w:tcBorders>
            <w:shd w:val="clear" w:color="auto" w:fill="auto"/>
            <w:noWrap/>
            <w:vAlign w:val="center"/>
          </w:tcPr>
          <w:p w:rsidR="002A39FE" w:rsidRPr="00B34880" w:rsidRDefault="002A39FE" w:rsidP="002A39FE">
            <w:pPr>
              <w:rPr>
                <w:sz w:val="20"/>
                <w:szCs w:val="20"/>
              </w:rPr>
            </w:pPr>
            <w:r w:rsidRPr="00B34880">
              <w:rPr>
                <w:sz w:val="20"/>
                <w:szCs w:val="20"/>
              </w:rPr>
              <w:t>2409</w:t>
            </w:r>
          </w:p>
        </w:tc>
        <w:tc>
          <w:tcPr>
            <w:tcW w:w="1373"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sz w:val="20"/>
                <w:szCs w:val="20"/>
                <w:lang w:val="en-US"/>
              </w:rPr>
            </w:pPr>
            <w:r w:rsidRPr="00B34880">
              <w:rPr>
                <w:sz w:val="20"/>
                <w:szCs w:val="20"/>
                <w:lang w:val="en-US"/>
              </w:rPr>
              <w:t>Competition</w:t>
            </w:r>
          </w:p>
        </w:tc>
        <w:tc>
          <w:tcPr>
            <w:tcW w:w="1238"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sz w:val="20"/>
                <w:szCs w:val="20"/>
                <w:lang w:val="en-US"/>
              </w:rPr>
            </w:pPr>
            <w:r w:rsidRPr="00B34880">
              <w:rPr>
                <w:sz w:val="20"/>
                <w:szCs w:val="20"/>
                <w:lang w:val="en-US"/>
              </w:rPr>
              <w:t>Concession agreement</w:t>
            </w:r>
          </w:p>
        </w:tc>
        <w:tc>
          <w:tcPr>
            <w:tcW w:w="905" w:type="dxa"/>
            <w:tcBorders>
              <w:top w:val="nil"/>
              <w:left w:val="nil"/>
              <w:bottom w:val="single" w:sz="4" w:space="0" w:color="auto"/>
              <w:right w:val="single" w:sz="4" w:space="0" w:color="auto"/>
            </w:tcBorders>
            <w:shd w:val="clear" w:color="auto" w:fill="auto"/>
            <w:noWrap/>
            <w:vAlign w:val="center"/>
          </w:tcPr>
          <w:p w:rsidR="002A39FE" w:rsidRPr="00B34880" w:rsidRDefault="002A39FE" w:rsidP="002A39FE">
            <w:pPr>
              <w:rPr>
                <w:sz w:val="20"/>
                <w:szCs w:val="20"/>
              </w:rPr>
            </w:pPr>
            <w:r w:rsidRPr="00B34880">
              <w:rPr>
                <w:sz w:val="20"/>
                <w:szCs w:val="20"/>
              </w:rPr>
              <w:t>2008</w:t>
            </w:r>
          </w:p>
        </w:tc>
        <w:tc>
          <w:tcPr>
            <w:tcW w:w="1374"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sz w:val="20"/>
                <w:szCs w:val="20"/>
              </w:rPr>
            </w:pPr>
            <w:r w:rsidRPr="00B34880">
              <w:rPr>
                <w:sz w:val="20"/>
                <w:szCs w:val="20"/>
              </w:rPr>
              <w:t>2033</w:t>
            </w:r>
          </w:p>
        </w:tc>
        <w:tc>
          <w:tcPr>
            <w:tcW w:w="1032"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sz w:val="20"/>
                <w:szCs w:val="20"/>
              </w:rPr>
            </w:pPr>
            <w:r w:rsidRPr="00B34880">
              <w:rPr>
                <w:sz w:val="20"/>
                <w:szCs w:val="20"/>
              </w:rPr>
              <w:t>25</w:t>
            </w:r>
          </w:p>
        </w:tc>
        <w:tc>
          <w:tcPr>
            <w:tcW w:w="2160"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sz w:val="20"/>
                <w:szCs w:val="20"/>
              </w:rPr>
            </w:pPr>
            <w:r w:rsidRPr="00B34880">
              <w:rPr>
                <w:sz w:val="20"/>
                <w:szCs w:val="20"/>
                <w:lang w:val="en-US"/>
              </w:rPr>
              <w:t>n/a</w:t>
            </w:r>
          </w:p>
        </w:tc>
      </w:tr>
      <w:tr w:rsidR="002A39FE" w:rsidRPr="00B34880" w:rsidTr="002A39FE">
        <w:trPr>
          <w:trHeight w:val="255"/>
        </w:trPr>
        <w:tc>
          <w:tcPr>
            <w:tcW w:w="15135"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rsidR="002A39FE" w:rsidRPr="00B34880" w:rsidRDefault="002A39FE" w:rsidP="002A39FE">
            <w:pPr>
              <w:rPr>
                <w:b/>
                <w:bCs/>
                <w:sz w:val="20"/>
                <w:szCs w:val="20"/>
                <w:lang w:val="en-US"/>
              </w:rPr>
            </w:pPr>
            <w:r w:rsidRPr="00B34880">
              <w:rPr>
                <w:b/>
                <w:bCs/>
                <w:sz w:val="20"/>
                <w:szCs w:val="20"/>
                <w:lang w:val="en-US"/>
              </w:rPr>
              <w:t>Kyrgyzstan</w:t>
            </w:r>
          </w:p>
        </w:tc>
      </w:tr>
      <w:tr w:rsidR="002A39FE" w:rsidRPr="00B34880" w:rsidTr="002A39FE">
        <w:trPr>
          <w:trHeight w:val="510"/>
        </w:trPr>
        <w:tc>
          <w:tcPr>
            <w:tcW w:w="2846" w:type="dxa"/>
            <w:tcBorders>
              <w:top w:val="nil"/>
              <w:left w:val="single" w:sz="4" w:space="0" w:color="auto"/>
              <w:bottom w:val="single" w:sz="4" w:space="0" w:color="auto"/>
              <w:right w:val="single" w:sz="4" w:space="0" w:color="auto"/>
            </w:tcBorders>
            <w:shd w:val="clear" w:color="auto" w:fill="auto"/>
            <w:vAlign w:val="center"/>
          </w:tcPr>
          <w:p w:rsidR="002A39FE" w:rsidRPr="00B34880" w:rsidRDefault="002A39FE" w:rsidP="002A39FE">
            <w:pPr>
              <w:rPr>
                <w:sz w:val="20"/>
                <w:szCs w:val="20"/>
                <w:lang w:val="en-US"/>
              </w:rPr>
            </w:pPr>
            <w:r w:rsidRPr="00B34880">
              <w:rPr>
                <w:sz w:val="20"/>
                <w:szCs w:val="20"/>
                <w:lang w:val="en-US"/>
              </w:rPr>
              <w:t>The City of Kant Vodokanal</w:t>
            </w:r>
          </w:p>
        </w:tc>
        <w:tc>
          <w:tcPr>
            <w:tcW w:w="1411"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sz w:val="20"/>
                <w:szCs w:val="20"/>
                <w:lang w:val="en-US"/>
              </w:rPr>
            </w:pPr>
            <w:r w:rsidRPr="00B34880">
              <w:rPr>
                <w:sz w:val="20"/>
                <w:szCs w:val="20"/>
              </w:rPr>
              <w:t xml:space="preserve">ООО </w:t>
            </w:r>
            <w:r w:rsidRPr="00B34880">
              <w:rPr>
                <w:sz w:val="20"/>
                <w:szCs w:val="20"/>
                <w:lang w:val="en-US"/>
              </w:rPr>
              <w:t>“Marketing</w:t>
            </w:r>
            <w:r w:rsidRPr="00B34880">
              <w:rPr>
                <w:sz w:val="20"/>
                <w:szCs w:val="20"/>
              </w:rPr>
              <w:t>-</w:t>
            </w:r>
            <w:r w:rsidRPr="00B34880">
              <w:rPr>
                <w:sz w:val="20"/>
                <w:szCs w:val="20"/>
                <w:lang w:val="en-US"/>
              </w:rPr>
              <w:t>Service”</w:t>
            </w:r>
          </w:p>
        </w:tc>
        <w:tc>
          <w:tcPr>
            <w:tcW w:w="1616"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sz w:val="20"/>
                <w:szCs w:val="20"/>
                <w:lang w:val="en-US"/>
              </w:rPr>
            </w:pPr>
            <w:r w:rsidRPr="00B34880">
              <w:rPr>
                <w:sz w:val="20"/>
                <w:szCs w:val="20"/>
                <w:lang w:val="en-US"/>
              </w:rPr>
              <w:t>Kant</w:t>
            </w:r>
          </w:p>
        </w:tc>
        <w:tc>
          <w:tcPr>
            <w:tcW w:w="1180" w:type="dxa"/>
            <w:tcBorders>
              <w:top w:val="nil"/>
              <w:left w:val="nil"/>
              <w:bottom w:val="single" w:sz="4" w:space="0" w:color="auto"/>
              <w:right w:val="single" w:sz="4" w:space="0" w:color="auto"/>
            </w:tcBorders>
            <w:shd w:val="clear" w:color="auto" w:fill="auto"/>
            <w:noWrap/>
            <w:vAlign w:val="center"/>
          </w:tcPr>
          <w:p w:rsidR="002A39FE" w:rsidRPr="00B34880" w:rsidRDefault="002A39FE" w:rsidP="002A39FE">
            <w:pPr>
              <w:rPr>
                <w:sz w:val="20"/>
                <w:szCs w:val="20"/>
              </w:rPr>
            </w:pPr>
            <w:r w:rsidRPr="00B34880">
              <w:rPr>
                <w:sz w:val="20"/>
                <w:szCs w:val="20"/>
              </w:rPr>
              <w:t>23</w:t>
            </w:r>
          </w:p>
        </w:tc>
        <w:tc>
          <w:tcPr>
            <w:tcW w:w="1373"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sz w:val="20"/>
                <w:szCs w:val="20"/>
              </w:rPr>
            </w:pPr>
            <w:r w:rsidRPr="00B34880">
              <w:rPr>
                <w:sz w:val="20"/>
                <w:szCs w:val="20"/>
                <w:lang w:val="en-US"/>
              </w:rPr>
              <w:t>Owner’s decision</w:t>
            </w:r>
          </w:p>
        </w:tc>
        <w:tc>
          <w:tcPr>
            <w:tcW w:w="1238"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sz w:val="20"/>
                <w:szCs w:val="20"/>
                <w:lang w:val="en-US"/>
              </w:rPr>
            </w:pPr>
            <w:r w:rsidRPr="00B34880">
              <w:rPr>
                <w:sz w:val="20"/>
                <w:szCs w:val="20"/>
                <w:lang w:val="en-US"/>
              </w:rPr>
              <w:t>Lease agreement</w:t>
            </w:r>
          </w:p>
        </w:tc>
        <w:tc>
          <w:tcPr>
            <w:tcW w:w="905" w:type="dxa"/>
            <w:tcBorders>
              <w:top w:val="nil"/>
              <w:left w:val="nil"/>
              <w:bottom w:val="single" w:sz="4" w:space="0" w:color="auto"/>
              <w:right w:val="single" w:sz="4" w:space="0" w:color="auto"/>
            </w:tcBorders>
            <w:shd w:val="clear" w:color="auto" w:fill="auto"/>
            <w:noWrap/>
            <w:vAlign w:val="center"/>
          </w:tcPr>
          <w:p w:rsidR="002A39FE" w:rsidRPr="00B34880" w:rsidRDefault="002A39FE" w:rsidP="002A39FE">
            <w:pPr>
              <w:rPr>
                <w:sz w:val="20"/>
                <w:szCs w:val="20"/>
              </w:rPr>
            </w:pPr>
            <w:r w:rsidRPr="00B34880">
              <w:rPr>
                <w:sz w:val="20"/>
                <w:szCs w:val="20"/>
              </w:rPr>
              <w:t>2007</w:t>
            </w:r>
          </w:p>
        </w:tc>
        <w:tc>
          <w:tcPr>
            <w:tcW w:w="1374"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sz w:val="20"/>
                <w:szCs w:val="20"/>
              </w:rPr>
            </w:pPr>
            <w:r w:rsidRPr="00B34880">
              <w:rPr>
                <w:sz w:val="20"/>
                <w:szCs w:val="20"/>
              </w:rPr>
              <w:t>2007</w:t>
            </w:r>
          </w:p>
        </w:tc>
        <w:tc>
          <w:tcPr>
            <w:tcW w:w="1032"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sz w:val="20"/>
                <w:szCs w:val="20"/>
              </w:rPr>
            </w:pPr>
            <w:r w:rsidRPr="00B34880">
              <w:rPr>
                <w:sz w:val="20"/>
                <w:szCs w:val="20"/>
              </w:rPr>
              <w:t>3</w:t>
            </w:r>
          </w:p>
        </w:tc>
        <w:tc>
          <w:tcPr>
            <w:tcW w:w="2160"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sz w:val="20"/>
                <w:szCs w:val="20"/>
              </w:rPr>
            </w:pPr>
            <w:r w:rsidRPr="00B34880">
              <w:rPr>
                <w:sz w:val="20"/>
                <w:szCs w:val="20"/>
                <w:lang w:val="en-US"/>
              </w:rPr>
              <w:t>n/a</w:t>
            </w:r>
          </w:p>
        </w:tc>
      </w:tr>
      <w:tr w:rsidR="002A39FE" w:rsidRPr="00B34880" w:rsidTr="002A39FE">
        <w:trPr>
          <w:trHeight w:val="255"/>
        </w:trPr>
        <w:tc>
          <w:tcPr>
            <w:tcW w:w="15135"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rsidR="002A39FE" w:rsidRPr="00B34880" w:rsidRDefault="002A39FE" w:rsidP="002A39FE">
            <w:pPr>
              <w:rPr>
                <w:b/>
                <w:bCs/>
                <w:sz w:val="20"/>
                <w:szCs w:val="20"/>
                <w:lang w:val="en-US"/>
              </w:rPr>
            </w:pPr>
            <w:r w:rsidRPr="00B34880">
              <w:rPr>
                <w:b/>
                <w:bCs/>
                <w:sz w:val="20"/>
                <w:szCs w:val="20"/>
                <w:lang w:val="en-US"/>
              </w:rPr>
              <w:t>Uzbekistan</w:t>
            </w:r>
          </w:p>
        </w:tc>
      </w:tr>
      <w:tr w:rsidR="002A39FE" w:rsidRPr="00B34880" w:rsidTr="002A39FE">
        <w:trPr>
          <w:trHeight w:val="510"/>
        </w:trPr>
        <w:tc>
          <w:tcPr>
            <w:tcW w:w="2846" w:type="dxa"/>
            <w:tcBorders>
              <w:top w:val="nil"/>
              <w:left w:val="single" w:sz="4" w:space="0" w:color="auto"/>
              <w:bottom w:val="single" w:sz="4" w:space="0" w:color="auto"/>
              <w:right w:val="single" w:sz="4" w:space="0" w:color="auto"/>
            </w:tcBorders>
            <w:shd w:val="clear" w:color="auto" w:fill="auto"/>
            <w:vAlign w:val="center"/>
          </w:tcPr>
          <w:p w:rsidR="002A39FE" w:rsidRPr="00B34880" w:rsidRDefault="002A39FE" w:rsidP="002A39FE">
            <w:pPr>
              <w:rPr>
                <w:color w:val="C00000"/>
                <w:sz w:val="20"/>
                <w:szCs w:val="20"/>
                <w:lang w:val="en-US"/>
              </w:rPr>
            </w:pPr>
            <w:r w:rsidRPr="00B34880">
              <w:rPr>
                <w:color w:val="C00000"/>
                <w:sz w:val="20"/>
                <w:szCs w:val="20"/>
                <w:lang w:val="en-US"/>
              </w:rPr>
              <w:t>The “Suvokova” Bukhara city industrial state enterprise</w:t>
            </w:r>
          </w:p>
        </w:tc>
        <w:tc>
          <w:tcPr>
            <w:tcW w:w="1411" w:type="dxa"/>
            <w:vMerge w:val="restart"/>
            <w:tcBorders>
              <w:top w:val="nil"/>
              <w:left w:val="single" w:sz="4" w:space="0" w:color="auto"/>
              <w:bottom w:val="single" w:sz="4" w:space="0" w:color="auto"/>
              <w:right w:val="single" w:sz="4" w:space="0" w:color="auto"/>
            </w:tcBorders>
            <w:shd w:val="clear" w:color="auto" w:fill="auto"/>
            <w:vAlign w:val="center"/>
          </w:tcPr>
          <w:p w:rsidR="002A39FE" w:rsidRPr="00B34880" w:rsidRDefault="002A39FE" w:rsidP="002A39FE">
            <w:pPr>
              <w:rPr>
                <w:color w:val="C00000"/>
                <w:sz w:val="20"/>
                <w:szCs w:val="20"/>
              </w:rPr>
            </w:pPr>
            <w:r w:rsidRPr="00B34880">
              <w:rPr>
                <w:color w:val="C00000"/>
                <w:sz w:val="20"/>
                <w:szCs w:val="20"/>
              </w:rPr>
              <w:t>Veolia Water</w:t>
            </w:r>
          </w:p>
        </w:tc>
        <w:tc>
          <w:tcPr>
            <w:tcW w:w="1616"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color w:val="C00000"/>
                <w:sz w:val="20"/>
                <w:szCs w:val="20"/>
                <w:lang w:val="en-US"/>
              </w:rPr>
            </w:pPr>
            <w:r w:rsidRPr="00B34880">
              <w:rPr>
                <w:color w:val="C00000"/>
                <w:sz w:val="20"/>
                <w:szCs w:val="20"/>
                <w:lang w:val="en-US"/>
              </w:rPr>
              <w:t>Bukhara</w:t>
            </w:r>
          </w:p>
        </w:tc>
        <w:tc>
          <w:tcPr>
            <w:tcW w:w="1180" w:type="dxa"/>
            <w:tcBorders>
              <w:top w:val="nil"/>
              <w:left w:val="nil"/>
              <w:bottom w:val="single" w:sz="4" w:space="0" w:color="auto"/>
              <w:right w:val="single" w:sz="4" w:space="0" w:color="auto"/>
            </w:tcBorders>
            <w:shd w:val="clear" w:color="auto" w:fill="auto"/>
            <w:noWrap/>
            <w:vAlign w:val="center"/>
          </w:tcPr>
          <w:p w:rsidR="002A39FE" w:rsidRPr="00B34880" w:rsidRDefault="002A39FE" w:rsidP="002A39FE">
            <w:pPr>
              <w:rPr>
                <w:color w:val="C00000"/>
                <w:sz w:val="20"/>
                <w:szCs w:val="20"/>
              </w:rPr>
            </w:pPr>
            <w:r w:rsidRPr="00B34880">
              <w:rPr>
                <w:color w:val="C00000"/>
                <w:sz w:val="20"/>
                <w:szCs w:val="20"/>
              </w:rPr>
              <w:t>247</w:t>
            </w:r>
          </w:p>
        </w:tc>
        <w:tc>
          <w:tcPr>
            <w:tcW w:w="1373" w:type="dxa"/>
            <w:vMerge w:val="restart"/>
            <w:tcBorders>
              <w:top w:val="nil"/>
              <w:left w:val="single" w:sz="4" w:space="0" w:color="auto"/>
              <w:bottom w:val="single" w:sz="4" w:space="0" w:color="auto"/>
              <w:right w:val="single" w:sz="4" w:space="0" w:color="auto"/>
            </w:tcBorders>
            <w:shd w:val="clear" w:color="auto" w:fill="auto"/>
            <w:vAlign w:val="center"/>
          </w:tcPr>
          <w:p w:rsidR="002A39FE" w:rsidRPr="00B34880" w:rsidRDefault="002A39FE" w:rsidP="002A39FE">
            <w:pPr>
              <w:rPr>
                <w:color w:val="C00000"/>
                <w:sz w:val="20"/>
                <w:szCs w:val="20"/>
              </w:rPr>
            </w:pPr>
            <w:r w:rsidRPr="00B34880">
              <w:rPr>
                <w:color w:val="C00000"/>
                <w:sz w:val="20"/>
                <w:szCs w:val="20"/>
                <w:lang w:val="en-US"/>
              </w:rPr>
              <w:t>Competition</w:t>
            </w:r>
          </w:p>
        </w:tc>
        <w:tc>
          <w:tcPr>
            <w:tcW w:w="1238" w:type="dxa"/>
            <w:vMerge w:val="restart"/>
            <w:tcBorders>
              <w:top w:val="nil"/>
              <w:left w:val="single" w:sz="4" w:space="0" w:color="auto"/>
              <w:bottom w:val="single" w:sz="4" w:space="0" w:color="auto"/>
              <w:right w:val="single" w:sz="4" w:space="0" w:color="auto"/>
            </w:tcBorders>
            <w:shd w:val="clear" w:color="auto" w:fill="auto"/>
            <w:vAlign w:val="center"/>
          </w:tcPr>
          <w:p w:rsidR="002A39FE" w:rsidRPr="00B34880" w:rsidRDefault="002A39FE" w:rsidP="002A39FE">
            <w:pPr>
              <w:rPr>
                <w:color w:val="C00000"/>
                <w:sz w:val="20"/>
                <w:szCs w:val="20"/>
                <w:lang w:val="en-US"/>
              </w:rPr>
            </w:pPr>
            <w:r w:rsidRPr="00B34880">
              <w:rPr>
                <w:color w:val="C00000"/>
                <w:sz w:val="20"/>
                <w:szCs w:val="20"/>
                <w:lang w:val="en-US"/>
              </w:rPr>
              <w:t>Contract for management</w:t>
            </w:r>
          </w:p>
        </w:tc>
        <w:tc>
          <w:tcPr>
            <w:tcW w:w="905" w:type="dxa"/>
            <w:vMerge w:val="restart"/>
            <w:tcBorders>
              <w:top w:val="nil"/>
              <w:left w:val="single" w:sz="4" w:space="0" w:color="auto"/>
              <w:bottom w:val="single" w:sz="4" w:space="0" w:color="auto"/>
              <w:right w:val="single" w:sz="4" w:space="0" w:color="auto"/>
            </w:tcBorders>
            <w:shd w:val="clear" w:color="auto" w:fill="auto"/>
            <w:noWrap/>
            <w:vAlign w:val="center"/>
          </w:tcPr>
          <w:p w:rsidR="002A39FE" w:rsidRPr="00B34880" w:rsidRDefault="002A39FE" w:rsidP="002A39FE">
            <w:pPr>
              <w:rPr>
                <w:color w:val="C00000"/>
                <w:sz w:val="20"/>
                <w:szCs w:val="20"/>
              </w:rPr>
            </w:pPr>
            <w:r w:rsidRPr="00B34880">
              <w:rPr>
                <w:color w:val="C00000"/>
                <w:sz w:val="20"/>
                <w:szCs w:val="20"/>
              </w:rPr>
              <w:t>2003</w:t>
            </w:r>
          </w:p>
        </w:tc>
        <w:tc>
          <w:tcPr>
            <w:tcW w:w="1374" w:type="dxa"/>
            <w:vMerge w:val="restart"/>
            <w:tcBorders>
              <w:top w:val="nil"/>
              <w:left w:val="single" w:sz="4" w:space="0" w:color="auto"/>
              <w:bottom w:val="single" w:sz="4" w:space="0" w:color="000000"/>
              <w:right w:val="nil"/>
            </w:tcBorders>
            <w:shd w:val="clear" w:color="auto" w:fill="auto"/>
            <w:vAlign w:val="center"/>
          </w:tcPr>
          <w:p w:rsidR="002A39FE" w:rsidRPr="00B34880" w:rsidRDefault="002A39FE" w:rsidP="002A39FE">
            <w:pPr>
              <w:rPr>
                <w:color w:val="C00000"/>
                <w:sz w:val="20"/>
                <w:szCs w:val="20"/>
                <w:lang w:val="en-US"/>
              </w:rPr>
            </w:pPr>
            <w:r w:rsidRPr="00B34880">
              <w:rPr>
                <w:color w:val="C00000"/>
                <w:sz w:val="20"/>
                <w:szCs w:val="20"/>
                <w:lang w:val="en-US"/>
              </w:rPr>
              <w:t>Agreement was early terminated in 2007.</w:t>
            </w:r>
          </w:p>
        </w:tc>
        <w:tc>
          <w:tcPr>
            <w:tcW w:w="1032" w:type="dxa"/>
            <w:vMerge w:val="restart"/>
            <w:tcBorders>
              <w:top w:val="nil"/>
              <w:left w:val="nil"/>
              <w:bottom w:val="single" w:sz="4" w:space="0" w:color="000000"/>
              <w:right w:val="single" w:sz="4" w:space="0" w:color="auto"/>
            </w:tcBorders>
            <w:shd w:val="clear" w:color="auto" w:fill="auto"/>
            <w:vAlign w:val="center"/>
          </w:tcPr>
          <w:p w:rsidR="002A39FE" w:rsidRPr="00B34880" w:rsidRDefault="002A39FE" w:rsidP="002A39FE">
            <w:pPr>
              <w:rPr>
                <w:color w:val="C00000"/>
                <w:sz w:val="20"/>
                <w:szCs w:val="20"/>
                <w:lang w:val="en-US"/>
              </w:rPr>
            </w:pPr>
            <w:r w:rsidRPr="00B34880">
              <w:rPr>
                <w:color w:val="C00000"/>
                <w:sz w:val="20"/>
                <w:szCs w:val="20"/>
                <w:lang w:val="en-US"/>
              </w:rPr>
              <w:t> </w:t>
            </w:r>
          </w:p>
        </w:tc>
        <w:tc>
          <w:tcPr>
            <w:tcW w:w="2160" w:type="dxa"/>
            <w:vMerge w:val="restart"/>
            <w:tcBorders>
              <w:top w:val="nil"/>
              <w:left w:val="single" w:sz="4" w:space="0" w:color="auto"/>
              <w:bottom w:val="single" w:sz="4" w:space="0" w:color="000000"/>
              <w:right w:val="single" w:sz="4" w:space="0" w:color="auto"/>
            </w:tcBorders>
            <w:shd w:val="clear" w:color="auto" w:fill="auto"/>
            <w:vAlign w:val="center"/>
          </w:tcPr>
          <w:p w:rsidR="002A39FE" w:rsidRPr="00B34880" w:rsidRDefault="002A39FE" w:rsidP="002A39FE">
            <w:pPr>
              <w:rPr>
                <w:color w:val="C00000"/>
                <w:sz w:val="20"/>
                <w:szCs w:val="20"/>
                <w:lang w:val="en-US"/>
              </w:rPr>
            </w:pPr>
            <w:r w:rsidRPr="00B34880">
              <w:rPr>
                <w:color w:val="C00000"/>
                <w:sz w:val="20"/>
                <w:szCs w:val="20"/>
                <w:lang w:val="en-US"/>
              </w:rPr>
              <w:t>Plan: USD 62.3 million during the contract period</w:t>
            </w:r>
          </w:p>
        </w:tc>
      </w:tr>
      <w:tr w:rsidR="002A39FE" w:rsidRPr="00B34880" w:rsidTr="002A39FE">
        <w:trPr>
          <w:trHeight w:val="510"/>
        </w:trPr>
        <w:tc>
          <w:tcPr>
            <w:tcW w:w="2846" w:type="dxa"/>
            <w:tcBorders>
              <w:top w:val="nil"/>
              <w:left w:val="single" w:sz="4" w:space="0" w:color="auto"/>
              <w:bottom w:val="single" w:sz="4" w:space="0" w:color="auto"/>
              <w:right w:val="single" w:sz="4" w:space="0" w:color="auto"/>
            </w:tcBorders>
            <w:shd w:val="clear" w:color="auto" w:fill="auto"/>
            <w:vAlign w:val="center"/>
          </w:tcPr>
          <w:p w:rsidR="002A39FE" w:rsidRPr="00B34880" w:rsidRDefault="002A39FE" w:rsidP="002A39FE">
            <w:pPr>
              <w:rPr>
                <w:color w:val="C00000"/>
                <w:sz w:val="20"/>
                <w:szCs w:val="20"/>
                <w:lang w:val="en-US"/>
              </w:rPr>
            </w:pPr>
            <w:r w:rsidRPr="00B34880">
              <w:rPr>
                <w:color w:val="C00000"/>
                <w:sz w:val="20"/>
                <w:szCs w:val="20"/>
                <w:lang w:val="en-US"/>
              </w:rPr>
              <w:t>The “Suvokova” Samarkand city industrial state enterprise</w:t>
            </w:r>
          </w:p>
        </w:tc>
        <w:tc>
          <w:tcPr>
            <w:tcW w:w="1411" w:type="dxa"/>
            <w:vMerge/>
            <w:tcBorders>
              <w:top w:val="nil"/>
              <w:left w:val="single" w:sz="4" w:space="0" w:color="auto"/>
              <w:bottom w:val="single" w:sz="4" w:space="0" w:color="auto"/>
              <w:right w:val="single" w:sz="4" w:space="0" w:color="auto"/>
            </w:tcBorders>
            <w:vAlign w:val="center"/>
          </w:tcPr>
          <w:p w:rsidR="002A39FE" w:rsidRPr="00B34880" w:rsidRDefault="002A39FE" w:rsidP="002A39FE">
            <w:pPr>
              <w:rPr>
                <w:color w:val="C00000"/>
                <w:sz w:val="20"/>
                <w:szCs w:val="20"/>
                <w:lang w:val="en-US"/>
              </w:rPr>
            </w:pPr>
          </w:p>
        </w:tc>
        <w:tc>
          <w:tcPr>
            <w:tcW w:w="1616" w:type="dxa"/>
            <w:tcBorders>
              <w:top w:val="nil"/>
              <w:left w:val="nil"/>
              <w:bottom w:val="single" w:sz="4" w:space="0" w:color="auto"/>
              <w:right w:val="single" w:sz="4" w:space="0" w:color="auto"/>
            </w:tcBorders>
            <w:shd w:val="clear" w:color="auto" w:fill="auto"/>
            <w:vAlign w:val="center"/>
          </w:tcPr>
          <w:p w:rsidR="002A39FE" w:rsidRPr="00B34880" w:rsidRDefault="002A39FE" w:rsidP="002A39FE">
            <w:pPr>
              <w:rPr>
                <w:color w:val="C00000"/>
                <w:sz w:val="20"/>
                <w:szCs w:val="20"/>
              </w:rPr>
            </w:pPr>
            <w:r w:rsidRPr="00B34880">
              <w:rPr>
                <w:color w:val="C00000"/>
                <w:sz w:val="20"/>
                <w:szCs w:val="20"/>
                <w:lang w:val="en-US"/>
              </w:rPr>
              <w:t>Samarkand</w:t>
            </w:r>
          </w:p>
        </w:tc>
        <w:tc>
          <w:tcPr>
            <w:tcW w:w="1180" w:type="dxa"/>
            <w:tcBorders>
              <w:top w:val="nil"/>
              <w:left w:val="nil"/>
              <w:bottom w:val="single" w:sz="4" w:space="0" w:color="auto"/>
              <w:right w:val="single" w:sz="4" w:space="0" w:color="auto"/>
            </w:tcBorders>
            <w:shd w:val="clear" w:color="auto" w:fill="auto"/>
            <w:noWrap/>
            <w:vAlign w:val="center"/>
          </w:tcPr>
          <w:p w:rsidR="002A39FE" w:rsidRPr="00B34880" w:rsidRDefault="002A39FE" w:rsidP="002A39FE">
            <w:pPr>
              <w:rPr>
                <w:color w:val="C00000"/>
                <w:sz w:val="20"/>
                <w:szCs w:val="20"/>
              </w:rPr>
            </w:pPr>
            <w:r w:rsidRPr="00B34880">
              <w:rPr>
                <w:color w:val="C00000"/>
                <w:sz w:val="20"/>
                <w:szCs w:val="20"/>
              </w:rPr>
              <w:t>412</w:t>
            </w:r>
          </w:p>
        </w:tc>
        <w:tc>
          <w:tcPr>
            <w:tcW w:w="1373" w:type="dxa"/>
            <w:vMerge/>
            <w:tcBorders>
              <w:top w:val="nil"/>
              <w:left w:val="single" w:sz="4" w:space="0" w:color="auto"/>
              <w:bottom w:val="single" w:sz="4" w:space="0" w:color="auto"/>
              <w:right w:val="single" w:sz="4" w:space="0" w:color="auto"/>
            </w:tcBorders>
            <w:vAlign w:val="center"/>
          </w:tcPr>
          <w:p w:rsidR="002A39FE" w:rsidRPr="00B34880" w:rsidRDefault="002A39FE" w:rsidP="002A39FE">
            <w:pPr>
              <w:rPr>
                <w:color w:val="C00000"/>
                <w:sz w:val="20"/>
                <w:szCs w:val="20"/>
              </w:rPr>
            </w:pPr>
          </w:p>
        </w:tc>
        <w:tc>
          <w:tcPr>
            <w:tcW w:w="1238" w:type="dxa"/>
            <w:vMerge/>
            <w:tcBorders>
              <w:top w:val="nil"/>
              <w:left w:val="single" w:sz="4" w:space="0" w:color="auto"/>
              <w:bottom w:val="single" w:sz="4" w:space="0" w:color="auto"/>
              <w:right w:val="single" w:sz="4" w:space="0" w:color="auto"/>
            </w:tcBorders>
            <w:vAlign w:val="center"/>
          </w:tcPr>
          <w:p w:rsidR="002A39FE" w:rsidRPr="00B34880" w:rsidRDefault="002A39FE" w:rsidP="002A39FE">
            <w:pPr>
              <w:rPr>
                <w:color w:val="C00000"/>
                <w:sz w:val="20"/>
                <w:szCs w:val="20"/>
              </w:rPr>
            </w:pPr>
          </w:p>
        </w:tc>
        <w:tc>
          <w:tcPr>
            <w:tcW w:w="905" w:type="dxa"/>
            <w:vMerge/>
            <w:tcBorders>
              <w:top w:val="nil"/>
              <w:left w:val="single" w:sz="4" w:space="0" w:color="auto"/>
              <w:bottom w:val="single" w:sz="4" w:space="0" w:color="auto"/>
              <w:right w:val="single" w:sz="4" w:space="0" w:color="auto"/>
            </w:tcBorders>
            <w:vAlign w:val="center"/>
          </w:tcPr>
          <w:p w:rsidR="002A39FE" w:rsidRPr="00B34880" w:rsidRDefault="002A39FE" w:rsidP="002A39FE">
            <w:pPr>
              <w:rPr>
                <w:color w:val="C00000"/>
                <w:sz w:val="20"/>
                <w:szCs w:val="20"/>
              </w:rPr>
            </w:pPr>
          </w:p>
        </w:tc>
        <w:tc>
          <w:tcPr>
            <w:tcW w:w="1374" w:type="dxa"/>
            <w:vMerge/>
            <w:tcBorders>
              <w:top w:val="nil"/>
              <w:left w:val="single" w:sz="4" w:space="0" w:color="auto"/>
              <w:bottom w:val="single" w:sz="4" w:space="0" w:color="000000"/>
              <w:right w:val="nil"/>
            </w:tcBorders>
            <w:vAlign w:val="center"/>
          </w:tcPr>
          <w:p w:rsidR="002A39FE" w:rsidRPr="00B34880" w:rsidRDefault="002A39FE" w:rsidP="002A39FE">
            <w:pPr>
              <w:rPr>
                <w:color w:val="C00000"/>
                <w:sz w:val="20"/>
                <w:szCs w:val="20"/>
              </w:rPr>
            </w:pPr>
          </w:p>
        </w:tc>
        <w:tc>
          <w:tcPr>
            <w:tcW w:w="1032" w:type="dxa"/>
            <w:vMerge/>
            <w:tcBorders>
              <w:top w:val="nil"/>
              <w:left w:val="nil"/>
              <w:bottom w:val="single" w:sz="4" w:space="0" w:color="000000"/>
              <w:right w:val="single" w:sz="4" w:space="0" w:color="auto"/>
            </w:tcBorders>
            <w:vAlign w:val="center"/>
          </w:tcPr>
          <w:p w:rsidR="002A39FE" w:rsidRPr="00B34880" w:rsidRDefault="002A39FE" w:rsidP="002A39FE">
            <w:pPr>
              <w:rPr>
                <w:color w:val="C00000"/>
                <w:sz w:val="20"/>
                <w:szCs w:val="20"/>
              </w:rPr>
            </w:pPr>
          </w:p>
        </w:tc>
        <w:tc>
          <w:tcPr>
            <w:tcW w:w="2160" w:type="dxa"/>
            <w:vMerge/>
            <w:tcBorders>
              <w:top w:val="nil"/>
              <w:left w:val="single" w:sz="4" w:space="0" w:color="auto"/>
              <w:bottom w:val="single" w:sz="4" w:space="0" w:color="000000"/>
              <w:right w:val="single" w:sz="4" w:space="0" w:color="auto"/>
            </w:tcBorders>
            <w:vAlign w:val="center"/>
          </w:tcPr>
          <w:p w:rsidR="002A39FE" w:rsidRPr="00B34880" w:rsidRDefault="002A39FE" w:rsidP="002A39FE">
            <w:pPr>
              <w:rPr>
                <w:color w:val="C00000"/>
                <w:sz w:val="20"/>
                <w:szCs w:val="20"/>
              </w:rPr>
            </w:pPr>
          </w:p>
        </w:tc>
      </w:tr>
    </w:tbl>
    <w:p w:rsidR="009B4458" w:rsidRDefault="009B4458" w:rsidP="009B4458"/>
    <w:p w:rsidR="00714CB5" w:rsidRDefault="00714CB5" w:rsidP="009B4458">
      <w:pPr>
        <w:pStyle w:val="Heading2"/>
        <w:numPr>
          <w:ilvl w:val="0"/>
          <w:numId w:val="0"/>
        </w:numPr>
        <w:sectPr w:rsidR="00714CB5" w:rsidSect="009B4458">
          <w:endnotePr>
            <w:numFmt w:val="decimal"/>
          </w:endnotePr>
          <w:pgSz w:w="16838" w:h="11906" w:orient="landscape" w:code="9"/>
          <w:pgMar w:top="1134" w:right="1134" w:bottom="1134" w:left="1134" w:header="567" w:footer="567" w:gutter="0"/>
          <w:cols w:space="708"/>
          <w:titlePg/>
          <w:docGrid w:linePitch="360"/>
        </w:sectPr>
      </w:pPr>
    </w:p>
    <w:p w:rsidR="00884E86" w:rsidRDefault="00884E86" w:rsidP="00884E86"/>
    <w:p w:rsidR="00884E86" w:rsidRPr="00884E86" w:rsidRDefault="00884E86" w:rsidP="00884E86"/>
    <w:p w:rsidR="00E17DF4" w:rsidRPr="002D45C3" w:rsidRDefault="00E17DF4" w:rsidP="00126F7F">
      <w:pPr>
        <w:pStyle w:val="Heading1"/>
      </w:pPr>
      <w:bookmarkStart w:id="255" w:name="_Toc305768594"/>
      <w:r>
        <w:t>Notes</w:t>
      </w:r>
      <w:bookmarkEnd w:id="255"/>
    </w:p>
    <w:sectPr w:rsidR="00E17DF4" w:rsidRPr="002D45C3" w:rsidSect="00714CB5">
      <w:endnotePr>
        <w:numFmt w:val="decimal"/>
      </w:endnotePr>
      <w:pgSz w:w="11906" w:h="16838" w:code="9"/>
      <w:pgMar w:top="1134" w:right="1134" w:bottom="1134"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397" w:rsidRDefault="00354397">
      <w:r>
        <w:separator/>
      </w:r>
    </w:p>
  </w:endnote>
  <w:endnote w:type="continuationSeparator" w:id="0">
    <w:p w:rsidR="00354397" w:rsidRDefault="00354397">
      <w:r>
        <w:continuationSeparator/>
      </w:r>
    </w:p>
  </w:endnote>
  <w:endnote w:id="1">
    <w:p w:rsidR="00354397" w:rsidRPr="007F3A6E" w:rsidRDefault="00354397">
      <w:pPr>
        <w:pStyle w:val="EndnoteText"/>
      </w:pPr>
      <w:r w:rsidRPr="007F3A6E">
        <w:rPr>
          <w:rStyle w:val="EndnoteReference"/>
        </w:rPr>
        <w:endnoteRef/>
      </w:r>
      <w:r w:rsidRPr="007F3A6E">
        <w:t xml:space="preserve"> See </w:t>
      </w:r>
      <w:hyperlink r:id="rId1" w:history="1">
        <w:r w:rsidRPr="007F3A6E">
          <w:rPr>
            <w:rStyle w:val="Hyperlink"/>
          </w:rPr>
          <w:t>http://en.wikipedia.org/wiki/List_of_countries_by_GDP_%28nominal%29_per_capita</w:t>
        </w:r>
      </w:hyperlink>
      <w:r w:rsidRPr="007F3A6E">
        <w:t xml:space="preserve"> </w:t>
      </w:r>
    </w:p>
  </w:endnote>
  <w:endnote w:id="2">
    <w:p w:rsidR="00354397" w:rsidRPr="007F3A6E" w:rsidRDefault="00354397">
      <w:pPr>
        <w:pStyle w:val="EndnoteText"/>
      </w:pPr>
      <w:r w:rsidRPr="007F3A6E">
        <w:rPr>
          <w:rStyle w:val="EndnoteReference"/>
        </w:rPr>
        <w:endnoteRef/>
      </w:r>
      <w:r w:rsidRPr="007F3A6E">
        <w:t xml:space="preserve"> See </w:t>
      </w:r>
      <w:hyperlink r:id="rId2" w:history="1">
        <w:r w:rsidRPr="007F3A6E">
          <w:rPr>
            <w:rStyle w:val="Hyperlink"/>
          </w:rPr>
          <w:t>www.psiru.ben-scott.co.uk</w:t>
        </w:r>
      </w:hyperlink>
      <w:r w:rsidRPr="007F3A6E">
        <w:t xml:space="preserve"> </w:t>
      </w:r>
    </w:p>
  </w:endnote>
  <w:endnote w:id="3">
    <w:p w:rsidR="00354397" w:rsidRPr="007F3A6E" w:rsidRDefault="00354397" w:rsidP="009220DE">
      <w:pPr>
        <w:pStyle w:val="Endnotes"/>
        <w:rPr>
          <w:rStyle w:val="EndnotesChar"/>
        </w:rPr>
      </w:pPr>
      <w:r w:rsidRPr="007F3A6E">
        <w:rPr>
          <w:rStyle w:val="EndnoteReference"/>
        </w:rPr>
        <w:endnoteRef/>
      </w:r>
      <w:r w:rsidRPr="007F3A6E">
        <w:t xml:space="preserve"> </w:t>
      </w:r>
      <w:r w:rsidRPr="007F3A6E">
        <w:rPr>
          <w:rStyle w:val="EndnotesChar"/>
        </w:rPr>
        <w:t xml:space="preserve">Europe 2020: A European strategy for smart, sustainable and inclusive growth” COM(2010)2020 03.03.2010    </w:t>
      </w:r>
    </w:p>
    <w:p w:rsidR="00354397" w:rsidRPr="007F3A6E" w:rsidRDefault="00354397" w:rsidP="009220DE">
      <w:pPr>
        <w:pStyle w:val="Endnotes"/>
      </w:pPr>
      <w:hyperlink r:id="rId3" w:history="1">
        <w:r w:rsidRPr="007F3A6E">
          <w:rPr>
            <w:rStyle w:val="Hyperlink"/>
          </w:rPr>
          <w:t>http://ec.europa.eu/eu2020/pdf/COMPLET%20EN%20BARROSO%20%20%20007%20-%20Europe%202020%20-%20EN%20version.pdf</w:t>
        </w:r>
      </w:hyperlink>
      <w:r w:rsidRPr="007F3A6E">
        <w:rPr>
          <w:rStyle w:val="EndnotesChar"/>
        </w:rPr>
        <w:t xml:space="preserve">   </w:t>
      </w:r>
    </w:p>
  </w:endnote>
  <w:endnote w:id="4">
    <w:p w:rsidR="00354397" w:rsidRPr="007F3A6E" w:rsidRDefault="00354397" w:rsidP="009220DE">
      <w:pPr>
        <w:pStyle w:val="Endnotes"/>
      </w:pPr>
      <w:r w:rsidRPr="007F3A6E">
        <w:rPr>
          <w:rStyle w:val="EndnoteReference"/>
        </w:rPr>
        <w:endnoteRef/>
      </w:r>
      <w:r w:rsidRPr="007F3A6E">
        <w:t xml:space="preserve">  GOVERNANCE, TOOLS AND POLICY CYCLE OF EUROPE 2020  </w:t>
      </w:r>
      <w:hyperlink r:id="rId4" w:history="1">
        <w:r w:rsidRPr="007F3A6E">
          <w:rPr>
            <w:rStyle w:val="Hyperlink"/>
          </w:rPr>
          <w:t>http://ec.europa.eu/eu2020/pdf/Annex%20SWD%20implementation%20last%20version%2015-07-2010.pdf</w:t>
        </w:r>
      </w:hyperlink>
      <w:r w:rsidRPr="007F3A6E">
        <w:t xml:space="preserve"> </w:t>
      </w:r>
    </w:p>
  </w:endnote>
  <w:endnote w:id="5">
    <w:p w:rsidR="00354397" w:rsidRPr="007F3A6E" w:rsidRDefault="00354397" w:rsidP="009220DE">
      <w:pPr>
        <w:pStyle w:val="Endnotes"/>
      </w:pPr>
      <w:r w:rsidRPr="007F3A6E">
        <w:rPr>
          <w:rStyle w:val="EndnoteReference"/>
        </w:rPr>
        <w:endnoteRef/>
      </w:r>
      <w:r w:rsidRPr="007F3A6E">
        <w:t xml:space="preserve">  GOVERNANCE, TOOLS AND POLICY CYCLE OF EUROPE 2020  </w:t>
      </w:r>
      <w:hyperlink r:id="rId5" w:history="1">
        <w:r w:rsidRPr="007F3A6E">
          <w:rPr>
            <w:rStyle w:val="Hyperlink"/>
          </w:rPr>
          <w:t>http://ec.europa.eu/eu2020/pdf/Annex%20SWD%20implementation%20last%20version%2015-07-2010.pdf</w:t>
        </w:r>
      </w:hyperlink>
      <w:r w:rsidRPr="007F3A6E">
        <w:t xml:space="preserve"> </w:t>
      </w:r>
    </w:p>
  </w:endnote>
  <w:endnote w:id="6">
    <w:p w:rsidR="00354397" w:rsidRPr="007F3A6E" w:rsidRDefault="00354397" w:rsidP="009220DE">
      <w:pPr>
        <w:pStyle w:val="Endnotes"/>
      </w:pPr>
      <w:r w:rsidRPr="007F3A6E">
        <w:rPr>
          <w:rStyle w:val="EndnoteReference"/>
        </w:rPr>
        <w:endnoteRef/>
      </w:r>
      <w:r w:rsidRPr="007F3A6E">
        <w:t xml:space="preserve">  Europe 2020 - Integrated guidelines for the economic and employment policies of the Member States 06.05.2010 </w:t>
      </w:r>
      <w:hyperlink r:id="rId6" w:history="1">
        <w:r w:rsidRPr="007F3A6E">
          <w:rPr>
            <w:rStyle w:val="Hyperlink"/>
          </w:rPr>
          <w:t>http://ec.europa.eu/eu2020/pdf/Brochure%20Integrated%20Guidelines.pdf</w:t>
        </w:r>
      </w:hyperlink>
      <w:r w:rsidRPr="007F3A6E">
        <w:t xml:space="preserve"> </w:t>
      </w:r>
    </w:p>
  </w:endnote>
  <w:endnote w:id="7">
    <w:p w:rsidR="00354397" w:rsidRPr="007F3A6E" w:rsidRDefault="00354397" w:rsidP="007B4868">
      <w:pPr>
        <w:pStyle w:val="Endnotes"/>
      </w:pPr>
      <w:r w:rsidRPr="007F3A6E">
        <w:rPr>
          <w:rStyle w:val="EndnoteReference"/>
        </w:rPr>
        <w:endnoteRef/>
      </w:r>
      <w:r w:rsidRPr="007F3A6E">
        <w:t xml:space="preserve">  EUROPEAN COUNCIL Brussels, 26 March 2010 EUCO 7/10 CO EUR 4 CONCL 1  P.4  </w:t>
      </w:r>
      <w:hyperlink r:id="rId7" w:history="1">
        <w:r w:rsidRPr="007F3A6E">
          <w:rPr>
            <w:rStyle w:val="Hyperlink"/>
          </w:rPr>
          <w:t>http://www.consilium.europa.eu/uedocs/cms_data/docs/pressdata/en/ec/113591.pdf</w:t>
        </w:r>
      </w:hyperlink>
      <w:r w:rsidRPr="007F3A6E">
        <w:t xml:space="preserve"> </w:t>
      </w:r>
    </w:p>
  </w:endnote>
  <w:endnote w:id="8">
    <w:p w:rsidR="00354397" w:rsidRPr="007F3A6E" w:rsidRDefault="00354397" w:rsidP="009220DE">
      <w:pPr>
        <w:pStyle w:val="Endnotes"/>
      </w:pPr>
      <w:r w:rsidRPr="007F3A6E">
        <w:rPr>
          <w:rStyle w:val="EndnoteReference"/>
        </w:rPr>
        <w:endnoteRef/>
      </w:r>
      <w:r w:rsidRPr="007F3A6E">
        <w:t xml:space="preserve"> Commission proposes a reinforced macro-economic, budgetary and structural surveillance IP/10/859 30 June 2010 </w:t>
      </w:r>
      <w:hyperlink r:id="rId8" w:history="1">
        <w:r w:rsidRPr="007F3A6E">
          <w:rPr>
            <w:rStyle w:val="Hyperlink"/>
          </w:rPr>
          <w:t>http://europa.eu/rapid/pressReleasesAction.do?reference=IP/10/859&amp;format=HTML&amp;aged=0&amp;language=EN&amp;guiLanguage=en</w:t>
        </w:r>
      </w:hyperlink>
      <w:r w:rsidRPr="007F3A6E">
        <w:t xml:space="preserve"> ; </w:t>
      </w:r>
      <w:r w:rsidRPr="007F3A6E">
        <w:rPr>
          <w:bCs/>
        </w:rPr>
        <w:t xml:space="preserve">Enhancing economic policy coordination for stability, growth and jobs – Tools for stronger EU economic governance COM(2010) 367/2  </w:t>
      </w:r>
      <w:hyperlink r:id="rId9" w:tooltip=" Enhancing economic policy coordination for stability, growth and jobs – Tools for stronger EU economic governance" w:history="1">
        <w:r w:rsidRPr="007F3A6E">
          <w:rPr>
            <w:rStyle w:val="Hyperlink"/>
            <w:bCs/>
          </w:rPr>
          <w:t>http://ec.europa.eu/economy_finance/articles/euro/documents/com_2010_367_en.pdf</w:t>
        </w:r>
      </w:hyperlink>
      <w:r w:rsidRPr="007F3A6E">
        <w:t xml:space="preserve">; </w:t>
      </w:r>
      <w:r w:rsidRPr="007F3A6E">
        <w:rPr>
          <w:bCs/>
        </w:rPr>
        <w:t xml:space="preserve">Annex: proposed amendments to the Code of Conduct for the Stability and Growth Pact -  Specifications on the implementation of the Stability and Growth Pact and Guidelines on the format and content of Stability and Convergence Programmes </w:t>
      </w:r>
      <w:hyperlink r:id="rId10" w:tooltip=" Specifications on the implementation of the Stability and Growth Pact and Guidelines on the format and content of Stability and Convergence Programmes" w:history="1">
        <w:r w:rsidRPr="007F3A6E">
          <w:rPr>
            <w:rStyle w:val="Hyperlink"/>
            <w:bCs/>
          </w:rPr>
          <w:t>http://ec.europa.eu/economy_finance/articles/euro/documents/com_367_code_en.pdf</w:t>
        </w:r>
      </w:hyperlink>
      <w:r w:rsidRPr="007F3A6E">
        <w:t xml:space="preserve"> ;A toolbox for stronger economic governance in Europe MEMO/10/288 Brussels, 30 June 2010 </w:t>
      </w:r>
      <w:hyperlink r:id="rId11" w:history="1">
        <w:r w:rsidRPr="007F3A6E">
          <w:rPr>
            <w:rStyle w:val="Hyperlink"/>
          </w:rPr>
          <w:t>http://europa.eu/rapid/pressReleasesAction.do?reference=MEMO/10/288&amp;format=HTML&amp;aged=0&amp;language=EN&amp;guiLanguage=en</w:t>
        </w:r>
      </w:hyperlink>
    </w:p>
  </w:endnote>
  <w:endnote w:id="9">
    <w:p w:rsidR="00354397" w:rsidRPr="007F3A6E" w:rsidRDefault="00354397" w:rsidP="000032FE">
      <w:pPr>
        <w:pStyle w:val="Endnotes"/>
      </w:pPr>
      <w:r w:rsidRPr="007F3A6E">
        <w:rPr>
          <w:rStyle w:val="EndnoteReference"/>
        </w:rPr>
        <w:endnoteRef/>
      </w:r>
      <w:r w:rsidRPr="007F3A6E">
        <w:t xml:space="preserve">  Europe 2020 - Integrated guidelines for the economic and employment policies of the Member States 06.05.2010 p.7 </w:t>
      </w:r>
      <w:hyperlink r:id="rId12" w:history="1">
        <w:r w:rsidRPr="007F3A6E">
          <w:rPr>
            <w:rStyle w:val="Hyperlink"/>
          </w:rPr>
          <w:t>http://ec.europa.eu/eu2020/pdf/Brochure%20Integrated%20Guidelines.pdf</w:t>
        </w:r>
      </w:hyperlink>
      <w:r w:rsidRPr="007F3A6E">
        <w:t xml:space="preserve"> </w:t>
      </w:r>
    </w:p>
  </w:endnote>
  <w:endnote w:id="10">
    <w:p w:rsidR="00354397" w:rsidRPr="007F3A6E" w:rsidRDefault="00354397" w:rsidP="000032FE">
      <w:pPr>
        <w:pStyle w:val="Endnotes"/>
      </w:pPr>
      <w:r w:rsidRPr="007F3A6E">
        <w:rPr>
          <w:rStyle w:val="EndnoteReference"/>
        </w:rPr>
        <w:endnoteRef/>
      </w:r>
      <w:r w:rsidRPr="007F3A6E">
        <w:t xml:space="preserve"> GOVERNANCE, TOOLS AND POLICY CYCLE OF EUROPE 2020 p.6 </w:t>
      </w:r>
      <w:hyperlink r:id="rId13" w:history="1">
        <w:r w:rsidRPr="007F3A6E">
          <w:rPr>
            <w:rStyle w:val="Hyperlink"/>
          </w:rPr>
          <w:t>http://ec.europa.eu/eu2020/pdf/Annex%20SWD%20implementation%20last%20version%2015-07-2010.pdf</w:t>
        </w:r>
      </w:hyperlink>
    </w:p>
  </w:endnote>
  <w:endnote w:id="11">
    <w:p w:rsidR="00354397" w:rsidRPr="007F3A6E" w:rsidRDefault="00354397" w:rsidP="00C0176A">
      <w:pPr>
        <w:pStyle w:val="Endnotes"/>
      </w:pPr>
      <w:r w:rsidRPr="007F3A6E">
        <w:rPr>
          <w:rStyle w:val="EndnoteReference"/>
        </w:rPr>
        <w:endnoteRef/>
      </w:r>
      <w:r w:rsidRPr="007F3A6E">
        <w:t xml:space="preserve">  Europe 2020 - Integrated guidelines for the economic and employment policies of the Member States 06.05.2010 p.</w:t>
      </w:r>
      <w:r>
        <w:t>4</w:t>
      </w:r>
      <w:r w:rsidRPr="007F3A6E">
        <w:t xml:space="preserve"> </w:t>
      </w:r>
      <w:hyperlink r:id="rId14" w:history="1">
        <w:r w:rsidRPr="007F3A6E">
          <w:rPr>
            <w:rStyle w:val="Hyperlink"/>
          </w:rPr>
          <w:t>http://ec.europa.eu/eu2020/pdf/Brochure%20Integrated%20Guidelines.pdf</w:t>
        </w:r>
      </w:hyperlink>
      <w:r w:rsidRPr="007F3A6E">
        <w:t xml:space="preserve"> </w:t>
      </w:r>
    </w:p>
  </w:endnote>
  <w:endnote w:id="12">
    <w:p w:rsidR="00354397" w:rsidRPr="007F3A6E" w:rsidRDefault="00354397" w:rsidP="00480657">
      <w:pPr>
        <w:pStyle w:val="Endnotes"/>
        <w:rPr>
          <w:b/>
        </w:rPr>
      </w:pPr>
      <w:r w:rsidRPr="007F3A6E">
        <w:rPr>
          <w:rStyle w:val="EndnoteReference"/>
        </w:rPr>
        <w:endnoteRef/>
      </w:r>
      <w:r w:rsidRPr="007F3A6E">
        <w:t xml:space="preserve"> </w:t>
      </w:r>
      <w:r w:rsidRPr="007F3A6E">
        <w:rPr>
          <w:rStyle w:val="Strong"/>
          <w:b w:val="0"/>
        </w:rPr>
        <w:t xml:space="preserve">The CSF Steering Committee selected </w:t>
      </w:r>
      <w:hyperlink r:id="rId15" w:tooltip=" Civil Society Organisations for the second meeting of the Eastern Partnership Civil Society Forum" w:history="1">
        <w:r w:rsidRPr="007F3A6E">
          <w:rPr>
            <w:rStyle w:val="Hyperlink"/>
            <w:bCs/>
          </w:rPr>
          <w:t>Civil Society Organisations for the second meeting of the Eastern Partnership Civil Society Forum</w:t>
        </w:r>
      </w:hyperlink>
      <w:r w:rsidRPr="007F3A6E">
        <w:rPr>
          <w:rStyle w:val="Strong"/>
        </w:rPr>
        <w:t xml:space="preserve"> </w:t>
      </w:r>
      <w:r w:rsidRPr="007F3A6E">
        <w:rPr>
          <w:rStyle w:val="Strong"/>
          <w:b w:val="0"/>
        </w:rPr>
        <w:t>(Berlin, 18-19 November 2010.</w:t>
      </w:r>
    </w:p>
  </w:endnote>
  <w:endnote w:id="13">
    <w:p w:rsidR="00354397" w:rsidRPr="007F3A6E" w:rsidRDefault="00354397" w:rsidP="00916BDD">
      <w:pPr>
        <w:pStyle w:val="Endnotes"/>
        <w:rPr>
          <w:b/>
        </w:rPr>
      </w:pPr>
      <w:r w:rsidRPr="007F3A6E">
        <w:rPr>
          <w:rStyle w:val="EndnoteReference"/>
        </w:rPr>
        <w:endnoteRef/>
      </w:r>
      <w:r w:rsidRPr="007F3A6E">
        <w:t xml:space="preserve"> </w:t>
      </w:r>
      <w:r w:rsidRPr="007F3A6E">
        <w:rPr>
          <w:rStyle w:val="Strong"/>
        </w:rPr>
        <w:t xml:space="preserve">A </w:t>
      </w:r>
      <w:hyperlink r:id="rId16" w:tooltip=" list of Civil Society Organisations" w:history="1">
        <w:r w:rsidRPr="007F3A6E">
          <w:rPr>
            <w:rStyle w:val="Hyperlink"/>
            <w:bCs/>
          </w:rPr>
          <w:t>list of Civil Society Organisations</w:t>
        </w:r>
      </w:hyperlink>
      <w:r w:rsidRPr="007F3A6E">
        <w:rPr>
          <w:rStyle w:val="Strong"/>
        </w:rPr>
        <w:t xml:space="preserve"> </w:t>
      </w:r>
      <w:r w:rsidRPr="007F3A6E">
        <w:rPr>
          <w:rStyle w:val="Strong"/>
          <w:b w:val="0"/>
        </w:rPr>
        <w:t>invited to participate in the the second meeting of the Eastern Partnership Civil Society Forum</w:t>
      </w:r>
    </w:p>
  </w:endnote>
  <w:endnote w:id="14">
    <w:p w:rsidR="00354397" w:rsidRPr="007F3A6E" w:rsidRDefault="00354397" w:rsidP="000E0834">
      <w:pPr>
        <w:pStyle w:val="Endnotes"/>
      </w:pPr>
      <w:r w:rsidRPr="007F3A6E">
        <w:rPr>
          <w:rStyle w:val="EndnoteReference"/>
        </w:rPr>
        <w:endnoteRef/>
      </w:r>
      <w:r w:rsidRPr="007F3A6E">
        <w:t xml:space="preserve"> P.20</w:t>
      </w:r>
    </w:p>
  </w:endnote>
  <w:endnote w:id="15">
    <w:p w:rsidR="00354397" w:rsidRPr="00BE0203" w:rsidRDefault="00354397">
      <w:pPr>
        <w:pStyle w:val="EndnoteText"/>
      </w:pPr>
      <w:r w:rsidRPr="00BE0203">
        <w:rPr>
          <w:rStyle w:val="EndnoteReference"/>
        </w:rPr>
        <w:endnoteRef/>
      </w:r>
      <w:r w:rsidRPr="00BE0203">
        <w:t xml:space="preserve"> See the PSIRU report ‘</w:t>
      </w:r>
      <w:r w:rsidRPr="00BE0203">
        <w:rPr>
          <w:bCs/>
        </w:rPr>
        <w:t xml:space="preserve">Protecting workers in PPPs </w:t>
      </w:r>
      <w:r w:rsidRPr="00BE0203">
        <w:rPr>
          <w:bCs/>
          <w:iCs/>
        </w:rPr>
        <w:t>October 2008</w:t>
      </w:r>
      <w:r w:rsidRPr="00BE0203">
        <w:rPr>
          <w:rFonts w:ascii="Arial" w:hAnsi="Arial" w:cs="Arial"/>
          <w:bCs/>
        </w:rPr>
        <w:t xml:space="preserve"> </w:t>
      </w:r>
      <w:hyperlink r:id="rId17" w:tgtFrame="_blank" w:history="1">
        <w:r w:rsidRPr="00BE0203">
          <w:rPr>
            <w:rStyle w:val="Hyperlink"/>
            <w:bCs/>
            <w:iCs/>
          </w:rPr>
          <w:t>http://www.psiru.org/reports/2008-11-PPPs-workers.doc</w:t>
        </w:r>
      </w:hyperlink>
      <w:r w:rsidRPr="00BE0203">
        <w:rPr>
          <w:bCs/>
          <w:iCs/>
        </w:rPr>
        <w:t xml:space="preserve"> </w:t>
      </w:r>
    </w:p>
  </w:endnote>
  <w:endnote w:id="16">
    <w:p w:rsidR="00354397" w:rsidRPr="007F3A6E" w:rsidRDefault="00354397">
      <w:pPr>
        <w:pStyle w:val="EndnoteText"/>
      </w:pPr>
      <w:r w:rsidRPr="007F3A6E">
        <w:rPr>
          <w:rStyle w:val="EndnoteReference"/>
        </w:rPr>
        <w:endnoteRef/>
      </w:r>
      <w:r w:rsidRPr="007F3A6E">
        <w:t xml:space="preserve"> See the PSIRU report ‘Waste management in Europe: framework, trends and issues’ for an overview of this </w:t>
      </w:r>
      <w:hyperlink r:id="rId18" w:history="1">
        <w:r w:rsidRPr="00226ED4">
          <w:rPr>
            <w:rStyle w:val="Hyperlink"/>
          </w:rPr>
          <w:t>www.psiru.org/reports/2010-02-G-trends.doc</w:t>
        </w:r>
      </w:hyperlink>
      <w:r>
        <w:t xml:space="preserve"> </w:t>
      </w:r>
    </w:p>
  </w:endnote>
  <w:endnote w:id="17">
    <w:p w:rsidR="00354397" w:rsidRPr="007F3A6E" w:rsidRDefault="00354397" w:rsidP="009220DE">
      <w:pPr>
        <w:pStyle w:val="Endnotes"/>
      </w:pPr>
      <w:r w:rsidRPr="007F3A6E">
        <w:rPr>
          <w:rStyle w:val="EndnoteReference"/>
        </w:rPr>
        <w:endnoteRef/>
      </w:r>
      <w:r w:rsidRPr="007F3A6E">
        <w:t xml:space="preserve">  Europe 2020: A European strategy for smart, sustainable and inclusive growth” (COM(2010)2020 03.03.2010) p.21 </w:t>
      </w:r>
      <w:hyperlink r:id="rId19" w:history="1">
        <w:r w:rsidRPr="007F3A6E">
          <w:rPr>
            <w:rStyle w:val="Hyperlink"/>
          </w:rPr>
          <w:t>http://ec.europa.eu/eu2020/pdf/COMPLET%20EN%20BARROSO%20%20%20007%20-%20Europe%202020%20-%20EN%20version.pdf</w:t>
        </w:r>
      </w:hyperlink>
    </w:p>
  </w:endnote>
  <w:endnote w:id="18">
    <w:p w:rsidR="00354397" w:rsidRPr="007F3A6E" w:rsidRDefault="00354397" w:rsidP="009220DE">
      <w:pPr>
        <w:pStyle w:val="Endnotes"/>
      </w:pPr>
      <w:r w:rsidRPr="007F3A6E">
        <w:rPr>
          <w:rStyle w:val="EndnoteReference"/>
        </w:rPr>
        <w:endnoteRef/>
      </w:r>
      <w:r w:rsidRPr="007F3A6E">
        <w:t xml:space="preserve"> P.21</w:t>
      </w:r>
    </w:p>
  </w:endnote>
  <w:endnote w:id="19">
    <w:p w:rsidR="00354397" w:rsidRPr="007F3A6E" w:rsidRDefault="00354397" w:rsidP="009220DE">
      <w:pPr>
        <w:pStyle w:val="Endnotes"/>
      </w:pPr>
      <w:r w:rsidRPr="007F3A6E">
        <w:rPr>
          <w:rStyle w:val="EndnoteReference"/>
        </w:rPr>
        <w:endnoteRef/>
      </w:r>
      <w:r w:rsidRPr="007F3A6E">
        <w:t xml:space="preserve"> </w:t>
      </w:r>
      <w:r w:rsidRPr="007F3A6E">
        <w:rPr>
          <w:lang w:eastAsia="en-GB"/>
        </w:rPr>
        <w:t xml:space="preserve">EUROPEAN COUNCIL Brussels, 17 June 2010 EUCO 13/10 CO EUR 9 CONCL 2 p.3 </w:t>
      </w:r>
      <w:hyperlink r:id="rId20" w:history="1">
        <w:r w:rsidRPr="007F3A6E">
          <w:rPr>
            <w:rStyle w:val="Hyperlink"/>
            <w:rFonts w:eastAsia="Times New Roman"/>
            <w:bCs/>
            <w:lang w:eastAsia="en-GB"/>
          </w:rPr>
          <w:t>http://ec.europa.eu/eu2020/pdf/115346.pdf</w:t>
        </w:r>
      </w:hyperlink>
      <w:r w:rsidRPr="007F3A6E">
        <w:rPr>
          <w:lang w:eastAsia="en-GB"/>
        </w:rPr>
        <w:t xml:space="preserve"> </w:t>
      </w:r>
    </w:p>
  </w:endnote>
  <w:endnote w:id="20">
    <w:p w:rsidR="00354397" w:rsidRDefault="00354397">
      <w:pPr>
        <w:pStyle w:val="EndnoteText"/>
      </w:pPr>
      <w:r>
        <w:rPr>
          <w:rStyle w:val="EndnoteReference"/>
        </w:rPr>
        <w:endnoteRef/>
      </w:r>
      <w:r>
        <w:t xml:space="preserve"> EBRD Annual report 2010 </w:t>
      </w:r>
      <w:hyperlink r:id="rId21" w:history="1">
        <w:r w:rsidRPr="00226ED4">
          <w:rPr>
            <w:rStyle w:val="Hyperlink"/>
          </w:rPr>
          <w:t>http://www.ebrd.com/downloads/research/annual/ar10e.pdf</w:t>
        </w:r>
      </w:hyperlink>
      <w:r>
        <w:t xml:space="preserve"> </w:t>
      </w:r>
    </w:p>
  </w:endnote>
  <w:endnote w:id="21">
    <w:p w:rsidR="00354397" w:rsidRDefault="00354397" w:rsidP="009120DB">
      <w:pPr>
        <w:pStyle w:val="EndnoteText"/>
      </w:pPr>
      <w:r>
        <w:rPr>
          <w:rStyle w:val="EndnoteReference"/>
        </w:rPr>
        <w:endnoteRef/>
      </w:r>
      <w:r>
        <w:t xml:space="preserve"> EBRD Annual report 2010 </w:t>
      </w:r>
      <w:hyperlink r:id="rId22" w:history="1">
        <w:r w:rsidRPr="00226ED4">
          <w:rPr>
            <w:rStyle w:val="Hyperlink"/>
          </w:rPr>
          <w:t>http://www.ebrd.com/downloads/research/annual/ar10e.pdf</w:t>
        </w:r>
      </w:hyperlink>
      <w:r>
        <w:t xml:space="preserve"> </w:t>
      </w:r>
    </w:p>
  </w:endnote>
  <w:endnote w:id="22">
    <w:p w:rsidR="00354397" w:rsidRDefault="00354397" w:rsidP="000C67A9">
      <w:pPr>
        <w:pStyle w:val="EndnoteText"/>
      </w:pPr>
      <w:r>
        <w:rPr>
          <w:rStyle w:val="EndnoteReference"/>
        </w:rPr>
        <w:endnoteRef/>
      </w:r>
      <w:r>
        <w:t xml:space="preserve"> EIB Annual Report 2010 </w:t>
      </w:r>
      <w:hyperlink r:id="rId23" w:history="1">
        <w:r w:rsidRPr="00226ED4">
          <w:rPr>
            <w:rStyle w:val="Hyperlink"/>
          </w:rPr>
          <w:t>http://www.bei.org/about/publications/annual-report-2010-activity.htm</w:t>
        </w:r>
      </w:hyperlink>
      <w:r>
        <w:t xml:space="preserve"> </w:t>
      </w:r>
    </w:p>
  </w:endnote>
  <w:endnote w:id="23">
    <w:p w:rsidR="00354397" w:rsidRDefault="00354397" w:rsidP="000C67A9">
      <w:pPr>
        <w:pStyle w:val="EndnoteText"/>
      </w:pPr>
      <w:r>
        <w:rPr>
          <w:rStyle w:val="EndnoteReference"/>
        </w:rPr>
        <w:endnoteRef/>
      </w:r>
      <w:r>
        <w:t xml:space="preserve"> EIB Annual Report 2010 </w:t>
      </w:r>
      <w:hyperlink r:id="rId24" w:history="1">
        <w:r w:rsidRPr="00226ED4">
          <w:rPr>
            <w:rStyle w:val="Hyperlink"/>
          </w:rPr>
          <w:t>http://www.bei.org/about/publications/annual-report-2010-activity.htm</w:t>
        </w:r>
      </w:hyperlink>
      <w:r>
        <w:t xml:space="preserve"> </w:t>
      </w:r>
    </w:p>
  </w:endnote>
  <w:endnote w:id="24">
    <w:p w:rsidR="00354397" w:rsidRDefault="00354397" w:rsidP="000F7BD9">
      <w:pPr>
        <w:pStyle w:val="EndnoteText"/>
      </w:pPr>
      <w:r>
        <w:rPr>
          <w:rStyle w:val="EndnoteReference"/>
        </w:rPr>
        <w:endnoteRef/>
      </w:r>
      <w:r>
        <w:t xml:space="preserve"> </w:t>
      </w:r>
      <w:r w:rsidRPr="000F7BD9">
        <w:t>The E</w:t>
      </w:r>
      <w:r>
        <w:t>IB</w:t>
      </w:r>
      <w:r w:rsidRPr="000F7BD9">
        <w:t xml:space="preserve"> Group Corporate Operational Plan 2011-2013 </w:t>
      </w:r>
      <w:r>
        <w:t xml:space="preserve"> </w:t>
      </w:r>
      <w:hyperlink r:id="rId25" w:history="1">
        <w:r w:rsidRPr="003E061F">
          <w:rPr>
            <w:rStyle w:val="Hyperlink"/>
          </w:rPr>
          <w:t>http://www.eib.org/attachments/strategies/cop_2011_en.pdf</w:t>
        </w:r>
      </w:hyperlink>
      <w:r>
        <w:t xml:space="preserve"> </w:t>
      </w:r>
    </w:p>
  </w:endnote>
  <w:endnote w:id="25">
    <w:p w:rsidR="00354397" w:rsidRPr="007F3A6E" w:rsidRDefault="00354397" w:rsidP="00457F82">
      <w:pPr>
        <w:pStyle w:val="EndnoteText"/>
      </w:pPr>
      <w:r w:rsidRPr="007F3A6E">
        <w:rPr>
          <w:rStyle w:val="EndnoteReference"/>
        </w:rPr>
        <w:endnoteRef/>
      </w:r>
      <w:r w:rsidRPr="007F3A6E">
        <w:t xml:space="preserve">  World Bank 2010 </w:t>
      </w:r>
      <w:r w:rsidRPr="007F3A6E">
        <w:rPr>
          <w:bCs/>
        </w:rPr>
        <w:t>Europe and Central Asia: Post-Crisis Strategy for ECA 2010 Regional Strategy Update</w:t>
      </w:r>
      <w:r w:rsidRPr="007F3A6E">
        <w:t xml:space="preserve"> Feb 2010  SecM2010-0080  </w:t>
      </w:r>
      <w:hyperlink r:id="rId26" w:history="1">
        <w:r w:rsidRPr="007F3A6E">
          <w:rPr>
            <w:rStyle w:val="Hyperlink"/>
          </w:rPr>
          <w:t>http://www.wbif.eu/attached_documents/9963/3292/World_Bank_ECA_Strategy_Apr_2010.pdf</w:t>
        </w:r>
      </w:hyperlink>
      <w:r w:rsidRPr="007F3A6E">
        <w:t xml:space="preserve"> </w:t>
      </w:r>
    </w:p>
  </w:endnote>
  <w:endnote w:id="26">
    <w:p w:rsidR="00354397" w:rsidRPr="007F3A6E" w:rsidRDefault="00354397">
      <w:pPr>
        <w:pStyle w:val="EndnoteText"/>
      </w:pPr>
      <w:r w:rsidRPr="007F3A6E">
        <w:rPr>
          <w:rStyle w:val="EndnoteReference"/>
        </w:rPr>
        <w:endnoteRef/>
      </w:r>
      <w:r w:rsidRPr="007F3A6E">
        <w:t xml:space="preserve"> </w:t>
      </w:r>
      <w:hyperlink r:id="rId27" w:history="1">
        <w:r w:rsidRPr="007F3A6E">
          <w:rPr>
            <w:rStyle w:val="Hyperlink"/>
          </w:rPr>
          <w:t>http://www.oecd.org/department/0,3355,en_2649_34343_1_1_1_1_1,00.html</w:t>
        </w:r>
      </w:hyperlink>
    </w:p>
  </w:endnote>
  <w:endnote w:id="27">
    <w:p w:rsidR="00354397" w:rsidRDefault="00354397">
      <w:pPr>
        <w:pStyle w:val="EndnoteText"/>
      </w:pPr>
      <w:r>
        <w:rPr>
          <w:rStyle w:val="EndnoteReference"/>
        </w:rPr>
        <w:endnoteRef/>
      </w:r>
      <w:r>
        <w:t xml:space="preserve"> </w:t>
      </w:r>
      <w:hyperlink r:id="rId28" w:history="1">
        <w:r w:rsidRPr="00EB2481">
          <w:rPr>
            <w:rStyle w:val="Hyperlink"/>
          </w:rPr>
          <w:t>http://www.unece.org/press/pr2011/11ecid_p02e.htm</w:t>
        </w:r>
      </w:hyperlink>
    </w:p>
  </w:endnote>
  <w:endnote w:id="28">
    <w:p w:rsidR="00354397" w:rsidRPr="007F3A6E" w:rsidRDefault="00354397">
      <w:pPr>
        <w:pStyle w:val="EndnoteText"/>
      </w:pPr>
      <w:r w:rsidRPr="007F3A6E">
        <w:rPr>
          <w:rStyle w:val="EndnoteReference"/>
        </w:rPr>
        <w:endnoteRef/>
      </w:r>
      <w:r w:rsidRPr="007F3A6E">
        <w:t xml:space="preserve"> </w:t>
      </w:r>
      <w:hyperlink r:id="rId29" w:history="1">
        <w:r w:rsidRPr="007F3A6E">
          <w:rPr>
            <w:rStyle w:val="Hyperlink"/>
          </w:rPr>
          <w:t>http://www.unece.org/env/efe/welcome.html</w:t>
        </w:r>
      </w:hyperlink>
    </w:p>
  </w:endnote>
  <w:endnote w:id="29">
    <w:p w:rsidR="00354397" w:rsidRPr="007F3A6E" w:rsidRDefault="00354397" w:rsidP="005026E6">
      <w:pPr>
        <w:rPr>
          <w:sz w:val="20"/>
          <w:szCs w:val="20"/>
          <w:lang w:eastAsia="en-GB"/>
        </w:rPr>
      </w:pPr>
      <w:r w:rsidRPr="007F3A6E">
        <w:rPr>
          <w:rStyle w:val="EndnoteReference"/>
          <w:sz w:val="20"/>
          <w:szCs w:val="20"/>
        </w:rPr>
        <w:endnoteRef/>
      </w:r>
      <w:r w:rsidRPr="007F3A6E">
        <w:rPr>
          <w:sz w:val="20"/>
          <w:szCs w:val="20"/>
        </w:rPr>
        <w:t xml:space="preserve"> </w:t>
      </w:r>
      <w:r w:rsidRPr="007F3A6E">
        <w:rPr>
          <w:sz w:val="20"/>
          <w:szCs w:val="20"/>
          <w:lang w:eastAsia="en-GB"/>
        </w:rPr>
        <w:t>Implementation of the European Neighbourhood Policy in 2009 Progress Reports Armenia, Azerbaijan, Georgia, Moldova, Ukraine 12/05/2010 SEC(2010) 513-525</w:t>
      </w:r>
    </w:p>
  </w:endnote>
  <w:endnote w:id="30">
    <w:p w:rsidR="00354397" w:rsidRPr="007F3A6E" w:rsidRDefault="00354397" w:rsidP="00EB2481">
      <w:pPr>
        <w:pStyle w:val="EndnoteText"/>
      </w:pPr>
      <w:r w:rsidRPr="007F3A6E">
        <w:rPr>
          <w:rStyle w:val="EndnoteReference"/>
        </w:rPr>
        <w:endnoteRef/>
      </w:r>
      <w:r w:rsidRPr="007F3A6E">
        <w:t xml:space="preserve">  World Bank 2010 </w:t>
      </w:r>
      <w:r w:rsidRPr="007F3A6E">
        <w:rPr>
          <w:bCs/>
        </w:rPr>
        <w:t>Europe and Central Asia: Post-Crisis Strategy for ECA 2010 Regional Strategy Update</w:t>
      </w:r>
      <w:r w:rsidRPr="007F3A6E">
        <w:t xml:space="preserve"> Feb 2010  SecM2010-0080  </w:t>
      </w:r>
      <w:hyperlink r:id="rId30" w:history="1">
        <w:r w:rsidRPr="007F3A6E">
          <w:rPr>
            <w:rStyle w:val="Hyperlink"/>
          </w:rPr>
          <w:t>http://www.wbif.eu/attached_documents/9963/3292/World_Bank_ECA_Strategy_Apr_2010.pdf</w:t>
        </w:r>
      </w:hyperlink>
      <w:r w:rsidRPr="007F3A6E">
        <w:t xml:space="preserve"> </w:t>
      </w:r>
    </w:p>
  </w:endnote>
  <w:endnote w:id="31">
    <w:p w:rsidR="00354397" w:rsidRPr="007F3A6E" w:rsidRDefault="00354397" w:rsidP="00EB2481">
      <w:pPr>
        <w:pStyle w:val="EndnoteText"/>
      </w:pPr>
      <w:r w:rsidRPr="007F3A6E">
        <w:rPr>
          <w:rStyle w:val="EndnoteReference"/>
        </w:rPr>
        <w:endnoteRef/>
      </w:r>
      <w:r w:rsidRPr="007F3A6E">
        <w:t xml:space="preserve"> </w:t>
      </w:r>
      <w:hyperlink r:id="rId31" w:history="1">
        <w:r w:rsidRPr="007F3A6E">
          <w:rPr>
            <w:rStyle w:val="Hyperlink"/>
          </w:rPr>
          <w:t>http://www.oecd.org/department/0,3355,en_2649_34343_1_1_1_1_1,00.html</w:t>
        </w:r>
      </w:hyperlink>
    </w:p>
  </w:endnote>
  <w:endnote w:id="32">
    <w:p w:rsidR="00354397" w:rsidRPr="007F3A6E" w:rsidRDefault="00354397" w:rsidP="00EB2481">
      <w:pPr>
        <w:pStyle w:val="EndnoteText"/>
      </w:pPr>
      <w:r w:rsidRPr="007F3A6E">
        <w:rPr>
          <w:rStyle w:val="EndnoteReference"/>
        </w:rPr>
        <w:endnoteRef/>
      </w:r>
      <w:r w:rsidRPr="007F3A6E">
        <w:t xml:space="preserve"> </w:t>
      </w:r>
      <w:hyperlink r:id="rId32" w:history="1">
        <w:r w:rsidRPr="007F3A6E">
          <w:rPr>
            <w:rStyle w:val="Hyperlink"/>
          </w:rPr>
          <w:t>http://www.oecd.org/document/34/0,3746,en_2649_33722239_34983714_1_1_1_1,00.html</w:t>
        </w:r>
      </w:hyperlink>
    </w:p>
  </w:endnote>
  <w:endnote w:id="33">
    <w:p w:rsidR="00354397" w:rsidRPr="007F3A6E" w:rsidRDefault="00354397" w:rsidP="00EB2481">
      <w:pPr>
        <w:pStyle w:val="EndnoteText"/>
      </w:pPr>
      <w:r w:rsidRPr="007F3A6E">
        <w:rPr>
          <w:rStyle w:val="EndnoteReference"/>
        </w:rPr>
        <w:endnoteRef/>
      </w:r>
      <w:r w:rsidRPr="007F3A6E">
        <w:t xml:space="preserve"> </w:t>
      </w:r>
      <w:hyperlink r:id="rId33" w:history="1">
        <w:r w:rsidRPr="007F3A6E">
          <w:rPr>
            <w:rStyle w:val="Hyperlink"/>
          </w:rPr>
          <w:t>http://www.oecd.org/document/34/0,3746,en_2649_33722239_34983714_1_1_1_1,00.html</w:t>
        </w:r>
      </w:hyperlink>
    </w:p>
  </w:endnote>
  <w:endnote w:id="34">
    <w:p w:rsidR="00354397" w:rsidRPr="007F3A6E" w:rsidRDefault="00354397" w:rsidP="00EB2481">
      <w:pPr>
        <w:pStyle w:val="EndnoteText"/>
      </w:pPr>
      <w:r w:rsidRPr="007F3A6E">
        <w:rPr>
          <w:rStyle w:val="EndnoteReference"/>
        </w:rPr>
        <w:endnoteRef/>
      </w:r>
      <w:r w:rsidRPr="007F3A6E">
        <w:t xml:space="preserve"> </w:t>
      </w:r>
      <w:hyperlink r:id="rId34" w:history="1">
        <w:r w:rsidRPr="007F3A6E">
          <w:rPr>
            <w:rStyle w:val="Hyperlink"/>
          </w:rPr>
          <w:t>http://www.oecd.org/document/34/0,3746,en_2649_33722239_34983714_1_1_1_1,00.html</w:t>
        </w:r>
      </w:hyperlink>
    </w:p>
  </w:endnote>
  <w:endnote w:id="35">
    <w:p w:rsidR="00354397" w:rsidRPr="007F3A6E" w:rsidRDefault="00354397" w:rsidP="00EB2481">
      <w:pPr>
        <w:pStyle w:val="EndnoteText"/>
      </w:pPr>
      <w:r w:rsidRPr="007F3A6E">
        <w:rPr>
          <w:rStyle w:val="EndnoteReference"/>
        </w:rPr>
        <w:endnoteRef/>
      </w:r>
      <w:r w:rsidRPr="007F3A6E">
        <w:t xml:space="preserve"> </w:t>
      </w:r>
      <w:hyperlink r:id="rId35" w:history="1">
        <w:r w:rsidRPr="007F3A6E">
          <w:rPr>
            <w:rStyle w:val="Hyperlink"/>
          </w:rPr>
          <w:t>http://www.oecd.org/document/34/0,3746,en_2649_33722239_34983714_1_1_1_1,00.html</w:t>
        </w:r>
      </w:hyperlink>
    </w:p>
  </w:endnote>
  <w:endnote w:id="36">
    <w:p w:rsidR="00354397" w:rsidRPr="007F3A6E" w:rsidRDefault="00354397" w:rsidP="00EB2481">
      <w:pPr>
        <w:pStyle w:val="EndnoteText"/>
      </w:pPr>
      <w:r w:rsidRPr="007F3A6E">
        <w:rPr>
          <w:rStyle w:val="EndnoteReference"/>
        </w:rPr>
        <w:endnoteRef/>
      </w:r>
      <w:r w:rsidRPr="007F3A6E">
        <w:t xml:space="preserve"> </w:t>
      </w:r>
      <w:hyperlink r:id="rId36" w:history="1">
        <w:r w:rsidRPr="007F3A6E">
          <w:rPr>
            <w:rStyle w:val="Hyperlink"/>
          </w:rPr>
          <w:t>http://www.unece.org/env/efe/welcome.html</w:t>
        </w:r>
      </w:hyperlink>
    </w:p>
  </w:endnote>
  <w:endnote w:id="37">
    <w:p w:rsidR="00354397" w:rsidRPr="007F3A6E" w:rsidRDefault="00354397" w:rsidP="00EB2481">
      <w:pPr>
        <w:pStyle w:val="EndnoteText"/>
      </w:pPr>
      <w:r w:rsidRPr="007F3A6E">
        <w:rPr>
          <w:rStyle w:val="EndnoteReference"/>
        </w:rPr>
        <w:endnoteRef/>
      </w:r>
      <w:r w:rsidRPr="007F3A6E">
        <w:t xml:space="preserve"> </w:t>
      </w:r>
      <w:hyperlink r:id="rId37" w:history="1">
        <w:r w:rsidRPr="007F3A6E">
          <w:rPr>
            <w:rStyle w:val="Hyperlink"/>
          </w:rPr>
          <w:t>http://www.unece.org/publications/environment/epr/welcome.htm</w:t>
        </w:r>
      </w:hyperlink>
    </w:p>
  </w:endnote>
  <w:endnote w:id="38">
    <w:p w:rsidR="00354397" w:rsidRPr="007F3A6E" w:rsidRDefault="00354397" w:rsidP="00EB2481">
      <w:pPr>
        <w:pStyle w:val="EndnoteText"/>
      </w:pPr>
      <w:r w:rsidRPr="007F3A6E">
        <w:rPr>
          <w:rStyle w:val="EndnoteReference"/>
        </w:rPr>
        <w:endnoteRef/>
      </w:r>
      <w:r w:rsidRPr="007F3A6E">
        <w:t xml:space="preserve"> </w:t>
      </w:r>
      <w:hyperlink r:id="rId38" w:history="1">
        <w:r w:rsidRPr="007F3A6E">
          <w:rPr>
            <w:rStyle w:val="Hyperlink"/>
          </w:rPr>
          <w:t>http://www.unece.org/env/epr/epr_studies/Georgia II.pdf</w:t>
        </w:r>
      </w:hyperlink>
    </w:p>
  </w:endnote>
  <w:endnote w:id="39">
    <w:p w:rsidR="00354397" w:rsidRPr="00A84CFF" w:rsidRDefault="00354397" w:rsidP="00A84CFF">
      <w:pPr>
        <w:pStyle w:val="EndnoteText"/>
      </w:pPr>
      <w:r>
        <w:rPr>
          <w:rStyle w:val="EndnoteReference"/>
        </w:rPr>
        <w:endnoteRef/>
      </w:r>
      <w:r>
        <w:t xml:space="preserve">  </w:t>
      </w:r>
      <w:r w:rsidRPr="00A84CFF">
        <w:t>TOV REMONDIS Ukraine</w:t>
      </w:r>
    </w:p>
    <w:p w:rsidR="00354397" w:rsidRPr="00A84CFF" w:rsidRDefault="00354397" w:rsidP="00A84CFF">
      <w:pPr>
        <w:pStyle w:val="EndnoteText"/>
      </w:pPr>
      <w:r w:rsidRPr="00A84CFF">
        <w:t>Niederlassung Pawlograd</w:t>
      </w:r>
    </w:p>
    <w:p w:rsidR="00354397" w:rsidRPr="00A84CFF" w:rsidRDefault="00354397" w:rsidP="00A84CFF">
      <w:pPr>
        <w:pStyle w:val="EndnoteText"/>
      </w:pPr>
      <w:r w:rsidRPr="00A84CFF">
        <w:t>Gorkogo 103</w:t>
      </w:r>
    </w:p>
    <w:p w:rsidR="00354397" w:rsidRPr="00A84CFF" w:rsidRDefault="00354397" w:rsidP="00A84CFF">
      <w:pPr>
        <w:pStyle w:val="EndnoteText"/>
      </w:pPr>
      <w:r w:rsidRPr="00A84CFF">
        <w:t>51400 Pawlograd</w:t>
      </w:r>
    </w:p>
    <w:p w:rsidR="00354397" w:rsidRPr="00A84CFF" w:rsidRDefault="00354397" w:rsidP="00A84CFF">
      <w:pPr>
        <w:pStyle w:val="EndnoteText"/>
      </w:pPr>
      <w:r w:rsidRPr="00A84CFF">
        <w:t>Ukraine</w:t>
      </w:r>
    </w:p>
    <w:p w:rsidR="00354397" w:rsidRPr="00A84CFF" w:rsidRDefault="00354397" w:rsidP="00A84CFF">
      <w:pPr>
        <w:pStyle w:val="EndnoteText"/>
      </w:pPr>
      <w:r w:rsidRPr="00A84CFF">
        <w:t>Tel.: +380 93 3424566</w:t>
      </w:r>
    </w:p>
    <w:p w:rsidR="00354397" w:rsidRDefault="00354397">
      <w:pPr>
        <w:pStyle w:val="EndnoteText"/>
      </w:pPr>
      <w:r w:rsidRPr="00A84CFF">
        <w:t>Fax: +380 44 4992103</w:t>
      </w:r>
    </w:p>
  </w:endnote>
  <w:endnote w:id="40">
    <w:p w:rsidR="00354397" w:rsidRPr="007F3A6E" w:rsidRDefault="00354397" w:rsidP="005026E6">
      <w:pPr>
        <w:pStyle w:val="EndnoteText"/>
      </w:pPr>
      <w:r w:rsidRPr="007F3A6E">
        <w:rPr>
          <w:rStyle w:val="EndnoteReference"/>
        </w:rPr>
        <w:endnoteRef/>
      </w:r>
      <w:r w:rsidRPr="007F3A6E">
        <w:t xml:space="preserve"> </w:t>
      </w:r>
      <w:hyperlink r:id="rId39" w:history="1">
        <w:r w:rsidRPr="007F3A6E">
          <w:rPr>
            <w:rStyle w:val="Hyperlink"/>
          </w:rPr>
          <w:t>http://www.remondis.ua/ru/rua/sonderseiten/glavnaja/</w:t>
        </w:r>
      </w:hyperlink>
      <w:r w:rsidRPr="007F3A6E">
        <w:t xml:space="preserve"> </w:t>
      </w:r>
    </w:p>
  </w:endnote>
  <w:endnote w:id="41">
    <w:p w:rsidR="00354397" w:rsidRPr="00A84CFF" w:rsidRDefault="00354397" w:rsidP="00A84CFF">
      <w:pPr>
        <w:pStyle w:val="EndnoteText"/>
      </w:pPr>
      <w:r>
        <w:rPr>
          <w:rStyle w:val="EndnoteReference"/>
        </w:rPr>
        <w:endnoteRef/>
      </w:r>
      <w:r>
        <w:t xml:space="preserve"> </w:t>
      </w:r>
      <w:r w:rsidRPr="00A84CFF">
        <w:t>Altvater Kiev</w:t>
      </w:r>
    </w:p>
    <w:p w:rsidR="00354397" w:rsidRPr="00A84CFF" w:rsidRDefault="00354397" w:rsidP="00A84CFF">
      <w:pPr>
        <w:pStyle w:val="EndnoteText"/>
      </w:pPr>
      <w:r w:rsidRPr="00A84CFF">
        <w:t>25/2 V. Zhitomirska str.</w:t>
      </w:r>
      <w:r w:rsidRPr="00A84CFF">
        <w:br/>
        <w:t>UA - 01025 Kiev</w:t>
      </w:r>
    </w:p>
    <w:p w:rsidR="00354397" w:rsidRDefault="00354397">
      <w:pPr>
        <w:pStyle w:val="EndnoteText"/>
      </w:pPr>
      <w:r w:rsidRPr="00A84CFF">
        <w:t xml:space="preserve">Phone : +38 044 594 0072 </w:t>
      </w:r>
      <w:r w:rsidRPr="00A84CFF">
        <w:br/>
        <w:t xml:space="preserve">Fax : +38 044 594 0072 </w:t>
      </w:r>
      <w:r w:rsidRPr="00A84CFF">
        <w:br/>
        <w:t xml:space="preserve">E-mail : </w:t>
      </w:r>
      <w:hyperlink r:id="rId40" w:history="1">
        <w:r w:rsidRPr="00A84CFF">
          <w:rPr>
            <w:rStyle w:val="Hyperlink"/>
          </w:rPr>
          <w:t>info@veolia-es.com.ua</w:t>
        </w:r>
      </w:hyperlink>
      <w:r w:rsidRPr="00A84CFF">
        <w:t xml:space="preserve"> </w:t>
      </w:r>
      <w:r w:rsidRPr="00A84CFF">
        <w:br/>
        <w:t xml:space="preserve">Website : </w:t>
      </w:r>
      <w:hyperlink r:id="rId41" w:history="1">
        <w:r w:rsidRPr="00A84CFF">
          <w:rPr>
            <w:rStyle w:val="Hyperlink"/>
          </w:rPr>
          <w:t>www.veolia-es.com.ua</w:t>
        </w:r>
      </w:hyperlink>
      <w:r>
        <w:t xml:space="preserve"> </w:t>
      </w:r>
    </w:p>
  </w:endnote>
  <w:endnote w:id="42">
    <w:p w:rsidR="00354397" w:rsidRPr="007F3A6E" w:rsidRDefault="00354397" w:rsidP="005026E6">
      <w:pPr>
        <w:pStyle w:val="EndnoteText"/>
      </w:pPr>
      <w:r w:rsidRPr="007F3A6E">
        <w:rPr>
          <w:rStyle w:val="EndnoteReference"/>
        </w:rPr>
        <w:endnoteRef/>
      </w:r>
      <w:r w:rsidRPr="007F3A6E">
        <w:t xml:space="preserve"> </w:t>
      </w:r>
      <w:hyperlink r:id="rId42" w:history="1">
        <w:r w:rsidRPr="007F3A6E">
          <w:rPr>
            <w:rStyle w:val="Hyperlink"/>
          </w:rPr>
          <w:t>http://www.veolia-es.com.ua/ru/news/29/</w:t>
        </w:r>
      </w:hyperlink>
      <w:r w:rsidRPr="007F3A6E">
        <w:t xml:space="preserve"> </w:t>
      </w:r>
    </w:p>
  </w:endnote>
  <w:endnote w:id="43">
    <w:p w:rsidR="00354397" w:rsidRPr="007F3A6E" w:rsidRDefault="00354397" w:rsidP="005026E6">
      <w:pPr>
        <w:pStyle w:val="EndnoteText"/>
      </w:pPr>
      <w:r w:rsidRPr="007F3A6E">
        <w:rPr>
          <w:rStyle w:val="EndnoteReference"/>
        </w:rPr>
        <w:endnoteRef/>
      </w:r>
      <w:r w:rsidRPr="007F3A6E">
        <w:t xml:space="preserve"> </w:t>
      </w:r>
      <w:hyperlink r:id="rId43" w:history="1">
        <w:r w:rsidRPr="007F3A6E">
          <w:rPr>
            <w:rStyle w:val="Hyperlink"/>
          </w:rPr>
          <w:t>http://www.veolia-es.com.ua/ru/news/50/</w:t>
        </w:r>
      </w:hyperlink>
      <w:r w:rsidRPr="007F3A6E">
        <w:t xml:space="preserve"> </w:t>
      </w:r>
    </w:p>
  </w:endnote>
  <w:endnote w:id="44">
    <w:p w:rsidR="00354397" w:rsidRDefault="00354397">
      <w:pPr>
        <w:pStyle w:val="EndnoteText"/>
      </w:pPr>
      <w:r>
        <w:rPr>
          <w:rStyle w:val="EndnoteReference"/>
        </w:rPr>
        <w:endnoteRef/>
      </w:r>
      <w:r>
        <w:t xml:space="preserve"> </w:t>
      </w:r>
      <w:hyperlink r:id="rId44" w:history="1">
        <w:r w:rsidRPr="005316A4">
          <w:rPr>
            <w:rStyle w:val="Hyperlink"/>
          </w:rPr>
          <w:t>http://www.energy-community.org</w:t>
        </w:r>
      </w:hyperlink>
    </w:p>
  </w:endnote>
  <w:endnote w:id="45">
    <w:p w:rsidR="00354397" w:rsidRDefault="00354397">
      <w:pPr>
        <w:pStyle w:val="EndnoteText"/>
      </w:pPr>
      <w:r>
        <w:rPr>
          <w:rStyle w:val="EndnoteReference"/>
        </w:rPr>
        <w:endnoteRef/>
      </w:r>
      <w:r>
        <w:t xml:space="preserve"> </w:t>
      </w:r>
      <w:r w:rsidRPr="005316A4">
        <w:t xml:space="preserve"> </w:t>
      </w:r>
      <w:hyperlink r:id="rId45" w:history="1">
        <w:r w:rsidRPr="005316A4">
          <w:rPr>
            <w:rStyle w:val="Hyperlink"/>
          </w:rPr>
          <w:t>http://www.encharter.org</w:t>
        </w:r>
      </w:hyperlink>
    </w:p>
  </w:endnote>
  <w:endnote w:id="46">
    <w:p w:rsidR="00354397" w:rsidRPr="007F3A6E" w:rsidRDefault="00354397" w:rsidP="00A84CFF">
      <w:pPr>
        <w:autoSpaceDE w:val="0"/>
        <w:autoSpaceDN w:val="0"/>
        <w:adjustRightInd w:val="0"/>
        <w:rPr>
          <w:sz w:val="20"/>
          <w:szCs w:val="20"/>
        </w:rPr>
      </w:pPr>
      <w:r w:rsidRPr="007F3A6E">
        <w:rPr>
          <w:rStyle w:val="EndnoteReference"/>
          <w:sz w:val="20"/>
          <w:szCs w:val="20"/>
        </w:rPr>
        <w:endnoteRef/>
      </w:r>
      <w:r w:rsidRPr="007F3A6E">
        <w:rPr>
          <w:sz w:val="20"/>
          <w:szCs w:val="20"/>
        </w:rPr>
        <w:t xml:space="preserve"> </w:t>
      </w:r>
      <w:r w:rsidRPr="007F3A6E">
        <w:rPr>
          <w:rFonts w:eastAsia="Times New Roman"/>
          <w:bCs/>
          <w:sz w:val="20"/>
          <w:szCs w:val="20"/>
          <w:lang w:eastAsia="en-GB"/>
        </w:rPr>
        <w:t>Energy 2020: A strategy for competitive, sustainable and secure energy</w:t>
      </w:r>
      <w:r w:rsidRPr="007F3A6E">
        <w:rPr>
          <w:rFonts w:eastAsia="Times New Roman"/>
          <w:sz w:val="20"/>
          <w:szCs w:val="20"/>
          <w:lang w:eastAsia="en-GB"/>
        </w:rPr>
        <w:t xml:space="preserve"> COM(2010) 639 10.11.2010 </w:t>
      </w:r>
      <w:r w:rsidRPr="007F3A6E">
        <w:rPr>
          <w:sz w:val="20"/>
          <w:szCs w:val="20"/>
        </w:rPr>
        <w:t xml:space="preserve"> </w:t>
      </w:r>
      <w:hyperlink r:id="rId46" w:history="1">
        <w:r w:rsidRPr="007F3A6E">
          <w:rPr>
            <w:rStyle w:val="Hyperlink"/>
            <w:sz w:val="20"/>
            <w:szCs w:val="20"/>
          </w:rPr>
          <w:t>http://ec.europa.eu/eu2020/index_en.htm</w:t>
        </w:r>
      </w:hyperlink>
      <w:r w:rsidRPr="007F3A6E">
        <w:rPr>
          <w:sz w:val="20"/>
          <w:szCs w:val="20"/>
        </w:rPr>
        <w:t xml:space="preserve"> </w:t>
      </w:r>
    </w:p>
  </w:endnote>
  <w:endnote w:id="47">
    <w:p w:rsidR="00354397" w:rsidRPr="007F3A6E" w:rsidRDefault="00354397" w:rsidP="005026E6">
      <w:pPr>
        <w:rPr>
          <w:sz w:val="20"/>
          <w:szCs w:val="20"/>
          <w:lang w:val="en-US" w:eastAsia="en-GB"/>
        </w:rPr>
      </w:pPr>
      <w:r w:rsidRPr="007F3A6E">
        <w:rPr>
          <w:rStyle w:val="EndnoteReference"/>
          <w:sz w:val="20"/>
          <w:szCs w:val="20"/>
        </w:rPr>
        <w:endnoteRef/>
      </w:r>
      <w:r w:rsidRPr="007F3A6E">
        <w:rPr>
          <w:sz w:val="20"/>
          <w:szCs w:val="20"/>
        </w:rPr>
        <w:t xml:space="preserve"> </w:t>
      </w:r>
      <w:r w:rsidRPr="007F3A6E">
        <w:rPr>
          <w:sz w:val="20"/>
          <w:szCs w:val="20"/>
          <w:lang w:eastAsia="en-GB"/>
        </w:rPr>
        <w:t>Implementation of the European Neighbourhood Policy in 2009 Progress Reports Armenia, Azerbaijan, Georgia, Moldova, Ukraine 12/05/2010 SEC(2010) 513-525</w:t>
      </w:r>
      <w:r>
        <w:rPr>
          <w:sz w:val="20"/>
          <w:szCs w:val="20"/>
          <w:lang w:eastAsia="en-GB"/>
        </w:rPr>
        <w:t xml:space="preserve"> </w:t>
      </w:r>
      <w:hyperlink r:id="rId47" w:history="1">
        <w:r w:rsidRPr="003E061F">
          <w:rPr>
            <w:rStyle w:val="Hyperlink"/>
            <w:sz w:val="20"/>
            <w:szCs w:val="20"/>
            <w:lang w:eastAsia="en-GB"/>
          </w:rPr>
          <w:t>http://ec.europa.eu/world/enp/documents_en.htm</w:t>
        </w:r>
      </w:hyperlink>
      <w:r>
        <w:rPr>
          <w:sz w:val="20"/>
          <w:szCs w:val="20"/>
          <w:lang w:eastAsia="en-GB"/>
        </w:rPr>
        <w:t xml:space="preserve"> </w:t>
      </w:r>
    </w:p>
  </w:endnote>
  <w:endnote w:id="48">
    <w:p w:rsidR="00354397" w:rsidRDefault="00354397">
      <w:pPr>
        <w:pStyle w:val="EndnoteText"/>
      </w:pPr>
      <w:r>
        <w:rPr>
          <w:rStyle w:val="EndnoteReference"/>
        </w:rPr>
        <w:endnoteRef/>
      </w:r>
      <w:r>
        <w:t xml:space="preserve">  </w:t>
      </w:r>
      <w:hyperlink r:id="rId48" w:history="1">
        <w:r w:rsidRPr="003E061F">
          <w:rPr>
            <w:rStyle w:val="Hyperlink"/>
          </w:rPr>
          <w:t>http://ec.europa.eu/world/enp/pdf/progress2011/sec_11_639_en.pdf</w:t>
        </w:r>
      </w:hyperlink>
      <w:r>
        <w:t xml:space="preserve"> </w:t>
      </w:r>
    </w:p>
  </w:endnote>
  <w:endnote w:id="49">
    <w:p w:rsidR="00354397" w:rsidRDefault="00354397" w:rsidP="00E42727">
      <w:pPr>
        <w:pStyle w:val="EndnoteText"/>
      </w:pPr>
      <w:r>
        <w:rPr>
          <w:rStyle w:val="EndnoteReference"/>
        </w:rPr>
        <w:endnoteRef/>
      </w:r>
      <w:r>
        <w:t xml:space="preserve"> Implementation of the European Neighbourhood Policy in 2009 Progress Report Republic of Moldova  </w:t>
      </w:r>
      <w:hyperlink r:id="rId49" w:history="1">
        <w:r w:rsidRPr="00712406">
          <w:rPr>
            <w:rStyle w:val="Hyperlink"/>
          </w:rPr>
          <w:t>http://eur-lex.europa.eu/LexUriServ/LexUriServ.do?uri=CELEX:52010SC0523:EN:NOT</w:t>
        </w:r>
      </w:hyperlink>
      <w:r>
        <w:t xml:space="preserve"> </w:t>
      </w:r>
    </w:p>
  </w:endnote>
  <w:endnote w:id="50">
    <w:p w:rsidR="00354397" w:rsidRDefault="00354397" w:rsidP="00455DCD">
      <w:pPr>
        <w:pStyle w:val="EndnoteText"/>
      </w:pPr>
      <w:r>
        <w:rPr>
          <w:rStyle w:val="EndnoteReference"/>
        </w:rPr>
        <w:endnoteRef/>
      </w:r>
      <w:r>
        <w:t xml:space="preserve"> EBRD Annual report 2010 </w:t>
      </w:r>
      <w:hyperlink r:id="rId50" w:history="1">
        <w:r w:rsidRPr="00226ED4">
          <w:rPr>
            <w:rStyle w:val="Hyperlink"/>
          </w:rPr>
          <w:t>http://www.ebrd.com/downloads/research/annual/ar10e.pdf</w:t>
        </w:r>
      </w:hyperlink>
      <w:r>
        <w:t xml:space="preserve"> </w:t>
      </w:r>
    </w:p>
  </w:endnote>
  <w:endnote w:id="51">
    <w:p w:rsidR="00354397" w:rsidRPr="00E42727" w:rsidRDefault="00354397" w:rsidP="00455DCD">
      <w:pPr>
        <w:pStyle w:val="EndnoteText"/>
      </w:pPr>
      <w:r>
        <w:rPr>
          <w:rStyle w:val="EndnoteReference"/>
        </w:rPr>
        <w:endnoteRef/>
      </w:r>
      <w:r w:rsidRPr="00E42727">
        <w:t xml:space="preserve">   </w:t>
      </w:r>
      <w:r>
        <w:t>Implementation of the European Neighbourhood Policy in 2009 Progress Report Republic of Moldova</w:t>
      </w:r>
      <w:r w:rsidRPr="00E42727">
        <w:t xml:space="preserve"> </w:t>
      </w:r>
      <w:hyperlink r:id="rId51" w:history="1">
        <w:r w:rsidRPr="00E42727">
          <w:rPr>
            <w:rStyle w:val="Hyperlink"/>
          </w:rPr>
          <w:t>http://eur-lex.europa.eu/LexUriServ/LexUriServ.do?uri=CELEX:52010SC0523:EN:NOT</w:t>
        </w:r>
      </w:hyperlink>
    </w:p>
  </w:endnote>
  <w:endnote w:id="52">
    <w:p w:rsidR="00354397" w:rsidRDefault="00354397" w:rsidP="00DC1008">
      <w:pPr>
        <w:pStyle w:val="EndnoteText"/>
      </w:pPr>
      <w:r>
        <w:rPr>
          <w:rStyle w:val="EndnoteReference"/>
        </w:rPr>
        <w:endnoteRef/>
      </w:r>
      <w:r>
        <w:t xml:space="preserve"> </w:t>
      </w:r>
      <w:hyperlink r:id="rId52" w:history="1">
        <w:r w:rsidRPr="003E061F">
          <w:rPr>
            <w:rStyle w:val="Hyperlink"/>
          </w:rPr>
          <w:t>http://www.ebrd.com/english/pages/project/psd/2009/40302.shtml</w:t>
        </w:r>
      </w:hyperlink>
      <w:r>
        <w:t xml:space="preserve"> </w:t>
      </w:r>
    </w:p>
  </w:endnote>
  <w:endnote w:id="53">
    <w:p w:rsidR="00354397" w:rsidRDefault="00354397">
      <w:pPr>
        <w:pStyle w:val="EndnoteText"/>
      </w:pPr>
      <w:r>
        <w:rPr>
          <w:rStyle w:val="EndnoteReference"/>
        </w:rPr>
        <w:endnoteRef/>
      </w:r>
      <w:r>
        <w:t xml:space="preserve"> EBRD Annual report 2010 </w:t>
      </w:r>
      <w:hyperlink r:id="rId53" w:history="1">
        <w:r w:rsidRPr="00226ED4">
          <w:rPr>
            <w:rStyle w:val="Hyperlink"/>
          </w:rPr>
          <w:t>http://www.ebrd.com/downloads/research/annual/ar10e.pdf</w:t>
        </w:r>
      </w:hyperlink>
    </w:p>
  </w:endnote>
  <w:endnote w:id="54">
    <w:p w:rsidR="00354397" w:rsidRPr="00FC6ED7" w:rsidRDefault="00354397" w:rsidP="00124832">
      <w:pPr>
        <w:rPr>
          <w:sz w:val="20"/>
          <w:szCs w:val="20"/>
        </w:rPr>
      </w:pPr>
      <w:r w:rsidRPr="00FC6ED7">
        <w:rPr>
          <w:rStyle w:val="EndnoteReference"/>
          <w:sz w:val="20"/>
          <w:szCs w:val="20"/>
        </w:rPr>
        <w:endnoteRef/>
      </w:r>
      <w:r w:rsidRPr="00FC6ED7">
        <w:rPr>
          <w:sz w:val="20"/>
          <w:szCs w:val="20"/>
        </w:rPr>
        <w:t xml:space="preserve">FCC  </w:t>
      </w:r>
      <w:r w:rsidRPr="00FC6ED7">
        <w:rPr>
          <w:b/>
          <w:bCs/>
          <w:sz w:val="20"/>
          <w:szCs w:val="20"/>
        </w:rPr>
        <w:t xml:space="preserve">18-05-2009 </w:t>
      </w:r>
      <w:r w:rsidRPr="00FC6ED7">
        <w:rPr>
          <w:kern w:val="36"/>
          <w:sz w:val="20"/>
          <w:szCs w:val="20"/>
        </w:rPr>
        <w:t xml:space="preserve">FCC and the European Bank for Reconstruction and Development (EBRD) create a water infrastructure management company </w:t>
      </w:r>
      <w:hyperlink r:id="rId54" w:history="1">
        <w:r w:rsidRPr="00FC6ED7">
          <w:rPr>
            <w:rStyle w:val="Hyperlink"/>
            <w:sz w:val="20"/>
            <w:szCs w:val="20"/>
          </w:rPr>
          <w:t>http://www.fcc.es/fcc/corp/ing/sdp_n_ddln_434.htm</w:t>
        </w:r>
      </w:hyperlink>
      <w:r w:rsidRPr="00FC6ED7">
        <w:rPr>
          <w:kern w:val="36"/>
          <w:sz w:val="20"/>
          <w:szCs w:val="20"/>
        </w:rPr>
        <w:t xml:space="preserve"> </w:t>
      </w:r>
    </w:p>
  </w:endnote>
  <w:endnote w:id="55">
    <w:p w:rsidR="00354397" w:rsidRPr="00657FF8" w:rsidRDefault="00354397" w:rsidP="00124832">
      <w:pPr>
        <w:rPr>
          <w:sz w:val="20"/>
          <w:szCs w:val="20"/>
          <w:lang w:val="es-ES_tradnl"/>
        </w:rPr>
      </w:pPr>
      <w:r w:rsidRPr="00FC6ED7">
        <w:rPr>
          <w:rStyle w:val="EndnoteReference"/>
          <w:sz w:val="20"/>
          <w:szCs w:val="20"/>
        </w:rPr>
        <w:endnoteRef/>
      </w:r>
      <w:r w:rsidRPr="00657FF8">
        <w:rPr>
          <w:sz w:val="20"/>
          <w:szCs w:val="20"/>
          <w:lang w:val="es-ES_tradnl"/>
        </w:rPr>
        <w:t xml:space="preserve">   Veolia </w:t>
      </w:r>
      <w:hyperlink r:id="rId55" w:history="1">
        <w:r w:rsidRPr="00657FF8">
          <w:rPr>
            <w:rStyle w:val="Hyperlink"/>
            <w:sz w:val="20"/>
            <w:szCs w:val="20"/>
            <w:lang w:val="es-ES_tradnl"/>
          </w:rPr>
          <w:t>http://www.finance.veolia.com/docs/Operating-and-Financial-Review-June-2010-def-sans-mark-up.pdf</w:t>
        </w:r>
      </w:hyperlink>
      <w:r w:rsidRPr="00657FF8">
        <w:rPr>
          <w:sz w:val="20"/>
          <w:szCs w:val="20"/>
          <w:lang w:val="es-ES_tradnl"/>
        </w:rPr>
        <w:t xml:space="preserve"> ; IFC </w:t>
      </w:r>
      <w:hyperlink r:id="rId56" w:history="1">
        <w:r w:rsidRPr="00657FF8">
          <w:rPr>
            <w:rStyle w:val="Hyperlink"/>
            <w:sz w:val="20"/>
            <w:szCs w:val="20"/>
            <w:lang w:val="es-ES_tradnl"/>
          </w:rPr>
          <w:t>http://www.ifc.org/ifcext/media.nsf/content/SelectedPressRelease?OpenDocument&amp;UNID=80FBA1D1C466866085257737005B9ABF</w:t>
        </w:r>
      </w:hyperlink>
      <w:r w:rsidRPr="00657FF8">
        <w:rPr>
          <w:sz w:val="20"/>
          <w:szCs w:val="20"/>
          <w:lang w:val="es-ES_tradnl"/>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397" w:rsidRDefault="003543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397" w:rsidRPr="00652411" w:rsidRDefault="00354397" w:rsidP="00814BF3">
    <w:pPr>
      <w:pStyle w:val="Footer"/>
      <w:pBdr>
        <w:top w:val="single" w:sz="4" w:space="1" w:color="FF0000"/>
      </w:pBdr>
      <w:jc w:val="center"/>
      <w:rPr>
        <w:rFonts w:cs="Lucida Sans Unicode"/>
        <w:sz w:val="16"/>
        <w:szCs w:val="16"/>
      </w:rPr>
    </w:pPr>
    <w:r w:rsidRPr="00652411">
      <w:rPr>
        <w:rFonts w:cs="Lucida Sans Unicode"/>
        <w:sz w:val="16"/>
        <w:szCs w:val="16"/>
      </w:rPr>
      <w:fldChar w:fldCharType="begin"/>
    </w:r>
    <w:r w:rsidRPr="00652411">
      <w:rPr>
        <w:rFonts w:cs="Lucida Sans Unicode"/>
        <w:sz w:val="16"/>
        <w:szCs w:val="16"/>
      </w:rPr>
      <w:instrText xml:space="preserve"> DATE \@ "dd/MM/yyyy" </w:instrText>
    </w:r>
    <w:r w:rsidRPr="00652411">
      <w:rPr>
        <w:rFonts w:cs="Lucida Sans Unicode"/>
        <w:sz w:val="16"/>
        <w:szCs w:val="16"/>
      </w:rPr>
      <w:fldChar w:fldCharType="separate"/>
    </w:r>
    <w:r>
      <w:rPr>
        <w:rFonts w:cs="Lucida Sans Unicode"/>
        <w:noProof/>
        <w:sz w:val="16"/>
        <w:szCs w:val="16"/>
      </w:rPr>
      <w:t>07/10/2011</w:t>
    </w:r>
    <w:r w:rsidRPr="00652411">
      <w:rPr>
        <w:rFonts w:cs="Lucida Sans Unicode"/>
        <w:sz w:val="16"/>
        <w:szCs w:val="16"/>
      </w:rPr>
      <w:fldChar w:fldCharType="end"/>
    </w:r>
    <w:r w:rsidRPr="00652411">
      <w:rPr>
        <w:rFonts w:cs="Lucida Sans Unicode"/>
        <w:sz w:val="16"/>
        <w:szCs w:val="16"/>
      </w:rPr>
      <w:tab/>
    </w:r>
    <w:r w:rsidRPr="00652411">
      <w:rPr>
        <w:rFonts w:cs="Lucida Sans Unicode"/>
        <w:sz w:val="16"/>
        <w:szCs w:val="16"/>
      </w:rPr>
      <w:tab/>
      <w:t xml:space="preserve">Page </w:t>
    </w:r>
    <w:r w:rsidRPr="00652411">
      <w:rPr>
        <w:rFonts w:cs="Lucida Sans Unicode"/>
        <w:sz w:val="16"/>
        <w:szCs w:val="16"/>
      </w:rPr>
      <w:fldChar w:fldCharType="begin"/>
    </w:r>
    <w:r w:rsidRPr="00652411">
      <w:rPr>
        <w:rFonts w:cs="Lucida Sans Unicode"/>
        <w:sz w:val="16"/>
        <w:szCs w:val="16"/>
      </w:rPr>
      <w:instrText xml:space="preserve"> PAGE </w:instrText>
    </w:r>
    <w:r w:rsidRPr="00652411">
      <w:rPr>
        <w:rFonts w:cs="Lucida Sans Unicode"/>
        <w:sz w:val="16"/>
        <w:szCs w:val="16"/>
      </w:rPr>
      <w:fldChar w:fldCharType="separate"/>
    </w:r>
    <w:r w:rsidR="00FF568C">
      <w:rPr>
        <w:rFonts w:cs="Lucida Sans Unicode"/>
        <w:noProof/>
        <w:sz w:val="16"/>
        <w:szCs w:val="16"/>
      </w:rPr>
      <w:t>2</w:t>
    </w:r>
    <w:r w:rsidRPr="00652411">
      <w:rPr>
        <w:rFonts w:cs="Lucida Sans Unicode"/>
        <w:sz w:val="16"/>
        <w:szCs w:val="16"/>
      </w:rPr>
      <w:fldChar w:fldCharType="end"/>
    </w:r>
    <w:r w:rsidRPr="00652411">
      <w:rPr>
        <w:rFonts w:cs="Lucida Sans Unicode"/>
        <w:sz w:val="16"/>
        <w:szCs w:val="16"/>
      </w:rPr>
      <w:t xml:space="preserve"> of </w:t>
    </w:r>
    <w:r w:rsidRPr="00652411">
      <w:rPr>
        <w:rFonts w:cs="Lucida Sans Unicode"/>
        <w:sz w:val="16"/>
        <w:szCs w:val="16"/>
      </w:rPr>
      <w:fldChar w:fldCharType="begin"/>
    </w:r>
    <w:r w:rsidRPr="00652411">
      <w:rPr>
        <w:rFonts w:cs="Lucida Sans Unicode"/>
        <w:sz w:val="16"/>
        <w:szCs w:val="16"/>
      </w:rPr>
      <w:instrText xml:space="preserve"> NUMPAGES </w:instrText>
    </w:r>
    <w:r w:rsidRPr="00652411">
      <w:rPr>
        <w:rFonts w:cs="Lucida Sans Unicode"/>
        <w:sz w:val="16"/>
        <w:szCs w:val="16"/>
      </w:rPr>
      <w:fldChar w:fldCharType="separate"/>
    </w:r>
    <w:r w:rsidR="00FF568C">
      <w:rPr>
        <w:rFonts w:cs="Lucida Sans Unicode"/>
        <w:noProof/>
        <w:sz w:val="16"/>
        <w:szCs w:val="16"/>
      </w:rPr>
      <w:t>41</w:t>
    </w:r>
    <w:r w:rsidRPr="00652411">
      <w:rPr>
        <w:rFonts w:cs="Lucida Sans Unicode"/>
        <w:sz w:val="16"/>
        <w:szCs w:val="16"/>
      </w:rPr>
      <w:fldChar w:fldCharType="end"/>
    </w:r>
    <w:r w:rsidRPr="00652411">
      <w:rPr>
        <w:rFonts w:cs="Lucida Sans Unicode"/>
        <w:sz w:val="16"/>
        <w:szCs w:val="16"/>
      </w:rPr>
      <w:tab/>
    </w:r>
    <w:r w:rsidRPr="00652411">
      <w:rPr>
        <w:rFonts w:cs="Lucida Sans Unicode"/>
        <w:sz w:val="16"/>
        <w:szCs w:val="16"/>
      </w:rPr>
      <w:tab/>
    </w:r>
    <w:r w:rsidRPr="00652411">
      <w:rPr>
        <w:rFonts w:cs="Lucida Sans Unicode"/>
        <w:sz w:val="16"/>
        <w:szCs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397" w:rsidRPr="00602135" w:rsidRDefault="00354397" w:rsidP="00DD1FC3">
    <w:pPr>
      <w:pBdr>
        <w:top w:val="single" w:sz="4" w:space="1" w:color="auto"/>
        <w:left w:val="single" w:sz="4" w:space="4" w:color="auto"/>
        <w:bottom w:val="single" w:sz="4" w:space="1" w:color="auto"/>
        <w:right w:val="single" w:sz="4" w:space="4" w:color="auto"/>
      </w:pBdr>
      <w:jc w:val="center"/>
      <w:rPr>
        <w:rFonts w:ascii="Calibri" w:hAnsi="Calibri" w:cs="Lucida Sans Unicode"/>
        <w:i/>
        <w:sz w:val="18"/>
        <w:szCs w:val="16"/>
      </w:rPr>
    </w:pPr>
    <w:smartTag w:uri="urn:schemas-microsoft-com:office:smarttags" w:element="PersonName">
      <w:r w:rsidRPr="00602135">
        <w:rPr>
          <w:rFonts w:ascii="Calibri" w:hAnsi="Calibri" w:cs="Lucida Sans Unicode"/>
          <w:b/>
          <w:color w:val="FF0000"/>
          <w:sz w:val="18"/>
          <w:szCs w:val="16"/>
        </w:rPr>
        <w:t>PSIRU</w:t>
      </w:r>
    </w:smartTag>
    <w:r w:rsidRPr="00602135">
      <w:rPr>
        <w:rFonts w:ascii="Calibri" w:hAnsi="Calibri" w:cs="Lucida Sans Unicode"/>
        <w:b/>
        <w:color w:val="FF0000"/>
        <w:sz w:val="18"/>
        <w:szCs w:val="16"/>
      </w:rPr>
      <w:t>, Business School, University of Greenwich, Park Row, London SE10 9LS, U.K.</w:t>
    </w:r>
    <w:r w:rsidRPr="00602135">
      <w:rPr>
        <w:rFonts w:ascii="Calibri" w:hAnsi="Calibri" w:cs="Lucida Sans Unicode"/>
        <w:i/>
        <w:sz w:val="18"/>
        <w:szCs w:val="16"/>
      </w:rPr>
      <w:t xml:space="preserve"> </w:t>
    </w:r>
  </w:p>
  <w:p w:rsidR="00354397" w:rsidRPr="00602135" w:rsidRDefault="00354397" w:rsidP="00DD1FC3">
    <w:pPr>
      <w:pBdr>
        <w:top w:val="single" w:sz="4" w:space="1" w:color="auto"/>
        <w:left w:val="single" w:sz="4" w:space="4" w:color="auto"/>
        <w:bottom w:val="single" w:sz="4" w:space="1" w:color="auto"/>
        <w:right w:val="single" w:sz="4" w:space="4" w:color="auto"/>
      </w:pBdr>
      <w:jc w:val="center"/>
      <w:rPr>
        <w:rFonts w:ascii="Calibri" w:hAnsi="Calibri" w:cs="Lucida Sans Unicode"/>
        <w:sz w:val="18"/>
        <w:szCs w:val="16"/>
      </w:rPr>
    </w:pPr>
    <w:r w:rsidRPr="00602135">
      <w:rPr>
        <w:rFonts w:ascii="Calibri" w:hAnsi="Calibri" w:cs="Lucida Sans Unicode"/>
        <w:iCs/>
        <w:sz w:val="18"/>
        <w:szCs w:val="16"/>
      </w:rPr>
      <w:t xml:space="preserve">Website: </w:t>
    </w:r>
    <w:hyperlink r:id="rId1" w:history="1">
      <w:r w:rsidRPr="00602135">
        <w:rPr>
          <w:rStyle w:val="Hyperlink"/>
          <w:rFonts w:ascii="Calibri" w:hAnsi="Calibri" w:cs="Lucida Sans Unicode"/>
          <w:sz w:val="18"/>
          <w:szCs w:val="16"/>
        </w:rPr>
        <w:t>www.psiru.org</w:t>
      </w:r>
    </w:hyperlink>
    <w:r w:rsidRPr="00602135">
      <w:rPr>
        <w:rFonts w:ascii="Calibri" w:hAnsi="Calibri" w:cs="Lucida Sans Unicode"/>
        <w:sz w:val="18"/>
        <w:szCs w:val="16"/>
      </w:rPr>
      <w:t xml:space="preserve">   </w:t>
    </w:r>
    <w:r w:rsidRPr="00602135">
      <w:rPr>
        <w:rFonts w:ascii="Calibri" w:hAnsi="Calibri" w:cs="Lucida Sans Unicode"/>
        <w:i/>
        <w:sz w:val="18"/>
        <w:szCs w:val="16"/>
      </w:rPr>
      <w:t xml:space="preserve">Email: </w:t>
    </w:r>
    <w:hyperlink r:id="rId2" w:history="1">
      <w:r w:rsidRPr="00602135">
        <w:rPr>
          <w:rStyle w:val="Hyperlink"/>
          <w:rFonts w:ascii="Calibri" w:hAnsi="Calibri" w:cs="Lucida Sans Unicode"/>
          <w:sz w:val="18"/>
          <w:szCs w:val="16"/>
        </w:rPr>
        <w:t>psiru@psiru.org</w:t>
      </w:r>
    </w:hyperlink>
    <w:r w:rsidRPr="00602135">
      <w:rPr>
        <w:rFonts w:ascii="Calibri" w:hAnsi="Calibri" w:cs="Lucida Sans Unicode"/>
        <w:iCs/>
        <w:sz w:val="18"/>
        <w:szCs w:val="16"/>
      </w:rPr>
      <w:t xml:space="preserve">  </w:t>
    </w:r>
    <w:r w:rsidRPr="00602135">
      <w:rPr>
        <w:rFonts w:ascii="Calibri" w:hAnsi="Calibri" w:cs="Lucida Sans Unicode"/>
        <w:sz w:val="18"/>
        <w:szCs w:val="16"/>
      </w:rPr>
      <w:t xml:space="preserve">  </w:t>
    </w:r>
    <w:r w:rsidRPr="00602135">
      <w:rPr>
        <w:rFonts w:ascii="Calibri" w:hAnsi="Calibri" w:cs="Lucida Sans Unicode"/>
        <w:i/>
        <w:sz w:val="18"/>
        <w:szCs w:val="16"/>
      </w:rPr>
      <w:t>Tel</w:t>
    </w:r>
    <w:r w:rsidRPr="00602135">
      <w:rPr>
        <w:rFonts w:ascii="Calibri" w:hAnsi="Calibri" w:cs="Lucida Sans Unicode"/>
        <w:sz w:val="18"/>
        <w:szCs w:val="16"/>
      </w:rPr>
      <w:t xml:space="preserve">: +44-(0)208-331-9933 </w:t>
    </w:r>
    <w:r w:rsidRPr="00602135">
      <w:rPr>
        <w:rFonts w:ascii="Calibri" w:hAnsi="Calibri" w:cs="Lucida Sans Unicode"/>
        <w:i/>
        <w:sz w:val="18"/>
        <w:szCs w:val="16"/>
      </w:rPr>
      <w:t>Fax</w:t>
    </w:r>
    <w:r w:rsidRPr="00602135">
      <w:rPr>
        <w:rFonts w:ascii="Calibri" w:hAnsi="Calibri" w:cs="Lucida Sans Unicode"/>
        <w:sz w:val="18"/>
        <w:szCs w:val="16"/>
      </w:rPr>
      <w:t xml:space="preserve">: +44 (0)208-331-8665 </w:t>
    </w:r>
  </w:p>
  <w:p w:rsidR="00354397" w:rsidRPr="00602135" w:rsidRDefault="00354397" w:rsidP="00DD1FC3">
    <w:pPr>
      <w:pBdr>
        <w:top w:val="single" w:sz="4" w:space="1" w:color="auto"/>
        <w:left w:val="single" w:sz="4" w:space="4" w:color="auto"/>
        <w:bottom w:val="single" w:sz="4" w:space="1" w:color="auto"/>
        <w:right w:val="single" w:sz="4" w:space="4" w:color="auto"/>
      </w:pBdr>
      <w:jc w:val="center"/>
      <w:rPr>
        <w:rFonts w:ascii="Calibri" w:hAnsi="Calibri" w:cs="Lucida Sans Unicode"/>
        <w:color w:val="FF0000"/>
        <w:sz w:val="18"/>
        <w:szCs w:val="18"/>
      </w:rPr>
    </w:pPr>
    <w:r w:rsidRPr="00602135">
      <w:rPr>
        <w:rFonts w:ascii="Calibri" w:hAnsi="Calibri" w:cs="Lucida Sans Unicode"/>
        <w:color w:val="FF0000"/>
        <w:sz w:val="18"/>
        <w:szCs w:val="18"/>
      </w:rPr>
      <w:t xml:space="preserve">Prof. Stephen Thomas, </w:t>
    </w:r>
    <w:smartTag w:uri="urn:schemas-microsoft-com:office:smarttags" w:element="PersonName">
      <w:r w:rsidRPr="00602135">
        <w:rPr>
          <w:rFonts w:ascii="Calibri" w:hAnsi="Calibri" w:cs="Lucida Sans Unicode"/>
          <w:color w:val="FF0000"/>
          <w:sz w:val="18"/>
          <w:szCs w:val="18"/>
        </w:rPr>
        <w:t>David Hall</w:t>
      </w:r>
    </w:smartTag>
    <w:r w:rsidRPr="00602135">
      <w:rPr>
        <w:rFonts w:ascii="Calibri" w:hAnsi="Calibri" w:cs="Lucida Sans Unicode"/>
        <w:color w:val="FF0000"/>
        <w:sz w:val="18"/>
        <w:szCs w:val="18"/>
      </w:rPr>
      <w:t xml:space="preserve"> (Director), Jane Lethbridge, </w:t>
    </w:r>
    <w:smartTag w:uri="urn:schemas-microsoft-com:office:smarttags" w:element="PersonName">
      <w:smartTag w:uri="urn:schemas-microsoft-com:office:smarttags" w:element="PersonName">
        <w:r w:rsidRPr="00602135">
          <w:rPr>
            <w:rFonts w:ascii="Calibri" w:hAnsi="Calibri" w:cs="Lucida Sans Unicode"/>
            <w:color w:val="FF0000"/>
            <w:sz w:val="18"/>
            <w:szCs w:val="18"/>
          </w:rPr>
          <w:t>Emanuele</w:t>
        </w:r>
      </w:smartTag>
      <w:r w:rsidRPr="00602135">
        <w:rPr>
          <w:rFonts w:ascii="Calibri" w:hAnsi="Calibri" w:cs="Lucida Sans Unicode"/>
          <w:color w:val="FF0000"/>
          <w:sz w:val="18"/>
          <w:szCs w:val="18"/>
        </w:rPr>
        <w:t xml:space="preserve"> </w:t>
      </w:r>
      <w:smartTag w:uri="urn:schemas-microsoft-com:office:smarttags" w:element="PersonName">
        <w:r w:rsidRPr="00602135">
          <w:rPr>
            <w:rFonts w:ascii="Calibri" w:hAnsi="Calibri" w:cs="Lucida Sans Unicode"/>
            <w:color w:val="FF0000"/>
            <w:sz w:val="18"/>
            <w:szCs w:val="18"/>
          </w:rPr>
          <w:t>Lobina</w:t>
        </w:r>
      </w:smartTag>
    </w:smartTag>
    <w:r w:rsidRPr="00602135">
      <w:rPr>
        <w:rFonts w:ascii="Calibri" w:hAnsi="Calibri" w:cs="Lucida Sans Unicode"/>
        <w:color w:val="FF0000"/>
        <w:sz w:val="18"/>
        <w:szCs w:val="18"/>
      </w:rPr>
      <w:t>, Vladimir Popov, Violeta Corral, Sandra van Niekerk</w:t>
    </w:r>
  </w:p>
  <w:p w:rsidR="00354397" w:rsidRPr="003F063D" w:rsidRDefault="00354397" w:rsidP="00DD1FC3">
    <w:pPr>
      <w:jc w:val="center"/>
      <w:rPr>
        <w:rFonts w:ascii="Lucida Sans Unicode" w:hAnsi="Lucida Sans Unicode" w:cs="Lucida Sans Unicode"/>
        <w:color w:val="FF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397" w:rsidRDefault="00354397">
      <w:r>
        <w:separator/>
      </w:r>
    </w:p>
  </w:footnote>
  <w:footnote w:type="continuationSeparator" w:id="0">
    <w:p w:rsidR="00354397" w:rsidRDefault="00354397">
      <w:r>
        <w:continuationSeparator/>
      </w:r>
    </w:p>
  </w:footnote>
  <w:footnote w:id="1">
    <w:p w:rsidR="00354397" w:rsidRDefault="00354397" w:rsidP="005026E6">
      <w:pPr>
        <w:pStyle w:val="FootnoteText"/>
      </w:pPr>
      <w:r>
        <w:rPr>
          <w:rStyle w:val="FootnoteReference"/>
        </w:rPr>
        <w:footnoteRef/>
      </w:r>
      <w:r>
        <w:t xml:space="preserve"> </w:t>
      </w:r>
      <w:hyperlink r:id="rId1" w:history="1">
        <w:r>
          <w:rPr>
            <w:rStyle w:val="Hyperlink"/>
          </w:rPr>
          <w:t>http://www.hep.hr/hep/en/news/default.aspx</w:t>
        </w:r>
      </w:hyperlink>
      <w:r>
        <w:t xml:space="preserve"> </w:t>
      </w:r>
    </w:p>
  </w:footnote>
  <w:footnote w:id="2">
    <w:p w:rsidR="00354397" w:rsidRDefault="00354397" w:rsidP="005026E6">
      <w:pPr>
        <w:pStyle w:val="FootnoteText"/>
      </w:pPr>
      <w:r>
        <w:rPr>
          <w:rStyle w:val="FootnoteReference"/>
        </w:rPr>
        <w:footnoteRef/>
      </w:r>
      <w:r>
        <w:t xml:space="preserve"> </w:t>
      </w:r>
      <w:hyperlink r:id="rId2" w:history="1">
        <w:r>
          <w:rPr>
            <w:rStyle w:val="Hyperlink"/>
          </w:rPr>
          <w:t>http://www.erranet.org/AboutUs/Members/Profiles/Croatia</w:t>
        </w:r>
      </w:hyperlink>
      <w:r>
        <w:t xml:space="preserve"> </w:t>
      </w:r>
    </w:p>
  </w:footnote>
  <w:footnote w:id="3">
    <w:p w:rsidR="00354397" w:rsidRDefault="00354397" w:rsidP="005026E6">
      <w:pPr>
        <w:pStyle w:val="FootnoteText"/>
      </w:pPr>
      <w:r>
        <w:rPr>
          <w:rStyle w:val="FootnoteReference"/>
        </w:rPr>
        <w:footnoteRef/>
      </w:r>
      <w:r>
        <w:t xml:space="preserve"> </w:t>
      </w:r>
      <w:hyperlink r:id="rId3" w:history="1">
        <w:r>
          <w:rPr>
            <w:rStyle w:val="Hyperlink"/>
          </w:rPr>
          <w:t>http://www.ina.hr/default.aspx?id=246</w:t>
        </w:r>
      </w:hyperlink>
      <w:r>
        <w:t xml:space="preserve"> </w:t>
      </w:r>
    </w:p>
  </w:footnote>
  <w:footnote w:id="4">
    <w:p w:rsidR="00354397" w:rsidRDefault="00354397" w:rsidP="005026E6">
      <w:pPr>
        <w:pStyle w:val="FootnoteText"/>
      </w:pPr>
      <w:r>
        <w:rPr>
          <w:rStyle w:val="FootnoteReference"/>
        </w:rPr>
        <w:footnoteRef/>
      </w:r>
      <w:r>
        <w:t xml:space="preserve"> Hungary Today ‘</w:t>
      </w:r>
      <w:r>
        <w:rPr>
          <w:rStyle w:val="ssl0"/>
        </w:rPr>
        <w:t xml:space="preserve">MOL fails to become majority owner of Croatian </w:t>
      </w:r>
      <w:bookmarkStart w:id="84" w:name="ORIGHIT_1"/>
      <w:bookmarkStart w:id="85" w:name="HIT_1"/>
      <w:bookmarkEnd w:id="84"/>
      <w:bookmarkEnd w:id="85"/>
      <w:r>
        <w:rPr>
          <w:rStyle w:val="hit"/>
        </w:rPr>
        <w:t>INA.’ January 20, 2011</w:t>
      </w:r>
    </w:p>
  </w:footnote>
  <w:footnote w:id="5">
    <w:p w:rsidR="00354397" w:rsidRDefault="00354397" w:rsidP="005026E6">
      <w:pPr>
        <w:pStyle w:val="FootnoteText"/>
      </w:pPr>
      <w:r>
        <w:rPr>
          <w:rStyle w:val="FootnoteReference"/>
        </w:rPr>
        <w:footnoteRef/>
      </w:r>
      <w:r>
        <w:t xml:space="preserve"> </w:t>
      </w:r>
      <w:hyperlink r:id="rId4" w:history="1">
        <w:r>
          <w:rPr>
            <w:rStyle w:val="Hyperlink"/>
          </w:rPr>
          <w:t>http://www.plinacro.hr/default.aspx?id=95</w:t>
        </w:r>
      </w:hyperlink>
      <w:r>
        <w:t xml:space="preserve"> </w:t>
      </w:r>
    </w:p>
  </w:footnote>
  <w:footnote w:id="6">
    <w:p w:rsidR="00354397" w:rsidRDefault="00354397" w:rsidP="005026E6">
      <w:pPr>
        <w:pStyle w:val="FootnoteText"/>
      </w:pPr>
      <w:r>
        <w:rPr>
          <w:rStyle w:val="FootnoteReference"/>
        </w:rPr>
        <w:footnoteRef/>
      </w:r>
      <w:r>
        <w:t xml:space="preserve"> </w:t>
      </w:r>
      <w:hyperlink r:id="rId5" w:history="1">
        <w:r>
          <w:rPr>
            <w:rStyle w:val="Hyperlink"/>
          </w:rPr>
          <w:t>http://www.eps.rs/english.htm</w:t>
        </w:r>
      </w:hyperlink>
      <w:r>
        <w:t xml:space="preserve"> </w:t>
      </w:r>
    </w:p>
  </w:footnote>
  <w:footnote w:id="7">
    <w:p w:rsidR="00354397" w:rsidRDefault="00354397" w:rsidP="005026E6">
      <w:pPr>
        <w:pStyle w:val="FootnoteText"/>
      </w:pPr>
      <w:r>
        <w:rPr>
          <w:rStyle w:val="FootnoteReference"/>
        </w:rPr>
        <w:footnoteRef/>
      </w:r>
      <w:r>
        <w:t xml:space="preserve"> Serbia Today ‘</w:t>
      </w:r>
      <w:r>
        <w:rPr>
          <w:rStyle w:val="ssl0"/>
        </w:rPr>
        <w:t>State not to sell majority stakes in power utility, gas supplier.’ January 19, 2011</w:t>
      </w:r>
    </w:p>
  </w:footnote>
  <w:footnote w:id="8">
    <w:p w:rsidR="00354397" w:rsidRDefault="00354397" w:rsidP="005026E6">
      <w:pPr>
        <w:pStyle w:val="FootnoteText"/>
      </w:pPr>
      <w:r>
        <w:rPr>
          <w:rStyle w:val="FootnoteReference"/>
        </w:rPr>
        <w:footnoteRef/>
      </w:r>
      <w:r>
        <w:t xml:space="preserve"> </w:t>
      </w:r>
      <w:hyperlink r:id="rId6" w:history="1">
        <w:r>
          <w:rPr>
            <w:rStyle w:val="Hyperlink"/>
          </w:rPr>
          <w:t>http://www.erranet.org/AboutUs/Members/Profiles/Serbia</w:t>
        </w:r>
      </w:hyperlink>
      <w:r>
        <w:t xml:space="preserve"> </w:t>
      </w:r>
    </w:p>
  </w:footnote>
  <w:footnote w:id="9">
    <w:p w:rsidR="00354397" w:rsidRDefault="00354397" w:rsidP="005026E6">
      <w:pPr>
        <w:pStyle w:val="FootnoteText"/>
      </w:pPr>
      <w:r>
        <w:rPr>
          <w:rStyle w:val="FootnoteReference"/>
        </w:rPr>
        <w:footnoteRef/>
      </w:r>
      <w:r>
        <w:t xml:space="preserve"> </w:t>
      </w:r>
      <w:hyperlink r:id="rId7" w:history="1">
        <w:r>
          <w:rPr>
            <w:rStyle w:val="Hyperlink"/>
          </w:rPr>
          <w:t>http://www.srbijagas.com/</w:t>
        </w:r>
      </w:hyperlink>
      <w:r>
        <w:t xml:space="preserve"> </w:t>
      </w:r>
    </w:p>
  </w:footnote>
  <w:footnote w:id="10">
    <w:p w:rsidR="00354397" w:rsidRDefault="00354397" w:rsidP="005026E6">
      <w:pPr>
        <w:pStyle w:val="FootnoteText"/>
      </w:pPr>
      <w:r>
        <w:rPr>
          <w:rStyle w:val="FootnoteReference"/>
        </w:rPr>
        <w:footnoteRef/>
      </w:r>
      <w:r>
        <w:t xml:space="preserve"> </w:t>
      </w:r>
      <w:hyperlink r:id="rId8" w:history="1">
        <w:r>
          <w:rPr>
            <w:rStyle w:val="Hyperlink"/>
          </w:rPr>
          <w:t>http://www.elem.com.mk/en/ElemToday.asp</w:t>
        </w:r>
      </w:hyperlink>
      <w:r>
        <w:t xml:space="preserve"> </w:t>
      </w:r>
    </w:p>
  </w:footnote>
  <w:footnote w:id="11">
    <w:p w:rsidR="00354397" w:rsidRDefault="00354397" w:rsidP="005026E6">
      <w:pPr>
        <w:pStyle w:val="FootnoteText"/>
      </w:pPr>
      <w:r>
        <w:rPr>
          <w:rStyle w:val="FootnoteReference"/>
        </w:rPr>
        <w:footnoteRef/>
      </w:r>
      <w:r>
        <w:t xml:space="preserve"> </w:t>
      </w:r>
    </w:p>
  </w:footnote>
  <w:footnote w:id="12">
    <w:p w:rsidR="00354397" w:rsidRDefault="00354397" w:rsidP="005026E6">
      <w:pPr>
        <w:pStyle w:val="FootnoteText"/>
      </w:pPr>
      <w:r>
        <w:rPr>
          <w:rStyle w:val="FootnoteReference"/>
        </w:rPr>
        <w:footnoteRef/>
      </w:r>
      <w:r>
        <w:t xml:space="preserve"> </w:t>
      </w:r>
      <w:hyperlink r:id="rId9" w:history="1">
        <w:r>
          <w:rPr>
            <w:rStyle w:val="Hyperlink"/>
          </w:rPr>
          <w:t>http://www.mepso.com.mk/en-us/Details.aspx?categoryID=77</w:t>
        </w:r>
      </w:hyperlink>
      <w:r>
        <w:t xml:space="preserve"> </w:t>
      </w:r>
    </w:p>
  </w:footnote>
  <w:footnote w:id="13">
    <w:p w:rsidR="00354397" w:rsidRDefault="00354397" w:rsidP="005026E6">
      <w:pPr>
        <w:pStyle w:val="FootnoteText"/>
      </w:pPr>
      <w:r>
        <w:rPr>
          <w:rStyle w:val="FootnoteReference"/>
        </w:rPr>
        <w:footnoteRef/>
      </w:r>
      <w:r>
        <w:t xml:space="preserve"> </w:t>
      </w:r>
      <w:hyperlink r:id="rId10" w:history="1">
        <w:r>
          <w:rPr>
            <w:rStyle w:val="Hyperlink"/>
          </w:rPr>
          <w:t>http://www.evn.com.mk/</w:t>
        </w:r>
      </w:hyperlink>
      <w:r>
        <w:t xml:space="preserve"> </w:t>
      </w:r>
    </w:p>
  </w:footnote>
  <w:footnote w:id="14">
    <w:p w:rsidR="00354397" w:rsidRDefault="00354397" w:rsidP="005026E6">
      <w:pPr>
        <w:pStyle w:val="FootnoteText"/>
      </w:pPr>
      <w:r>
        <w:rPr>
          <w:rStyle w:val="FootnoteReference"/>
        </w:rPr>
        <w:footnoteRef/>
      </w:r>
      <w:r>
        <w:t xml:space="preserve"> </w:t>
      </w:r>
      <w:hyperlink r:id="rId11" w:history="1">
        <w:r>
          <w:rPr>
            <w:rStyle w:val="Hyperlink"/>
          </w:rPr>
          <w:t>http://www.evn.com.mk/mk/presse/white_book.asp</w:t>
        </w:r>
      </w:hyperlink>
      <w:r>
        <w:t xml:space="preserve"> </w:t>
      </w:r>
    </w:p>
  </w:footnote>
  <w:footnote w:id="15">
    <w:p w:rsidR="00354397" w:rsidRDefault="00354397" w:rsidP="005026E6">
      <w:pPr>
        <w:pStyle w:val="FootnoteText"/>
      </w:pPr>
      <w:r>
        <w:rPr>
          <w:rStyle w:val="FootnoteReference"/>
        </w:rPr>
        <w:footnoteRef/>
      </w:r>
      <w:r>
        <w:t xml:space="preserve"> </w:t>
      </w:r>
      <w:hyperlink r:id="rId12" w:history="1">
        <w:r>
          <w:rPr>
            <w:rStyle w:val="Hyperlink"/>
          </w:rPr>
          <w:t>http://www.erranet.org/AboutUs/Members/Profiles/Macedonia</w:t>
        </w:r>
      </w:hyperlink>
      <w:r>
        <w:t xml:space="preserve"> </w:t>
      </w:r>
    </w:p>
  </w:footnote>
  <w:footnote w:id="16">
    <w:p w:rsidR="00354397" w:rsidRDefault="00354397" w:rsidP="005026E6">
      <w:pPr>
        <w:pStyle w:val="FootnoteText"/>
      </w:pPr>
      <w:r>
        <w:rPr>
          <w:rStyle w:val="FootnoteReference"/>
        </w:rPr>
        <w:footnoteRef/>
      </w:r>
      <w:r>
        <w:t xml:space="preserve"> </w:t>
      </w:r>
      <w:hyperlink r:id="rId13" w:history="1">
        <w:r>
          <w:rPr>
            <w:rStyle w:val="Hyperlink"/>
          </w:rPr>
          <w:t>http://www.erc.org.mk/DefaultEn.asp</w:t>
        </w:r>
      </w:hyperlink>
      <w:r>
        <w:t xml:space="preserve"> </w:t>
      </w:r>
    </w:p>
  </w:footnote>
  <w:footnote w:id="17">
    <w:p w:rsidR="00354397" w:rsidRDefault="00354397" w:rsidP="005026E6">
      <w:pPr>
        <w:pStyle w:val="FootnoteText"/>
      </w:pPr>
      <w:r>
        <w:rPr>
          <w:rStyle w:val="FootnoteReference"/>
        </w:rPr>
        <w:footnoteRef/>
      </w:r>
      <w:r>
        <w:t xml:space="preserve"> </w:t>
      </w:r>
      <w:hyperlink r:id="rId14" w:history="1">
        <w:r>
          <w:rPr>
            <w:rStyle w:val="Hyperlink"/>
          </w:rPr>
          <w:t>http://www.epcg.co.me/enindex.html</w:t>
        </w:r>
      </w:hyperlink>
      <w:r>
        <w:t xml:space="preserve"> </w:t>
      </w:r>
    </w:p>
  </w:footnote>
  <w:footnote w:id="18">
    <w:p w:rsidR="00354397" w:rsidRDefault="00354397" w:rsidP="005026E6">
      <w:pPr>
        <w:pStyle w:val="FootnoteText"/>
      </w:pPr>
      <w:r>
        <w:rPr>
          <w:rStyle w:val="FootnoteReference"/>
        </w:rPr>
        <w:footnoteRef/>
      </w:r>
      <w:r>
        <w:t xml:space="preserve"> </w:t>
      </w:r>
      <w:hyperlink r:id="rId15" w:history="1">
        <w:r>
          <w:rPr>
            <w:rStyle w:val="Hyperlink"/>
          </w:rPr>
          <w:t>http://www.erranet.org/AboutUs/Members/Profiles/Montenegro</w:t>
        </w:r>
      </w:hyperlink>
      <w:r>
        <w:t xml:space="preserve"> </w:t>
      </w:r>
    </w:p>
  </w:footnote>
  <w:footnote w:id="19">
    <w:p w:rsidR="00354397" w:rsidRDefault="00354397" w:rsidP="005026E6">
      <w:pPr>
        <w:pStyle w:val="FootnoteText"/>
      </w:pPr>
      <w:r>
        <w:rPr>
          <w:rStyle w:val="FootnoteReference"/>
        </w:rPr>
        <w:footnoteRef/>
      </w:r>
      <w:r>
        <w:t xml:space="preserve"> </w:t>
      </w:r>
      <w:hyperlink r:id="rId16" w:history="1">
        <w:r>
          <w:rPr>
            <w:rStyle w:val="Hyperlink"/>
          </w:rPr>
          <w:t>http://www.kek-energy.com/en/default.asp</w:t>
        </w:r>
      </w:hyperlink>
      <w:r>
        <w:t xml:space="preserve"> </w:t>
      </w:r>
    </w:p>
  </w:footnote>
  <w:footnote w:id="20">
    <w:p w:rsidR="00354397" w:rsidRDefault="00354397" w:rsidP="005026E6">
      <w:pPr>
        <w:pStyle w:val="FootnoteText"/>
      </w:pPr>
      <w:r>
        <w:rPr>
          <w:rStyle w:val="FootnoteReference"/>
        </w:rPr>
        <w:footnoteRef/>
      </w:r>
      <w:r>
        <w:t xml:space="preserve"> </w:t>
      </w:r>
      <w:hyperlink r:id="rId17" w:history="1">
        <w:r>
          <w:rPr>
            <w:rStyle w:val="Hyperlink"/>
          </w:rPr>
          <w:t>http://www.erranet.org/AboutUs/Members/Profiles/UNMIKKosovo</w:t>
        </w:r>
      </w:hyperlink>
      <w:r>
        <w:t xml:space="preserve"> </w:t>
      </w:r>
    </w:p>
  </w:footnote>
  <w:footnote w:id="21">
    <w:p w:rsidR="00354397" w:rsidRDefault="00354397" w:rsidP="005026E6">
      <w:pPr>
        <w:pStyle w:val="FootnoteText"/>
      </w:pPr>
      <w:r>
        <w:rPr>
          <w:rStyle w:val="FootnoteReference"/>
        </w:rPr>
        <w:footnoteRef/>
      </w:r>
      <w:r>
        <w:t xml:space="preserve"> </w:t>
      </w:r>
      <w:hyperlink r:id="rId18" w:history="1">
        <w:r>
          <w:rPr>
            <w:rStyle w:val="Hyperlink"/>
          </w:rPr>
          <w:t>http://www.elektroprivreda.ba/np/ep/epp?bp=O</w:t>
        </w:r>
      </w:hyperlink>
      <w:r>
        <w:t xml:space="preserve"> </w:t>
      </w:r>
    </w:p>
  </w:footnote>
  <w:footnote w:id="22">
    <w:p w:rsidR="00354397" w:rsidRDefault="00354397" w:rsidP="005026E6">
      <w:pPr>
        <w:pStyle w:val="FootnoteText"/>
      </w:pPr>
      <w:r>
        <w:rPr>
          <w:rStyle w:val="FootnoteReference"/>
        </w:rPr>
        <w:footnoteRef/>
      </w:r>
      <w:r>
        <w:t xml:space="preserve"> </w:t>
      </w:r>
      <w:hyperlink r:id="rId19" w:history="1">
        <w:r>
          <w:rPr>
            <w:rStyle w:val="Hyperlink"/>
          </w:rPr>
          <w:t>http://www.ers.ba/</w:t>
        </w:r>
      </w:hyperlink>
      <w:r>
        <w:t xml:space="preserve"> </w:t>
      </w:r>
    </w:p>
  </w:footnote>
  <w:footnote w:id="23">
    <w:p w:rsidR="00354397" w:rsidRDefault="00354397" w:rsidP="005026E6">
      <w:pPr>
        <w:pStyle w:val="FootnoteText"/>
      </w:pPr>
      <w:r>
        <w:rPr>
          <w:rStyle w:val="FootnoteReference"/>
        </w:rPr>
        <w:footnoteRef/>
      </w:r>
      <w:r>
        <w:t xml:space="preserve"> </w:t>
      </w:r>
      <w:hyperlink r:id="rId20" w:history="1">
        <w:r>
          <w:rPr>
            <w:rStyle w:val="Hyperlink"/>
          </w:rPr>
          <w:t>http://www.elprenosbih.ba/a2/index.php/pg/0.html</w:t>
        </w:r>
      </w:hyperlink>
      <w:r>
        <w:t xml:space="preserve"> </w:t>
      </w:r>
    </w:p>
  </w:footnote>
  <w:footnote w:id="24">
    <w:p w:rsidR="00354397" w:rsidRDefault="00354397" w:rsidP="005026E6">
      <w:pPr>
        <w:pStyle w:val="FootnoteText"/>
      </w:pPr>
      <w:r>
        <w:rPr>
          <w:rStyle w:val="FootnoteReference"/>
        </w:rPr>
        <w:footnoteRef/>
      </w:r>
      <w:r>
        <w:t xml:space="preserve"> </w:t>
      </w:r>
      <w:hyperlink r:id="rId21" w:history="1">
        <w:r>
          <w:rPr>
            <w:rStyle w:val="Hyperlink"/>
          </w:rPr>
          <w:t>http://www.erranet.org/AboutUs/Members/Profiles/BosniaAndHerzegovina</w:t>
        </w:r>
      </w:hyperlink>
      <w:r>
        <w:t xml:space="preserve"> </w:t>
      </w:r>
    </w:p>
  </w:footnote>
  <w:footnote w:id="25">
    <w:p w:rsidR="00354397" w:rsidRDefault="00354397" w:rsidP="005026E6">
      <w:pPr>
        <w:pStyle w:val="FootnoteText"/>
      </w:pPr>
      <w:r>
        <w:rPr>
          <w:rStyle w:val="FootnoteReference"/>
        </w:rPr>
        <w:footnoteRef/>
      </w:r>
      <w:r>
        <w:t xml:space="preserve"> </w:t>
      </w:r>
      <w:hyperlink r:id="rId22" w:history="1">
        <w:r>
          <w:rPr>
            <w:rStyle w:val="Hyperlink"/>
          </w:rPr>
          <w:t>http://www.bh-gas.ba/eng/index.htm</w:t>
        </w:r>
      </w:hyperlink>
      <w:r>
        <w:t xml:space="preserve"> </w:t>
      </w:r>
    </w:p>
  </w:footnote>
  <w:footnote w:id="26">
    <w:p w:rsidR="00354397" w:rsidRDefault="00354397" w:rsidP="005026E6">
      <w:pPr>
        <w:pStyle w:val="FootnoteText"/>
      </w:pPr>
      <w:r>
        <w:rPr>
          <w:rStyle w:val="FootnoteReference"/>
        </w:rPr>
        <w:footnoteRef/>
      </w:r>
      <w:r>
        <w:t xml:space="preserve"> </w:t>
      </w:r>
      <w:hyperlink r:id="rId23" w:history="1">
        <w:r>
          <w:rPr>
            <w:rStyle w:val="Hyperlink"/>
          </w:rPr>
          <w:t>http://www.sarajevogas.ba/</w:t>
        </w:r>
      </w:hyperlink>
      <w:r>
        <w:t xml:space="preserve"> </w:t>
      </w:r>
    </w:p>
  </w:footnote>
  <w:footnote w:id="27">
    <w:p w:rsidR="00354397" w:rsidRDefault="00354397" w:rsidP="005026E6">
      <w:pPr>
        <w:pStyle w:val="FootnoteText"/>
      </w:pPr>
      <w:r>
        <w:rPr>
          <w:rStyle w:val="FootnoteReference"/>
        </w:rPr>
        <w:footnoteRef/>
      </w:r>
      <w:r>
        <w:t xml:space="preserve"> Albania Today ‘</w:t>
      </w:r>
      <w:r>
        <w:rPr>
          <w:rStyle w:val="hit"/>
        </w:rPr>
        <w:t>CEZ</w:t>
      </w:r>
      <w:r>
        <w:rPr>
          <w:rStyle w:val="ssl0"/>
        </w:rPr>
        <w:t xml:space="preserve"> wins 76% in electricity distributor for EUR 120mn.’ October 1, 2008.</w:t>
      </w:r>
    </w:p>
  </w:footnote>
  <w:footnote w:id="28">
    <w:p w:rsidR="00354397" w:rsidRDefault="00354397" w:rsidP="005026E6">
      <w:pPr>
        <w:pStyle w:val="FootnoteText"/>
        <w:rPr>
          <w:lang w:val="en-GB"/>
        </w:rPr>
      </w:pPr>
      <w:r>
        <w:rPr>
          <w:rStyle w:val="FootnoteReference"/>
        </w:rPr>
        <w:footnoteRef/>
      </w:r>
      <w:r>
        <w:t xml:space="preserve"> </w:t>
      </w:r>
      <w:hyperlink r:id="rId24" w:history="1">
        <w:r>
          <w:rPr>
            <w:rStyle w:val="Hyperlink"/>
          </w:rPr>
          <w:t>http://www.cez.al/en/home.html</w:t>
        </w:r>
      </w:hyperlink>
      <w:r>
        <w:t xml:space="preserve"> </w:t>
      </w:r>
    </w:p>
  </w:footnote>
  <w:footnote w:id="29">
    <w:p w:rsidR="00354397" w:rsidRDefault="00354397" w:rsidP="005026E6">
      <w:pPr>
        <w:pStyle w:val="FootnoteText"/>
        <w:rPr>
          <w:lang w:val="en-GB"/>
        </w:rPr>
      </w:pPr>
      <w:r>
        <w:rPr>
          <w:rStyle w:val="FootnoteReference"/>
        </w:rPr>
        <w:footnoteRef/>
      </w:r>
      <w:r>
        <w:t xml:space="preserve"> </w:t>
      </w:r>
      <w:hyperlink r:id="rId25" w:history="1">
        <w:r>
          <w:rPr>
            <w:rStyle w:val="Hyperlink"/>
          </w:rPr>
          <w:t>http://www.erranet.org/AboutUs/Members/Profiles/Albania</w:t>
        </w:r>
      </w:hyperlink>
      <w:r>
        <w:t xml:space="preserve"> </w:t>
      </w:r>
    </w:p>
  </w:footnote>
  <w:footnote w:id="30">
    <w:p w:rsidR="00354397" w:rsidRDefault="00354397" w:rsidP="005026E6">
      <w:pPr>
        <w:pStyle w:val="FootnoteText"/>
      </w:pPr>
      <w:r>
        <w:rPr>
          <w:rStyle w:val="FootnoteReference"/>
        </w:rPr>
        <w:footnoteRef/>
      </w:r>
      <w:r>
        <w:t xml:space="preserve"> </w:t>
      </w:r>
      <w:hyperlink r:id="rId26" w:history="1">
        <w:r>
          <w:rPr>
            <w:rStyle w:val="Hyperlink"/>
          </w:rPr>
          <w:t>http://www.inogate.org/index.php?option=com_inogate&amp;view=countrysector&amp;id=8&amp;Itemid=63&amp;lang=en</w:t>
        </w:r>
      </w:hyperlink>
      <w:r>
        <w:t xml:space="preserve"> </w:t>
      </w:r>
    </w:p>
  </w:footnote>
  <w:footnote w:id="31">
    <w:p w:rsidR="00354397" w:rsidRDefault="00354397" w:rsidP="005026E6">
      <w:pPr>
        <w:pStyle w:val="FootnoteText"/>
      </w:pPr>
      <w:r>
        <w:rPr>
          <w:rStyle w:val="FootnoteReference"/>
        </w:rPr>
        <w:footnoteRef/>
      </w:r>
      <w:r>
        <w:t xml:space="preserve"> Tendersinfo News ‘</w:t>
      </w:r>
      <w:r>
        <w:rPr>
          <w:rStyle w:val="ssl0"/>
        </w:rPr>
        <w:t xml:space="preserve">ARMENIA : </w:t>
      </w:r>
      <w:r>
        <w:rPr>
          <w:rStyle w:val="hit"/>
        </w:rPr>
        <w:t>Metsamor</w:t>
      </w:r>
      <w:r>
        <w:rPr>
          <w:rStyle w:val="ssl0"/>
        </w:rPr>
        <w:t xml:space="preserve"> power plant resumes operation’ December 1, 2010</w:t>
      </w:r>
    </w:p>
  </w:footnote>
  <w:footnote w:id="32">
    <w:p w:rsidR="00354397" w:rsidRDefault="00354397" w:rsidP="005026E6">
      <w:pPr>
        <w:pStyle w:val="FootnoteText"/>
      </w:pPr>
      <w:r>
        <w:rPr>
          <w:rStyle w:val="FootnoteReference"/>
        </w:rPr>
        <w:footnoteRef/>
      </w:r>
      <w:r>
        <w:t xml:space="preserve"> </w:t>
      </w:r>
      <w:hyperlink r:id="rId27" w:history="1">
        <w:r>
          <w:rPr>
            <w:rStyle w:val="Hyperlink"/>
          </w:rPr>
          <w:t>http://www.raztes.am/eng/history.htm</w:t>
        </w:r>
      </w:hyperlink>
      <w:r>
        <w:t xml:space="preserve"> </w:t>
      </w:r>
    </w:p>
  </w:footnote>
  <w:footnote w:id="33">
    <w:p w:rsidR="00354397" w:rsidRDefault="00354397" w:rsidP="005026E6">
      <w:pPr>
        <w:pStyle w:val="FootnoteText"/>
      </w:pPr>
      <w:r>
        <w:rPr>
          <w:rStyle w:val="FootnoteReference"/>
        </w:rPr>
        <w:footnoteRef/>
      </w:r>
      <w:r>
        <w:t xml:space="preserve"> Global Insight ‘</w:t>
      </w:r>
      <w:r>
        <w:rPr>
          <w:rStyle w:val="ssl0"/>
        </w:rPr>
        <w:t>Reconstructed Thermal Power Plant Launched in Armenia’ April 23, 2010</w:t>
      </w:r>
    </w:p>
  </w:footnote>
  <w:footnote w:id="34">
    <w:p w:rsidR="00354397" w:rsidRDefault="00354397" w:rsidP="005026E6">
      <w:pPr>
        <w:pStyle w:val="FootnoteText"/>
      </w:pPr>
      <w:r>
        <w:rPr>
          <w:rStyle w:val="FootnoteReference"/>
        </w:rPr>
        <w:footnoteRef/>
      </w:r>
      <w:r>
        <w:t xml:space="preserve"> </w:t>
      </w:r>
      <w:hyperlink r:id="rId28" w:history="1">
        <w:r>
          <w:rPr>
            <w:rStyle w:val="Hyperlink"/>
          </w:rPr>
          <w:t>http://www.mek.am/</w:t>
        </w:r>
      </w:hyperlink>
      <w:r>
        <w:t xml:space="preserve"> </w:t>
      </w:r>
    </w:p>
  </w:footnote>
  <w:footnote w:id="35">
    <w:p w:rsidR="00354397" w:rsidRDefault="00354397" w:rsidP="005026E6">
      <w:pPr>
        <w:pStyle w:val="FootnoteText"/>
      </w:pPr>
      <w:r>
        <w:rPr>
          <w:rStyle w:val="FootnoteReference"/>
        </w:rPr>
        <w:footnoteRef/>
      </w:r>
      <w:r>
        <w:t xml:space="preserve"> Global Insight ‘</w:t>
      </w:r>
      <w:r>
        <w:rPr>
          <w:rStyle w:val="ssl0"/>
        </w:rPr>
        <w:t>RusHydro Agrees to Buy Armenian Hydropower Cascade from Russia's Inter-RAO UES’ December 30, 2010</w:t>
      </w:r>
    </w:p>
  </w:footnote>
  <w:footnote w:id="36">
    <w:p w:rsidR="00354397" w:rsidRDefault="00354397" w:rsidP="005026E6">
      <w:pPr>
        <w:pStyle w:val="FootnoteText"/>
      </w:pPr>
      <w:r>
        <w:rPr>
          <w:rStyle w:val="FootnoteReference"/>
        </w:rPr>
        <w:footnoteRef/>
      </w:r>
      <w:r>
        <w:t xml:space="preserve"> </w:t>
      </w:r>
      <w:hyperlink r:id="rId29" w:history="1">
        <w:r>
          <w:rPr>
            <w:rStyle w:val="Hyperlink"/>
          </w:rPr>
          <w:t>http://www.ena.am/AboutUs.aspx</w:t>
        </w:r>
      </w:hyperlink>
      <w:r>
        <w:t xml:space="preserve"> </w:t>
      </w:r>
    </w:p>
  </w:footnote>
  <w:footnote w:id="37">
    <w:p w:rsidR="00354397" w:rsidRDefault="00354397" w:rsidP="005026E6">
      <w:pPr>
        <w:pStyle w:val="FootnoteText"/>
      </w:pPr>
      <w:r>
        <w:rPr>
          <w:rStyle w:val="FootnoteReference"/>
        </w:rPr>
        <w:footnoteRef/>
      </w:r>
      <w:r>
        <w:t xml:space="preserve"> Associated Press ‘</w:t>
      </w:r>
      <w:r>
        <w:rPr>
          <w:rStyle w:val="ssl0"/>
        </w:rPr>
        <w:t>Russian Monopoly Buys Control of Grid’ July 20, 2005</w:t>
      </w:r>
    </w:p>
  </w:footnote>
  <w:footnote w:id="38">
    <w:p w:rsidR="00354397" w:rsidRDefault="00354397" w:rsidP="005026E6">
      <w:pPr>
        <w:pStyle w:val="FootnoteText"/>
      </w:pPr>
      <w:r>
        <w:rPr>
          <w:rStyle w:val="FootnoteReference"/>
        </w:rPr>
        <w:footnoteRef/>
      </w:r>
      <w:r>
        <w:t xml:space="preserve"> </w:t>
      </w:r>
      <w:hyperlink r:id="rId30" w:history="1">
        <w:r>
          <w:rPr>
            <w:rStyle w:val="Hyperlink"/>
          </w:rPr>
          <w:t>http://www.geni.org/globalenergy/library/national_energy_grid/armenia/index.shtml</w:t>
        </w:r>
      </w:hyperlink>
      <w:r>
        <w:t xml:space="preserve"> </w:t>
      </w:r>
    </w:p>
  </w:footnote>
  <w:footnote w:id="39">
    <w:p w:rsidR="00354397" w:rsidRDefault="00354397" w:rsidP="005026E6">
      <w:pPr>
        <w:pStyle w:val="FootnoteText"/>
        <w:rPr>
          <w:lang w:val="en-GB"/>
        </w:rPr>
      </w:pPr>
      <w:r>
        <w:rPr>
          <w:rStyle w:val="FootnoteReference"/>
        </w:rPr>
        <w:footnoteRef/>
      </w:r>
      <w:r>
        <w:t xml:space="preserve"> </w:t>
      </w:r>
      <w:hyperlink r:id="rId31" w:history="1">
        <w:r>
          <w:rPr>
            <w:rStyle w:val="Hyperlink"/>
          </w:rPr>
          <w:t>http://www.erranet.org/AboutUs/Members/Profiles/Armenia</w:t>
        </w:r>
      </w:hyperlink>
      <w:r>
        <w:t xml:space="preserve"> </w:t>
      </w:r>
    </w:p>
  </w:footnote>
  <w:footnote w:id="40">
    <w:p w:rsidR="00354397" w:rsidRDefault="00354397" w:rsidP="005026E6">
      <w:pPr>
        <w:pStyle w:val="FootnoteText"/>
      </w:pPr>
      <w:r>
        <w:rPr>
          <w:rStyle w:val="FootnoteReference"/>
        </w:rPr>
        <w:footnoteRef/>
      </w:r>
      <w:r>
        <w:t xml:space="preserve"> </w:t>
      </w:r>
      <w:hyperlink r:id="rId32" w:history="1">
        <w:r>
          <w:rPr>
            <w:rStyle w:val="Hyperlink"/>
          </w:rPr>
          <w:t>http://www.armrusgasprom.am/</w:t>
        </w:r>
      </w:hyperlink>
      <w:r>
        <w:t xml:space="preserve"> </w:t>
      </w:r>
    </w:p>
  </w:footnote>
  <w:footnote w:id="41">
    <w:p w:rsidR="00354397" w:rsidRDefault="00354397" w:rsidP="005026E6">
      <w:pPr>
        <w:pStyle w:val="FootnoteText"/>
      </w:pPr>
      <w:r>
        <w:rPr>
          <w:rStyle w:val="FootnoteReference"/>
        </w:rPr>
        <w:footnoteRef/>
      </w:r>
      <w:r>
        <w:t xml:space="preserve"> </w:t>
      </w:r>
      <w:hyperlink r:id="rId33" w:history="1">
        <w:r>
          <w:rPr>
            <w:rStyle w:val="Hyperlink"/>
          </w:rPr>
          <w:t>http://www.inogate.org/index.php?option=com_inogate&amp;view=countrysector&amp;id=12&amp;Itemid=63&amp;lang=en</w:t>
        </w:r>
      </w:hyperlink>
      <w:r>
        <w:t xml:space="preserve"> </w:t>
      </w:r>
    </w:p>
  </w:footnote>
  <w:footnote w:id="42">
    <w:p w:rsidR="00354397" w:rsidRDefault="00354397" w:rsidP="005026E6">
      <w:pPr>
        <w:pStyle w:val="FootnoteText"/>
      </w:pPr>
      <w:r>
        <w:rPr>
          <w:rStyle w:val="FootnoteReference"/>
        </w:rPr>
        <w:footnoteRef/>
      </w:r>
      <w:r>
        <w:t xml:space="preserve"> </w:t>
      </w:r>
      <w:hyperlink r:id="rId34" w:history="1">
        <w:r>
          <w:rPr>
            <w:rStyle w:val="Hyperlink"/>
          </w:rPr>
          <w:t>http://www.azerenerji.com/index.php?section=47</w:t>
        </w:r>
      </w:hyperlink>
      <w:r>
        <w:t xml:space="preserve"> </w:t>
      </w:r>
    </w:p>
  </w:footnote>
  <w:footnote w:id="43">
    <w:p w:rsidR="00354397" w:rsidRDefault="00354397" w:rsidP="005026E6">
      <w:pPr>
        <w:pStyle w:val="FootnoteText"/>
        <w:rPr>
          <w:lang w:val="en-GB"/>
        </w:rPr>
      </w:pPr>
      <w:r>
        <w:rPr>
          <w:rStyle w:val="FootnoteReference"/>
        </w:rPr>
        <w:footnoteRef/>
      </w:r>
      <w:r>
        <w:t xml:space="preserve"> </w:t>
      </w:r>
      <w:hyperlink r:id="rId35" w:history="1">
        <w:r>
          <w:rPr>
            <w:rStyle w:val="Hyperlink"/>
          </w:rPr>
          <w:t>http://www.erranet.org/AboutUs/Members/Profiles/Azerbaijan</w:t>
        </w:r>
      </w:hyperlink>
      <w:r>
        <w:t xml:space="preserve"> </w:t>
      </w:r>
    </w:p>
  </w:footnote>
  <w:footnote w:id="44">
    <w:p w:rsidR="00354397" w:rsidRDefault="00354397" w:rsidP="005026E6">
      <w:pPr>
        <w:pStyle w:val="FootnoteText"/>
      </w:pPr>
      <w:r>
        <w:rPr>
          <w:rStyle w:val="FootnoteReference"/>
        </w:rPr>
        <w:footnoteRef/>
      </w:r>
      <w:r>
        <w:t xml:space="preserve"> </w:t>
      </w:r>
      <w:hyperlink r:id="rId36" w:history="1">
        <w:r>
          <w:rPr>
            <w:rStyle w:val="Hyperlink"/>
          </w:rPr>
          <w:t>http://www.inogate.org/index.php?option=com_inogate&amp;view=countrysector&amp;id=10&amp;Itemid=63&amp;lang=en</w:t>
        </w:r>
      </w:hyperlink>
      <w:r>
        <w:t xml:space="preserve"> </w:t>
      </w:r>
    </w:p>
  </w:footnote>
  <w:footnote w:id="45">
    <w:p w:rsidR="00354397" w:rsidRDefault="00354397" w:rsidP="005026E6">
      <w:pPr>
        <w:pStyle w:val="FootnoteText"/>
      </w:pPr>
      <w:r>
        <w:rPr>
          <w:rStyle w:val="FootnoteReference"/>
        </w:rPr>
        <w:footnoteRef/>
      </w:r>
      <w:r>
        <w:t xml:space="preserve"> </w:t>
      </w:r>
      <w:proofErr w:type="gramStart"/>
      <w:r>
        <w:t>Global Insight ‘</w:t>
      </w:r>
      <w:r>
        <w:rPr>
          <w:rStyle w:val="ssl0"/>
        </w:rPr>
        <w:t xml:space="preserve">President Decrees Transfer of </w:t>
      </w:r>
      <w:r>
        <w:rPr>
          <w:rStyle w:val="hit"/>
        </w:rPr>
        <w:t>Azerigaz</w:t>
      </w:r>
      <w:r>
        <w:rPr>
          <w:rStyle w:val="ssl0"/>
        </w:rPr>
        <w:t xml:space="preserve"> to State-Run SOCAR’ July 2, 2009.</w:t>
      </w:r>
      <w:proofErr w:type="gramEnd"/>
    </w:p>
  </w:footnote>
  <w:footnote w:id="46">
    <w:p w:rsidR="00354397" w:rsidRDefault="00354397" w:rsidP="005026E6">
      <w:pPr>
        <w:pStyle w:val="FootnoteText"/>
      </w:pPr>
      <w:r>
        <w:rPr>
          <w:rStyle w:val="FootnoteReference"/>
        </w:rPr>
        <w:footnoteRef/>
      </w:r>
      <w:r>
        <w:t xml:space="preserve"> </w:t>
      </w:r>
      <w:hyperlink r:id="rId37" w:history="1">
        <w:r>
          <w:rPr>
            <w:rStyle w:val="Hyperlink"/>
          </w:rPr>
          <w:t>http://www.inogate.org/index.php?option=com_inogate&amp;view=countrysector&amp;id=23&amp;Itemid=63&amp;lang=en</w:t>
        </w:r>
      </w:hyperlink>
      <w:r>
        <w:t xml:space="preserve"> </w:t>
      </w:r>
    </w:p>
  </w:footnote>
  <w:footnote w:id="47">
    <w:p w:rsidR="00354397" w:rsidRDefault="00354397" w:rsidP="005026E6">
      <w:pPr>
        <w:pStyle w:val="FootnoteText"/>
      </w:pPr>
      <w:r>
        <w:rPr>
          <w:rStyle w:val="FootnoteReference"/>
        </w:rPr>
        <w:footnoteRef/>
      </w:r>
      <w:r>
        <w:t xml:space="preserve"> </w:t>
      </w:r>
      <w:hyperlink r:id="rId38" w:history="1">
        <w:r>
          <w:rPr>
            <w:rStyle w:val="Hyperlink"/>
          </w:rPr>
          <w:t>http://www.inogate.org/index.php?option=com_inogate&amp;view=countrysector&amp;id=20&amp;Itemid=63&amp;lang=en</w:t>
        </w:r>
      </w:hyperlink>
      <w:r>
        <w:t xml:space="preserve"> </w:t>
      </w:r>
    </w:p>
  </w:footnote>
  <w:footnote w:id="48">
    <w:p w:rsidR="00354397" w:rsidRDefault="00354397" w:rsidP="005026E6">
      <w:pPr>
        <w:pStyle w:val="FootnoteText"/>
      </w:pPr>
      <w:r>
        <w:rPr>
          <w:rStyle w:val="FootnoteReference"/>
        </w:rPr>
        <w:footnoteRef/>
      </w:r>
      <w:r>
        <w:t xml:space="preserve"> Russia and CIS Business Daily ‘</w:t>
      </w:r>
      <w:r>
        <w:rPr>
          <w:rStyle w:val="hit"/>
        </w:rPr>
        <w:t>Czech</w:t>
      </w:r>
      <w:r>
        <w:rPr>
          <w:rStyle w:val="ssl0"/>
        </w:rPr>
        <w:t xml:space="preserve"> energy firm to invest $417 mln in Georgia’ September 17, 2007</w:t>
      </w:r>
    </w:p>
  </w:footnote>
  <w:footnote w:id="49">
    <w:p w:rsidR="00354397" w:rsidRDefault="00354397" w:rsidP="005026E6">
      <w:pPr>
        <w:pStyle w:val="FootnoteText"/>
      </w:pPr>
      <w:r>
        <w:rPr>
          <w:rStyle w:val="FootnoteReference"/>
        </w:rPr>
        <w:footnoteRef/>
      </w:r>
      <w:r>
        <w:t xml:space="preserve"> At the time, it was widely reported that the purchase price was US$312m, but this was later corrected.</w:t>
      </w:r>
    </w:p>
  </w:footnote>
  <w:footnote w:id="50">
    <w:p w:rsidR="00354397" w:rsidRDefault="00354397" w:rsidP="005026E6">
      <w:pPr>
        <w:pStyle w:val="FootnoteText"/>
      </w:pPr>
      <w:r>
        <w:rPr>
          <w:rStyle w:val="FootnoteReference"/>
        </w:rPr>
        <w:footnoteRef/>
      </w:r>
      <w:r>
        <w:t xml:space="preserve"> http://www.interrao.ru/eng/websites/96.php/popup/96/</w:t>
      </w:r>
    </w:p>
  </w:footnote>
  <w:footnote w:id="51">
    <w:p w:rsidR="00354397" w:rsidRDefault="00354397" w:rsidP="005026E6">
      <w:pPr>
        <w:pStyle w:val="FootnoteText"/>
        <w:rPr>
          <w:lang w:val="en-GB"/>
        </w:rPr>
      </w:pPr>
      <w:r>
        <w:rPr>
          <w:rStyle w:val="FootnoteReference"/>
        </w:rPr>
        <w:footnoteRef/>
      </w:r>
      <w:r>
        <w:t xml:space="preserve"> </w:t>
      </w:r>
      <w:hyperlink r:id="rId39" w:history="1">
        <w:r>
          <w:rPr>
            <w:rStyle w:val="Hyperlink"/>
          </w:rPr>
          <w:t>http://www.erranet.org/AboutUs/Members/Profiles/Georgia</w:t>
        </w:r>
      </w:hyperlink>
      <w:r>
        <w:t xml:space="preserve"> </w:t>
      </w:r>
    </w:p>
  </w:footnote>
  <w:footnote w:id="52">
    <w:p w:rsidR="00354397" w:rsidRDefault="00354397" w:rsidP="005026E6">
      <w:pPr>
        <w:pStyle w:val="FootnoteText"/>
      </w:pPr>
      <w:r>
        <w:rPr>
          <w:rStyle w:val="FootnoteReference"/>
        </w:rPr>
        <w:footnoteRef/>
      </w:r>
      <w:r>
        <w:t xml:space="preserve"> Global Insight ‘</w:t>
      </w:r>
      <w:r>
        <w:rPr>
          <w:rStyle w:val="ssl0"/>
        </w:rPr>
        <w:t xml:space="preserve">Azerbaijan's SOCAR Finalises Acquisition of Georgian Regional Gas </w:t>
      </w:r>
      <w:r>
        <w:rPr>
          <w:rStyle w:val="hit"/>
        </w:rPr>
        <w:t>Distribution</w:t>
      </w:r>
      <w:r>
        <w:rPr>
          <w:rStyle w:val="ssl0"/>
        </w:rPr>
        <w:t xml:space="preserve"> Companies’ December 30, 2008.</w:t>
      </w:r>
    </w:p>
  </w:footnote>
  <w:footnote w:id="53">
    <w:p w:rsidR="00354397" w:rsidRDefault="00354397" w:rsidP="005026E6">
      <w:pPr>
        <w:pStyle w:val="FootnoteText"/>
      </w:pPr>
      <w:r>
        <w:rPr>
          <w:rStyle w:val="FootnoteReference"/>
        </w:rPr>
        <w:footnoteRef/>
      </w:r>
      <w:r>
        <w:t xml:space="preserve"> </w:t>
      </w:r>
      <w:hyperlink r:id="rId40" w:history="1">
        <w:r>
          <w:rPr>
            <w:rStyle w:val="Hyperlink"/>
          </w:rPr>
          <w:t>http://www.interrao.ru/eng/websites/100.php/popup/100/</w:t>
        </w:r>
      </w:hyperlink>
      <w:r>
        <w:t xml:space="preserve"> </w:t>
      </w:r>
    </w:p>
  </w:footnote>
  <w:footnote w:id="54">
    <w:p w:rsidR="00354397" w:rsidRDefault="00354397" w:rsidP="005026E6">
      <w:pPr>
        <w:pStyle w:val="FootnoteText"/>
      </w:pPr>
      <w:r>
        <w:rPr>
          <w:rStyle w:val="FootnoteReference"/>
        </w:rPr>
        <w:footnoteRef/>
      </w:r>
      <w:r>
        <w:t xml:space="preserve"> Ukrainian Times ‘</w:t>
      </w:r>
      <w:r>
        <w:rPr>
          <w:rStyle w:val="ssl0"/>
        </w:rPr>
        <w:t xml:space="preserve">EBRD, IFC FINANCE MODERNIZATION OF POWER DISTRIBUTION SECTOR IN </w:t>
      </w:r>
      <w:r>
        <w:rPr>
          <w:rStyle w:val="hit"/>
        </w:rPr>
        <w:t>MOLDOVA’ January 19, 2010</w:t>
      </w:r>
    </w:p>
  </w:footnote>
  <w:footnote w:id="55">
    <w:p w:rsidR="00354397" w:rsidRDefault="00354397" w:rsidP="005026E6">
      <w:pPr>
        <w:pStyle w:val="FootnoteText"/>
        <w:rPr>
          <w:lang w:val="en-GB"/>
        </w:rPr>
      </w:pPr>
      <w:r>
        <w:rPr>
          <w:rStyle w:val="FootnoteReference"/>
        </w:rPr>
        <w:footnoteRef/>
      </w:r>
      <w:r>
        <w:t xml:space="preserve"> </w:t>
      </w:r>
      <w:hyperlink r:id="rId41" w:history="1">
        <w:r>
          <w:rPr>
            <w:rStyle w:val="Hyperlink"/>
          </w:rPr>
          <w:t>http://www.erranet.org/AboutUs/Members/Profiles/Moldova</w:t>
        </w:r>
      </w:hyperlink>
      <w:r>
        <w:t xml:space="preserve"> </w:t>
      </w:r>
    </w:p>
  </w:footnote>
  <w:footnote w:id="56">
    <w:p w:rsidR="00354397" w:rsidRDefault="00354397" w:rsidP="005026E6">
      <w:pPr>
        <w:pStyle w:val="FootnoteText"/>
      </w:pPr>
      <w:r>
        <w:rPr>
          <w:rStyle w:val="FootnoteReference"/>
        </w:rPr>
        <w:footnoteRef/>
      </w:r>
      <w:r>
        <w:t xml:space="preserve"> </w:t>
      </w:r>
      <w:r>
        <w:rPr>
          <w:rStyle w:val="verdana"/>
        </w:rPr>
        <w:t>Russky Telegraf, ‘</w:t>
      </w:r>
      <w:r>
        <w:rPr>
          <w:rStyle w:val="ssl0"/>
        </w:rPr>
        <w:t xml:space="preserve">MOLDAVIAN PARLIAMENT ADOPTS GAS INDUSTRY </w:t>
      </w:r>
      <w:r>
        <w:rPr>
          <w:rStyle w:val="hit"/>
        </w:rPr>
        <w:t>PRIVATIZATION</w:t>
      </w:r>
      <w:r>
        <w:rPr>
          <w:rStyle w:val="ssl0"/>
        </w:rPr>
        <w:t xml:space="preserve"> PROJECT ACCORDING TO WHICH THE MAJOR PART OF THE INDUSTRY WILL BELONG TO </w:t>
      </w:r>
      <w:bookmarkStart w:id="220" w:name="ORIGHIT_2"/>
      <w:bookmarkStart w:id="221" w:name="HIT_2"/>
      <w:bookmarkEnd w:id="220"/>
      <w:bookmarkEnd w:id="221"/>
      <w:r>
        <w:rPr>
          <w:rStyle w:val="hit"/>
        </w:rPr>
        <w:t>GAZPROM</w:t>
      </w:r>
      <w:r>
        <w:rPr>
          <w:rStyle w:val="ssl0"/>
        </w:rPr>
        <w:t xml:space="preserve"> AS PART OF DEBT REPAYMENT’ </w:t>
      </w:r>
      <w:r>
        <w:rPr>
          <w:rStyle w:val="verdana"/>
        </w:rPr>
        <w:t>March 3, 1998, p. 2</w:t>
      </w:r>
    </w:p>
  </w:footnote>
  <w:footnote w:id="57">
    <w:p w:rsidR="00354397" w:rsidRDefault="00354397" w:rsidP="005026E6">
      <w:pPr>
        <w:pStyle w:val="FootnoteText"/>
        <w:rPr>
          <w:lang w:val="en-GB"/>
        </w:rPr>
      </w:pPr>
      <w:r>
        <w:rPr>
          <w:rStyle w:val="FootnoteReference"/>
        </w:rPr>
        <w:footnoteRef/>
      </w:r>
      <w:r>
        <w:t xml:space="preserve"> </w:t>
      </w:r>
      <w:hyperlink r:id="rId42" w:history="1">
        <w:r>
          <w:rPr>
            <w:rStyle w:val="Hyperlink"/>
          </w:rPr>
          <w:t>http://www.erranet.org/AboutUs/Members/Profiles/Ukraine</w:t>
        </w:r>
      </w:hyperlink>
      <w:r>
        <w:t xml:space="preserve"> </w:t>
      </w:r>
    </w:p>
  </w:footnote>
  <w:footnote w:id="58">
    <w:p w:rsidR="00354397" w:rsidRDefault="00354397" w:rsidP="005026E6">
      <w:pPr>
        <w:pStyle w:val="FootnoteText"/>
        <w:rPr>
          <w:lang w:val="en-GB"/>
        </w:rPr>
      </w:pPr>
      <w:r>
        <w:rPr>
          <w:rStyle w:val="FootnoteReference"/>
        </w:rPr>
        <w:footnoteRef/>
      </w:r>
      <w:r>
        <w:t xml:space="preserve"> </w:t>
      </w:r>
      <w:hyperlink r:id="rId43" w:history="1">
        <w:r>
          <w:rPr>
            <w:rStyle w:val="Hyperlink"/>
          </w:rPr>
          <w:t>http://www.ukrenergo.energy.gov.ua/ukrenergo/control/en/publish/article?art_id=36400&amp;cat_id=36373</w:t>
        </w:r>
      </w:hyperlink>
      <w:r>
        <w:t xml:space="preserve"> </w:t>
      </w:r>
    </w:p>
  </w:footnote>
  <w:footnote w:id="59">
    <w:p w:rsidR="00354397" w:rsidRDefault="00354397" w:rsidP="005026E6">
      <w:pPr>
        <w:pStyle w:val="FootnoteText"/>
        <w:rPr>
          <w:lang w:val="en-GB"/>
        </w:rPr>
      </w:pPr>
      <w:r>
        <w:rPr>
          <w:rStyle w:val="FootnoteReference"/>
        </w:rPr>
        <w:footnoteRef/>
      </w:r>
      <w:r>
        <w:t xml:space="preserve"> </w:t>
      </w:r>
      <w:hyperlink r:id="rId44" w:history="1">
        <w:r>
          <w:rPr>
            <w:rStyle w:val="Hyperlink"/>
          </w:rPr>
          <w:t>http://www.energoatom.kiev.ua/en/index_eng.htm</w:t>
        </w:r>
      </w:hyperlink>
      <w:r>
        <w:t xml:space="preserve"> </w:t>
      </w:r>
    </w:p>
  </w:footnote>
  <w:footnote w:id="60">
    <w:p w:rsidR="00354397" w:rsidRDefault="00354397" w:rsidP="005026E6">
      <w:pPr>
        <w:pStyle w:val="FootnoteText"/>
      </w:pPr>
      <w:r>
        <w:rPr>
          <w:rStyle w:val="FootnoteReference"/>
        </w:rPr>
        <w:footnoteRef/>
      </w:r>
      <w:r>
        <w:t xml:space="preserve"> </w:t>
      </w:r>
      <w:hyperlink r:id="rId45" w:history="1">
        <w:r>
          <w:rPr>
            <w:rStyle w:val="Hyperlink"/>
          </w:rPr>
          <w:t>http://www.ecu.gov.ua/en/company/structure/zakhid.html</w:t>
        </w:r>
      </w:hyperlink>
      <w:r>
        <w:t xml:space="preserve"> </w:t>
      </w:r>
    </w:p>
  </w:footnote>
  <w:footnote w:id="61">
    <w:p w:rsidR="00354397" w:rsidRDefault="00354397" w:rsidP="005026E6">
      <w:pPr>
        <w:pStyle w:val="FootnoteText"/>
        <w:rPr>
          <w:lang w:val="en-GB"/>
        </w:rPr>
      </w:pPr>
      <w:r>
        <w:rPr>
          <w:rStyle w:val="FootnoteReference"/>
        </w:rPr>
        <w:footnoteRef/>
      </w:r>
      <w:r>
        <w:t xml:space="preserve"> </w:t>
      </w:r>
      <w:r>
        <w:rPr>
          <w:lang w:val="en-GB"/>
        </w:rPr>
        <w:t>Kommersant Ukraine ‘</w:t>
      </w:r>
      <w:r>
        <w:rPr>
          <w:rStyle w:val="hit"/>
        </w:rPr>
        <w:t>Ukraine:</w:t>
      </w:r>
      <w:r>
        <w:rPr>
          <w:rStyle w:val="ssl0"/>
        </w:rPr>
        <w:t xml:space="preserve"> Privatization of four power generating companies scheduled for Q2 2011’ February 3, 2011.</w:t>
      </w:r>
    </w:p>
  </w:footnote>
  <w:footnote w:id="62">
    <w:p w:rsidR="00354397" w:rsidRDefault="00354397" w:rsidP="005026E6">
      <w:pPr>
        <w:pStyle w:val="FootnoteText"/>
        <w:rPr>
          <w:lang w:val="en-GB"/>
        </w:rPr>
      </w:pPr>
      <w:r>
        <w:rPr>
          <w:rStyle w:val="FootnoteReference"/>
        </w:rPr>
        <w:footnoteRef/>
      </w:r>
      <w:r>
        <w:t xml:space="preserve"> </w:t>
      </w:r>
      <w:hyperlink r:id="rId46" w:history="1">
        <w:r>
          <w:rPr>
            <w:rStyle w:val="Hyperlink"/>
          </w:rPr>
          <w:t>http://www.zakhidenergo.ua/ua/</w:t>
        </w:r>
      </w:hyperlink>
    </w:p>
  </w:footnote>
  <w:footnote w:id="63">
    <w:p w:rsidR="00354397" w:rsidRDefault="00354397" w:rsidP="005026E6">
      <w:pPr>
        <w:pStyle w:val="FootnoteText"/>
      </w:pPr>
      <w:r>
        <w:rPr>
          <w:rStyle w:val="FootnoteReference"/>
        </w:rPr>
        <w:footnoteRef/>
      </w:r>
      <w:r>
        <w:t xml:space="preserve"> </w:t>
      </w:r>
      <w:hyperlink r:id="rId47" w:history="1">
        <w:r>
          <w:rPr>
            <w:rStyle w:val="Hyperlink"/>
          </w:rPr>
          <w:t>http://www.ecu.gov.ua/en/company/structure/centr.html</w:t>
        </w:r>
      </w:hyperlink>
      <w:r>
        <w:t xml:space="preserve"> </w:t>
      </w:r>
    </w:p>
  </w:footnote>
  <w:footnote w:id="64">
    <w:p w:rsidR="00354397" w:rsidRDefault="00354397" w:rsidP="005026E6">
      <w:pPr>
        <w:pStyle w:val="FootnoteText"/>
        <w:rPr>
          <w:lang w:val="en-GB"/>
        </w:rPr>
      </w:pPr>
      <w:r>
        <w:rPr>
          <w:rStyle w:val="FootnoteReference"/>
        </w:rPr>
        <w:footnoteRef/>
      </w:r>
      <w:r>
        <w:t xml:space="preserve"> </w:t>
      </w:r>
      <w:hyperlink r:id="rId48" w:history="1">
        <w:r>
          <w:rPr>
            <w:rStyle w:val="Hyperlink"/>
          </w:rPr>
          <w:t>http://dniproenergo.ua/index.php?lang=russian</w:t>
        </w:r>
      </w:hyperlink>
      <w:r>
        <w:t xml:space="preserve"> </w:t>
      </w:r>
      <w:hyperlink r:id="rId49" w:history="1">
        <w:r>
          <w:rPr>
            <w:rStyle w:val="Hyperlink"/>
          </w:rPr>
          <w:t>http://www.ecu.gov.ua/en/company/structure/dn.html</w:t>
        </w:r>
      </w:hyperlink>
      <w:r>
        <w:t xml:space="preserve"> </w:t>
      </w:r>
    </w:p>
  </w:footnote>
  <w:footnote w:id="65">
    <w:p w:rsidR="00354397" w:rsidRDefault="00354397" w:rsidP="005026E6">
      <w:pPr>
        <w:pStyle w:val="FootnoteText"/>
        <w:rPr>
          <w:lang w:val="en-GB"/>
        </w:rPr>
      </w:pPr>
      <w:r>
        <w:rPr>
          <w:rStyle w:val="FootnoteReference"/>
        </w:rPr>
        <w:footnoteRef/>
      </w:r>
      <w:r>
        <w:t xml:space="preserve"> </w:t>
      </w:r>
      <w:hyperlink r:id="rId50" w:history="1">
        <w:r>
          <w:rPr>
            <w:rStyle w:val="Hyperlink"/>
          </w:rPr>
          <w:t>http://www.ecu.gov.ua/en/company/structure/ukrhydro.html?id=366</w:t>
        </w:r>
      </w:hyperlink>
      <w:r>
        <w:t xml:space="preserve"> </w:t>
      </w:r>
    </w:p>
  </w:footnote>
  <w:footnote w:id="66">
    <w:p w:rsidR="00354397" w:rsidRDefault="00354397" w:rsidP="005026E6">
      <w:pPr>
        <w:pStyle w:val="FootnoteText"/>
        <w:rPr>
          <w:lang w:val="en-GB"/>
        </w:rPr>
      </w:pPr>
      <w:r>
        <w:rPr>
          <w:rStyle w:val="FootnoteReference"/>
        </w:rPr>
        <w:footnoteRef/>
      </w:r>
      <w:r>
        <w:t xml:space="preserve"> </w:t>
      </w:r>
      <w:hyperlink r:id="rId51" w:history="1">
        <w:r>
          <w:rPr>
            <w:rStyle w:val="Hyperlink"/>
          </w:rPr>
          <w:t>http://www.ecu.gov.ua/en/company/structure/kyiv.html</w:t>
        </w:r>
      </w:hyperlink>
      <w:r>
        <w:t xml:space="preserve"> </w:t>
      </w:r>
      <w:hyperlink r:id="rId52" w:history="1">
        <w:r>
          <w:rPr>
            <w:rStyle w:val="Hyperlink"/>
          </w:rPr>
          <w:t>http://kyivenergo.ua/en/about-company</w:t>
        </w:r>
      </w:hyperlink>
      <w:r>
        <w:t xml:space="preserve"> </w:t>
      </w:r>
    </w:p>
  </w:footnote>
  <w:footnote w:id="67">
    <w:p w:rsidR="00354397" w:rsidRDefault="00354397" w:rsidP="005026E6">
      <w:pPr>
        <w:pStyle w:val="FootnoteText"/>
        <w:rPr>
          <w:lang w:val="en-GB"/>
        </w:rPr>
      </w:pPr>
      <w:r>
        <w:rPr>
          <w:rStyle w:val="FootnoteReference"/>
        </w:rPr>
        <w:footnoteRef/>
      </w:r>
      <w:r>
        <w:t xml:space="preserve"> </w:t>
      </w:r>
      <w:hyperlink r:id="rId53" w:history="1">
        <w:r>
          <w:rPr>
            <w:rStyle w:val="Hyperlink"/>
          </w:rPr>
          <w:t>http://www.aes.com/aes/index?page=country&amp;cat=UA</w:t>
        </w:r>
      </w:hyperlink>
      <w:r>
        <w:t xml:space="preserve"> </w:t>
      </w:r>
    </w:p>
  </w:footnote>
  <w:footnote w:id="68">
    <w:p w:rsidR="00354397" w:rsidRDefault="00354397" w:rsidP="005026E6">
      <w:pPr>
        <w:pStyle w:val="FootnoteText"/>
        <w:rPr>
          <w:lang w:val="en-GB"/>
        </w:rPr>
      </w:pPr>
      <w:r>
        <w:rPr>
          <w:rStyle w:val="FootnoteReference"/>
        </w:rPr>
        <w:footnoteRef/>
      </w:r>
      <w:r>
        <w:t xml:space="preserve"> </w:t>
      </w:r>
      <w:hyperlink r:id="rId54" w:history="1">
        <w:r>
          <w:rPr>
            <w:rStyle w:val="Hyperlink"/>
          </w:rPr>
          <w:t>http://www.naftogaz.com/www/2/nakweben.nsf/</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397" w:rsidRDefault="003543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397" w:rsidRPr="00652411" w:rsidRDefault="00354397" w:rsidP="00507056">
    <w:pPr>
      <w:pStyle w:val="Header"/>
      <w:pBdr>
        <w:bottom w:val="single" w:sz="4" w:space="1" w:color="FF0000"/>
      </w:pBdr>
      <w:rPr>
        <w:rFonts w:cs="Lucida Sans Unicode"/>
        <w:sz w:val="16"/>
        <w:szCs w:val="16"/>
      </w:rPr>
    </w:pPr>
    <w:smartTag w:uri="urn:schemas-microsoft-com:office:smarttags" w:element="PersonName">
      <w:r w:rsidRPr="00652411">
        <w:rPr>
          <w:rFonts w:cs="Lucida Sans Unicode"/>
          <w:sz w:val="16"/>
          <w:szCs w:val="16"/>
        </w:rPr>
        <w:t>PSIRU</w:t>
      </w:r>
    </w:smartTag>
    <w:r w:rsidRPr="00652411">
      <w:rPr>
        <w:rFonts w:cs="Lucida Sans Unicode"/>
        <w:sz w:val="16"/>
        <w:szCs w:val="16"/>
      </w:rPr>
      <w:t xml:space="preserve"> University of Greenwich                           </w:t>
    </w:r>
    <w:r>
      <w:rPr>
        <w:rFonts w:cs="Lucida Sans Unicode"/>
        <w:sz w:val="16"/>
        <w:szCs w:val="16"/>
      </w:rPr>
      <w:t xml:space="preserve">                      </w:t>
    </w:r>
    <w:r w:rsidRPr="00652411">
      <w:rPr>
        <w:rFonts w:cs="Lucida Sans Unicode"/>
        <w:sz w:val="16"/>
        <w:szCs w:val="16"/>
      </w:rPr>
      <w:t xml:space="preserve">                                                                       </w:t>
    </w:r>
    <w:hyperlink r:id="rId1" w:history="1">
      <w:r w:rsidRPr="00652411">
        <w:rPr>
          <w:rStyle w:val="Hyperlink"/>
          <w:rFonts w:cs="Lucida Sans Unicode"/>
          <w:sz w:val="16"/>
          <w:szCs w:val="16"/>
        </w:rPr>
        <w:t>www.psiru.org</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397" w:rsidRPr="00DD1FC3" w:rsidRDefault="00354397" w:rsidP="00DD1FC3">
    <w:pPr>
      <w:pStyle w:val="Header"/>
      <w:pBdr>
        <w:bottom w:val="single" w:sz="4" w:space="1" w:color="auto"/>
      </w:pBdr>
      <w:jc w:val="center"/>
      <w:rPr>
        <w:rFonts w:cs="Lucida Sans Unicode"/>
        <w:sz w:val="24"/>
      </w:rPr>
    </w:pPr>
    <w:r>
      <w:rPr>
        <w:rFonts w:cs="Lucida Sans Unicode"/>
        <w:b/>
        <w:color w:val="FF0000"/>
        <w:sz w:val="24"/>
      </w:rPr>
      <w:t xml:space="preserve">                     </w:t>
    </w:r>
    <w:r w:rsidRPr="00DD1FC3">
      <w:rPr>
        <w:rFonts w:cs="Lucida Sans Unicode"/>
        <w:b/>
        <w:color w:val="FF0000"/>
        <w:sz w:val="24"/>
      </w:rPr>
      <w:t xml:space="preserve">Public Services International Research Unit (PSIRU) </w:t>
    </w:r>
    <w:r>
      <w:rPr>
        <w:rFonts w:cs="Lucida Sans Unicode"/>
        <w:b/>
        <w:color w:val="FF0000"/>
        <w:sz w:val="24"/>
      </w:rPr>
      <w:t xml:space="preserve">   </w:t>
    </w:r>
    <w:r>
      <w:rPr>
        <w:rFonts w:cs="Lucida Sans Unicode"/>
        <w:sz w:val="24"/>
      </w:rPr>
      <w:t xml:space="preserve">  </w:t>
    </w:r>
    <w:hyperlink r:id="rId1" w:history="1">
      <w:r w:rsidRPr="00DD1FC3">
        <w:rPr>
          <w:rStyle w:val="Hyperlink"/>
          <w:rFonts w:cs="Lucida Sans Unicode"/>
          <w:szCs w:val="18"/>
          <w:u w:val="none"/>
        </w:rPr>
        <w:t>www.psiru.org</w:t>
      </w:r>
    </w:hyperlink>
    <w:r>
      <w:rPr>
        <w:rFonts w:cs="Lucida Sans Unicode"/>
        <w:sz w:val="24"/>
      </w:rPr>
      <w:t xml:space="preserve"> </w:t>
    </w:r>
    <w:r w:rsidRPr="00DD1FC3">
      <w:rPr>
        <w:rFonts w:cs="Lucida Sans Unicode"/>
        <w:sz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4D23DD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0FA74A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286BD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1BEC850A"/>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DE5D2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BB0524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450512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96059F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050492A"/>
    <w:lvl w:ilvl="0">
      <w:start w:val="1"/>
      <w:numFmt w:val="decimal"/>
      <w:pStyle w:val="ListNumber"/>
      <w:lvlText w:val="%1."/>
      <w:lvlJc w:val="left"/>
      <w:pPr>
        <w:tabs>
          <w:tab w:val="num" w:pos="360"/>
        </w:tabs>
        <w:ind w:left="360" w:hanging="360"/>
      </w:pPr>
    </w:lvl>
  </w:abstractNum>
  <w:abstractNum w:abstractNumId="9">
    <w:nsid w:val="FFFFFF89"/>
    <w:multiLevelType w:val="singleLevel"/>
    <w:tmpl w:val="4ABEAD36"/>
    <w:lvl w:ilvl="0">
      <w:start w:val="1"/>
      <w:numFmt w:val="bullet"/>
      <w:lvlText w:val=""/>
      <w:lvlJc w:val="left"/>
      <w:pPr>
        <w:tabs>
          <w:tab w:val="num" w:pos="360"/>
        </w:tabs>
        <w:ind w:left="360" w:hanging="360"/>
      </w:pPr>
      <w:rPr>
        <w:rFonts w:ascii="Symbol" w:hAnsi="Symbol" w:hint="default"/>
      </w:rPr>
    </w:lvl>
  </w:abstractNum>
  <w:abstractNum w:abstractNumId="10">
    <w:nsid w:val="05AA025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89B4EF3"/>
    <w:multiLevelType w:val="hybridMultilevel"/>
    <w:tmpl w:val="EC76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A15722B"/>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0A1B522B"/>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0A4360CE"/>
    <w:multiLevelType w:val="hybridMultilevel"/>
    <w:tmpl w:val="EFDA2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0096534"/>
    <w:multiLevelType w:val="hybridMultilevel"/>
    <w:tmpl w:val="7116E908"/>
    <w:lvl w:ilvl="0" w:tplc="F39AFD5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2B01A02"/>
    <w:multiLevelType w:val="hybridMultilevel"/>
    <w:tmpl w:val="D58C065E"/>
    <w:lvl w:ilvl="0" w:tplc="18E2F1DC">
      <w:start w:val="1"/>
      <w:numFmt w:val="upperLetter"/>
      <w:pStyle w:val="Heading8"/>
      <w:lvlText w:val="Chart %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12CA7EC7"/>
    <w:multiLevelType w:val="hybridMultilevel"/>
    <w:tmpl w:val="26A034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7A00C92"/>
    <w:multiLevelType w:val="multilevel"/>
    <w:tmpl w:val="BD92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9DA019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98936B8"/>
    <w:multiLevelType w:val="hybridMultilevel"/>
    <w:tmpl w:val="E9564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A8F591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307402F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23D1954"/>
    <w:multiLevelType w:val="hybridMultilevel"/>
    <w:tmpl w:val="B3E4D192"/>
    <w:lvl w:ilvl="0" w:tplc="718A3200">
      <w:start w:val="1"/>
      <w:numFmt w:val="bullet"/>
      <w:lvlText w:val="-"/>
      <w:lvlJc w:val="left"/>
      <w:pPr>
        <w:ind w:left="360" w:hanging="360"/>
      </w:pPr>
      <w:rPr>
        <w:rFonts w:ascii="Arial" w:eastAsia="Times New Roman" w:hAnsi="Arial" w:cs="Arial" w:hint="default"/>
      </w:rPr>
    </w:lvl>
    <w:lvl w:ilvl="1" w:tplc="08130003">
      <w:start w:val="1"/>
      <w:numFmt w:val="bullet"/>
      <w:lvlText w:val="o"/>
      <w:lvlJc w:val="left"/>
      <w:pPr>
        <w:ind w:left="1080" w:hanging="360"/>
      </w:pPr>
      <w:rPr>
        <w:rFonts w:ascii="Courier New" w:hAnsi="Courier New" w:cs="Courier New" w:hint="default"/>
      </w:rPr>
    </w:lvl>
    <w:lvl w:ilvl="2" w:tplc="76980B9C">
      <w:start w:val="38"/>
      <w:numFmt w:val="bullet"/>
      <w:lvlText w:val=""/>
      <w:lvlJc w:val="left"/>
      <w:pPr>
        <w:ind w:left="1800" w:hanging="360"/>
      </w:pPr>
      <w:rPr>
        <w:rFonts w:ascii="Symbol" w:eastAsia="Calibri" w:hAnsi="Symbol" w:cs="Calibri"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nsid w:val="37F166D5"/>
    <w:multiLevelType w:val="hybridMultilevel"/>
    <w:tmpl w:val="8716C1FE"/>
    <w:lvl w:ilvl="0" w:tplc="BFC6AA94">
      <w:start w:val="1"/>
      <w:numFmt w:val="decimal"/>
      <w:pStyle w:val="Heading7"/>
      <w:lvlText w:val="Table %1. "/>
      <w:lvlJc w:val="left"/>
      <w:pPr>
        <w:tabs>
          <w:tab w:val="num" w:pos="180"/>
        </w:tabs>
        <w:ind w:left="18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3F334AB6"/>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2160457"/>
    <w:multiLevelType w:val="hybridMultilevel"/>
    <w:tmpl w:val="4D784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4BC2D0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66272AC"/>
    <w:multiLevelType w:val="hybridMultilevel"/>
    <w:tmpl w:val="B66A9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BDB6786"/>
    <w:multiLevelType w:val="multilevel"/>
    <w:tmpl w:val="0DA8493A"/>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792"/>
      </w:pPr>
      <w:rPr>
        <w:rFonts w:hint="default"/>
      </w:rPr>
    </w:lvl>
    <w:lvl w:ilvl="2">
      <w:start w:val="1"/>
      <w:numFmt w:val="decimal"/>
      <w:pStyle w:val="Heading3"/>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223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4E013C3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16C7463"/>
    <w:multiLevelType w:val="multilevel"/>
    <w:tmpl w:val="170CAF02"/>
    <w:lvl w:ilvl="0">
      <w:start w:val="1"/>
      <w:numFmt w:val="decimal"/>
      <w:pStyle w:val="Heading9"/>
      <w:lvlText w:val="Annexe %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none"/>
      <w:pStyle w:val="Heading9"/>
      <w:lvlText w:val=""/>
      <w:lvlJc w:val="left"/>
      <w:pPr>
        <w:tabs>
          <w:tab w:val="num" w:pos="360"/>
        </w:tabs>
        <w:ind w:left="0" w:firstLine="0"/>
      </w:pPr>
      <w:rPr>
        <w:rFonts w:hint="default"/>
      </w:rPr>
    </w:lvl>
  </w:abstractNum>
  <w:abstractNum w:abstractNumId="32">
    <w:nsid w:val="52595C30"/>
    <w:multiLevelType w:val="hybridMultilevel"/>
    <w:tmpl w:val="1B366B42"/>
    <w:lvl w:ilvl="0" w:tplc="F39AFD5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67346C9"/>
    <w:multiLevelType w:val="multilevel"/>
    <w:tmpl w:val="95184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80039ED"/>
    <w:multiLevelType w:val="hybridMultilevel"/>
    <w:tmpl w:val="E0560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818474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594C0802"/>
    <w:multiLevelType w:val="hybridMultilevel"/>
    <w:tmpl w:val="CDF483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01B3817"/>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60F42C93"/>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684A3935"/>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6C0B2914"/>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6D8A26E2"/>
    <w:multiLevelType w:val="hybridMultilevel"/>
    <w:tmpl w:val="B1269B3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F5907D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73014D16"/>
    <w:multiLevelType w:val="hybridMultilevel"/>
    <w:tmpl w:val="0BE26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42634A6"/>
    <w:multiLevelType w:val="hybridMultilevel"/>
    <w:tmpl w:val="E8AA6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nsid w:val="781F7DB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nsid w:val="79B30DEE"/>
    <w:multiLevelType w:val="hybridMultilevel"/>
    <w:tmpl w:val="3CF01C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C3D0D8E"/>
    <w:multiLevelType w:val="hybridMultilevel"/>
    <w:tmpl w:val="8B108FCC"/>
    <w:lvl w:ilvl="0" w:tplc="08090001">
      <w:start w:val="1"/>
      <w:numFmt w:val="bullet"/>
      <w:lvlText w:val=""/>
      <w:lvlJc w:val="left"/>
      <w:pPr>
        <w:ind w:left="720" w:hanging="360"/>
      </w:pPr>
      <w:rPr>
        <w:rFonts w:ascii="Symbol" w:hAnsi="Symbol" w:hint="default"/>
      </w:rPr>
    </w:lvl>
    <w:lvl w:ilvl="1" w:tplc="F7D8AB48">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12"/>
  </w:num>
  <w:num w:numId="3">
    <w:abstractNumId w:val="21"/>
  </w:num>
  <w:num w:numId="4">
    <w:abstractNumId w:val="38"/>
  </w:num>
  <w:num w:numId="5">
    <w:abstractNumId w:val="10"/>
  </w:num>
  <w:num w:numId="6">
    <w:abstractNumId w:val="13"/>
  </w:num>
  <w:num w:numId="7">
    <w:abstractNumId w:val="37"/>
  </w:num>
  <w:num w:numId="8">
    <w:abstractNumId w:val="45"/>
  </w:num>
  <w:num w:numId="9">
    <w:abstractNumId w:val="39"/>
  </w:num>
  <w:num w:numId="10">
    <w:abstractNumId w:val="25"/>
  </w:num>
  <w:num w:numId="11">
    <w:abstractNumId w:val="40"/>
  </w:num>
  <w:num w:numId="12">
    <w:abstractNumId w:val="1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9"/>
  </w:num>
  <w:num w:numId="23">
    <w:abstractNumId w:val="22"/>
  </w:num>
  <w:num w:numId="24">
    <w:abstractNumId w:val="30"/>
  </w:num>
  <w:num w:numId="25">
    <w:abstractNumId w:val="27"/>
  </w:num>
  <w:num w:numId="26">
    <w:abstractNumId w:val="35"/>
  </w:num>
  <w:num w:numId="27">
    <w:abstractNumId w:val="16"/>
  </w:num>
  <w:num w:numId="28">
    <w:abstractNumId w:val="24"/>
  </w:num>
  <w:num w:numId="29">
    <w:abstractNumId w:val="29"/>
  </w:num>
  <w:num w:numId="30">
    <w:abstractNumId w:val="42"/>
  </w:num>
  <w:num w:numId="31">
    <w:abstractNumId w:val="36"/>
  </w:num>
  <w:num w:numId="32">
    <w:abstractNumId w:val="46"/>
  </w:num>
  <w:num w:numId="33">
    <w:abstractNumId w:val="17"/>
  </w:num>
  <w:num w:numId="34">
    <w:abstractNumId w:val="23"/>
  </w:num>
  <w:num w:numId="35">
    <w:abstractNumId w:val="34"/>
  </w:num>
  <w:num w:numId="36">
    <w:abstractNumId w:val="41"/>
  </w:num>
  <w:num w:numId="37">
    <w:abstractNumId w:val="33"/>
  </w:num>
  <w:num w:numId="38">
    <w:abstractNumId w:val="18"/>
  </w:num>
  <w:num w:numId="39">
    <w:abstractNumId w:val="26"/>
  </w:num>
  <w:num w:numId="40">
    <w:abstractNumId w:val="44"/>
  </w:num>
  <w:num w:numId="41">
    <w:abstractNumId w:val="44"/>
  </w:num>
  <w:num w:numId="42">
    <w:abstractNumId w:val="28"/>
  </w:num>
  <w:num w:numId="43">
    <w:abstractNumId w:val="47"/>
  </w:num>
  <w:num w:numId="44">
    <w:abstractNumId w:val="14"/>
  </w:num>
  <w:num w:numId="45">
    <w:abstractNumId w:val="43"/>
  </w:num>
  <w:num w:numId="46">
    <w:abstractNumId w:val="20"/>
  </w:num>
  <w:num w:numId="47">
    <w:abstractNumId w:val="32"/>
  </w:num>
  <w:num w:numId="48">
    <w:abstractNumId w:val="15"/>
  </w:num>
  <w:num w:numId="4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proofState w:grammar="clean"/>
  <w:attachedTemplate r:id="rId1"/>
  <w:stylePaneFormatFilter w:val="0004"/>
  <w:defaultTabStop w:val="720"/>
  <w:noPunctuationKerning/>
  <w:characterSpacingControl w:val="doNotCompress"/>
  <w:hdrShapeDefaults>
    <o:shapedefaults v:ext="edit" spidmax="4097" fillcolor="white" stroke="f">
      <v:fill color="white"/>
      <v:stroke on="f"/>
    </o:shapedefaults>
  </w:hdrShapeDefaults>
  <w:footnotePr>
    <w:footnote w:id="-1"/>
    <w:footnote w:id="0"/>
  </w:footnotePr>
  <w:endnotePr>
    <w:numFmt w:val="decimal"/>
    <w:endnote w:id="-1"/>
    <w:endnote w:id="0"/>
  </w:endnotePr>
  <w:compat/>
  <w:rsids>
    <w:rsidRoot w:val="007928A0"/>
    <w:rsid w:val="000032FE"/>
    <w:rsid w:val="000174E5"/>
    <w:rsid w:val="00041FC2"/>
    <w:rsid w:val="00043954"/>
    <w:rsid w:val="00046E77"/>
    <w:rsid w:val="00060CCF"/>
    <w:rsid w:val="00093BA8"/>
    <w:rsid w:val="000A2AC1"/>
    <w:rsid w:val="000A4C42"/>
    <w:rsid w:val="000C67A9"/>
    <w:rsid w:val="000D559A"/>
    <w:rsid w:val="000E0834"/>
    <w:rsid w:val="000F7BD9"/>
    <w:rsid w:val="00111DEA"/>
    <w:rsid w:val="00113942"/>
    <w:rsid w:val="00114CD2"/>
    <w:rsid w:val="001246CC"/>
    <w:rsid w:val="00124832"/>
    <w:rsid w:val="00126F7F"/>
    <w:rsid w:val="0013677A"/>
    <w:rsid w:val="00144DF1"/>
    <w:rsid w:val="00160A21"/>
    <w:rsid w:val="00163E4C"/>
    <w:rsid w:val="00167ED6"/>
    <w:rsid w:val="00183140"/>
    <w:rsid w:val="00187B2A"/>
    <w:rsid w:val="001F4255"/>
    <w:rsid w:val="00223287"/>
    <w:rsid w:val="002326B5"/>
    <w:rsid w:val="00235CD2"/>
    <w:rsid w:val="002375EC"/>
    <w:rsid w:val="00247737"/>
    <w:rsid w:val="002518AE"/>
    <w:rsid w:val="00264B48"/>
    <w:rsid w:val="00275F06"/>
    <w:rsid w:val="00282C50"/>
    <w:rsid w:val="002A39FE"/>
    <w:rsid w:val="002C2168"/>
    <w:rsid w:val="002D45C3"/>
    <w:rsid w:val="002E0566"/>
    <w:rsid w:val="002F2A52"/>
    <w:rsid w:val="002F57A7"/>
    <w:rsid w:val="002F71AD"/>
    <w:rsid w:val="00316059"/>
    <w:rsid w:val="00316070"/>
    <w:rsid w:val="00325365"/>
    <w:rsid w:val="00335669"/>
    <w:rsid w:val="00335747"/>
    <w:rsid w:val="00345EEB"/>
    <w:rsid w:val="00354397"/>
    <w:rsid w:val="003557E3"/>
    <w:rsid w:val="00364142"/>
    <w:rsid w:val="0038624E"/>
    <w:rsid w:val="003877E7"/>
    <w:rsid w:val="003A0B6A"/>
    <w:rsid w:val="003A5667"/>
    <w:rsid w:val="003B2AC7"/>
    <w:rsid w:val="003D4DA5"/>
    <w:rsid w:val="003D6B76"/>
    <w:rsid w:val="003D7412"/>
    <w:rsid w:val="003F0284"/>
    <w:rsid w:val="003F063D"/>
    <w:rsid w:val="00410E90"/>
    <w:rsid w:val="004128D8"/>
    <w:rsid w:val="00426466"/>
    <w:rsid w:val="00437C53"/>
    <w:rsid w:val="00446BED"/>
    <w:rsid w:val="00455DCD"/>
    <w:rsid w:val="00457F82"/>
    <w:rsid w:val="0047185D"/>
    <w:rsid w:val="00473FB6"/>
    <w:rsid w:val="00480657"/>
    <w:rsid w:val="004846B4"/>
    <w:rsid w:val="00484F73"/>
    <w:rsid w:val="0048580A"/>
    <w:rsid w:val="004870FB"/>
    <w:rsid w:val="004B0F96"/>
    <w:rsid w:val="004B14B5"/>
    <w:rsid w:val="004C6A0B"/>
    <w:rsid w:val="004E3457"/>
    <w:rsid w:val="004E7BCD"/>
    <w:rsid w:val="004F58E8"/>
    <w:rsid w:val="005026E6"/>
    <w:rsid w:val="00502DB1"/>
    <w:rsid w:val="00507056"/>
    <w:rsid w:val="005131DB"/>
    <w:rsid w:val="00515D49"/>
    <w:rsid w:val="005225DE"/>
    <w:rsid w:val="005245CB"/>
    <w:rsid w:val="0052568E"/>
    <w:rsid w:val="005316A4"/>
    <w:rsid w:val="00547333"/>
    <w:rsid w:val="00556D4D"/>
    <w:rsid w:val="00560690"/>
    <w:rsid w:val="005660D3"/>
    <w:rsid w:val="00571220"/>
    <w:rsid w:val="00575445"/>
    <w:rsid w:val="005763D6"/>
    <w:rsid w:val="00590226"/>
    <w:rsid w:val="00590B40"/>
    <w:rsid w:val="005A1B26"/>
    <w:rsid w:val="005C2ABC"/>
    <w:rsid w:val="005C51AB"/>
    <w:rsid w:val="00602135"/>
    <w:rsid w:val="006024E0"/>
    <w:rsid w:val="0061695B"/>
    <w:rsid w:val="00640BAF"/>
    <w:rsid w:val="00650710"/>
    <w:rsid w:val="00652411"/>
    <w:rsid w:val="006536C6"/>
    <w:rsid w:val="006572D0"/>
    <w:rsid w:val="00657FF8"/>
    <w:rsid w:val="0066370C"/>
    <w:rsid w:val="006669E8"/>
    <w:rsid w:val="0069076C"/>
    <w:rsid w:val="006C5A5A"/>
    <w:rsid w:val="006C61EC"/>
    <w:rsid w:val="006C688B"/>
    <w:rsid w:val="006E3235"/>
    <w:rsid w:val="006E6E8B"/>
    <w:rsid w:val="006E700F"/>
    <w:rsid w:val="006E7717"/>
    <w:rsid w:val="006F494E"/>
    <w:rsid w:val="006F7092"/>
    <w:rsid w:val="00714CB5"/>
    <w:rsid w:val="00753D95"/>
    <w:rsid w:val="0075565B"/>
    <w:rsid w:val="0078087D"/>
    <w:rsid w:val="00784A0B"/>
    <w:rsid w:val="00785AC1"/>
    <w:rsid w:val="007928A0"/>
    <w:rsid w:val="007934FC"/>
    <w:rsid w:val="007B16B0"/>
    <w:rsid w:val="007B1F8A"/>
    <w:rsid w:val="007B4868"/>
    <w:rsid w:val="007E3F9B"/>
    <w:rsid w:val="007F3A6E"/>
    <w:rsid w:val="00814BF3"/>
    <w:rsid w:val="00837187"/>
    <w:rsid w:val="008374FB"/>
    <w:rsid w:val="008528A6"/>
    <w:rsid w:val="008575BE"/>
    <w:rsid w:val="00862022"/>
    <w:rsid w:val="0087026D"/>
    <w:rsid w:val="0087319A"/>
    <w:rsid w:val="008731E3"/>
    <w:rsid w:val="008766B2"/>
    <w:rsid w:val="00884E86"/>
    <w:rsid w:val="008964E7"/>
    <w:rsid w:val="008975CA"/>
    <w:rsid w:val="008B4F59"/>
    <w:rsid w:val="00901BB8"/>
    <w:rsid w:val="009120DB"/>
    <w:rsid w:val="00912EFE"/>
    <w:rsid w:val="00914390"/>
    <w:rsid w:val="00916BDD"/>
    <w:rsid w:val="009218D1"/>
    <w:rsid w:val="009220DE"/>
    <w:rsid w:val="00930BE2"/>
    <w:rsid w:val="009317DD"/>
    <w:rsid w:val="00932B19"/>
    <w:rsid w:val="00942493"/>
    <w:rsid w:val="0094679B"/>
    <w:rsid w:val="00951205"/>
    <w:rsid w:val="00951ED6"/>
    <w:rsid w:val="00957000"/>
    <w:rsid w:val="009722ED"/>
    <w:rsid w:val="0097757D"/>
    <w:rsid w:val="00977AFE"/>
    <w:rsid w:val="0099799B"/>
    <w:rsid w:val="009A59D7"/>
    <w:rsid w:val="009B4458"/>
    <w:rsid w:val="009B79D0"/>
    <w:rsid w:val="009C3342"/>
    <w:rsid w:val="009C6C4C"/>
    <w:rsid w:val="009E54D1"/>
    <w:rsid w:val="009F4F54"/>
    <w:rsid w:val="009F7D0A"/>
    <w:rsid w:val="00A31C38"/>
    <w:rsid w:val="00A55BCC"/>
    <w:rsid w:val="00A745FE"/>
    <w:rsid w:val="00A80547"/>
    <w:rsid w:val="00A84CFF"/>
    <w:rsid w:val="00A91EB4"/>
    <w:rsid w:val="00AB5D82"/>
    <w:rsid w:val="00AE09EA"/>
    <w:rsid w:val="00B0313E"/>
    <w:rsid w:val="00B03894"/>
    <w:rsid w:val="00B05F6D"/>
    <w:rsid w:val="00B06F53"/>
    <w:rsid w:val="00B34880"/>
    <w:rsid w:val="00B36415"/>
    <w:rsid w:val="00B3769F"/>
    <w:rsid w:val="00B50157"/>
    <w:rsid w:val="00B509C3"/>
    <w:rsid w:val="00B55310"/>
    <w:rsid w:val="00B62A24"/>
    <w:rsid w:val="00BB0D88"/>
    <w:rsid w:val="00BD097A"/>
    <w:rsid w:val="00BD41EC"/>
    <w:rsid w:val="00BD5354"/>
    <w:rsid w:val="00BE0203"/>
    <w:rsid w:val="00BE11B3"/>
    <w:rsid w:val="00C0176A"/>
    <w:rsid w:val="00C05C7B"/>
    <w:rsid w:val="00C236D0"/>
    <w:rsid w:val="00C25900"/>
    <w:rsid w:val="00C2609F"/>
    <w:rsid w:val="00C32059"/>
    <w:rsid w:val="00C358F0"/>
    <w:rsid w:val="00C65222"/>
    <w:rsid w:val="00C7607D"/>
    <w:rsid w:val="00CA2250"/>
    <w:rsid w:val="00CB23C3"/>
    <w:rsid w:val="00CC6A26"/>
    <w:rsid w:val="00CD7FDC"/>
    <w:rsid w:val="00CE3B2E"/>
    <w:rsid w:val="00CE57FB"/>
    <w:rsid w:val="00CF2BB9"/>
    <w:rsid w:val="00CF7806"/>
    <w:rsid w:val="00D0297F"/>
    <w:rsid w:val="00D03582"/>
    <w:rsid w:val="00D13637"/>
    <w:rsid w:val="00D47C39"/>
    <w:rsid w:val="00D621D5"/>
    <w:rsid w:val="00D70217"/>
    <w:rsid w:val="00D86B4F"/>
    <w:rsid w:val="00D90026"/>
    <w:rsid w:val="00DB569C"/>
    <w:rsid w:val="00DC1008"/>
    <w:rsid w:val="00DC73B2"/>
    <w:rsid w:val="00DD1AF9"/>
    <w:rsid w:val="00DD1FC3"/>
    <w:rsid w:val="00DD41F7"/>
    <w:rsid w:val="00E16A4B"/>
    <w:rsid w:val="00E16EE5"/>
    <w:rsid w:val="00E17DF4"/>
    <w:rsid w:val="00E2546B"/>
    <w:rsid w:val="00E25648"/>
    <w:rsid w:val="00E377DB"/>
    <w:rsid w:val="00E400F9"/>
    <w:rsid w:val="00E42727"/>
    <w:rsid w:val="00E46FB2"/>
    <w:rsid w:val="00E541DB"/>
    <w:rsid w:val="00E56E0B"/>
    <w:rsid w:val="00E67CFB"/>
    <w:rsid w:val="00E73DF6"/>
    <w:rsid w:val="00E7679B"/>
    <w:rsid w:val="00E8475A"/>
    <w:rsid w:val="00E86953"/>
    <w:rsid w:val="00E9620C"/>
    <w:rsid w:val="00EA2B94"/>
    <w:rsid w:val="00EA5A74"/>
    <w:rsid w:val="00EB1BEF"/>
    <w:rsid w:val="00EB2481"/>
    <w:rsid w:val="00EC3651"/>
    <w:rsid w:val="00EC6184"/>
    <w:rsid w:val="00EE0578"/>
    <w:rsid w:val="00EE4E88"/>
    <w:rsid w:val="00F032D9"/>
    <w:rsid w:val="00F10ECB"/>
    <w:rsid w:val="00F20695"/>
    <w:rsid w:val="00F257F5"/>
    <w:rsid w:val="00F3484A"/>
    <w:rsid w:val="00F4142F"/>
    <w:rsid w:val="00F47974"/>
    <w:rsid w:val="00F64ACD"/>
    <w:rsid w:val="00F66B96"/>
    <w:rsid w:val="00F67DCD"/>
    <w:rsid w:val="00F74D4F"/>
    <w:rsid w:val="00F777A0"/>
    <w:rsid w:val="00F8389D"/>
    <w:rsid w:val="00F84A64"/>
    <w:rsid w:val="00FD1B91"/>
    <w:rsid w:val="00FF568C"/>
    <w:rsid w:val="00FF7080"/>
    <w:rsid w:val="00FF7A7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4097"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endnote text" w:uiPriority="99"/>
    <w:lsdException w:name="table of authorities" w:uiPriority="99"/>
    <w:lsdException w:name="macro" w:uiPriority="99"/>
    <w:lsdException w:name="toa heading" w:uiPriority="99"/>
    <w:lsdException w:name="List Bullet" w:uiPriority="99"/>
    <w:lsdException w:name="Title" w:semiHidden="0" w:unhideWhenUsed="0" w:qFormat="1"/>
    <w:lsdException w:name="Default Paragraph Font" w:uiPriority="1"/>
    <w:lsdException w:name="Subtitle" w:semiHidden="0" w:uiPriority="11"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Table Classic 1" w:uiPriority="99"/>
    <w:lsdException w:name="Table Colorful 1" w:uiPriority="99"/>
    <w:lsdException w:name="Table Columns 1"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DCD"/>
    <w:rPr>
      <w:rFonts w:eastAsia="Calibri"/>
      <w:sz w:val="22"/>
      <w:szCs w:val="22"/>
      <w:lang w:eastAsia="en-US"/>
    </w:rPr>
  </w:style>
  <w:style w:type="paragraph" w:styleId="Heading1">
    <w:name w:val="heading 1"/>
    <w:basedOn w:val="Normal"/>
    <w:next w:val="Normal"/>
    <w:link w:val="Heading1Char"/>
    <w:uiPriority w:val="9"/>
    <w:qFormat/>
    <w:rsid w:val="00515D49"/>
    <w:pPr>
      <w:keepNext/>
      <w:numPr>
        <w:numId w:val="29"/>
      </w:numPr>
      <w:spacing w:before="240" w:after="120"/>
      <w:outlineLvl w:val="0"/>
    </w:pPr>
    <w:rPr>
      <w:rFonts w:ascii="Trebuchet MS" w:hAnsi="Trebuchet MS"/>
      <w:b/>
      <w:bCs/>
      <w:kern w:val="32"/>
      <w:sz w:val="24"/>
      <w:szCs w:val="32"/>
    </w:rPr>
  </w:style>
  <w:style w:type="paragraph" w:styleId="Heading2">
    <w:name w:val="heading 2"/>
    <w:basedOn w:val="Normal"/>
    <w:next w:val="Normal"/>
    <w:link w:val="Heading2Char"/>
    <w:uiPriority w:val="9"/>
    <w:qFormat/>
    <w:rsid w:val="00515D49"/>
    <w:pPr>
      <w:keepNext/>
      <w:numPr>
        <w:ilvl w:val="1"/>
        <w:numId w:val="29"/>
      </w:numPr>
      <w:spacing w:before="240" w:after="60"/>
      <w:outlineLvl w:val="1"/>
    </w:pPr>
    <w:rPr>
      <w:rFonts w:ascii="Trebuchet MS" w:hAnsi="Trebuchet MS"/>
      <w:b/>
      <w:bCs/>
      <w:iCs/>
      <w:szCs w:val="28"/>
    </w:rPr>
  </w:style>
  <w:style w:type="paragraph" w:styleId="Heading3">
    <w:name w:val="heading 3"/>
    <w:aliases w:val="H3"/>
    <w:basedOn w:val="Normal"/>
    <w:next w:val="Normal"/>
    <w:link w:val="Heading3Char"/>
    <w:uiPriority w:val="9"/>
    <w:qFormat/>
    <w:rsid w:val="00515D49"/>
    <w:pPr>
      <w:keepNext/>
      <w:numPr>
        <w:ilvl w:val="2"/>
        <w:numId w:val="29"/>
      </w:numPr>
      <w:spacing w:before="120" w:after="60"/>
      <w:outlineLvl w:val="2"/>
    </w:pPr>
    <w:rPr>
      <w:rFonts w:ascii="Trebuchet MS" w:hAnsi="Trebuchet MS"/>
      <w:b/>
      <w:bCs/>
      <w:sz w:val="20"/>
      <w:szCs w:val="26"/>
    </w:rPr>
  </w:style>
  <w:style w:type="paragraph" w:styleId="Heading4">
    <w:name w:val="heading 4"/>
    <w:basedOn w:val="Normal"/>
    <w:next w:val="Normal"/>
    <w:link w:val="Heading4Char"/>
    <w:uiPriority w:val="9"/>
    <w:qFormat/>
    <w:rsid w:val="00043954"/>
    <w:pPr>
      <w:keepNext/>
      <w:numPr>
        <w:ilvl w:val="3"/>
        <w:numId w:val="1"/>
      </w:numPr>
      <w:spacing w:before="60" w:after="60"/>
      <w:ind w:left="0" w:firstLine="0"/>
      <w:outlineLvl w:val="3"/>
    </w:pPr>
    <w:rPr>
      <w:rFonts w:ascii="Trebuchet MS" w:hAnsi="Trebuchet MS"/>
      <w:b/>
      <w:bCs/>
      <w:sz w:val="20"/>
      <w:szCs w:val="28"/>
    </w:rPr>
  </w:style>
  <w:style w:type="paragraph" w:styleId="Heading5">
    <w:name w:val="heading 5"/>
    <w:basedOn w:val="Normal"/>
    <w:next w:val="Normal"/>
    <w:link w:val="Heading5Char"/>
    <w:uiPriority w:val="9"/>
    <w:qFormat/>
    <w:rsid w:val="00043954"/>
    <w:pPr>
      <w:numPr>
        <w:ilvl w:val="4"/>
        <w:numId w:val="1"/>
      </w:numPr>
      <w:spacing w:before="240" w:after="60"/>
      <w:outlineLvl w:val="4"/>
    </w:pPr>
    <w:rPr>
      <w:rFonts w:ascii="Trebuchet MS" w:hAnsi="Trebuchet MS"/>
      <w:b/>
      <w:bCs/>
      <w:iCs/>
      <w:sz w:val="20"/>
      <w:szCs w:val="26"/>
    </w:rPr>
  </w:style>
  <w:style w:type="paragraph" w:styleId="Heading6">
    <w:name w:val="heading 6"/>
    <w:basedOn w:val="Normal"/>
    <w:next w:val="Normal"/>
    <w:link w:val="Heading6Char"/>
    <w:uiPriority w:val="9"/>
    <w:qFormat/>
    <w:rsid w:val="006E3235"/>
    <w:pPr>
      <w:numPr>
        <w:ilvl w:val="5"/>
        <w:numId w:val="1"/>
      </w:numPr>
      <w:spacing w:before="240" w:after="60"/>
      <w:outlineLvl w:val="5"/>
    </w:pPr>
    <w:rPr>
      <w:bCs/>
    </w:rPr>
  </w:style>
  <w:style w:type="paragraph" w:styleId="Heading7">
    <w:name w:val="heading 7"/>
    <w:basedOn w:val="Normal"/>
    <w:next w:val="Normal"/>
    <w:link w:val="Heading7Char"/>
    <w:uiPriority w:val="9"/>
    <w:qFormat/>
    <w:rsid w:val="00D0297F"/>
    <w:pPr>
      <w:numPr>
        <w:numId w:val="28"/>
      </w:numPr>
      <w:spacing w:before="240" w:after="60"/>
      <w:outlineLvl w:val="6"/>
    </w:pPr>
    <w:rPr>
      <w:rFonts w:ascii="Trebuchet MS" w:hAnsi="Trebuchet MS"/>
      <w:b/>
      <w:sz w:val="20"/>
    </w:rPr>
  </w:style>
  <w:style w:type="paragraph" w:styleId="Heading8">
    <w:name w:val="heading 8"/>
    <w:basedOn w:val="Normal"/>
    <w:next w:val="Normal"/>
    <w:link w:val="Heading8Char"/>
    <w:uiPriority w:val="9"/>
    <w:qFormat/>
    <w:rsid w:val="00D0297F"/>
    <w:pPr>
      <w:numPr>
        <w:numId w:val="27"/>
      </w:numPr>
      <w:spacing w:before="240" w:after="60"/>
      <w:outlineLvl w:val="7"/>
    </w:pPr>
    <w:rPr>
      <w:rFonts w:ascii="Trebuchet MS" w:hAnsi="Trebuchet MS"/>
      <w:b/>
      <w:iCs/>
      <w:sz w:val="20"/>
    </w:rPr>
  </w:style>
  <w:style w:type="paragraph" w:styleId="Heading9">
    <w:name w:val="heading 9"/>
    <w:basedOn w:val="Normal"/>
    <w:next w:val="Normal"/>
    <w:link w:val="Heading9Char"/>
    <w:uiPriority w:val="9"/>
    <w:qFormat/>
    <w:rsid w:val="00D0297F"/>
    <w:pPr>
      <w:numPr>
        <w:numId w:val="1"/>
      </w:numPr>
      <w:spacing w:before="240" w:after="60"/>
      <w:outlineLvl w:val="8"/>
    </w:pPr>
    <w:rPr>
      <w:rFonts w:ascii="Trebuchet MS" w:hAnsi="Trebuchet MS"/>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235"/>
    <w:pPr>
      <w:tabs>
        <w:tab w:val="center" w:pos="4153"/>
        <w:tab w:val="right" w:pos="8306"/>
      </w:tabs>
    </w:pPr>
    <w:rPr>
      <w:rFonts w:ascii="Lucida Sans Unicode" w:hAnsi="Lucida Sans Unicode"/>
      <w:sz w:val="18"/>
    </w:rPr>
  </w:style>
  <w:style w:type="paragraph" w:styleId="Footer">
    <w:name w:val="footer"/>
    <w:basedOn w:val="Normal"/>
    <w:rsid w:val="006E3235"/>
    <w:pPr>
      <w:tabs>
        <w:tab w:val="center" w:pos="4153"/>
        <w:tab w:val="right" w:pos="8306"/>
      </w:tabs>
    </w:pPr>
    <w:rPr>
      <w:rFonts w:ascii="Lucida Sans Unicode" w:hAnsi="Lucida Sans Unicode"/>
      <w:sz w:val="18"/>
    </w:rPr>
  </w:style>
  <w:style w:type="character" w:styleId="Hyperlink">
    <w:name w:val="Hyperlink"/>
    <w:uiPriority w:val="99"/>
    <w:rsid w:val="00814BF3"/>
    <w:rPr>
      <w:color w:val="0000FF"/>
      <w:u w:val="single"/>
    </w:rPr>
  </w:style>
  <w:style w:type="table" w:styleId="TableList6">
    <w:name w:val="Table List 6"/>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9002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9002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9002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9002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9002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9002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9002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90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9002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9002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9002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7B1F8A"/>
    <w:pPr>
      <w:numPr>
        <w:numId w:val="10"/>
      </w:numPr>
    </w:pPr>
  </w:style>
  <w:style w:type="numbering" w:styleId="1ai">
    <w:name w:val="Outline List 1"/>
    <w:basedOn w:val="NoList"/>
    <w:semiHidden/>
    <w:rsid w:val="007B1F8A"/>
    <w:pPr>
      <w:numPr>
        <w:numId w:val="11"/>
      </w:numPr>
    </w:pPr>
  </w:style>
  <w:style w:type="numbering" w:styleId="ArticleSection">
    <w:name w:val="Outline List 3"/>
    <w:basedOn w:val="NoList"/>
    <w:semiHidden/>
    <w:rsid w:val="007B1F8A"/>
    <w:pPr>
      <w:numPr>
        <w:numId w:val="12"/>
      </w:numPr>
    </w:pPr>
  </w:style>
  <w:style w:type="paragraph" w:styleId="BlockText">
    <w:name w:val="Block Text"/>
    <w:basedOn w:val="Normal"/>
    <w:semiHidden/>
    <w:rsid w:val="007B1F8A"/>
    <w:pPr>
      <w:spacing w:after="120"/>
      <w:ind w:left="1440" w:right="1440"/>
    </w:pPr>
  </w:style>
  <w:style w:type="paragraph" w:styleId="BodyText2">
    <w:name w:val="Body Text 2"/>
    <w:basedOn w:val="Normal"/>
    <w:semiHidden/>
    <w:rsid w:val="007B1F8A"/>
    <w:pPr>
      <w:spacing w:after="120" w:line="480" w:lineRule="auto"/>
    </w:pPr>
  </w:style>
  <w:style w:type="paragraph" w:styleId="BodyText3">
    <w:name w:val="Body Text 3"/>
    <w:basedOn w:val="Normal"/>
    <w:semiHidden/>
    <w:rsid w:val="007B1F8A"/>
    <w:pPr>
      <w:spacing w:after="120"/>
    </w:pPr>
    <w:rPr>
      <w:sz w:val="16"/>
      <w:szCs w:val="16"/>
    </w:rPr>
  </w:style>
  <w:style w:type="paragraph" w:styleId="BodyText">
    <w:name w:val="Body Text"/>
    <w:basedOn w:val="Normal"/>
    <w:link w:val="BodyTextChar"/>
    <w:rsid w:val="008964E7"/>
    <w:rPr>
      <w:rFonts w:eastAsia="Times New Roman"/>
      <w:szCs w:val="24"/>
    </w:rPr>
  </w:style>
  <w:style w:type="paragraph" w:styleId="BodyTextFirstIndent">
    <w:name w:val="Body Text First Indent"/>
    <w:basedOn w:val="BodyText"/>
    <w:semiHidden/>
    <w:rsid w:val="007B1F8A"/>
    <w:pPr>
      <w:ind w:firstLine="210"/>
    </w:pPr>
  </w:style>
  <w:style w:type="paragraph" w:styleId="BodyTextIndent">
    <w:name w:val="Body Text Indent"/>
    <w:basedOn w:val="Normal"/>
    <w:semiHidden/>
    <w:rsid w:val="007B1F8A"/>
    <w:pPr>
      <w:spacing w:after="120"/>
      <w:ind w:left="283"/>
    </w:pPr>
  </w:style>
  <w:style w:type="paragraph" w:styleId="BodyTextFirstIndent2">
    <w:name w:val="Body Text First Indent 2"/>
    <w:basedOn w:val="BodyTextIndent"/>
    <w:semiHidden/>
    <w:rsid w:val="007B1F8A"/>
    <w:pPr>
      <w:ind w:firstLine="210"/>
    </w:pPr>
  </w:style>
  <w:style w:type="paragraph" w:styleId="BodyTextIndent2">
    <w:name w:val="Body Text Indent 2"/>
    <w:basedOn w:val="Normal"/>
    <w:semiHidden/>
    <w:rsid w:val="007B1F8A"/>
    <w:pPr>
      <w:spacing w:after="120" w:line="480" w:lineRule="auto"/>
      <w:ind w:left="283"/>
    </w:pPr>
  </w:style>
  <w:style w:type="paragraph" w:styleId="BodyTextIndent3">
    <w:name w:val="Body Text Indent 3"/>
    <w:basedOn w:val="Normal"/>
    <w:semiHidden/>
    <w:rsid w:val="007B1F8A"/>
    <w:pPr>
      <w:spacing w:after="120"/>
      <w:ind w:left="283"/>
    </w:pPr>
    <w:rPr>
      <w:sz w:val="16"/>
      <w:szCs w:val="16"/>
    </w:rPr>
  </w:style>
  <w:style w:type="paragraph" w:styleId="Closing">
    <w:name w:val="Closing"/>
    <w:basedOn w:val="Normal"/>
    <w:semiHidden/>
    <w:rsid w:val="007B1F8A"/>
    <w:pPr>
      <w:ind w:left="4252"/>
    </w:pPr>
  </w:style>
  <w:style w:type="paragraph" w:styleId="Date">
    <w:name w:val="Date"/>
    <w:basedOn w:val="Normal"/>
    <w:next w:val="Normal"/>
    <w:semiHidden/>
    <w:rsid w:val="007B1F8A"/>
  </w:style>
  <w:style w:type="paragraph" w:styleId="E-mailSignature">
    <w:name w:val="E-mail Signature"/>
    <w:basedOn w:val="Normal"/>
    <w:semiHidden/>
    <w:rsid w:val="007B1F8A"/>
  </w:style>
  <w:style w:type="character" w:styleId="Emphasis">
    <w:name w:val="Emphasis"/>
    <w:qFormat/>
    <w:rsid w:val="007B1F8A"/>
    <w:rPr>
      <w:i/>
      <w:iCs/>
    </w:rPr>
  </w:style>
  <w:style w:type="paragraph" w:styleId="EndnoteText">
    <w:name w:val="endnote text"/>
    <w:basedOn w:val="Normal"/>
    <w:link w:val="EndnoteTextChar"/>
    <w:uiPriority w:val="99"/>
    <w:rsid w:val="007B1F8A"/>
    <w:rPr>
      <w:sz w:val="20"/>
      <w:szCs w:val="20"/>
    </w:rPr>
  </w:style>
  <w:style w:type="paragraph" w:styleId="EnvelopeAddress">
    <w:name w:val="envelope address"/>
    <w:basedOn w:val="Normal"/>
    <w:semiHidden/>
    <w:rsid w:val="007B1F8A"/>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7B1F8A"/>
    <w:rPr>
      <w:rFonts w:ascii="Arial" w:hAnsi="Arial" w:cs="Arial"/>
      <w:sz w:val="20"/>
      <w:szCs w:val="20"/>
    </w:rPr>
  </w:style>
  <w:style w:type="character" w:styleId="FollowedHyperlink">
    <w:name w:val="FollowedHyperlink"/>
    <w:uiPriority w:val="99"/>
    <w:semiHidden/>
    <w:rsid w:val="007B1F8A"/>
    <w:rPr>
      <w:color w:val="800080"/>
      <w:u w:val="single"/>
    </w:rPr>
  </w:style>
  <w:style w:type="character" w:styleId="HTMLAcronym">
    <w:name w:val="HTML Acronym"/>
    <w:basedOn w:val="DefaultParagraphFont"/>
    <w:semiHidden/>
    <w:rsid w:val="007B1F8A"/>
  </w:style>
  <w:style w:type="paragraph" w:styleId="HTMLAddress">
    <w:name w:val="HTML Address"/>
    <w:basedOn w:val="Normal"/>
    <w:semiHidden/>
    <w:rsid w:val="007B1F8A"/>
    <w:rPr>
      <w:i/>
      <w:iCs/>
    </w:rPr>
  </w:style>
  <w:style w:type="character" w:styleId="HTMLCite">
    <w:name w:val="HTML Cite"/>
    <w:semiHidden/>
    <w:rsid w:val="007B1F8A"/>
    <w:rPr>
      <w:i/>
      <w:iCs/>
    </w:rPr>
  </w:style>
  <w:style w:type="character" w:styleId="HTMLCode">
    <w:name w:val="HTML Code"/>
    <w:semiHidden/>
    <w:rsid w:val="007B1F8A"/>
    <w:rPr>
      <w:rFonts w:ascii="Courier New" w:hAnsi="Courier New" w:cs="Courier New"/>
      <w:sz w:val="20"/>
      <w:szCs w:val="20"/>
    </w:rPr>
  </w:style>
  <w:style w:type="character" w:styleId="HTMLDefinition">
    <w:name w:val="HTML Definition"/>
    <w:semiHidden/>
    <w:rsid w:val="007B1F8A"/>
    <w:rPr>
      <w:i/>
      <w:iCs/>
    </w:rPr>
  </w:style>
  <w:style w:type="character" w:styleId="HTMLKeyboard">
    <w:name w:val="HTML Keyboard"/>
    <w:semiHidden/>
    <w:rsid w:val="007B1F8A"/>
    <w:rPr>
      <w:rFonts w:ascii="Courier New" w:hAnsi="Courier New" w:cs="Courier New"/>
      <w:sz w:val="20"/>
      <w:szCs w:val="20"/>
    </w:rPr>
  </w:style>
  <w:style w:type="paragraph" w:styleId="HTMLPreformatted">
    <w:name w:val="HTML Preformatted"/>
    <w:basedOn w:val="Normal"/>
    <w:semiHidden/>
    <w:rsid w:val="007B1F8A"/>
    <w:rPr>
      <w:rFonts w:ascii="Courier New" w:hAnsi="Courier New" w:cs="Courier New"/>
      <w:sz w:val="20"/>
      <w:szCs w:val="20"/>
    </w:rPr>
  </w:style>
  <w:style w:type="character" w:styleId="HTMLSample">
    <w:name w:val="HTML Sample"/>
    <w:semiHidden/>
    <w:rsid w:val="007B1F8A"/>
    <w:rPr>
      <w:rFonts w:ascii="Courier New" w:hAnsi="Courier New" w:cs="Courier New"/>
    </w:rPr>
  </w:style>
  <w:style w:type="character" w:styleId="HTMLTypewriter">
    <w:name w:val="HTML Typewriter"/>
    <w:semiHidden/>
    <w:rsid w:val="007B1F8A"/>
    <w:rPr>
      <w:rFonts w:ascii="Courier New" w:hAnsi="Courier New" w:cs="Courier New"/>
      <w:sz w:val="20"/>
      <w:szCs w:val="20"/>
    </w:rPr>
  </w:style>
  <w:style w:type="character" w:styleId="HTMLVariable">
    <w:name w:val="HTML Variable"/>
    <w:semiHidden/>
    <w:rsid w:val="007B1F8A"/>
    <w:rPr>
      <w:i/>
      <w:iCs/>
    </w:rPr>
  </w:style>
  <w:style w:type="character" w:styleId="LineNumber">
    <w:name w:val="line number"/>
    <w:basedOn w:val="DefaultParagraphFont"/>
    <w:semiHidden/>
    <w:rsid w:val="007B1F8A"/>
  </w:style>
  <w:style w:type="paragraph" w:styleId="List">
    <w:name w:val="List"/>
    <w:basedOn w:val="Normal"/>
    <w:semiHidden/>
    <w:rsid w:val="007B1F8A"/>
    <w:pPr>
      <w:ind w:left="283" w:hanging="283"/>
    </w:pPr>
  </w:style>
  <w:style w:type="paragraph" w:styleId="List2">
    <w:name w:val="List 2"/>
    <w:basedOn w:val="Normal"/>
    <w:semiHidden/>
    <w:rsid w:val="007B1F8A"/>
    <w:pPr>
      <w:ind w:left="566" w:hanging="283"/>
    </w:pPr>
  </w:style>
  <w:style w:type="paragraph" w:styleId="List3">
    <w:name w:val="List 3"/>
    <w:basedOn w:val="Normal"/>
    <w:semiHidden/>
    <w:rsid w:val="007B1F8A"/>
    <w:pPr>
      <w:ind w:left="849" w:hanging="283"/>
    </w:pPr>
  </w:style>
  <w:style w:type="paragraph" w:styleId="List4">
    <w:name w:val="List 4"/>
    <w:basedOn w:val="Normal"/>
    <w:semiHidden/>
    <w:rsid w:val="007B1F8A"/>
    <w:pPr>
      <w:ind w:left="1132" w:hanging="283"/>
    </w:pPr>
  </w:style>
  <w:style w:type="paragraph" w:styleId="List5">
    <w:name w:val="List 5"/>
    <w:basedOn w:val="Normal"/>
    <w:semiHidden/>
    <w:rsid w:val="007B1F8A"/>
    <w:pPr>
      <w:ind w:left="1415" w:hanging="283"/>
    </w:pPr>
  </w:style>
  <w:style w:type="paragraph" w:styleId="ListBullet2">
    <w:name w:val="List Bullet 2"/>
    <w:basedOn w:val="Normal"/>
    <w:autoRedefine/>
    <w:semiHidden/>
    <w:rsid w:val="007B1F8A"/>
    <w:pPr>
      <w:numPr>
        <w:numId w:val="13"/>
      </w:numPr>
    </w:pPr>
  </w:style>
  <w:style w:type="paragraph" w:styleId="ListBullet3">
    <w:name w:val="List Bullet 3"/>
    <w:basedOn w:val="Normal"/>
    <w:autoRedefine/>
    <w:semiHidden/>
    <w:rsid w:val="007B1F8A"/>
    <w:pPr>
      <w:numPr>
        <w:numId w:val="14"/>
      </w:numPr>
    </w:pPr>
  </w:style>
  <w:style w:type="paragraph" w:styleId="ListBullet4">
    <w:name w:val="List Bullet 4"/>
    <w:basedOn w:val="Normal"/>
    <w:autoRedefine/>
    <w:semiHidden/>
    <w:rsid w:val="007B1F8A"/>
    <w:pPr>
      <w:numPr>
        <w:numId w:val="15"/>
      </w:numPr>
    </w:pPr>
  </w:style>
  <w:style w:type="paragraph" w:styleId="ListBullet5">
    <w:name w:val="List Bullet 5"/>
    <w:basedOn w:val="Normal"/>
    <w:autoRedefine/>
    <w:semiHidden/>
    <w:rsid w:val="007B1F8A"/>
    <w:pPr>
      <w:numPr>
        <w:numId w:val="16"/>
      </w:numPr>
    </w:pPr>
  </w:style>
  <w:style w:type="paragraph" w:styleId="ListContinue">
    <w:name w:val="List Continue"/>
    <w:basedOn w:val="Normal"/>
    <w:semiHidden/>
    <w:rsid w:val="007B1F8A"/>
    <w:pPr>
      <w:spacing w:after="120"/>
      <w:ind w:left="283"/>
    </w:pPr>
  </w:style>
  <w:style w:type="paragraph" w:styleId="ListContinue2">
    <w:name w:val="List Continue 2"/>
    <w:basedOn w:val="Normal"/>
    <w:semiHidden/>
    <w:rsid w:val="007B1F8A"/>
    <w:pPr>
      <w:spacing w:after="120"/>
      <w:ind w:left="566"/>
    </w:pPr>
  </w:style>
  <w:style w:type="paragraph" w:styleId="ListContinue3">
    <w:name w:val="List Continue 3"/>
    <w:basedOn w:val="Normal"/>
    <w:semiHidden/>
    <w:rsid w:val="007B1F8A"/>
    <w:pPr>
      <w:spacing w:after="120"/>
      <w:ind w:left="849"/>
    </w:pPr>
  </w:style>
  <w:style w:type="paragraph" w:styleId="ListContinue4">
    <w:name w:val="List Continue 4"/>
    <w:basedOn w:val="Normal"/>
    <w:semiHidden/>
    <w:rsid w:val="007B1F8A"/>
    <w:pPr>
      <w:spacing w:after="120"/>
      <w:ind w:left="1132"/>
    </w:pPr>
  </w:style>
  <w:style w:type="paragraph" w:styleId="ListContinue5">
    <w:name w:val="List Continue 5"/>
    <w:basedOn w:val="Normal"/>
    <w:semiHidden/>
    <w:rsid w:val="007B1F8A"/>
    <w:pPr>
      <w:spacing w:after="120"/>
      <w:ind w:left="1415"/>
    </w:pPr>
  </w:style>
  <w:style w:type="paragraph" w:styleId="ListNumber">
    <w:name w:val="List Number"/>
    <w:basedOn w:val="Normal"/>
    <w:semiHidden/>
    <w:rsid w:val="007B1F8A"/>
    <w:pPr>
      <w:numPr>
        <w:numId w:val="17"/>
      </w:numPr>
    </w:pPr>
  </w:style>
  <w:style w:type="paragraph" w:styleId="ListNumber2">
    <w:name w:val="List Number 2"/>
    <w:basedOn w:val="Normal"/>
    <w:semiHidden/>
    <w:rsid w:val="007B1F8A"/>
    <w:pPr>
      <w:numPr>
        <w:numId w:val="18"/>
      </w:numPr>
    </w:pPr>
  </w:style>
  <w:style w:type="paragraph" w:styleId="ListNumber3">
    <w:name w:val="List Number 3"/>
    <w:basedOn w:val="Normal"/>
    <w:semiHidden/>
    <w:rsid w:val="007B1F8A"/>
    <w:pPr>
      <w:numPr>
        <w:numId w:val="19"/>
      </w:numPr>
    </w:pPr>
  </w:style>
  <w:style w:type="paragraph" w:styleId="ListNumber4">
    <w:name w:val="List Number 4"/>
    <w:basedOn w:val="Normal"/>
    <w:semiHidden/>
    <w:rsid w:val="007B1F8A"/>
    <w:pPr>
      <w:numPr>
        <w:numId w:val="20"/>
      </w:numPr>
    </w:pPr>
  </w:style>
  <w:style w:type="paragraph" w:styleId="ListNumber5">
    <w:name w:val="List Number 5"/>
    <w:basedOn w:val="Normal"/>
    <w:semiHidden/>
    <w:rsid w:val="007B1F8A"/>
    <w:pPr>
      <w:numPr>
        <w:numId w:val="21"/>
      </w:numPr>
    </w:pPr>
  </w:style>
  <w:style w:type="paragraph" w:styleId="MessageHeader">
    <w:name w:val="Message Header"/>
    <w:basedOn w:val="Normal"/>
    <w:semiHidden/>
    <w:rsid w:val="007B1F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99"/>
    <w:semiHidden/>
    <w:rsid w:val="007B1F8A"/>
    <w:rPr>
      <w:sz w:val="24"/>
    </w:rPr>
  </w:style>
  <w:style w:type="paragraph" w:styleId="NormalIndent">
    <w:name w:val="Normal Indent"/>
    <w:basedOn w:val="Normal"/>
    <w:semiHidden/>
    <w:rsid w:val="007B1F8A"/>
    <w:pPr>
      <w:ind w:left="720"/>
    </w:pPr>
  </w:style>
  <w:style w:type="paragraph" w:styleId="NoteHeading">
    <w:name w:val="Note Heading"/>
    <w:basedOn w:val="Normal"/>
    <w:next w:val="Normal"/>
    <w:semiHidden/>
    <w:rsid w:val="007B1F8A"/>
  </w:style>
  <w:style w:type="character" w:styleId="PageNumber">
    <w:name w:val="page number"/>
    <w:basedOn w:val="DefaultParagraphFont"/>
    <w:semiHidden/>
    <w:rsid w:val="007B1F8A"/>
  </w:style>
  <w:style w:type="paragraph" w:styleId="PlainText">
    <w:name w:val="Plain Text"/>
    <w:basedOn w:val="Normal"/>
    <w:semiHidden/>
    <w:rsid w:val="007B1F8A"/>
    <w:rPr>
      <w:rFonts w:ascii="Courier New" w:hAnsi="Courier New" w:cs="Courier New"/>
      <w:sz w:val="20"/>
      <w:szCs w:val="20"/>
    </w:rPr>
  </w:style>
  <w:style w:type="paragraph" w:styleId="Salutation">
    <w:name w:val="Salutation"/>
    <w:basedOn w:val="Normal"/>
    <w:next w:val="Normal"/>
    <w:semiHidden/>
    <w:rsid w:val="007B1F8A"/>
  </w:style>
  <w:style w:type="paragraph" w:styleId="Signature">
    <w:name w:val="Signature"/>
    <w:basedOn w:val="Normal"/>
    <w:semiHidden/>
    <w:rsid w:val="007B1F8A"/>
    <w:pPr>
      <w:ind w:left="4252"/>
    </w:pPr>
  </w:style>
  <w:style w:type="character" w:styleId="Strong">
    <w:name w:val="Strong"/>
    <w:uiPriority w:val="22"/>
    <w:qFormat/>
    <w:rsid w:val="007B1F8A"/>
    <w:rPr>
      <w:b/>
      <w:bCs/>
    </w:rPr>
  </w:style>
  <w:style w:type="paragraph" w:styleId="Subtitle">
    <w:name w:val="Subtitle"/>
    <w:basedOn w:val="Normal"/>
    <w:link w:val="SubtitleChar"/>
    <w:uiPriority w:val="11"/>
    <w:qFormat/>
    <w:rsid w:val="00515D49"/>
    <w:pPr>
      <w:spacing w:after="60"/>
      <w:jc w:val="center"/>
      <w:outlineLvl w:val="1"/>
    </w:pPr>
    <w:rPr>
      <w:rFonts w:ascii="Lucida Sans Unicode" w:hAnsi="Lucida Sans Unicode"/>
      <w:b/>
      <w:color w:val="FF0000"/>
      <w:sz w:val="24"/>
    </w:rPr>
  </w:style>
  <w:style w:type="table" w:styleId="Table3Deffects1">
    <w:name w:val="Table 3D effects 1"/>
    <w:basedOn w:val="TableNormal"/>
    <w:semiHidden/>
    <w:rsid w:val="007B1F8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1F8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1F8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1F8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1F8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1F8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semiHidden/>
    <w:rsid w:val="007B1F8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1F8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7B1F8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1F8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1F8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1F8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1F8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1F8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1F8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1F8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1F8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1F8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1F8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1F8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1F8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1F8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7B1F8A"/>
    <w:pPr>
      <w:spacing w:before="120" w:after="120"/>
    </w:pPr>
    <w:rPr>
      <w:b/>
      <w:bCs/>
      <w:caps/>
      <w:sz w:val="20"/>
      <w:szCs w:val="20"/>
    </w:rPr>
  </w:style>
  <w:style w:type="paragraph" w:styleId="Title">
    <w:name w:val="Title"/>
    <w:basedOn w:val="Normal"/>
    <w:link w:val="TitleChar"/>
    <w:qFormat/>
    <w:rsid w:val="007B1F8A"/>
    <w:pPr>
      <w:spacing w:before="240" w:after="60"/>
      <w:jc w:val="center"/>
      <w:outlineLvl w:val="0"/>
    </w:pPr>
    <w:rPr>
      <w:rFonts w:ascii="Lucida Sans Unicode" w:hAnsi="Lucida Sans Unicode"/>
      <w:b/>
      <w:bCs/>
      <w:color w:val="FF0000"/>
      <w:kern w:val="28"/>
      <w:sz w:val="36"/>
      <w:szCs w:val="32"/>
    </w:rPr>
  </w:style>
  <w:style w:type="paragraph" w:styleId="TOC2">
    <w:name w:val="toc 2"/>
    <w:basedOn w:val="Normal"/>
    <w:next w:val="Normal"/>
    <w:autoRedefine/>
    <w:uiPriority w:val="39"/>
    <w:rsid w:val="007B1F8A"/>
    <w:pPr>
      <w:ind w:left="220"/>
    </w:pPr>
    <w:rPr>
      <w:smallCaps/>
      <w:sz w:val="20"/>
      <w:szCs w:val="20"/>
    </w:rPr>
  </w:style>
  <w:style w:type="paragraph" w:styleId="TOC3">
    <w:name w:val="toc 3"/>
    <w:basedOn w:val="Normal"/>
    <w:next w:val="Normal"/>
    <w:autoRedefine/>
    <w:uiPriority w:val="39"/>
    <w:rsid w:val="007B1F8A"/>
    <w:pPr>
      <w:ind w:left="440"/>
    </w:pPr>
    <w:rPr>
      <w:i/>
      <w:iCs/>
      <w:sz w:val="20"/>
      <w:szCs w:val="20"/>
    </w:rPr>
  </w:style>
  <w:style w:type="paragraph" w:styleId="TOC4">
    <w:name w:val="toc 4"/>
    <w:basedOn w:val="Normal"/>
    <w:next w:val="Normal"/>
    <w:autoRedefine/>
    <w:uiPriority w:val="39"/>
    <w:rsid w:val="007B1F8A"/>
    <w:pPr>
      <w:ind w:left="660"/>
    </w:pPr>
    <w:rPr>
      <w:sz w:val="18"/>
      <w:szCs w:val="18"/>
    </w:rPr>
  </w:style>
  <w:style w:type="paragraph" w:styleId="TOC5">
    <w:name w:val="toc 5"/>
    <w:basedOn w:val="Normal"/>
    <w:next w:val="Normal"/>
    <w:autoRedefine/>
    <w:uiPriority w:val="39"/>
    <w:rsid w:val="007B1F8A"/>
    <w:pPr>
      <w:ind w:left="880"/>
    </w:pPr>
    <w:rPr>
      <w:sz w:val="18"/>
      <w:szCs w:val="18"/>
    </w:rPr>
  </w:style>
  <w:style w:type="paragraph" w:styleId="TOC6">
    <w:name w:val="toc 6"/>
    <w:basedOn w:val="Normal"/>
    <w:next w:val="Normal"/>
    <w:autoRedefine/>
    <w:uiPriority w:val="39"/>
    <w:rsid w:val="007B1F8A"/>
    <w:pPr>
      <w:ind w:left="1100"/>
    </w:pPr>
    <w:rPr>
      <w:sz w:val="18"/>
      <w:szCs w:val="18"/>
    </w:rPr>
  </w:style>
  <w:style w:type="paragraph" w:styleId="TOC7">
    <w:name w:val="toc 7"/>
    <w:basedOn w:val="Normal"/>
    <w:next w:val="Normal"/>
    <w:autoRedefine/>
    <w:uiPriority w:val="39"/>
    <w:rsid w:val="007B1F8A"/>
    <w:pPr>
      <w:ind w:left="1320"/>
    </w:pPr>
    <w:rPr>
      <w:sz w:val="18"/>
      <w:szCs w:val="18"/>
    </w:rPr>
  </w:style>
  <w:style w:type="paragraph" w:styleId="TOC8">
    <w:name w:val="toc 8"/>
    <w:basedOn w:val="Normal"/>
    <w:next w:val="Normal"/>
    <w:autoRedefine/>
    <w:uiPriority w:val="39"/>
    <w:rsid w:val="007B1F8A"/>
    <w:pPr>
      <w:ind w:left="1540"/>
    </w:pPr>
    <w:rPr>
      <w:sz w:val="18"/>
      <w:szCs w:val="18"/>
    </w:rPr>
  </w:style>
  <w:style w:type="paragraph" w:styleId="TOC9">
    <w:name w:val="toc 9"/>
    <w:basedOn w:val="Normal"/>
    <w:next w:val="Normal"/>
    <w:autoRedefine/>
    <w:uiPriority w:val="39"/>
    <w:rsid w:val="007B1F8A"/>
    <w:pPr>
      <w:ind w:left="1760"/>
    </w:pPr>
    <w:rPr>
      <w:sz w:val="18"/>
      <w:szCs w:val="18"/>
    </w:rPr>
  </w:style>
  <w:style w:type="paragraph" w:styleId="DocumentMap">
    <w:name w:val="Document Map"/>
    <w:basedOn w:val="Normal"/>
    <w:qFormat/>
    <w:rsid w:val="0048580A"/>
    <w:pPr>
      <w:shd w:val="clear" w:color="auto" w:fill="000080"/>
    </w:pPr>
    <w:rPr>
      <w:rFonts w:ascii="Calibri" w:hAnsi="Calibri" w:cs="Tahoma"/>
      <w:sz w:val="16"/>
    </w:rPr>
  </w:style>
  <w:style w:type="paragraph" w:styleId="ListParagraph">
    <w:name w:val="List Paragraph"/>
    <w:basedOn w:val="Normal"/>
    <w:uiPriority w:val="34"/>
    <w:qFormat/>
    <w:rsid w:val="006C5A5A"/>
    <w:pPr>
      <w:ind w:left="720"/>
      <w:contextualSpacing/>
    </w:pPr>
  </w:style>
  <w:style w:type="character" w:customStyle="1" w:styleId="EndnoteTextChar">
    <w:name w:val="Endnote Text Char"/>
    <w:basedOn w:val="DefaultParagraphFont"/>
    <w:link w:val="EndnoteText"/>
    <w:uiPriority w:val="99"/>
    <w:rsid w:val="006C5A5A"/>
  </w:style>
  <w:style w:type="character" w:styleId="EndnoteReference">
    <w:name w:val="endnote reference"/>
    <w:semiHidden/>
    <w:unhideWhenUsed/>
    <w:rsid w:val="006C5A5A"/>
    <w:rPr>
      <w:vertAlign w:val="superscript"/>
    </w:rPr>
  </w:style>
  <w:style w:type="character" w:customStyle="1" w:styleId="BodyTextChar">
    <w:name w:val="Body Text Char"/>
    <w:link w:val="BodyText"/>
    <w:rsid w:val="006C5A5A"/>
    <w:rPr>
      <w:sz w:val="22"/>
      <w:szCs w:val="24"/>
    </w:rPr>
  </w:style>
  <w:style w:type="paragraph" w:styleId="BalloonText">
    <w:name w:val="Balloon Text"/>
    <w:basedOn w:val="Normal"/>
    <w:link w:val="BalloonTextChar"/>
    <w:uiPriority w:val="99"/>
    <w:semiHidden/>
    <w:unhideWhenUsed/>
    <w:rsid w:val="006C5A5A"/>
    <w:rPr>
      <w:rFonts w:ascii="Tahoma" w:hAnsi="Tahoma"/>
      <w:sz w:val="16"/>
      <w:szCs w:val="16"/>
    </w:rPr>
  </w:style>
  <w:style w:type="character" w:customStyle="1" w:styleId="BalloonTextChar">
    <w:name w:val="Balloon Text Char"/>
    <w:link w:val="BalloonText"/>
    <w:uiPriority w:val="99"/>
    <w:semiHidden/>
    <w:rsid w:val="006C5A5A"/>
    <w:rPr>
      <w:rFonts w:ascii="Tahoma" w:eastAsia="Calibri" w:hAnsi="Tahoma" w:cs="Tahoma"/>
      <w:sz w:val="16"/>
      <w:szCs w:val="16"/>
      <w:lang w:eastAsia="en-US"/>
    </w:rPr>
  </w:style>
  <w:style w:type="paragraph" w:customStyle="1" w:styleId="a3120nb020notep1">
    <w:name w:val="a__31__20_n_b0__20_note_p1"/>
    <w:basedOn w:val="Normal"/>
    <w:rsid w:val="00275F06"/>
    <w:pPr>
      <w:spacing w:before="100" w:beforeAutospacing="1" w:after="100" w:afterAutospacing="1"/>
    </w:pPr>
    <w:rPr>
      <w:rFonts w:eastAsia="Times New Roman"/>
      <w:sz w:val="24"/>
      <w:szCs w:val="24"/>
      <w:lang w:eastAsia="en-GB"/>
    </w:rPr>
  </w:style>
  <w:style w:type="paragraph" w:customStyle="1" w:styleId="astandard3220date">
    <w:name w:val="a_standard__32__20_date"/>
    <w:basedOn w:val="Normal"/>
    <w:rsid w:val="00275F06"/>
    <w:pPr>
      <w:spacing w:before="100" w:beforeAutospacing="1" w:after="100" w:afterAutospacing="1"/>
    </w:pPr>
    <w:rPr>
      <w:rFonts w:eastAsia="Times New Roman"/>
      <w:sz w:val="24"/>
      <w:szCs w:val="24"/>
      <w:lang w:eastAsia="en-GB"/>
    </w:rPr>
  </w:style>
  <w:style w:type="paragraph" w:customStyle="1" w:styleId="astandard3320titre">
    <w:name w:val="a_standard__33__20_titre"/>
    <w:basedOn w:val="Normal"/>
    <w:rsid w:val="00275F06"/>
    <w:pPr>
      <w:spacing w:before="100" w:beforeAutospacing="1" w:after="100" w:afterAutospacing="1"/>
    </w:pPr>
    <w:rPr>
      <w:rFonts w:eastAsia="Times New Roman"/>
      <w:sz w:val="24"/>
      <w:szCs w:val="24"/>
      <w:lang w:eastAsia="en-GB"/>
    </w:rPr>
  </w:style>
  <w:style w:type="paragraph" w:customStyle="1" w:styleId="Endnotes">
    <w:name w:val="Endnotes"/>
    <w:basedOn w:val="Normal"/>
    <w:link w:val="EndnotesChar"/>
    <w:qFormat/>
    <w:rsid w:val="009220DE"/>
    <w:rPr>
      <w:sz w:val="20"/>
      <w:szCs w:val="20"/>
    </w:rPr>
  </w:style>
  <w:style w:type="paragraph" w:customStyle="1" w:styleId="Default">
    <w:name w:val="Default"/>
    <w:rsid w:val="004B14B5"/>
    <w:pPr>
      <w:autoSpaceDE w:val="0"/>
      <w:autoSpaceDN w:val="0"/>
      <w:adjustRightInd w:val="0"/>
    </w:pPr>
    <w:rPr>
      <w:color w:val="000000"/>
      <w:sz w:val="24"/>
      <w:szCs w:val="24"/>
    </w:rPr>
  </w:style>
  <w:style w:type="character" w:customStyle="1" w:styleId="EndnotesChar">
    <w:name w:val="Endnotes Char"/>
    <w:link w:val="Endnotes"/>
    <w:rsid w:val="009220DE"/>
    <w:rPr>
      <w:rFonts w:eastAsia="Calibri"/>
      <w:lang w:eastAsia="en-US"/>
    </w:rPr>
  </w:style>
  <w:style w:type="paragraph" w:styleId="TOCHeading">
    <w:name w:val="TOC Heading"/>
    <w:basedOn w:val="Heading1"/>
    <w:next w:val="Normal"/>
    <w:uiPriority w:val="39"/>
    <w:semiHidden/>
    <w:unhideWhenUsed/>
    <w:qFormat/>
    <w:rsid w:val="00977AFE"/>
    <w:pPr>
      <w:keepLines/>
      <w:numPr>
        <w:numId w:val="0"/>
      </w:numPr>
      <w:spacing w:before="480" w:after="0" w:line="276" w:lineRule="auto"/>
      <w:outlineLvl w:val="9"/>
    </w:pPr>
    <w:rPr>
      <w:rFonts w:ascii="Cambria" w:eastAsia="MS Gothic" w:hAnsi="Cambria"/>
      <w:color w:val="365F91"/>
      <w:kern w:val="0"/>
      <w:sz w:val="28"/>
      <w:szCs w:val="28"/>
      <w:lang w:val="en-US" w:eastAsia="ja-JP"/>
    </w:rPr>
  </w:style>
  <w:style w:type="table" w:styleId="TableGrid">
    <w:name w:val="Table Grid"/>
    <w:basedOn w:val="TableNormal"/>
    <w:uiPriority w:val="59"/>
    <w:rsid w:val="00A31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5026E6"/>
    <w:rPr>
      <w:rFonts w:ascii="Trebuchet MS" w:eastAsia="Calibri" w:hAnsi="Trebuchet MS"/>
      <w:b/>
      <w:bCs/>
      <w:kern w:val="32"/>
      <w:sz w:val="24"/>
      <w:szCs w:val="32"/>
      <w:lang w:eastAsia="en-US"/>
    </w:rPr>
  </w:style>
  <w:style w:type="character" w:customStyle="1" w:styleId="Heading2Char">
    <w:name w:val="Heading 2 Char"/>
    <w:link w:val="Heading2"/>
    <w:uiPriority w:val="9"/>
    <w:rsid w:val="005026E6"/>
    <w:rPr>
      <w:rFonts w:ascii="Trebuchet MS" w:eastAsia="Calibri" w:hAnsi="Trebuchet MS"/>
      <w:b/>
      <w:bCs/>
      <w:iCs/>
      <w:sz w:val="22"/>
      <w:szCs w:val="28"/>
      <w:lang w:eastAsia="en-US"/>
    </w:rPr>
  </w:style>
  <w:style w:type="character" w:customStyle="1" w:styleId="Heading3Char">
    <w:name w:val="Heading 3 Char"/>
    <w:aliases w:val="H3 Char"/>
    <w:link w:val="Heading3"/>
    <w:uiPriority w:val="9"/>
    <w:rsid w:val="005026E6"/>
    <w:rPr>
      <w:rFonts w:ascii="Trebuchet MS" w:eastAsia="Calibri" w:hAnsi="Trebuchet MS"/>
      <w:b/>
      <w:bCs/>
      <w:szCs w:val="26"/>
      <w:lang w:eastAsia="en-US"/>
    </w:rPr>
  </w:style>
  <w:style w:type="character" w:customStyle="1" w:styleId="Heading7Char">
    <w:name w:val="Heading 7 Char"/>
    <w:link w:val="Heading7"/>
    <w:uiPriority w:val="9"/>
    <w:rsid w:val="005026E6"/>
    <w:rPr>
      <w:rFonts w:ascii="Trebuchet MS" w:eastAsia="Calibri" w:hAnsi="Trebuchet MS"/>
      <w:b/>
      <w:szCs w:val="22"/>
      <w:lang w:eastAsia="en-US"/>
    </w:rPr>
  </w:style>
  <w:style w:type="character" w:customStyle="1" w:styleId="meta">
    <w:name w:val="meta"/>
    <w:rsid w:val="005026E6"/>
  </w:style>
  <w:style w:type="character" w:customStyle="1" w:styleId="Heading4Char">
    <w:name w:val="Heading 4 Char"/>
    <w:link w:val="Heading4"/>
    <w:uiPriority w:val="9"/>
    <w:rsid w:val="005026E6"/>
    <w:rPr>
      <w:rFonts w:ascii="Trebuchet MS" w:eastAsia="Calibri" w:hAnsi="Trebuchet MS"/>
      <w:b/>
      <w:bCs/>
      <w:szCs w:val="28"/>
      <w:lang w:eastAsia="en-US"/>
    </w:rPr>
  </w:style>
  <w:style w:type="character" w:customStyle="1" w:styleId="Heading5Char">
    <w:name w:val="Heading 5 Char"/>
    <w:link w:val="Heading5"/>
    <w:uiPriority w:val="9"/>
    <w:rsid w:val="005026E6"/>
    <w:rPr>
      <w:rFonts w:ascii="Trebuchet MS" w:eastAsia="Calibri" w:hAnsi="Trebuchet MS"/>
      <w:b/>
      <w:bCs/>
      <w:iCs/>
      <w:szCs w:val="26"/>
      <w:lang w:eastAsia="en-US"/>
    </w:rPr>
  </w:style>
  <w:style w:type="character" w:customStyle="1" w:styleId="Heading6Char">
    <w:name w:val="Heading 6 Char"/>
    <w:link w:val="Heading6"/>
    <w:uiPriority w:val="9"/>
    <w:rsid w:val="005026E6"/>
    <w:rPr>
      <w:rFonts w:eastAsia="Calibri"/>
      <w:bCs/>
      <w:sz w:val="22"/>
      <w:szCs w:val="22"/>
      <w:lang w:eastAsia="en-US"/>
    </w:rPr>
  </w:style>
  <w:style w:type="character" w:customStyle="1" w:styleId="Heading8Char">
    <w:name w:val="Heading 8 Char"/>
    <w:link w:val="Heading8"/>
    <w:uiPriority w:val="9"/>
    <w:rsid w:val="005026E6"/>
    <w:rPr>
      <w:rFonts w:ascii="Trebuchet MS" w:eastAsia="Calibri" w:hAnsi="Trebuchet MS"/>
      <w:b/>
      <w:iCs/>
      <w:szCs w:val="22"/>
      <w:lang w:eastAsia="en-US"/>
    </w:rPr>
  </w:style>
  <w:style w:type="character" w:customStyle="1" w:styleId="Heading9Char">
    <w:name w:val="Heading 9 Char"/>
    <w:link w:val="Heading9"/>
    <w:uiPriority w:val="9"/>
    <w:rsid w:val="005026E6"/>
    <w:rPr>
      <w:rFonts w:ascii="Trebuchet MS" w:eastAsia="Calibri" w:hAnsi="Trebuchet MS" w:cs="Arial"/>
      <w:b/>
      <w:szCs w:val="22"/>
      <w:lang w:eastAsia="en-US"/>
    </w:rPr>
  </w:style>
  <w:style w:type="paragraph" w:styleId="FootnoteText">
    <w:name w:val="footnote text"/>
    <w:basedOn w:val="Normal"/>
    <w:link w:val="FootnoteTextChar"/>
    <w:uiPriority w:val="99"/>
    <w:semiHidden/>
    <w:unhideWhenUsed/>
    <w:rsid w:val="005026E6"/>
    <w:rPr>
      <w:rFonts w:ascii="Calibri" w:eastAsia="Times New Roman" w:hAnsi="Calibri"/>
      <w:sz w:val="20"/>
      <w:szCs w:val="20"/>
      <w:lang w:val="en-US" w:bidi="en-US"/>
    </w:rPr>
  </w:style>
  <w:style w:type="character" w:customStyle="1" w:styleId="FootnoteTextChar">
    <w:name w:val="Footnote Text Char"/>
    <w:link w:val="FootnoteText"/>
    <w:uiPriority w:val="99"/>
    <w:semiHidden/>
    <w:rsid w:val="005026E6"/>
    <w:rPr>
      <w:rFonts w:ascii="Calibri" w:hAnsi="Calibri"/>
      <w:lang w:val="en-US" w:eastAsia="en-US" w:bidi="en-US"/>
    </w:rPr>
  </w:style>
  <w:style w:type="paragraph" w:styleId="Caption">
    <w:name w:val="caption"/>
    <w:basedOn w:val="Normal"/>
    <w:next w:val="Normal"/>
    <w:uiPriority w:val="35"/>
    <w:semiHidden/>
    <w:unhideWhenUsed/>
    <w:qFormat/>
    <w:rsid w:val="005026E6"/>
    <w:pPr>
      <w:spacing w:after="200"/>
    </w:pPr>
    <w:rPr>
      <w:rFonts w:ascii="Calibri" w:eastAsia="Times New Roman" w:hAnsi="Calibri"/>
      <w:b/>
      <w:bCs/>
      <w:color w:val="4F81BD"/>
      <w:sz w:val="18"/>
      <w:szCs w:val="18"/>
      <w:lang w:val="en-US" w:bidi="en-US"/>
    </w:rPr>
  </w:style>
  <w:style w:type="character" w:customStyle="1" w:styleId="TitleChar">
    <w:name w:val="Title Char"/>
    <w:link w:val="Title"/>
    <w:rsid w:val="005026E6"/>
    <w:rPr>
      <w:rFonts w:ascii="Lucida Sans Unicode" w:eastAsia="Calibri" w:hAnsi="Lucida Sans Unicode" w:cs="Arial"/>
      <w:b/>
      <w:bCs/>
      <w:color w:val="FF0000"/>
      <w:kern w:val="28"/>
      <w:sz w:val="36"/>
      <w:szCs w:val="32"/>
      <w:lang w:eastAsia="en-US"/>
    </w:rPr>
  </w:style>
  <w:style w:type="character" w:customStyle="1" w:styleId="SubtitleChar">
    <w:name w:val="Subtitle Char"/>
    <w:link w:val="Subtitle"/>
    <w:uiPriority w:val="11"/>
    <w:rsid w:val="005026E6"/>
    <w:rPr>
      <w:rFonts w:ascii="Lucida Sans Unicode" w:eastAsia="Calibri" w:hAnsi="Lucida Sans Unicode" w:cs="Arial"/>
      <w:b/>
      <w:color w:val="FF0000"/>
      <w:sz w:val="24"/>
      <w:szCs w:val="22"/>
      <w:lang w:eastAsia="en-US"/>
    </w:rPr>
  </w:style>
  <w:style w:type="paragraph" w:styleId="NoSpacing">
    <w:name w:val="No Spacing"/>
    <w:uiPriority w:val="1"/>
    <w:qFormat/>
    <w:rsid w:val="005026E6"/>
    <w:rPr>
      <w:rFonts w:ascii="Calibri" w:hAnsi="Calibri"/>
      <w:sz w:val="22"/>
      <w:szCs w:val="22"/>
      <w:lang w:val="en-US" w:eastAsia="en-US" w:bidi="en-US"/>
    </w:rPr>
  </w:style>
  <w:style w:type="paragraph" w:styleId="Quote">
    <w:name w:val="Quote"/>
    <w:basedOn w:val="Normal"/>
    <w:next w:val="Normal"/>
    <w:link w:val="QuoteChar"/>
    <w:uiPriority w:val="29"/>
    <w:qFormat/>
    <w:rsid w:val="005026E6"/>
    <w:pPr>
      <w:spacing w:after="200" w:line="276" w:lineRule="auto"/>
    </w:pPr>
    <w:rPr>
      <w:rFonts w:ascii="Calibri" w:eastAsia="Times New Roman" w:hAnsi="Calibri"/>
      <w:i/>
      <w:iCs/>
      <w:color w:val="000000"/>
      <w:lang w:val="en-US" w:bidi="en-US"/>
    </w:rPr>
  </w:style>
  <w:style w:type="character" w:customStyle="1" w:styleId="QuoteChar">
    <w:name w:val="Quote Char"/>
    <w:link w:val="Quote"/>
    <w:uiPriority w:val="29"/>
    <w:rsid w:val="005026E6"/>
    <w:rPr>
      <w:rFonts w:ascii="Calibri" w:hAnsi="Calibri"/>
      <w:i/>
      <w:iCs/>
      <w:color w:val="000000"/>
      <w:sz w:val="22"/>
      <w:szCs w:val="22"/>
      <w:lang w:val="en-US" w:eastAsia="en-US" w:bidi="en-US"/>
    </w:rPr>
  </w:style>
  <w:style w:type="paragraph" w:styleId="IntenseQuote">
    <w:name w:val="Intense Quote"/>
    <w:basedOn w:val="Normal"/>
    <w:next w:val="Normal"/>
    <w:link w:val="IntenseQuoteChar"/>
    <w:uiPriority w:val="30"/>
    <w:qFormat/>
    <w:rsid w:val="005026E6"/>
    <w:pPr>
      <w:pBdr>
        <w:bottom w:val="single" w:sz="4" w:space="4" w:color="4F81BD"/>
      </w:pBdr>
      <w:spacing w:before="200" w:after="280" w:line="276" w:lineRule="auto"/>
      <w:ind w:left="936" w:right="936"/>
    </w:pPr>
    <w:rPr>
      <w:rFonts w:ascii="Calibri" w:eastAsia="Times New Roman" w:hAnsi="Calibri"/>
      <w:b/>
      <w:bCs/>
      <w:i/>
      <w:iCs/>
      <w:color w:val="4F81BD"/>
      <w:lang w:val="en-US" w:bidi="en-US"/>
    </w:rPr>
  </w:style>
  <w:style w:type="character" w:customStyle="1" w:styleId="IntenseQuoteChar">
    <w:name w:val="Intense Quote Char"/>
    <w:link w:val="IntenseQuote"/>
    <w:uiPriority w:val="30"/>
    <w:rsid w:val="005026E6"/>
    <w:rPr>
      <w:rFonts w:ascii="Calibri" w:hAnsi="Calibri"/>
      <w:b/>
      <w:bCs/>
      <w:i/>
      <w:iCs/>
      <w:color w:val="4F81BD"/>
      <w:sz w:val="22"/>
      <w:szCs w:val="22"/>
      <w:lang w:val="en-US" w:eastAsia="en-US" w:bidi="en-US"/>
    </w:rPr>
  </w:style>
  <w:style w:type="character" w:styleId="FootnoteReference">
    <w:name w:val="footnote reference"/>
    <w:uiPriority w:val="99"/>
    <w:semiHidden/>
    <w:unhideWhenUsed/>
    <w:rsid w:val="005026E6"/>
    <w:rPr>
      <w:vertAlign w:val="superscript"/>
    </w:rPr>
  </w:style>
  <w:style w:type="character" w:styleId="SubtleEmphasis">
    <w:name w:val="Subtle Emphasis"/>
    <w:uiPriority w:val="19"/>
    <w:qFormat/>
    <w:rsid w:val="005026E6"/>
    <w:rPr>
      <w:i/>
      <w:iCs/>
      <w:color w:val="808080"/>
    </w:rPr>
  </w:style>
  <w:style w:type="character" w:styleId="IntenseEmphasis">
    <w:name w:val="Intense Emphasis"/>
    <w:uiPriority w:val="21"/>
    <w:qFormat/>
    <w:rsid w:val="005026E6"/>
    <w:rPr>
      <w:b/>
      <w:bCs/>
      <w:i/>
      <w:iCs/>
      <w:color w:val="4F81BD"/>
    </w:rPr>
  </w:style>
  <w:style w:type="character" w:styleId="SubtleReference">
    <w:name w:val="Subtle Reference"/>
    <w:uiPriority w:val="31"/>
    <w:qFormat/>
    <w:rsid w:val="005026E6"/>
    <w:rPr>
      <w:smallCaps/>
      <w:color w:val="C0504D"/>
      <w:u w:val="single"/>
    </w:rPr>
  </w:style>
  <w:style w:type="character" w:styleId="IntenseReference">
    <w:name w:val="Intense Reference"/>
    <w:uiPriority w:val="32"/>
    <w:qFormat/>
    <w:rsid w:val="005026E6"/>
    <w:rPr>
      <w:b/>
      <w:bCs/>
      <w:smallCaps/>
      <w:color w:val="C0504D"/>
      <w:spacing w:val="5"/>
      <w:u w:val="single"/>
    </w:rPr>
  </w:style>
  <w:style w:type="character" w:styleId="BookTitle">
    <w:name w:val="Book Title"/>
    <w:uiPriority w:val="33"/>
    <w:qFormat/>
    <w:rsid w:val="005026E6"/>
    <w:rPr>
      <w:b/>
      <w:bCs/>
      <w:smallCaps/>
      <w:spacing w:val="5"/>
    </w:rPr>
  </w:style>
  <w:style w:type="character" w:customStyle="1" w:styleId="ssl0">
    <w:name w:val="ss_l0"/>
    <w:rsid w:val="005026E6"/>
  </w:style>
  <w:style w:type="character" w:customStyle="1" w:styleId="hit">
    <w:name w:val="hit"/>
    <w:rsid w:val="005026E6"/>
  </w:style>
  <w:style w:type="character" w:customStyle="1" w:styleId="kenyer">
    <w:name w:val="kenyer"/>
    <w:rsid w:val="005026E6"/>
  </w:style>
  <w:style w:type="character" w:customStyle="1" w:styleId="errablack">
    <w:name w:val="errablack"/>
    <w:rsid w:val="005026E6"/>
  </w:style>
  <w:style w:type="character" w:customStyle="1" w:styleId="fontebanner">
    <w:name w:val="fontebanner"/>
    <w:rsid w:val="005026E6"/>
  </w:style>
  <w:style w:type="character" w:customStyle="1" w:styleId="verdana">
    <w:name w:val="verdana"/>
    <w:rsid w:val="005026E6"/>
  </w:style>
  <w:style w:type="character" w:customStyle="1" w:styleId="arttext">
    <w:name w:val="arttext"/>
    <w:rsid w:val="005026E6"/>
  </w:style>
  <w:style w:type="character" w:customStyle="1" w:styleId="ui-icon">
    <w:name w:val="ui-icon"/>
    <w:basedOn w:val="DefaultParagraphFont"/>
    <w:rsid w:val="003253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ArticleSection"/>
    <w:pPr>
      <w:numPr>
        <w:numId w:val="12"/>
      </w:numPr>
    </w:pPr>
  </w:style>
  <w:style w:type="numbering" w:customStyle="1" w:styleId="Footer">
    <w:name w:val="111111"/>
    <w:pPr>
      <w:numPr>
        <w:numId w:val="10"/>
      </w:numPr>
    </w:pPr>
  </w:style>
  <w:style w:type="numbering" w:customStyle="1" w:styleId="Hyperlink">
    <w:name w:val="1ai"/>
    <w:pPr>
      <w:numPr>
        <w:numId w:val="11"/>
      </w:numPr>
    </w:pPr>
  </w:style>
</w:styles>
</file>

<file path=word/webSettings.xml><?xml version="1.0" encoding="utf-8"?>
<w:webSettings xmlns:r="http://schemas.openxmlformats.org/officeDocument/2006/relationships" xmlns:w="http://schemas.openxmlformats.org/wordprocessingml/2006/main">
  <w:divs>
    <w:div w:id="19555669">
      <w:bodyDiv w:val="1"/>
      <w:marLeft w:val="0"/>
      <w:marRight w:val="0"/>
      <w:marTop w:val="0"/>
      <w:marBottom w:val="0"/>
      <w:divBdr>
        <w:top w:val="none" w:sz="0" w:space="0" w:color="auto"/>
        <w:left w:val="none" w:sz="0" w:space="0" w:color="auto"/>
        <w:bottom w:val="none" w:sz="0" w:space="0" w:color="auto"/>
        <w:right w:val="none" w:sz="0" w:space="0" w:color="auto"/>
      </w:divBdr>
      <w:divsChild>
        <w:div w:id="239994633">
          <w:marLeft w:val="0"/>
          <w:marRight w:val="0"/>
          <w:marTop w:val="0"/>
          <w:marBottom w:val="0"/>
          <w:divBdr>
            <w:top w:val="none" w:sz="0" w:space="0" w:color="auto"/>
            <w:left w:val="none" w:sz="0" w:space="0" w:color="auto"/>
            <w:bottom w:val="none" w:sz="0" w:space="0" w:color="auto"/>
            <w:right w:val="none" w:sz="0" w:space="0" w:color="auto"/>
          </w:divBdr>
          <w:divsChild>
            <w:div w:id="1254582066">
              <w:marLeft w:val="0"/>
              <w:marRight w:val="0"/>
              <w:marTop w:val="0"/>
              <w:marBottom w:val="0"/>
              <w:divBdr>
                <w:top w:val="none" w:sz="0" w:space="0" w:color="auto"/>
                <w:left w:val="none" w:sz="0" w:space="0" w:color="auto"/>
                <w:bottom w:val="none" w:sz="0" w:space="0" w:color="auto"/>
                <w:right w:val="none" w:sz="0" w:space="0" w:color="auto"/>
              </w:divBdr>
              <w:divsChild>
                <w:div w:id="187762547">
                  <w:marLeft w:val="0"/>
                  <w:marRight w:val="0"/>
                  <w:marTop w:val="0"/>
                  <w:marBottom w:val="0"/>
                  <w:divBdr>
                    <w:top w:val="none" w:sz="0" w:space="0" w:color="auto"/>
                    <w:left w:val="none" w:sz="0" w:space="0" w:color="auto"/>
                    <w:bottom w:val="none" w:sz="0" w:space="0" w:color="auto"/>
                    <w:right w:val="none" w:sz="0" w:space="0" w:color="auto"/>
                  </w:divBdr>
                  <w:divsChild>
                    <w:div w:id="691223877">
                      <w:marLeft w:val="0"/>
                      <w:marRight w:val="0"/>
                      <w:marTop w:val="0"/>
                      <w:marBottom w:val="0"/>
                      <w:divBdr>
                        <w:top w:val="none" w:sz="0" w:space="0" w:color="auto"/>
                        <w:left w:val="none" w:sz="0" w:space="0" w:color="auto"/>
                        <w:bottom w:val="none" w:sz="0" w:space="0" w:color="auto"/>
                        <w:right w:val="none" w:sz="0" w:space="0" w:color="auto"/>
                      </w:divBdr>
                      <w:divsChild>
                        <w:div w:id="812143503">
                          <w:marLeft w:val="0"/>
                          <w:marRight w:val="0"/>
                          <w:marTop w:val="0"/>
                          <w:marBottom w:val="0"/>
                          <w:divBdr>
                            <w:top w:val="none" w:sz="0" w:space="0" w:color="auto"/>
                            <w:left w:val="none" w:sz="0" w:space="0" w:color="auto"/>
                            <w:bottom w:val="none" w:sz="0" w:space="0" w:color="auto"/>
                            <w:right w:val="none" w:sz="0" w:space="0" w:color="auto"/>
                          </w:divBdr>
                          <w:divsChild>
                            <w:div w:id="1980107011">
                              <w:marLeft w:val="0"/>
                              <w:marRight w:val="0"/>
                              <w:marTop w:val="0"/>
                              <w:marBottom w:val="0"/>
                              <w:divBdr>
                                <w:top w:val="none" w:sz="0" w:space="0" w:color="auto"/>
                                <w:left w:val="none" w:sz="0" w:space="0" w:color="auto"/>
                                <w:bottom w:val="none" w:sz="0" w:space="0" w:color="auto"/>
                                <w:right w:val="none" w:sz="0" w:space="0" w:color="auto"/>
                              </w:divBdr>
                            </w:div>
                            <w:div w:id="1982955403">
                              <w:marLeft w:val="0"/>
                              <w:marRight w:val="0"/>
                              <w:marTop w:val="0"/>
                              <w:marBottom w:val="0"/>
                              <w:divBdr>
                                <w:top w:val="none" w:sz="0" w:space="0" w:color="auto"/>
                                <w:left w:val="none" w:sz="0" w:space="0" w:color="auto"/>
                                <w:bottom w:val="none" w:sz="0" w:space="0" w:color="auto"/>
                                <w:right w:val="none" w:sz="0" w:space="0" w:color="auto"/>
                              </w:divBdr>
                              <w:divsChild>
                                <w:div w:id="109046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6625">
      <w:bodyDiv w:val="1"/>
      <w:marLeft w:val="0"/>
      <w:marRight w:val="0"/>
      <w:marTop w:val="0"/>
      <w:marBottom w:val="0"/>
      <w:divBdr>
        <w:top w:val="none" w:sz="0" w:space="0" w:color="auto"/>
        <w:left w:val="none" w:sz="0" w:space="0" w:color="auto"/>
        <w:bottom w:val="none" w:sz="0" w:space="0" w:color="auto"/>
        <w:right w:val="none" w:sz="0" w:space="0" w:color="auto"/>
      </w:divBdr>
    </w:div>
    <w:div w:id="385179005">
      <w:bodyDiv w:val="1"/>
      <w:marLeft w:val="0"/>
      <w:marRight w:val="0"/>
      <w:marTop w:val="0"/>
      <w:marBottom w:val="0"/>
      <w:divBdr>
        <w:top w:val="none" w:sz="0" w:space="0" w:color="auto"/>
        <w:left w:val="none" w:sz="0" w:space="0" w:color="auto"/>
        <w:bottom w:val="none" w:sz="0" w:space="0" w:color="auto"/>
        <w:right w:val="none" w:sz="0" w:space="0" w:color="auto"/>
      </w:divBdr>
      <w:divsChild>
        <w:div w:id="1967153273">
          <w:marLeft w:val="0"/>
          <w:marRight w:val="0"/>
          <w:marTop w:val="0"/>
          <w:marBottom w:val="0"/>
          <w:divBdr>
            <w:top w:val="none" w:sz="0" w:space="0" w:color="auto"/>
            <w:left w:val="none" w:sz="0" w:space="0" w:color="auto"/>
            <w:bottom w:val="none" w:sz="0" w:space="0" w:color="auto"/>
            <w:right w:val="none" w:sz="0" w:space="0" w:color="auto"/>
          </w:divBdr>
          <w:divsChild>
            <w:div w:id="1593590298">
              <w:marLeft w:val="0"/>
              <w:marRight w:val="0"/>
              <w:marTop w:val="0"/>
              <w:marBottom w:val="0"/>
              <w:divBdr>
                <w:top w:val="none" w:sz="0" w:space="0" w:color="auto"/>
                <w:left w:val="none" w:sz="0" w:space="0" w:color="auto"/>
                <w:bottom w:val="none" w:sz="0" w:space="0" w:color="auto"/>
                <w:right w:val="none" w:sz="0" w:space="0" w:color="auto"/>
              </w:divBdr>
              <w:divsChild>
                <w:div w:id="1903251911">
                  <w:marLeft w:val="0"/>
                  <w:marRight w:val="0"/>
                  <w:marTop w:val="0"/>
                  <w:marBottom w:val="0"/>
                  <w:divBdr>
                    <w:top w:val="none" w:sz="0" w:space="0" w:color="auto"/>
                    <w:left w:val="none" w:sz="0" w:space="0" w:color="auto"/>
                    <w:bottom w:val="none" w:sz="0" w:space="0" w:color="auto"/>
                    <w:right w:val="none" w:sz="0" w:space="0" w:color="auto"/>
                  </w:divBdr>
                  <w:divsChild>
                    <w:div w:id="207928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994888">
      <w:bodyDiv w:val="1"/>
      <w:marLeft w:val="0"/>
      <w:marRight w:val="0"/>
      <w:marTop w:val="0"/>
      <w:marBottom w:val="0"/>
      <w:divBdr>
        <w:top w:val="none" w:sz="0" w:space="0" w:color="auto"/>
        <w:left w:val="none" w:sz="0" w:space="0" w:color="auto"/>
        <w:bottom w:val="none" w:sz="0" w:space="0" w:color="auto"/>
        <w:right w:val="none" w:sz="0" w:space="0" w:color="auto"/>
      </w:divBdr>
      <w:divsChild>
        <w:div w:id="407774134">
          <w:marLeft w:val="0"/>
          <w:marRight w:val="0"/>
          <w:marTop w:val="0"/>
          <w:marBottom w:val="0"/>
          <w:divBdr>
            <w:top w:val="none" w:sz="0" w:space="0" w:color="auto"/>
            <w:left w:val="none" w:sz="0" w:space="0" w:color="auto"/>
            <w:bottom w:val="none" w:sz="0" w:space="0" w:color="auto"/>
            <w:right w:val="none" w:sz="0" w:space="0" w:color="auto"/>
          </w:divBdr>
          <w:divsChild>
            <w:div w:id="2002540414">
              <w:marLeft w:val="0"/>
              <w:marRight w:val="0"/>
              <w:marTop w:val="0"/>
              <w:marBottom w:val="0"/>
              <w:divBdr>
                <w:top w:val="none" w:sz="0" w:space="0" w:color="auto"/>
                <w:left w:val="none" w:sz="0" w:space="0" w:color="auto"/>
                <w:bottom w:val="none" w:sz="0" w:space="0" w:color="auto"/>
                <w:right w:val="none" w:sz="0" w:space="0" w:color="auto"/>
              </w:divBdr>
              <w:divsChild>
                <w:div w:id="1157107826">
                  <w:marLeft w:val="0"/>
                  <w:marRight w:val="0"/>
                  <w:marTop w:val="0"/>
                  <w:marBottom w:val="0"/>
                  <w:divBdr>
                    <w:top w:val="none" w:sz="0" w:space="0" w:color="auto"/>
                    <w:left w:val="none" w:sz="0" w:space="0" w:color="auto"/>
                    <w:bottom w:val="none" w:sz="0" w:space="0" w:color="auto"/>
                    <w:right w:val="none" w:sz="0" w:space="0" w:color="auto"/>
                  </w:divBdr>
                  <w:divsChild>
                    <w:div w:id="631255672">
                      <w:marLeft w:val="0"/>
                      <w:marRight w:val="0"/>
                      <w:marTop w:val="0"/>
                      <w:marBottom w:val="0"/>
                      <w:divBdr>
                        <w:top w:val="none" w:sz="0" w:space="0" w:color="auto"/>
                        <w:left w:val="none" w:sz="0" w:space="0" w:color="auto"/>
                        <w:bottom w:val="none" w:sz="0" w:space="0" w:color="auto"/>
                        <w:right w:val="none" w:sz="0" w:space="0" w:color="auto"/>
                      </w:divBdr>
                      <w:divsChild>
                        <w:div w:id="471557248">
                          <w:marLeft w:val="0"/>
                          <w:marRight w:val="0"/>
                          <w:marTop w:val="0"/>
                          <w:marBottom w:val="0"/>
                          <w:divBdr>
                            <w:top w:val="none" w:sz="0" w:space="0" w:color="auto"/>
                            <w:left w:val="none" w:sz="0" w:space="0" w:color="auto"/>
                            <w:bottom w:val="none" w:sz="0" w:space="0" w:color="auto"/>
                            <w:right w:val="none" w:sz="0" w:space="0" w:color="auto"/>
                          </w:divBdr>
                          <w:divsChild>
                            <w:div w:id="1171263390">
                              <w:marLeft w:val="0"/>
                              <w:marRight w:val="0"/>
                              <w:marTop w:val="0"/>
                              <w:marBottom w:val="0"/>
                              <w:divBdr>
                                <w:top w:val="none" w:sz="0" w:space="0" w:color="auto"/>
                                <w:left w:val="none" w:sz="0" w:space="0" w:color="auto"/>
                                <w:bottom w:val="none" w:sz="0" w:space="0" w:color="auto"/>
                                <w:right w:val="none" w:sz="0" w:space="0" w:color="auto"/>
                              </w:divBdr>
                            </w:div>
                            <w:div w:id="1061320216">
                              <w:marLeft w:val="0"/>
                              <w:marRight w:val="0"/>
                              <w:marTop w:val="0"/>
                              <w:marBottom w:val="0"/>
                              <w:divBdr>
                                <w:top w:val="none" w:sz="0" w:space="0" w:color="auto"/>
                                <w:left w:val="none" w:sz="0" w:space="0" w:color="auto"/>
                                <w:bottom w:val="none" w:sz="0" w:space="0" w:color="auto"/>
                                <w:right w:val="none" w:sz="0" w:space="0" w:color="auto"/>
                              </w:divBdr>
                              <w:divsChild>
                                <w:div w:id="72634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402996">
      <w:bodyDiv w:val="1"/>
      <w:marLeft w:val="0"/>
      <w:marRight w:val="0"/>
      <w:marTop w:val="0"/>
      <w:marBottom w:val="0"/>
      <w:divBdr>
        <w:top w:val="none" w:sz="0" w:space="0" w:color="auto"/>
        <w:left w:val="none" w:sz="0" w:space="0" w:color="auto"/>
        <w:bottom w:val="none" w:sz="0" w:space="0" w:color="auto"/>
        <w:right w:val="none" w:sz="0" w:space="0" w:color="auto"/>
      </w:divBdr>
      <w:divsChild>
        <w:div w:id="1044644011">
          <w:marLeft w:val="0"/>
          <w:marRight w:val="0"/>
          <w:marTop w:val="0"/>
          <w:marBottom w:val="0"/>
          <w:divBdr>
            <w:top w:val="none" w:sz="0" w:space="0" w:color="auto"/>
            <w:left w:val="none" w:sz="0" w:space="0" w:color="auto"/>
            <w:bottom w:val="none" w:sz="0" w:space="0" w:color="auto"/>
            <w:right w:val="none" w:sz="0" w:space="0" w:color="auto"/>
          </w:divBdr>
          <w:divsChild>
            <w:div w:id="1005547626">
              <w:marLeft w:val="0"/>
              <w:marRight w:val="0"/>
              <w:marTop w:val="0"/>
              <w:marBottom w:val="0"/>
              <w:divBdr>
                <w:top w:val="none" w:sz="0" w:space="0" w:color="auto"/>
                <w:left w:val="none" w:sz="0" w:space="0" w:color="auto"/>
                <w:bottom w:val="none" w:sz="0" w:space="0" w:color="auto"/>
                <w:right w:val="none" w:sz="0" w:space="0" w:color="auto"/>
              </w:divBdr>
              <w:divsChild>
                <w:div w:id="771779346">
                  <w:marLeft w:val="0"/>
                  <w:marRight w:val="0"/>
                  <w:marTop w:val="0"/>
                  <w:marBottom w:val="0"/>
                  <w:divBdr>
                    <w:top w:val="none" w:sz="0" w:space="0" w:color="auto"/>
                    <w:left w:val="none" w:sz="0" w:space="0" w:color="auto"/>
                    <w:bottom w:val="none" w:sz="0" w:space="0" w:color="auto"/>
                    <w:right w:val="none" w:sz="0" w:space="0" w:color="auto"/>
                  </w:divBdr>
                  <w:divsChild>
                    <w:div w:id="2021853749">
                      <w:marLeft w:val="0"/>
                      <w:marRight w:val="0"/>
                      <w:marTop w:val="0"/>
                      <w:marBottom w:val="0"/>
                      <w:divBdr>
                        <w:top w:val="none" w:sz="0" w:space="0" w:color="auto"/>
                        <w:left w:val="none" w:sz="0" w:space="0" w:color="auto"/>
                        <w:bottom w:val="none" w:sz="0" w:space="0" w:color="auto"/>
                        <w:right w:val="none" w:sz="0" w:space="0" w:color="auto"/>
                      </w:divBdr>
                      <w:divsChild>
                        <w:div w:id="1884973560">
                          <w:marLeft w:val="0"/>
                          <w:marRight w:val="0"/>
                          <w:marTop w:val="0"/>
                          <w:marBottom w:val="0"/>
                          <w:divBdr>
                            <w:top w:val="none" w:sz="0" w:space="0" w:color="auto"/>
                            <w:left w:val="none" w:sz="0" w:space="0" w:color="auto"/>
                            <w:bottom w:val="none" w:sz="0" w:space="0" w:color="auto"/>
                            <w:right w:val="none" w:sz="0" w:space="0" w:color="auto"/>
                          </w:divBdr>
                          <w:divsChild>
                            <w:div w:id="1797915534">
                              <w:marLeft w:val="0"/>
                              <w:marRight w:val="0"/>
                              <w:marTop w:val="0"/>
                              <w:marBottom w:val="0"/>
                              <w:divBdr>
                                <w:top w:val="none" w:sz="0" w:space="0" w:color="auto"/>
                                <w:left w:val="none" w:sz="0" w:space="0" w:color="auto"/>
                                <w:bottom w:val="none" w:sz="0" w:space="0" w:color="auto"/>
                                <w:right w:val="none" w:sz="0" w:space="0" w:color="auto"/>
                              </w:divBdr>
                            </w:div>
                            <w:div w:id="1014651193">
                              <w:marLeft w:val="0"/>
                              <w:marRight w:val="0"/>
                              <w:marTop w:val="0"/>
                              <w:marBottom w:val="0"/>
                              <w:divBdr>
                                <w:top w:val="none" w:sz="0" w:space="0" w:color="auto"/>
                                <w:left w:val="none" w:sz="0" w:space="0" w:color="auto"/>
                                <w:bottom w:val="none" w:sz="0" w:space="0" w:color="auto"/>
                                <w:right w:val="none" w:sz="0" w:space="0" w:color="auto"/>
                              </w:divBdr>
                              <w:divsChild>
                                <w:div w:id="197586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592030">
      <w:bodyDiv w:val="1"/>
      <w:marLeft w:val="0"/>
      <w:marRight w:val="0"/>
      <w:marTop w:val="0"/>
      <w:marBottom w:val="0"/>
      <w:divBdr>
        <w:top w:val="none" w:sz="0" w:space="0" w:color="auto"/>
        <w:left w:val="none" w:sz="0" w:space="0" w:color="auto"/>
        <w:bottom w:val="none" w:sz="0" w:space="0" w:color="auto"/>
        <w:right w:val="none" w:sz="0" w:space="0" w:color="auto"/>
      </w:divBdr>
      <w:divsChild>
        <w:div w:id="1646739085">
          <w:marLeft w:val="0"/>
          <w:marRight w:val="0"/>
          <w:marTop w:val="0"/>
          <w:marBottom w:val="0"/>
          <w:divBdr>
            <w:top w:val="none" w:sz="0" w:space="0" w:color="auto"/>
            <w:left w:val="none" w:sz="0" w:space="0" w:color="auto"/>
            <w:bottom w:val="none" w:sz="0" w:space="0" w:color="auto"/>
            <w:right w:val="none" w:sz="0" w:space="0" w:color="auto"/>
          </w:divBdr>
          <w:divsChild>
            <w:div w:id="2006130316">
              <w:marLeft w:val="0"/>
              <w:marRight w:val="0"/>
              <w:marTop w:val="0"/>
              <w:marBottom w:val="0"/>
              <w:divBdr>
                <w:top w:val="none" w:sz="0" w:space="0" w:color="auto"/>
                <w:left w:val="none" w:sz="0" w:space="0" w:color="auto"/>
                <w:bottom w:val="none" w:sz="0" w:space="0" w:color="auto"/>
                <w:right w:val="none" w:sz="0" w:space="0" w:color="auto"/>
              </w:divBdr>
              <w:divsChild>
                <w:div w:id="1359240128">
                  <w:marLeft w:val="0"/>
                  <w:marRight w:val="0"/>
                  <w:marTop w:val="0"/>
                  <w:marBottom w:val="0"/>
                  <w:divBdr>
                    <w:top w:val="none" w:sz="0" w:space="0" w:color="auto"/>
                    <w:left w:val="none" w:sz="0" w:space="0" w:color="auto"/>
                    <w:bottom w:val="none" w:sz="0" w:space="0" w:color="auto"/>
                    <w:right w:val="none" w:sz="0" w:space="0" w:color="auto"/>
                  </w:divBdr>
                  <w:divsChild>
                    <w:div w:id="89747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507311">
      <w:bodyDiv w:val="1"/>
      <w:marLeft w:val="0"/>
      <w:marRight w:val="0"/>
      <w:marTop w:val="0"/>
      <w:marBottom w:val="0"/>
      <w:divBdr>
        <w:top w:val="none" w:sz="0" w:space="0" w:color="auto"/>
        <w:left w:val="none" w:sz="0" w:space="0" w:color="auto"/>
        <w:bottom w:val="none" w:sz="0" w:space="0" w:color="auto"/>
        <w:right w:val="none" w:sz="0" w:space="0" w:color="auto"/>
      </w:divBdr>
      <w:divsChild>
        <w:div w:id="1031955808">
          <w:marLeft w:val="0"/>
          <w:marRight w:val="0"/>
          <w:marTop w:val="0"/>
          <w:marBottom w:val="0"/>
          <w:divBdr>
            <w:top w:val="none" w:sz="0" w:space="0" w:color="auto"/>
            <w:left w:val="none" w:sz="0" w:space="0" w:color="auto"/>
            <w:bottom w:val="none" w:sz="0" w:space="0" w:color="auto"/>
            <w:right w:val="none" w:sz="0" w:space="0" w:color="auto"/>
          </w:divBdr>
          <w:divsChild>
            <w:div w:id="1669484521">
              <w:marLeft w:val="0"/>
              <w:marRight w:val="0"/>
              <w:marTop w:val="0"/>
              <w:marBottom w:val="0"/>
              <w:divBdr>
                <w:top w:val="none" w:sz="0" w:space="0" w:color="auto"/>
                <w:left w:val="none" w:sz="0" w:space="0" w:color="auto"/>
                <w:bottom w:val="none" w:sz="0" w:space="0" w:color="auto"/>
                <w:right w:val="none" w:sz="0" w:space="0" w:color="auto"/>
              </w:divBdr>
              <w:divsChild>
                <w:div w:id="1811944248">
                  <w:marLeft w:val="0"/>
                  <w:marRight w:val="0"/>
                  <w:marTop w:val="0"/>
                  <w:marBottom w:val="0"/>
                  <w:divBdr>
                    <w:top w:val="none" w:sz="0" w:space="0" w:color="auto"/>
                    <w:left w:val="none" w:sz="0" w:space="0" w:color="auto"/>
                    <w:bottom w:val="none" w:sz="0" w:space="0" w:color="auto"/>
                    <w:right w:val="none" w:sz="0" w:space="0" w:color="auto"/>
                  </w:divBdr>
                  <w:divsChild>
                    <w:div w:id="2138140215">
                      <w:marLeft w:val="0"/>
                      <w:marRight w:val="0"/>
                      <w:marTop w:val="0"/>
                      <w:marBottom w:val="0"/>
                      <w:divBdr>
                        <w:top w:val="none" w:sz="0" w:space="0" w:color="auto"/>
                        <w:left w:val="none" w:sz="0" w:space="0" w:color="auto"/>
                        <w:bottom w:val="none" w:sz="0" w:space="0" w:color="auto"/>
                        <w:right w:val="none" w:sz="0" w:space="0" w:color="auto"/>
                      </w:divBdr>
                      <w:divsChild>
                        <w:div w:id="59180412">
                          <w:marLeft w:val="0"/>
                          <w:marRight w:val="0"/>
                          <w:marTop w:val="0"/>
                          <w:marBottom w:val="0"/>
                          <w:divBdr>
                            <w:top w:val="none" w:sz="0" w:space="0" w:color="auto"/>
                            <w:left w:val="none" w:sz="0" w:space="0" w:color="auto"/>
                            <w:bottom w:val="none" w:sz="0" w:space="0" w:color="auto"/>
                            <w:right w:val="none" w:sz="0" w:space="0" w:color="auto"/>
                          </w:divBdr>
                          <w:divsChild>
                            <w:div w:id="997463521">
                              <w:marLeft w:val="0"/>
                              <w:marRight w:val="0"/>
                              <w:marTop w:val="0"/>
                              <w:marBottom w:val="0"/>
                              <w:divBdr>
                                <w:top w:val="none" w:sz="0" w:space="0" w:color="auto"/>
                                <w:left w:val="none" w:sz="0" w:space="0" w:color="auto"/>
                                <w:bottom w:val="none" w:sz="0" w:space="0" w:color="auto"/>
                                <w:right w:val="none" w:sz="0" w:space="0" w:color="auto"/>
                              </w:divBdr>
                            </w:div>
                            <w:div w:id="1895583853">
                              <w:marLeft w:val="0"/>
                              <w:marRight w:val="0"/>
                              <w:marTop w:val="0"/>
                              <w:marBottom w:val="0"/>
                              <w:divBdr>
                                <w:top w:val="none" w:sz="0" w:space="0" w:color="auto"/>
                                <w:left w:val="none" w:sz="0" w:space="0" w:color="auto"/>
                                <w:bottom w:val="none" w:sz="0" w:space="0" w:color="auto"/>
                                <w:right w:val="none" w:sz="0" w:space="0" w:color="auto"/>
                              </w:divBdr>
                              <w:divsChild>
                                <w:div w:id="203006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532813">
      <w:bodyDiv w:val="1"/>
      <w:marLeft w:val="0"/>
      <w:marRight w:val="0"/>
      <w:marTop w:val="0"/>
      <w:marBottom w:val="0"/>
      <w:divBdr>
        <w:top w:val="none" w:sz="0" w:space="0" w:color="auto"/>
        <w:left w:val="none" w:sz="0" w:space="0" w:color="auto"/>
        <w:bottom w:val="none" w:sz="0" w:space="0" w:color="auto"/>
        <w:right w:val="none" w:sz="0" w:space="0" w:color="auto"/>
      </w:divBdr>
      <w:divsChild>
        <w:div w:id="1601833573">
          <w:marLeft w:val="0"/>
          <w:marRight w:val="0"/>
          <w:marTop w:val="0"/>
          <w:marBottom w:val="0"/>
          <w:divBdr>
            <w:top w:val="none" w:sz="0" w:space="0" w:color="auto"/>
            <w:left w:val="none" w:sz="0" w:space="0" w:color="auto"/>
            <w:bottom w:val="none" w:sz="0" w:space="0" w:color="auto"/>
            <w:right w:val="none" w:sz="0" w:space="0" w:color="auto"/>
          </w:divBdr>
          <w:divsChild>
            <w:div w:id="2042583893">
              <w:marLeft w:val="0"/>
              <w:marRight w:val="0"/>
              <w:marTop w:val="0"/>
              <w:marBottom w:val="0"/>
              <w:divBdr>
                <w:top w:val="none" w:sz="0" w:space="0" w:color="auto"/>
                <w:left w:val="none" w:sz="0" w:space="0" w:color="auto"/>
                <w:bottom w:val="none" w:sz="0" w:space="0" w:color="auto"/>
                <w:right w:val="none" w:sz="0" w:space="0" w:color="auto"/>
              </w:divBdr>
              <w:divsChild>
                <w:div w:id="1775174859">
                  <w:marLeft w:val="0"/>
                  <w:marRight w:val="0"/>
                  <w:marTop w:val="0"/>
                  <w:marBottom w:val="0"/>
                  <w:divBdr>
                    <w:top w:val="none" w:sz="0" w:space="0" w:color="auto"/>
                    <w:left w:val="none" w:sz="0" w:space="0" w:color="auto"/>
                    <w:bottom w:val="none" w:sz="0" w:space="0" w:color="auto"/>
                    <w:right w:val="none" w:sz="0" w:space="0" w:color="auto"/>
                  </w:divBdr>
                  <w:divsChild>
                    <w:div w:id="967126195">
                      <w:marLeft w:val="0"/>
                      <w:marRight w:val="0"/>
                      <w:marTop w:val="0"/>
                      <w:marBottom w:val="0"/>
                      <w:divBdr>
                        <w:top w:val="none" w:sz="0" w:space="0" w:color="auto"/>
                        <w:left w:val="none" w:sz="0" w:space="0" w:color="auto"/>
                        <w:bottom w:val="none" w:sz="0" w:space="0" w:color="auto"/>
                        <w:right w:val="none" w:sz="0" w:space="0" w:color="auto"/>
                      </w:divBdr>
                      <w:divsChild>
                        <w:div w:id="1630626180">
                          <w:marLeft w:val="0"/>
                          <w:marRight w:val="0"/>
                          <w:marTop w:val="0"/>
                          <w:marBottom w:val="0"/>
                          <w:divBdr>
                            <w:top w:val="none" w:sz="0" w:space="0" w:color="auto"/>
                            <w:left w:val="none" w:sz="0" w:space="0" w:color="auto"/>
                            <w:bottom w:val="none" w:sz="0" w:space="0" w:color="auto"/>
                            <w:right w:val="none" w:sz="0" w:space="0" w:color="auto"/>
                          </w:divBdr>
                          <w:divsChild>
                            <w:div w:id="786117382">
                              <w:marLeft w:val="0"/>
                              <w:marRight w:val="0"/>
                              <w:marTop w:val="0"/>
                              <w:marBottom w:val="0"/>
                              <w:divBdr>
                                <w:top w:val="none" w:sz="0" w:space="0" w:color="auto"/>
                                <w:left w:val="none" w:sz="0" w:space="0" w:color="auto"/>
                                <w:bottom w:val="none" w:sz="0" w:space="0" w:color="auto"/>
                                <w:right w:val="none" w:sz="0" w:space="0" w:color="auto"/>
                              </w:divBdr>
                            </w:div>
                            <w:div w:id="797845322">
                              <w:marLeft w:val="0"/>
                              <w:marRight w:val="0"/>
                              <w:marTop w:val="0"/>
                              <w:marBottom w:val="0"/>
                              <w:divBdr>
                                <w:top w:val="none" w:sz="0" w:space="0" w:color="auto"/>
                                <w:left w:val="none" w:sz="0" w:space="0" w:color="auto"/>
                                <w:bottom w:val="none" w:sz="0" w:space="0" w:color="auto"/>
                                <w:right w:val="none" w:sz="0" w:space="0" w:color="auto"/>
                              </w:divBdr>
                              <w:divsChild>
                                <w:div w:id="25339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621860">
      <w:bodyDiv w:val="1"/>
      <w:marLeft w:val="0"/>
      <w:marRight w:val="0"/>
      <w:marTop w:val="0"/>
      <w:marBottom w:val="0"/>
      <w:divBdr>
        <w:top w:val="none" w:sz="0" w:space="0" w:color="auto"/>
        <w:left w:val="none" w:sz="0" w:space="0" w:color="auto"/>
        <w:bottom w:val="none" w:sz="0" w:space="0" w:color="auto"/>
        <w:right w:val="none" w:sz="0" w:space="0" w:color="auto"/>
      </w:divBdr>
    </w:div>
    <w:div w:id="1536311707">
      <w:bodyDiv w:val="1"/>
      <w:marLeft w:val="0"/>
      <w:marRight w:val="0"/>
      <w:marTop w:val="0"/>
      <w:marBottom w:val="0"/>
      <w:divBdr>
        <w:top w:val="none" w:sz="0" w:space="0" w:color="auto"/>
        <w:left w:val="none" w:sz="0" w:space="0" w:color="auto"/>
        <w:bottom w:val="none" w:sz="0" w:space="0" w:color="auto"/>
        <w:right w:val="none" w:sz="0" w:space="0" w:color="auto"/>
      </w:divBdr>
    </w:div>
    <w:div w:id="1747679090">
      <w:bodyDiv w:val="1"/>
      <w:marLeft w:val="0"/>
      <w:marRight w:val="0"/>
      <w:marTop w:val="0"/>
      <w:marBottom w:val="0"/>
      <w:divBdr>
        <w:top w:val="none" w:sz="0" w:space="0" w:color="auto"/>
        <w:left w:val="none" w:sz="0" w:space="0" w:color="auto"/>
        <w:bottom w:val="none" w:sz="0" w:space="0" w:color="auto"/>
        <w:right w:val="none" w:sz="0" w:space="0" w:color="auto"/>
      </w:divBdr>
      <w:divsChild>
        <w:div w:id="1870489994">
          <w:marLeft w:val="0"/>
          <w:marRight w:val="0"/>
          <w:marTop w:val="0"/>
          <w:marBottom w:val="0"/>
          <w:divBdr>
            <w:top w:val="none" w:sz="0" w:space="0" w:color="auto"/>
            <w:left w:val="none" w:sz="0" w:space="0" w:color="auto"/>
            <w:bottom w:val="none" w:sz="0" w:space="0" w:color="auto"/>
            <w:right w:val="none" w:sz="0" w:space="0" w:color="auto"/>
          </w:divBdr>
          <w:divsChild>
            <w:div w:id="744105879">
              <w:marLeft w:val="0"/>
              <w:marRight w:val="0"/>
              <w:marTop w:val="0"/>
              <w:marBottom w:val="0"/>
              <w:divBdr>
                <w:top w:val="none" w:sz="0" w:space="0" w:color="auto"/>
                <w:left w:val="none" w:sz="0" w:space="0" w:color="auto"/>
                <w:bottom w:val="none" w:sz="0" w:space="0" w:color="auto"/>
                <w:right w:val="none" w:sz="0" w:space="0" w:color="auto"/>
              </w:divBdr>
              <w:divsChild>
                <w:div w:id="984432672">
                  <w:marLeft w:val="0"/>
                  <w:marRight w:val="0"/>
                  <w:marTop w:val="0"/>
                  <w:marBottom w:val="0"/>
                  <w:divBdr>
                    <w:top w:val="none" w:sz="0" w:space="0" w:color="auto"/>
                    <w:left w:val="none" w:sz="0" w:space="0" w:color="auto"/>
                    <w:bottom w:val="none" w:sz="0" w:space="0" w:color="auto"/>
                    <w:right w:val="none" w:sz="0" w:space="0" w:color="auto"/>
                  </w:divBdr>
                  <w:divsChild>
                    <w:div w:id="845904619">
                      <w:marLeft w:val="0"/>
                      <w:marRight w:val="0"/>
                      <w:marTop w:val="0"/>
                      <w:marBottom w:val="0"/>
                      <w:divBdr>
                        <w:top w:val="none" w:sz="0" w:space="0" w:color="auto"/>
                        <w:left w:val="none" w:sz="0" w:space="0" w:color="auto"/>
                        <w:bottom w:val="none" w:sz="0" w:space="0" w:color="auto"/>
                        <w:right w:val="none" w:sz="0" w:space="0" w:color="auto"/>
                      </w:divBdr>
                      <w:divsChild>
                        <w:div w:id="1140077953">
                          <w:marLeft w:val="0"/>
                          <w:marRight w:val="0"/>
                          <w:marTop w:val="0"/>
                          <w:marBottom w:val="0"/>
                          <w:divBdr>
                            <w:top w:val="none" w:sz="0" w:space="0" w:color="auto"/>
                            <w:left w:val="none" w:sz="0" w:space="0" w:color="auto"/>
                            <w:bottom w:val="none" w:sz="0" w:space="0" w:color="auto"/>
                            <w:right w:val="none" w:sz="0" w:space="0" w:color="auto"/>
                          </w:divBdr>
                          <w:divsChild>
                            <w:div w:id="757944028">
                              <w:marLeft w:val="0"/>
                              <w:marRight w:val="0"/>
                              <w:marTop w:val="0"/>
                              <w:marBottom w:val="0"/>
                              <w:divBdr>
                                <w:top w:val="none" w:sz="0" w:space="0" w:color="auto"/>
                                <w:left w:val="none" w:sz="0" w:space="0" w:color="auto"/>
                                <w:bottom w:val="none" w:sz="0" w:space="0" w:color="auto"/>
                                <w:right w:val="none" w:sz="0" w:space="0" w:color="auto"/>
                              </w:divBdr>
                            </w:div>
                            <w:div w:id="35274525">
                              <w:marLeft w:val="0"/>
                              <w:marRight w:val="0"/>
                              <w:marTop w:val="0"/>
                              <w:marBottom w:val="0"/>
                              <w:divBdr>
                                <w:top w:val="none" w:sz="0" w:space="0" w:color="auto"/>
                                <w:left w:val="none" w:sz="0" w:space="0" w:color="auto"/>
                                <w:bottom w:val="none" w:sz="0" w:space="0" w:color="auto"/>
                                <w:right w:val="none" w:sz="0" w:space="0" w:color="auto"/>
                              </w:divBdr>
                              <w:divsChild>
                                <w:div w:id="15411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326619">
      <w:bodyDiv w:val="1"/>
      <w:marLeft w:val="0"/>
      <w:marRight w:val="0"/>
      <w:marTop w:val="0"/>
      <w:marBottom w:val="0"/>
      <w:divBdr>
        <w:top w:val="none" w:sz="0" w:space="0" w:color="auto"/>
        <w:left w:val="none" w:sz="0" w:space="0" w:color="auto"/>
        <w:bottom w:val="none" w:sz="0" w:space="0" w:color="auto"/>
        <w:right w:val="none" w:sz="0" w:space="0" w:color="auto"/>
      </w:divBdr>
    </w:div>
    <w:div w:id="1852254840">
      <w:bodyDiv w:val="1"/>
      <w:marLeft w:val="0"/>
      <w:marRight w:val="0"/>
      <w:marTop w:val="0"/>
      <w:marBottom w:val="0"/>
      <w:divBdr>
        <w:top w:val="none" w:sz="0" w:space="0" w:color="auto"/>
        <w:left w:val="none" w:sz="0" w:space="0" w:color="auto"/>
        <w:bottom w:val="none" w:sz="0" w:space="0" w:color="auto"/>
        <w:right w:val="none" w:sz="0" w:space="0" w:color="auto"/>
      </w:divBdr>
      <w:divsChild>
        <w:div w:id="1687634891">
          <w:marLeft w:val="0"/>
          <w:marRight w:val="0"/>
          <w:marTop w:val="0"/>
          <w:marBottom w:val="0"/>
          <w:divBdr>
            <w:top w:val="none" w:sz="0" w:space="0" w:color="auto"/>
            <w:left w:val="none" w:sz="0" w:space="0" w:color="auto"/>
            <w:bottom w:val="none" w:sz="0" w:space="0" w:color="auto"/>
            <w:right w:val="none" w:sz="0" w:space="0" w:color="auto"/>
          </w:divBdr>
          <w:divsChild>
            <w:div w:id="219025188">
              <w:marLeft w:val="0"/>
              <w:marRight w:val="0"/>
              <w:marTop w:val="0"/>
              <w:marBottom w:val="0"/>
              <w:divBdr>
                <w:top w:val="none" w:sz="0" w:space="0" w:color="auto"/>
                <w:left w:val="none" w:sz="0" w:space="0" w:color="auto"/>
                <w:bottom w:val="none" w:sz="0" w:space="0" w:color="auto"/>
                <w:right w:val="none" w:sz="0" w:space="0" w:color="auto"/>
              </w:divBdr>
              <w:divsChild>
                <w:div w:id="816991665">
                  <w:marLeft w:val="0"/>
                  <w:marRight w:val="0"/>
                  <w:marTop w:val="0"/>
                  <w:marBottom w:val="0"/>
                  <w:divBdr>
                    <w:top w:val="none" w:sz="0" w:space="0" w:color="auto"/>
                    <w:left w:val="none" w:sz="0" w:space="0" w:color="auto"/>
                    <w:bottom w:val="none" w:sz="0" w:space="0" w:color="auto"/>
                    <w:right w:val="none" w:sz="0" w:space="0" w:color="auto"/>
                  </w:divBdr>
                  <w:divsChild>
                    <w:div w:id="1889102299">
                      <w:marLeft w:val="0"/>
                      <w:marRight w:val="0"/>
                      <w:marTop w:val="0"/>
                      <w:marBottom w:val="0"/>
                      <w:divBdr>
                        <w:top w:val="none" w:sz="0" w:space="0" w:color="auto"/>
                        <w:left w:val="none" w:sz="0" w:space="0" w:color="auto"/>
                        <w:bottom w:val="none" w:sz="0" w:space="0" w:color="auto"/>
                        <w:right w:val="none" w:sz="0" w:space="0" w:color="auto"/>
                      </w:divBdr>
                      <w:divsChild>
                        <w:div w:id="1948345457">
                          <w:marLeft w:val="0"/>
                          <w:marRight w:val="0"/>
                          <w:marTop w:val="0"/>
                          <w:marBottom w:val="0"/>
                          <w:divBdr>
                            <w:top w:val="none" w:sz="0" w:space="0" w:color="auto"/>
                            <w:left w:val="none" w:sz="0" w:space="0" w:color="auto"/>
                            <w:bottom w:val="none" w:sz="0" w:space="0" w:color="auto"/>
                            <w:right w:val="none" w:sz="0" w:space="0" w:color="auto"/>
                          </w:divBdr>
                          <w:divsChild>
                            <w:div w:id="1685861809">
                              <w:marLeft w:val="0"/>
                              <w:marRight w:val="0"/>
                              <w:marTop w:val="0"/>
                              <w:marBottom w:val="0"/>
                              <w:divBdr>
                                <w:top w:val="none" w:sz="0" w:space="0" w:color="auto"/>
                                <w:left w:val="none" w:sz="0" w:space="0" w:color="auto"/>
                                <w:bottom w:val="none" w:sz="0" w:space="0" w:color="auto"/>
                                <w:right w:val="none" w:sz="0" w:space="0" w:color="auto"/>
                              </w:divBdr>
                            </w:div>
                            <w:div w:id="530842814">
                              <w:marLeft w:val="0"/>
                              <w:marRight w:val="0"/>
                              <w:marTop w:val="0"/>
                              <w:marBottom w:val="0"/>
                              <w:divBdr>
                                <w:top w:val="none" w:sz="0" w:space="0" w:color="auto"/>
                                <w:left w:val="none" w:sz="0" w:space="0" w:color="auto"/>
                                <w:bottom w:val="none" w:sz="0" w:space="0" w:color="auto"/>
                                <w:right w:val="none" w:sz="0" w:space="0" w:color="auto"/>
                              </w:divBdr>
                              <w:divsChild>
                                <w:div w:id="19142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144094">
      <w:bodyDiv w:val="1"/>
      <w:marLeft w:val="0"/>
      <w:marRight w:val="0"/>
      <w:marTop w:val="0"/>
      <w:marBottom w:val="0"/>
      <w:divBdr>
        <w:top w:val="none" w:sz="0" w:space="0" w:color="auto"/>
        <w:left w:val="none" w:sz="0" w:space="0" w:color="auto"/>
        <w:bottom w:val="none" w:sz="0" w:space="0" w:color="auto"/>
        <w:right w:val="none" w:sz="0" w:space="0" w:color="auto"/>
      </w:divBdr>
    </w:div>
    <w:div w:id="205954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ur-lex.europa.eu/LexUriServ/LexUriServ.do?uri=COM:2010:2020:FIN:EN:PDF" TargetMode="External"/><Relationship Id="rId21" Type="http://schemas.openxmlformats.org/officeDocument/2006/relationships/hyperlink" Target="http://ec.europa.eu/enlargement/candidate-countries/croatia/index_en.htm" TargetMode="External"/><Relationship Id="rId34" Type="http://schemas.openxmlformats.org/officeDocument/2006/relationships/hyperlink" Target="http://web.worldbank.org/external/projects/main?pagePK=64283627&amp;piPK=73230&amp;theSitePK=40941&amp;menuPK=228424&amp;Projectid=P118912" TargetMode="External"/><Relationship Id="rId42" Type="http://schemas.openxmlformats.org/officeDocument/2006/relationships/hyperlink" Target="http://web.worldbank.org/external/projects/main?pagePK=64283627&amp;piPK=73230&amp;theSitePK=40941&amp;menuPK=228424&amp;Projectid=P095337" TargetMode="External"/><Relationship Id="rId47" Type="http://schemas.openxmlformats.org/officeDocument/2006/relationships/hyperlink" Target="http://www.energy-community.org" TargetMode="External"/><Relationship Id="rId50" Type="http://schemas.openxmlformats.org/officeDocument/2006/relationships/hyperlink" Target="http://www.bei.org/projects/loans/2006/20060447.htm" TargetMode="External"/><Relationship Id="rId55" Type="http://schemas.openxmlformats.org/officeDocument/2006/relationships/hyperlink" Target="http://www.bei.org/projects/loans/2005/20050452.htm" TargetMode="External"/><Relationship Id="rId63" Type="http://schemas.openxmlformats.org/officeDocument/2006/relationships/hyperlink" Target="http://www.iea.org/stats/gasdata.asp?COUNTRY_CODE=BA" TargetMode="External"/><Relationship Id="rId68" Type="http://schemas.openxmlformats.org/officeDocument/2006/relationships/hyperlink" Target="http://www.iea.org/stats/electricitydata.asp?COUNTRY_CODE=BY" TargetMode="External"/><Relationship Id="rId76" Type="http://schemas.openxmlformats.org/officeDocument/2006/relationships/hyperlink" Target="http://www.bei.org/projects/loans/2008/20080446.htm" TargetMode="External"/><Relationship Id="rId84" Type="http://schemas.openxmlformats.org/officeDocument/2006/relationships/hyperlink" Target="http://www.bei.org/projects/loans/2005/20050221.htm" TargetMode="External"/><Relationship Id="rId89" Type="http://schemas.openxmlformats.org/officeDocument/2006/relationships/hyperlink" Target="http://www.ebrd.com/downloads/research/annual/invest09.xls"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iea.org/stats/gasdata.asp?COUNTRY_CODE=GE" TargetMode="External"/><Relationship Id="rId9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eas.europa.eu/georgia/index_en.htm" TargetMode="External"/><Relationship Id="rId29" Type="http://schemas.openxmlformats.org/officeDocument/2006/relationships/hyperlink" Target="http://eur-lex.europa.eu/LexUriServ/LexUriServ.do?uri=CELEX:52010DC0639:EN:HTML:NOT" TargetMode="External"/><Relationship Id="rId11" Type="http://schemas.openxmlformats.org/officeDocument/2006/relationships/hyperlink" Target="http://www.epsu.org" TargetMode="External"/><Relationship Id="rId24" Type="http://schemas.openxmlformats.org/officeDocument/2006/relationships/hyperlink" Target="http://ec.europa.eu/enlargement/potential-candidates/serbia/index_en.htm" TargetMode="External"/><Relationship Id="rId32" Type="http://schemas.openxmlformats.org/officeDocument/2006/relationships/hyperlink" Target="http://ec.europa.eu/eu2020/pdf/Annex%20SWD%20implementation%20last%20version%2015-07-2010.pdf" TargetMode="External"/><Relationship Id="rId37" Type="http://schemas.openxmlformats.org/officeDocument/2006/relationships/hyperlink" Target="http://web.worldbank.org/external/projects/main?pagePK=64283627&amp;piPK=73230&amp;theSitePK=40941&amp;menuPK=228424&amp;Projectid=P107998" TargetMode="External"/><Relationship Id="rId40" Type="http://schemas.openxmlformats.org/officeDocument/2006/relationships/hyperlink" Target="http://web.worldbank.org/external/projects/main?pagePK=64283627&amp;piPK=73230&amp;theSitePK=40941&amp;menuPK=228424&amp;Projectid=P079116" TargetMode="External"/><Relationship Id="rId45" Type="http://schemas.openxmlformats.org/officeDocument/2006/relationships/hyperlink" Target="http://www.remondis.com" TargetMode="External"/><Relationship Id="rId53" Type="http://schemas.openxmlformats.org/officeDocument/2006/relationships/hyperlink" Target="http://www.bei.org/projects/loans/2001/20010558.htm" TargetMode="External"/><Relationship Id="rId58" Type="http://schemas.openxmlformats.org/officeDocument/2006/relationships/hyperlink" Target="http://www.iea.org/stats/electricitydata.asp?COUNTRY_CODE=RS" TargetMode="External"/><Relationship Id="rId66" Type="http://schemas.openxmlformats.org/officeDocument/2006/relationships/hyperlink" Target="http://www.iea.org/stats/gasdata.asp?COUNTRY_CODE=AM" TargetMode="External"/><Relationship Id="rId74" Type="http://schemas.openxmlformats.org/officeDocument/2006/relationships/hyperlink" Target="http://www.iea.org/stats/electricitydata.asp?COUNTRY_CODE=UA" TargetMode="External"/><Relationship Id="rId79" Type="http://schemas.openxmlformats.org/officeDocument/2006/relationships/hyperlink" Target="http://www.bei.org/projects/loans/2008/20080556.htm" TargetMode="External"/><Relationship Id="rId87" Type="http://schemas.openxmlformats.org/officeDocument/2006/relationships/hyperlink" Target="http://www.ebrd.com/english/pages/project/psd/2010/40267.shtml" TargetMode="External"/><Relationship Id="rId5" Type="http://schemas.openxmlformats.org/officeDocument/2006/relationships/webSettings" Target="webSettings.xml"/><Relationship Id="rId61" Type="http://schemas.openxmlformats.org/officeDocument/2006/relationships/hyperlink" Target="http://www.iea.org/stats/gasdata.asp?COUNTRY_CODE=RS" TargetMode="External"/><Relationship Id="rId82" Type="http://schemas.openxmlformats.org/officeDocument/2006/relationships/hyperlink" Target="http://www.bei.org/projects/loans/2005/20050221.htm" TargetMode="External"/><Relationship Id="rId90" Type="http://schemas.openxmlformats.org/officeDocument/2006/relationships/header" Target="header1.xml"/><Relationship Id="rId95" Type="http://schemas.openxmlformats.org/officeDocument/2006/relationships/footer" Target="footer3.xml"/><Relationship Id="rId19" Type="http://schemas.openxmlformats.org/officeDocument/2006/relationships/hyperlink" Target="http://ec.europa.eu/enlargement/potential-candidates/albania/index_en.htm" TargetMode="External"/><Relationship Id="rId14" Type="http://schemas.openxmlformats.org/officeDocument/2006/relationships/hyperlink" Target="http://www.eeas.europa.eu/azerbaijan/index_en.htm" TargetMode="External"/><Relationship Id="rId22" Type="http://schemas.openxmlformats.org/officeDocument/2006/relationships/hyperlink" Target="http://ec.europa.eu/enlargement/candidate-countries/the_former_yugoslav_republic_of_macedonia/index_en.htm" TargetMode="External"/><Relationship Id="rId27" Type="http://schemas.openxmlformats.org/officeDocument/2006/relationships/hyperlink" Target="http://ec.europa.eu/eu2020/pdf/Brochure%20Integrated%20Guidelines.pdf" TargetMode="External"/><Relationship Id="rId30" Type="http://schemas.openxmlformats.org/officeDocument/2006/relationships/hyperlink" Target="http://ec.europa.eu/economy_finance/articles/euro/2010-06-30-enhancing_economic_policy_coordination_en.htm" TargetMode="External"/><Relationship Id="rId35" Type="http://schemas.openxmlformats.org/officeDocument/2006/relationships/hyperlink" Target="http://web.worldbank.org/external/projects/main?pagePK=64283627&amp;piPK=73230&amp;theSitePK=40941&amp;menuPK=228424&amp;Projectid=P110679" TargetMode="External"/><Relationship Id="rId43" Type="http://schemas.openxmlformats.org/officeDocument/2006/relationships/hyperlink" Target="http://www.alba-online.de" TargetMode="External"/><Relationship Id="rId48" Type="http://schemas.openxmlformats.org/officeDocument/2006/relationships/hyperlink" Target="http://www.bei.org/projects/loans/2008/20080079.htm" TargetMode="External"/><Relationship Id="rId56" Type="http://schemas.openxmlformats.org/officeDocument/2006/relationships/hyperlink" Target="http://www.iea.org/stats/electricitydata.asp?COUNTRY_CODE=HR" TargetMode="External"/><Relationship Id="rId64" Type="http://schemas.openxmlformats.org/officeDocument/2006/relationships/hyperlink" Target="http://www.iea.org/stats/electricitydata.asp?COUNTRY_CODE=AL" TargetMode="External"/><Relationship Id="rId69" Type="http://schemas.openxmlformats.org/officeDocument/2006/relationships/hyperlink" Target="http://www.iea.org/stats/gasdata.asp?COUNTRY_CODE=BY" TargetMode="External"/><Relationship Id="rId77" Type="http://schemas.openxmlformats.org/officeDocument/2006/relationships/hyperlink" Target="http://www.bei.org/projects/loans/2009/20090718.htm" TargetMode="External"/><Relationship Id="rId8" Type="http://schemas.openxmlformats.org/officeDocument/2006/relationships/hyperlink" Target="mailto:d.j.hall@gre.ac.uk" TargetMode="External"/><Relationship Id="rId51" Type="http://schemas.openxmlformats.org/officeDocument/2006/relationships/hyperlink" Target="http://www.bei.org/projects/loans/2009/20090527.htm" TargetMode="External"/><Relationship Id="rId72" Type="http://schemas.openxmlformats.org/officeDocument/2006/relationships/hyperlink" Target="http://www.iea.org/stats/electricitydata.asp?COUNTRY_CODE=MD" TargetMode="External"/><Relationship Id="rId80" Type="http://schemas.openxmlformats.org/officeDocument/2006/relationships/hyperlink" Target="http://www.bei.org/projects/loans/2005/20050221.htm" TargetMode="External"/><Relationship Id="rId85" Type="http://schemas.openxmlformats.org/officeDocument/2006/relationships/hyperlink" Target="http://www.ebrd.com/english/pages/project/psd/2011/40718.shtml" TargetMode="External"/><Relationship Id="rId93" Type="http://schemas.openxmlformats.org/officeDocument/2006/relationships/footer" Target="footer2.xm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www.eeas.europa.eu/moldova/index_en.htm" TargetMode="External"/><Relationship Id="rId25" Type="http://schemas.openxmlformats.org/officeDocument/2006/relationships/image" Target="media/image3.png"/><Relationship Id="rId33" Type="http://schemas.openxmlformats.org/officeDocument/2006/relationships/hyperlink" Target="http://www.eib.org/projects/loans/2006/20060038.htm" TargetMode="External"/><Relationship Id="rId38" Type="http://schemas.openxmlformats.org/officeDocument/2006/relationships/hyperlink" Target="http://web.worldbank.org/external/projects/main?pagePK=64283627&amp;piPK=73230&amp;theSitePK=40941&amp;menuPK=228424&amp;Projectid=P096481" TargetMode="External"/><Relationship Id="rId46" Type="http://schemas.openxmlformats.org/officeDocument/2006/relationships/hyperlink" Target="http://www.veoliaenvironnement.com/" TargetMode="External"/><Relationship Id="rId59" Type="http://schemas.openxmlformats.org/officeDocument/2006/relationships/hyperlink" Target="http://www.iea.org/stats/gasdata.asp?COUNTRY_CODE=RS" TargetMode="External"/><Relationship Id="rId67" Type="http://schemas.openxmlformats.org/officeDocument/2006/relationships/hyperlink" Target="http://www.iea.org/stats/gasdata.asp?COUNTRY_CODE=AZ" TargetMode="External"/><Relationship Id="rId20" Type="http://schemas.openxmlformats.org/officeDocument/2006/relationships/hyperlink" Target="http://ec.europa.eu/enlargement/potential-candidates/bosnia_and_herzegovina/index_en.htm" TargetMode="External"/><Relationship Id="rId41" Type="http://schemas.openxmlformats.org/officeDocument/2006/relationships/hyperlink" Target="http://web.worldbank.org/external/projects/main?pagePK=64283627&amp;piPK=73230&amp;theSitePK=40941&amp;menuPK=228424&amp;Projectid=P120659" TargetMode="External"/><Relationship Id="rId54" Type="http://schemas.openxmlformats.org/officeDocument/2006/relationships/hyperlink" Target="http://www.bei.org/projects/loans/2007/20070176.htm" TargetMode="External"/><Relationship Id="rId62" Type="http://schemas.openxmlformats.org/officeDocument/2006/relationships/hyperlink" Target="http://www.iea.org/stats/electricitydata.asp?COUNTRY_CODE=BA" TargetMode="External"/><Relationship Id="rId70" Type="http://schemas.openxmlformats.org/officeDocument/2006/relationships/hyperlink" Target="http://www.iea.org/stats/electricitydata.asp?COUNTRY_CODE=GE" TargetMode="External"/><Relationship Id="rId75" Type="http://schemas.openxmlformats.org/officeDocument/2006/relationships/hyperlink" Target="http://www.iea.org/stats/gasdata.asp?COUNTRY_CODE=UA" TargetMode="External"/><Relationship Id="rId83" Type="http://schemas.openxmlformats.org/officeDocument/2006/relationships/hyperlink" Target="http://www.bei.org/projects/loans/2007/20070347.htm" TargetMode="External"/><Relationship Id="rId88" Type="http://schemas.openxmlformats.org/officeDocument/2006/relationships/hyperlink" Target="http://www.ebrd.com/downloads/research/annual/invest09.xls" TargetMode="External"/><Relationship Id="rId91" Type="http://schemas.openxmlformats.org/officeDocument/2006/relationships/header" Target="header2.xml"/><Relationship Id="rId96" Type="http://schemas.openxmlformats.org/officeDocument/2006/relationships/hyperlink" Target="http://www.oecd.org/dataoecd/1/32/47755323.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eas.europa.eu/belarus/index_en.htm" TargetMode="External"/><Relationship Id="rId23" Type="http://schemas.openxmlformats.org/officeDocument/2006/relationships/hyperlink" Target="http://ec.europa.eu/enlargement/potential-candidates/montenegro/index_en.htm" TargetMode="External"/><Relationship Id="rId28" Type="http://schemas.openxmlformats.org/officeDocument/2006/relationships/hyperlink" Target="http://ec.europa.eu/research/innovation-union/pdf/innovation-union-communication_en.pdf" TargetMode="External"/><Relationship Id="rId36" Type="http://schemas.openxmlformats.org/officeDocument/2006/relationships/hyperlink" Target="http://web.worldbank.org/external/projects/main?pagePK=64283627&amp;piPK=73230&amp;theSitePK=40941&amp;menuPK=228424&amp;Projectid=P114515" TargetMode="External"/><Relationship Id="rId49" Type="http://schemas.openxmlformats.org/officeDocument/2006/relationships/hyperlink" Target="http://www.bei.org/projects/loans/2008/20080080.htm" TargetMode="External"/><Relationship Id="rId57" Type="http://schemas.openxmlformats.org/officeDocument/2006/relationships/hyperlink" Target="http://www.iea.org/stats/gasdata.asp?COUNTRY_CODE=HR" TargetMode="External"/><Relationship Id="rId10" Type="http://schemas.openxmlformats.org/officeDocument/2006/relationships/image" Target="media/image1.png"/><Relationship Id="rId31" Type="http://schemas.openxmlformats.org/officeDocument/2006/relationships/image" Target="media/image4.emf"/><Relationship Id="rId44" Type="http://schemas.openxmlformats.org/officeDocument/2006/relationships/hyperlink" Target="http://www.fcc.es" TargetMode="External"/><Relationship Id="rId52" Type="http://schemas.openxmlformats.org/officeDocument/2006/relationships/hyperlink" Target="http://www.bei.org/projects/loans/2007/20070244.htm" TargetMode="External"/><Relationship Id="rId60" Type="http://schemas.openxmlformats.org/officeDocument/2006/relationships/hyperlink" Target="http://www.iea.org/stats/electricitydata.asp?COUNTRY_CODE=MK" TargetMode="External"/><Relationship Id="rId65" Type="http://schemas.openxmlformats.org/officeDocument/2006/relationships/hyperlink" Target="http://www.iea.org/stats/electricitydata.asp?COUNTRY_CODE=AM" TargetMode="External"/><Relationship Id="rId73" Type="http://schemas.openxmlformats.org/officeDocument/2006/relationships/hyperlink" Target="http://www.iea.org/stats/gasdata.asp?COUNTRY_CODE=MD" TargetMode="External"/><Relationship Id="rId78" Type="http://schemas.openxmlformats.org/officeDocument/2006/relationships/hyperlink" Target="http://www.bei.org/projects/loans/2008/20080144.htm" TargetMode="External"/><Relationship Id="rId81" Type="http://schemas.openxmlformats.org/officeDocument/2006/relationships/hyperlink" Target="http://www.bei.org/projects/loans/2006/20060272.htm" TargetMode="External"/><Relationship Id="rId86" Type="http://schemas.openxmlformats.org/officeDocument/2006/relationships/hyperlink" Target="http://www.ebrd.com/english/pages/project/psd/2010/39960.shtml" TargetMode="External"/><Relationship Id="rId94" Type="http://schemas.openxmlformats.org/officeDocument/2006/relationships/header" Target="header3.xml"/><Relationship Id="rId9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epsu.org/" TargetMode="External"/><Relationship Id="rId13" Type="http://schemas.openxmlformats.org/officeDocument/2006/relationships/hyperlink" Target="http://www.eeas.europa.eu/armenia/index_en.htm" TargetMode="External"/><Relationship Id="rId18" Type="http://schemas.openxmlformats.org/officeDocument/2006/relationships/hyperlink" Target="http://www.eeas.europa.eu/ukraine/index_en.htm" TargetMode="External"/><Relationship Id="rId39" Type="http://schemas.openxmlformats.org/officeDocument/2006/relationships/hyperlink" Target="http://web.worldbank.org/external/projects/main?pagePK=64283627&amp;piPK=73230&amp;theSitePK=40941&amp;menuPK=228424&amp;Projectid=P118405" TargetMode="External"/></Relationships>
</file>

<file path=word/_rels/endnotes.xml.rels><?xml version="1.0" encoding="UTF-8" standalone="yes"?>
<Relationships xmlns="http://schemas.openxmlformats.org/package/2006/relationships"><Relationship Id="rId13" Type="http://schemas.openxmlformats.org/officeDocument/2006/relationships/hyperlink" Target="http://ec.europa.eu/eu2020/pdf/Annex%20SWD%20implementation%20last%20version%2015-07-2010.pdf" TargetMode="External"/><Relationship Id="rId18" Type="http://schemas.openxmlformats.org/officeDocument/2006/relationships/hyperlink" Target="http://www.psiru.org/reports/2010-02-G-trends.doc" TargetMode="External"/><Relationship Id="rId26" Type="http://schemas.openxmlformats.org/officeDocument/2006/relationships/hyperlink" Target="http://www.wbif.eu/attached_documents/9963/3292/World_Bank_ECA_Strategy_Apr_2010.pdf" TargetMode="External"/><Relationship Id="rId39" Type="http://schemas.openxmlformats.org/officeDocument/2006/relationships/hyperlink" Target="http://www.remondis.ua/ru/rua/sonderseiten/glavnaja/" TargetMode="External"/><Relationship Id="rId21" Type="http://schemas.openxmlformats.org/officeDocument/2006/relationships/hyperlink" Target="http://www.ebrd.com/downloads/research/annual/ar10e.pdf" TargetMode="External"/><Relationship Id="rId34" Type="http://schemas.openxmlformats.org/officeDocument/2006/relationships/hyperlink" Target="http://www.oecd.org/document/34/0,3746,en_2649_33722239_34983714_1_1_1_1,00.html" TargetMode="External"/><Relationship Id="rId42" Type="http://schemas.openxmlformats.org/officeDocument/2006/relationships/hyperlink" Target="http://www.veolia-es.com.ua/ru/news/29/" TargetMode="External"/><Relationship Id="rId47" Type="http://schemas.openxmlformats.org/officeDocument/2006/relationships/hyperlink" Target="http://ec.europa.eu/world/enp/documents_en.htm" TargetMode="External"/><Relationship Id="rId50" Type="http://schemas.openxmlformats.org/officeDocument/2006/relationships/hyperlink" Target="http://www.ebrd.com/downloads/research/annual/ar10e.pdf" TargetMode="External"/><Relationship Id="rId55" Type="http://schemas.openxmlformats.org/officeDocument/2006/relationships/hyperlink" Target="http://www.finance.veolia.com/docs/Operating-and-Financial-Review-June-2010-def-sans-mark-up.pdf" TargetMode="External"/><Relationship Id="rId7" Type="http://schemas.openxmlformats.org/officeDocument/2006/relationships/hyperlink" Target="http://www.consilium.europa.eu/uedocs/cms_data/docs/pressdata/en/ec/113591.pdf" TargetMode="External"/><Relationship Id="rId12" Type="http://schemas.openxmlformats.org/officeDocument/2006/relationships/hyperlink" Target="http://ec.europa.eu/eu2020/pdf/Brochure%20Integrated%20Guidelines.pdf" TargetMode="External"/><Relationship Id="rId17" Type="http://schemas.openxmlformats.org/officeDocument/2006/relationships/hyperlink" Target="http://www.psiru.org/reports/2008-11-PPPs-workers.doc" TargetMode="External"/><Relationship Id="rId25" Type="http://schemas.openxmlformats.org/officeDocument/2006/relationships/hyperlink" Target="http://www.eib.org/attachments/strategies/cop_2011_en.pdf" TargetMode="External"/><Relationship Id="rId33" Type="http://schemas.openxmlformats.org/officeDocument/2006/relationships/hyperlink" Target="http://www.oecd.org/document/34/0,3746,en_2649_33722239_34983714_1_1_1_1,00.html" TargetMode="External"/><Relationship Id="rId38" Type="http://schemas.openxmlformats.org/officeDocument/2006/relationships/hyperlink" Target="http://www.unece.org/env/epr/epr_studies/Georgia%20II.pdf" TargetMode="External"/><Relationship Id="rId46" Type="http://schemas.openxmlformats.org/officeDocument/2006/relationships/hyperlink" Target="http://ec.europa.eu/eu2020/index_en.htm" TargetMode="External"/><Relationship Id="rId2" Type="http://schemas.openxmlformats.org/officeDocument/2006/relationships/hyperlink" Target="http://www.psiru.ben-scott.co.uk" TargetMode="External"/><Relationship Id="rId16" Type="http://schemas.openxmlformats.org/officeDocument/2006/relationships/hyperlink" Target="http://www.eeas.europa.eu/eastern/civil_society/forum2010/docs/organisations_en.pdf" TargetMode="External"/><Relationship Id="rId20" Type="http://schemas.openxmlformats.org/officeDocument/2006/relationships/hyperlink" Target="http://ec.europa.eu/eu2020/pdf/115346.pdf" TargetMode="External"/><Relationship Id="rId29" Type="http://schemas.openxmlformats.org/officeDocument/2006/relationships/hyperlink" Target="http://www.unece.org/env/efe/welcome.html" TargetMode="External"/><Relationship Id="rId41" Type="http://schemas.openxmlformats.org/officeDocument/2006/relationships/hyperlink" Target="http://www.veolia-es.com.ua" TargetMode="External"/><Relationship Id="rId54" Type="http://schemas.openxmlformats.org/officeDocument/2006/relationships/hyperlink" Target="http://www.fcc.es/fcc/corp/ing/sdp_n_ddln_434.htm" TargetMode="External"/><Relationship Id="rId1" Type="http://schemas.openxmlformats.org/officeDocument/2006/relationships/hyperlink" Target="http://en.wikipedia.org/wiki/List_of_countries_by_GDP_%28nominal%29_per_capita" TargetMode="External"/><Relationship Id="rId6" Type="http://schemas.openxmlformats.org/officeDocument/2006/relationships/hyperlink" Target="http://ec.europa.eu/eu2020/pdf/Brochure%20Integrated%20Guidelines.pdf" TargetMode="External"/><Relationship Id="rId11" Type="http://schemas.openxmlformats.org/officeDocument/2006/relationships/hyperlink" Target="http://europa.eu/rapid/pressReleasesAction.do?reference=MEMO/10/288&amp;format=HTML&amp;aged=0&amp;language=EN&amp;guiLanguage=en" TargetMode="External"/><Relationship Id="rId24" Type="http://schemas.openxmlformats.org/officeDocument/2006/relationships/hyperlink" Target="http://www.bei.org/about/publications/annual-report-2010-activity.htm" TargetMode="External"/><Relationship Id="rId32" Type="http://schemas.openxmlformats.org/officeDocument/2006/relationships/hyperlink" Target="http://www.oecd.org/document/34/0,3746,en_2649_33722239_34983714_1_1_1_1,00.html" TargetMode="External"/><Relationship Id="rId37" Type="http://schemas.openxmlformats.org/officeDocument/2006/relationships/hyperlink" Target="http://www.unece.org/publications/environment/epr/welcome.htm" TargetMode="External"/><Relationship Id="rId40" Type="http://schemas.openxmlformats.org/officeDocument/2006/relationships/hyperlink" Target="mailto:info@veolia-es.com.ua" TargetMode="External"/><Relationship Id="rId45" Type="http://schemas.openxmlformats.org/officeDocument/2006/relationships/hyperlink" Target="http://www.encharter.org" TargetMode="External"/><Relationship Id="rId53" Type="http://schemas.openxmlformats.org/officeDocument/2006/relationships/hyperlink" Target="http://www.ebrd.com/downloads/research/annual/ar10e.pdf" TargetMode="External"/><Relationship Id="rId5" Type="http://schemas.openxmlformats.org/officeDocument/2006/relationships/hyperlink" Target="http://ec.europa.eu/eu2020/pdf/Annex%20SWD%20implementation%20last%20version%2015-07-2010.pdf" TargetMode="External"/><Relationship Id="rId15" Type="http://schemas.openxmlformats.org/officeDocument/2006/relationships/hyperlink" Target="http://www.eeas.europa.eu/eastern/civil_society/forum2010/docs/csf_selection_eap_en.pdf" TargetMode="External"/><Relationship Id="rId23" Type="http://schemas.openxmlformats.org/officeDocument/2006/relationships/hyperlink" Target="http://www.bei.org/about/publications/annual-report-2010-activity.htm" TargetMode="External"/><Relationship Id="rId28" Type="http://schemas.openxmlformats.org/officeDocument/2006/relationships/hyperlink" Target="http://www.unece.org/press/pr2011/11ecid_p02e.htm" TargetMode="External"/><Relationship Id="rId36" Type="http://schemas.openxmlformats.org/officeDocument/2006/relationships/hyperlink" Target="http://www.unece.org/env/efe/welcome.html" TargetMode="External"/><Relationship Id="rId49" Type="http://schemas.openxmlformats.org/officeDocument/2006/relationships/hyperlink" Target="http://eur-lex.europa.eu/LexUriServ/LexUriServ.do?uri=CELEX:52010SC0523:EN:NOT" TargetMode="External"/><Relationship Id="rId10" Type="http://schemas.openxmlformats.org/officeDocument/2006/relationships/hyperlink" Target="http://ec.europa.eu/economy_finance/articles/euro/documents/com_367_code_en.pdf" TargetMode="External"/><Relationship Id="rId19" Type="http://schemas.openxmlformats.org/officeDocument/2006/relationships/hyperlink" Target="http://ec.europa.eu/eu2020/pdf/COMPLET%20EN%20BARROSO%20%20%20007%20-%20Europe%202020%20-%20EN%20version.pdf" TargetMode="External"/><Relationship Id="rId31" Type="http://schemas.openxmlformats.org/officeDocument/2006/relationships/hyperlink" Target="http://www.oecd.org/department/0,3355,en_2649_34343_1_1_1_1_1,00.html" TargetMode="External"/><Relationship Id="rId44" Type="http://schemas.openxmlformats.org/officeDocument/2006/relationships/hyperlink" Target="http://www.energy-community.org" TargetMode="External"/><Relationship Id="rId52" Type="http://schemas.openxmlformats.org/officeDocument/2006/relationships/hyperlink" Target="http://www.ebrd.com/english/pages/project/psd/2009/40302.shtml" TargetMode="External"/><Relationship Id="rId4" Type="http://schemas.openxmlformats.org/officeDocument/2006/relationships/hyperlink" Target="http://ec.europa.eu/eu2020/pdf/Annex%20SWD%20implementation%20last%20version%2015-07-2010.pdf" TargetMode="External"/><Relationship Id="rId9" Type="http://schemas.openxmlformats.org/officeDocument/2006/relationships/hyperlink" Target="http://ec.europa.eu/economy_finance/articles/euro/documents/com_2010_367_en.pdf" TargetMode="External"/><Relationship Id="rId14" Type="http://schemas.openxmlformats.org/officeDocument/2006/relationships/hyperlink" Target="http://ec.europa.eu/eu2020/pdf/Brochure%20Integrated%20Guidelines.pdf" TargetMode="External"/><Relationship Id="rId22" Type="http://schemas.openxmlformats.org/officeDocument/2006/relationships/hyperlink" Target="http://www.ebrd.com/downloads/research/annual/ar10e.pdf" TargetMode="External"/><Relationship Id="rId27" Type="http://schemas.openxmlformats.org/officeDocument/2006/relationships/hyperlink" Target="http://www.oecd.org/department/0,3355,en_2649_34343_1_1_1_1_1,00.html" TargetMode="External"/><Relationship Id="rId30" Type="http://schemas.openxmlformats.org/officeDocument/2006/relationships/hyperlink" Target="http://www.wbif.eu/attached_documents/9963/3292/World_Bank_ECA_Strategy_Apr_2010.pdf" TargetMode="External"/><Relationship Id="rId35" Type="http://schemas.openxmlformats.org/officeDocument/2006/relationships/hyperlink" Target="http://www.oecd.org/document/34/0,3746,en_2649_33722239_34983714_1_1_1_1,00.html" TargetMode="External"/><Relationship Id="rId43" Type="http://schemas.openxmlformats.org/officeDocument/2006/relationships/hyperlink" Target="http://www.veolia-es.com.ua/ru/news/50/" TargetMode="External"/><Relationship Id="rId48" Type="http://schemas.openxmlformats.org/officeDocument/2006/relationships/hyperlink" Target="http://ec.europa.eu/world/enp/pdf/progress2011/sec_11_639_en.pdf" TargetMode="External"/><Relationship Id="rId56" Type="http://schemas.openxmlformats.org/officeDocument/2006/relationships/hyperlink" Target="http://www.ifc.org/ifcext/media.nsf/content/SelectedPressRelease?OpenDocument&amp;UNID=80FBA1D1C466866085257737005B9ABF" TargetMode="External"/><Relationship Id="rId8" Type="http://schemas.openxmlformats.org/officeDocument/2006/relationships/hyperlink" Target="http://europa.eu/rapid/pressReleasesAction.do?reference=IP/10/859&amp;format=HTML&amp;aged=0&amp;language=EN&amp;guiLanguage=en" TargetMode="External"/><Relationship Id="rId51" Type="http://schemas.openxmlformats.org/officeDocument/2006/relationships/hyperlink" Target="http://eur-lex.europa.eu/LexUriServ/LexUriServ.do?uri=CELEX:52010SC0523:EN:NOT" TargetMode="External"/><Relationship Id="rId3" Type="http://schemas.openxmlformats.org/officeDocument/2006/relationships/hyperlink" Target="http://ec.europa.eu/eu2020/pdf/COMPLET%20EN%20BARROSO%20%20%20007%20-%20Europe%202020%20-%20EN%20version.pd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psiru@psiru.org" TargetMode="External"/><Relationship Id="rId1" Type="http://schemas.openxmlformats.org/officeDocument/2006/relationships/hyperlink" Target="http://www.psiru.org"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erc.org.mk/DefaultEn.asp" TargetMode="External"/><Relationship Id="rId18" Type="http://schemas.openxmlformats.org/officeDocument/2006/relationships/hyperlink" Target="http://www.elektroprivreda.ba/np/ep/epp?bp=O" TargetMode="External"/><Relationship Id="rId26" Type="http://schemas.openxmlformats.org/officeDocument/2006/relationships/hyperlink" Target="http://www.inogate.org/index.php?option=com_inogate&amp;view=countrysector&amp;id=8&amp;Itemid=63&amp;lang=en" TargetMode="External"/><Relationship Id="rId39" Type="http://schemas.openxmlformats.org/officeDocument/2006/relationships/hyperlink" Target="http://www.erranet.org/AboutUs/Members/Profiles/Georgia" TargetMode="External"/><Relationship Id="rId3" Type="http://schemas.openxmlformats.org/officeDocument/2006/relationships/hyperlink" Target="http://www.ina.hr/default.aspx?id=246" TargetMode="External"/><Relationship Id="rId21" Type="http://schemas.openxmlformats.org/officeDocument/2006/relationships/hyperlink" Target="http://www.erranet.org/AboutUs/Members/Profiles/BosniaAndHerzegovina" TargetMode="External"/><Relationship Id="rId34" Type="http://schemas.openxmlformats.org/officeDocument/2006/relationships/hyperlink" Target="http://www.azerenerji.com/index.php?section=47" TargetMode="External"/><Relationship Id="rId42" Type="http://schemas.openxmlformats.org/officeDocument/2006/relationships/hyperlink" Target="http://www.erranet.org/AboutUs/Members/Profiles/Ukraine" TargetMode="External"/><Relationship Id="rId47" Type="http://schemas.openxmlformats.org/officeDocument/2006/relationships/hyperlink" Target="http://www.ecu.gov.ua/en/company/structure/centr.html" TargetMode="External"/><Relationship Id="rId50" Type="http://schemas.openxmlformats.org/officeDocument/2006/relationships/hyperlink" Target="http://www.ecu.gov.ua/en/company/structure/ukrhydro.html?id=366" TargetMode="External"/><Relationship Id="rId7" Type="http://schemas.openxmlformats.org/officeDocument/2006/relationships/hyperlink" Target="http://www.srbijagas.com/" TargetMode="External"/><Relationship Id="rId12" Type="http://schemas.openxmlformats.org/officeDocument/2006/relationships/hyperlink" Target="http://www.erranet.org/AboutUs/Members/Profiles/Macedonia" TargetMode="External"/><Relationship Id="rId17" Type="http://schemas.openxmlformats.org/officeDocument/2006/relationships/hyperlink" Target="http://www.erranet.org/AboutUs/Members/Profiles/UNMIKKosovo" TargetMode="External"/><Relationship Id="rId25" Type="http://schemas.openxmlformats.org/officeDocument/2006/relationships/hyperlink" Target="http://www.erranet.org/AboutUs/Members/Profiles/Albania" TargetMode="External"/><Relationship Id="rId33" Type="http://schemas.openxmlformats.org/officeDocument/2006/relationships/hyperlink" Target="http://www.inogate.org/index.php?option=com_inogate&amp;view=countrysector&amp;id=12&amp;Itemid=63&amp;lang=en" TargetMode="External"/><Relationship Id="rId38" Type="http://schemas.openxmlformats.org/officeDocument/2006/relationships/hyperlink" Target="http://www.inogate.org/index.php?option=com_inogate&amp;view=countrysector&amp;id=20&amp;Itemid=63&amp;lang=en" TargetMode="External"/><Relationship Id="rId46" Type="http://schemas.openxmlformats.org/officeDocument/2006/relationships/hyperlink" Target="http://www.zakhidenergo.ua/ua/" TargetMode="External"/><Relationship Id="rId2" Type="http://schemas.openxmlformats.org/officeDocument/2006/relationships/hyperlink" Target="http://www.erranet.org/AboutUs/Members/Profiles/Croatia" TargetMode="External"/><Relationship Id="rId16" Type="http://schemas.openxmlformats.org/officeDocument/2006/relationships/hyperlink" Target="http://www.kek-energy.com/en/default.asp" TargetMode="External"/><Relationship Id="rId20" Type="http://schemas.openxmlformats.org/officeDocument/2006/relationships/hyperlink" Target="http://www.elprenosbih.ba/a2/index.php/pg/0.html" TargetMode="External"/><Relationship Id="rId29" Type="http://schemas.openxmlformats.org/officeDocument/2006/relationships/hyperlink" Target="http://www.ena.am/AboutUs.aspx" TargetMode="External"/><Relationship Id="rId41" Type="http://schemas.openxmlformats.org/officeDocument/2006/relationships/hyperlink" Target="http://www.erranet.org/AboutUs/Members/Profiles/Moldova" TargetMode="External"/><Relationship Id="rId54" Type="http://schemas.openxmlformats.org/officeDocument/2006/relationships/hyperlink" Target="http://www.naftogaz.com/www/2/nakweben.nsf/" TargetMode="External"/><Relationship Id="rId1" Type="http://schemas.openxmlformats.org/officeDocument/2006/relationships/hyperlink" Target="http://www.hep.hr/hep/en/news/default.aspx" TargetMode="External"/><Relationship Id="rId6" Type="http://schemas.openxmlformats.org/officeDocument/2006/relationships/hyperlink" Target="http://www.erranet.org/AboutUs/Members/Profiles/Serbia" TargetMode="External"/><Relationship Id="rId11" Type="http://schemas.openxmlformats.org/officeDocument/2006/relationships/hyperlink" Target="http://www.evn.com.mk/mk/presse/white_book.asp" TargetMode="External"/><Relationship Id="rId24" Type="http://schemas.openxmlformats.org/officeDocument/2006/relationships/hyperlink" Target="http://www.cez.al/en/home.html" TargetMode="External"/><Relationship Id="rId32" Type="http://schemas.openxmlformats.org/officeDocument/2006/relationships/hyperlink" Target="http://www.armrusgasprom.am/" TargetMode="External"/><Relationship Id="rId37" Type="http://schemas.openxmlformats.org/officeDocument/2006/relationships/hyperlink" Target="http://www.inogate.org/index.php?option=com_inogate&amp;view=countrysector&amp;id=23&amp;Itemid=63&amp;lang=en" TargetMode="External"/><Relationship Id="rId40" Type="http://schemas.openxmlformats.org/officeDocument/2006/relationships/hyperlink" Target="http://www.interrao.ru/eng/websites/100.php/popup/100/" TargetMode="External"/><Relationship Id="rId45" Type="http://schemas.openxmlformats.org/officeDocument/2006/relationships/hyperlink" Target="http://www.ecu.gov.ua/en/company/structure/zakhid.html" TargetMode="External"/><Relationship Id="rId53" Type="http://schemas.openxmlformats.org/officeDocument/2006/relationships/hyperlink" Target="http://www.aes.com/aes/index?page=country&amp;cat=UA" TargetMode="External"/><Relationship Id="rId5" Type="http://schemas.openxmlformats.org/officeDocument/2006/relationships/hyperlink" Target="http://www.eps.rs/english.htm" TargetMode="External"/><Relationship Id="rId15" Type="http://schemas.openxmlformats.org/officeDocument/2006/relationships/hyperlink" Target="http://www.erranet.org/AboutUs/Members/Profiles/Montenegro" TargetMode="External"/><Relationship Id="rId23" Type="http://schemas.openxmlformats.org/officeDocument/2006/relationships/hyperlink" Target="http://www.sarajevogas.ba/" TargetMode="External"/><Relationship Id="rId28" Type="http://schemas.openxmlformats.org/officeDocument/2006/relationships/hyperlink" Target="http://www.mek.am/" TargetMode="External"/><Relationship Id="rId36" Type="http://schemas.openxmlformats.org/officeDocument/2006/relationships/hyperlink" Target="http://www.inogate.org/index.php?option=com_inogate&amp;view=countrysector&amp;id=10&amp;Itemid=63&amp;lang=en" TargetMode="External"/><Relationship Id="rId49" Type="http://schemas.openxmlformats.org/officeDocument/2006/relationships/hyperlink" Target="http://www.ecu.gov.ua/en/company/structure/dn.html" TargetMode="External"/><Relationship Id="rId10" Type="http://schemas.openxmlformats.org/officeDocument/2006/relationships/hyperlink" Target="http://www.evn.com.mk/" TargetMode="External"/><Relationship Id="rId19" Type="http://schemas.openxmlformats.org/officeDocument/2006/relationships/hyperlink" Target="http://www.ers.ba/" TargetMode="External"/><Relationship Id="rId31" Type="http://schemas.openxmlformats.org/officeDocument/2006/relationships/hyperlink" Target="http://www.erranet.org/AboutUs/Members/Profiles/Armenia" TargetMode="External"/><Relationship Id="rId44" Type="http://schemas.openxmlformats.org/officeDocument/2006/relationships/hyperlink" Target="http://www.energoatom.kiev.ua/en/index_eng.htm" TargetMode="External"/><Relationship Id="rId52" Type="http://schemas.openxmlformats.org/officeDocument/2006/relationships/hyperlink" Target="http://kyivenergo.ua/en/about-company" TargetMode="External"/><Relationship Id="rId4" Type="http://schemas.openxmlformats.org/officeDocument/2006/relationships/hyperlink" Target="http://www.plinacro.hr/default.aspx?id=95" TargetMode="External"/><Relationship Id="rId9" Type="http://schemas.openxmlformats.org/officeDocument/2006/relationships/hyperlink" Target="http://www.mepso.com.mk/en-us/Details.aspx?categoryID=77" TargetMode="External"/><Relationship Id="rId14" Type="http://schemas.openxmlformats.org/officeDocument/2006/relationships/hyperlink" Target="http://www.epcg.co.me/enindex.html" TargetMode="External"/><Relationship Id="rId22" Type="http://schemas.openxmlformats.org/officeDocument/2006/relationships/hyperlink" Target="http://www.bh-gas.ba/eng/index.htm" TargetMode="External"/><Relationship Id="rId27" Type="http://schemas.openxmlformats.org/officeDocument/2006/relationships/hyperlink" Target="http://www.raztes.am/eng/history.htm" TargetMode="External"/><Relationship Id="rId30" Type="http://schemas.openxmlformats.org/officeDocument/2006/relationships/hyperlink" Target="http://www.geni.org/globalenergy/library/national_energy_grid/armenia/index.shtml" TargetMode="External"/><Relationship Id="rId35" Type="http://schemas.openxmlformats.org/officeDocument/2006/relationships/hyperlink" Target="http://www.erranet.org/AboutUs/Members/Profiles/Azerbaijan" TargetMode="External"/><Relationship Id="rId43" Type="http://schemas.openxmlformats.org/officeDocument/2006/relationships/hyperlink" Target="http://www.ukrenergo.energy.gov.ua/ukrenergo/control/en/publish/article?art_id=36400&amp;cat_id=36373" TargetMode="External"/><Relationship Id="rId48" Type="http://schemas.openxmlformats.org/officeDocument/2006/relationships/hyperlink" Target="http://dniproenergo.ua/index.php?lang=russian" TargetMode="External"/><Relationship Id="rId8" Type="http://schemas.openxmlformats.org/officeDocument/2006/relationships/hyperlink" Target="http://www.elem.com.mk/en/ElemToday.asp" TargetMode="External"/><Relationship Id="rId51" Type="http://schemas.openxmlformats.org/officeDocument/2006/relationships/hyperlink" Target="http://www.ecu.gov.ua/en/company/structure/kyiv.htm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2002\PSIRU07l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BD1FE-14E4-453B-8550-110077A76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PSIRU07lite.dot</Template>
  <TotalTime>0</TotalTime>
  <Pages>41</Pages>
  <Words>17527</Words>
  <Characters>99910</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lpstr>
    </vt:vector>
  </TitlesOfParts>
  <Company>CMS</Company>
  <LinksUpToDate>false</LinksUpToDate>
  <CharactersWithSpaces>117203</CharactersWithSpaces>
  <SharedDoc>false</SharedDoc>
  <HLinks>
    <vt:vector size="1548" baseType="variant">
      <vt:variant>
        <vt:i4>6357104</vt:i4>
      </vt:variant>
      <vt:variant>
        <vt:i4>780</vt:i4>
      </vt:variant>
      <vt:variant>
        <vt:i4>0</vt:i4>
      </vt:variant>
      <vt:variant>
        <vt:i4>5</vt:i4>
      </vt:variant>
      <vt:variant>
        <vt:lpwstr>http://www.ebrd.com/downloads/research/annual/invest09.xls</vt:lpwstr>
      </vt:variant>
      <vt:variant>
        <vt:lpwstr/>
      </vt:variant>
      <vt:variant>
        <vt:i4>6357104</vt:i4>
      </vt:variant>
      <vt:variant>
        <vt:i4>777</vt:i4>
      </vt:variant>
      <vt:variant>
        <vt:i4>0</vt:i4>
      </vt:variant>
      <vt:variant>
        <vt:i4>5</vt:i4>
      </vt:variant>
      <vt:variant>
        <vt:lpwstr>http://www.ebrd.com/downloads/research/annual/invest09.xls</vt:lpwstr>
      </vt:variant>
      <vt:variant>
        <vt:lpwstr/>
      </vt:variant>
      <vt:variant>
        <vt:i4>983081</vt:i4>
      </vt:variant>
      <vt:variant>
        <vt:i4>774</vt:i4>
      </vt:variant>
      <vt:variant>
        <vt:i4>0</vt:i4>
      </vt:variant>
      <vt:variant>
        <vt:i4>5</vt:i4>
      </vt:variant>
      <vt:variant>
        <vt:lpwstr>http://www.iea.org/stats/gasdata.asp?COUNTRY_CODE=UA</vt:lpwstr>
      </vt:variant>
      <vt:variant>
        <vt:lpwstr/>
      </vt:variant>
      <vt:variant>
        <vt:i4>1441826</vt:i4>
      </vt:variant>
      <vt:variant>
        <vt:i4>771</vt:i4>
      </vt:variant>
      <vt:variant>
        <vt:i4>0</vt:i4>
      </vt:variant>
      <vt:variant>
        <vt:i4>5</vt:i4>
      </vt:variant>
      <vt:variant>
        <vt:lpwstr>http://www.iea.org/stats/electricitydata.asp?COUNTRY_CODE=UA</vt:lpwstr>
      </vt:variant>
      <vt:variant>
        <vt:lpwstr/>
      </vt:variant>
      <vt:variant>
        <vt:i4>655409</vt:i4>
      </vt:variant>
      <vt:variant>
        <vt:i4>768</vt:i4>
      </vt:variant>
      <vt:variant>
        <vt:i4>0</vt:i4>
      </vt:variant>
      <vt:variant>
        <vt:i4>5</vt:i4>
      </vt:variant>
      <vt:variant>
        <vt:lpwstr>http://www.iea.org/stats/gasdata.asp?COUNTRY_CODE=MD</vt:lpwstr>
      </vt:variant>
      <vt:variant>
        <vt:lpwstr/>
      </vt:variant>
      <vt:variant>
        <vt:i4>1245242</vt:i4>
      </vt:variant>
      <vt:variant>
        <vt:i4>765</vt:i4>
      </vt:variant>
      <vt:variant>
        <vt:i4>0</vt:i4>
      </vt:variant>
      <vt:variant>
        <vt:i4>5</vt:i4>
      </vt:variant>
      <vt:variant>
        <vt:lpwstr>http://www.iea.org/stats/electricitydata.asp?COUNTRY_CODE=MD</vt:lpwstr>
      </vt:variant>
      <vt:variant>
        <vt:lpwstr/>
      </vt:variant>
      <vt:variant>
        <vt:i4>720955</vt:i4>
      </vt:variant>
      <vt:variant>
        <vt:i4>762</vt:i4>
      </vt:variant>
      <vt:variant>
        <vt:i4>0</vt:i4>
      </vt:variant>
      <vt:variant>
        <vt:i4>5</vt:i4>
      </vt:variant>
      <vt:variant>
        <vt:lpwstr>http://www.iea.org/stats/gasdata.asp?COUNTRY_CODE=GE</vt:lpwstr>
      </vt:variant>
      <vt:variant>
        <vt:lpwstr/>
      </vt:variant>
      <vt:variant>
        <vt:i4>1179696</vt:i4>
      </vt:variant>
      <vt:variant>
        <vt:i4>759</vt:i4>
      </vt:variant>
      <vt:variant>
        <vt:i4>0</vt:i4>
      </vt:variant>
      <vt:variant>
        <vt:i4>5</vt:i4>
      </vt:variant>
      <vt:variant>
        <vt:lpwstr>http://www.iea.org/stats/electricitydata.asp?COUNTRY_CODE=GE</vt:lpwstr>
      </vt:variant>
      <vt:variant>
        <vt:lpwstr/>
      </vt:variant>
      <vt:variant>
        <vt:i4>1507390</vt:i4>
      </vt:variant>
      <vt:variant>
        <vt:i4>756</vt:i4>
      </vt:variant>
      <vt:variant>
        <vt:i4>0</vt:i4>
      </vt:variant>
      <vt:variant>
        <vt:i4>5</vt:i4>
      </vt:variant>
      <vt:variant>
        <vt:lpwstr>http://www.iea.org/stats/gasdata.asp?COUNTRY_CODE=BY</vt:lpwstr>
      </vt:variant>
      <vt:variant>
        <vt:lpwstr/>
      </vt:variant>
      <vt:variant>
        <vt:i4>917557</vt:i4>
      </vt:variant>
      <vt:variant>
        <vt:i4>753</vt:i4>
      </vt:variant>
      <vt:variant>
        <vt:i4>0</vt:i4>
      </vt:variant>
      <vt:variant>
        <vt:i4>5</vt:i4>
      </vt:variant>
      <vt:variant>
        <vt:lpwstr>http://www.iea.org/stats/electricitydata.asp?COUNTRY_CODE=BY</vt:lpwstr>
      </vt:variant>
      <vt:variant>
        <vt:lpwstr/>
      </vt:variant>
      <vt:variant>
        <vt:i4>1310781</vt:i4>
      </vt:variant>
      <vt:variant>
        <vt:i4>750</vt:i4>
      </vt:variant>
      <vt:variant>
        <vt:i4>0</vt:i4>
      </vt:variant>
      <vt:variant>
        <vt:i4>5</vt:i4>
      </vt:variant>
      <vt:variant>
        <vt:lpwstr>http://www.iea.org/stats/gasdata.asp?COUNTRY_CODE=AZ</vt:lpwstr>
      </vt:variant>
      <vt:variant>
        <vt:lpwstr/>
      </vt:variant>
      <vt:variant>
        <vt:i4>852022</vt:i4>
      </vt:variant>
      <vt:variant>
        <vt:i4>747</vt:i4>
      </vt:variant>
      <vt:variant>
        <vt:i4>0</vt:i4>
      </vt:variant>
      <vt:variant>
        <vt:i4>5</vt:i4>
      </vt:variant>
      <vt:variant>
        <vt:lpwstr>http://www.iea.org/stats/electricitydata.asp?COUNTRY_CODE=AZ</vt:lpwstr>
      </vt:variant>
      <vt:variant>
        <vt:lpwstr/>
      </vt:variant>
      <vt:variant>
        <vt:i4>196669</vt:i4>
      </vt:variant>
      <vt:variant>
        <vt:i4>744</vt:i4>
      </vt:variant>
      <vt:variant>
        <vt:i4>0</vt:i4>
      </vt:variant>
      <vt:variant>
        <vt:i4>5</vt:i4>
      </vt:variant>
      <vt:variant>
        <vt:lpwstr>http://www.iea.org/stats/gasdata.asp?COUNTRY_CODE=AM</vt:lpwstr>
      </vt:variant>
      <vt:variant>
        <vt:lpwstr/>
      </vt:variant>
      <vt:variant>
        <vt:i4>1703990</vt:i4>
      </vt:variant>
      <vt:variant>
        <vt:i4>741</vt:i4>
      </vt:variant>
      <vt:variant>
        <vt:i4>0</vt:i4>
      </vt:variant>
      <vt:variant>
        <vt:i4>5</vt:i4>
      </vt:variant>
      <vt:variant>
        <vt:lpwstr>http://www.iea.org/stats/electricitydata.asp?COUNTRY_CODE=AM</vt:lpwstr>
      </vt:variant>
      <vt:variant>
        <vt:lpwstr/>
      </vt:variant>
      <vt:variant>
        <vt:i4>1769526</vt:i4>
      </vt:variant>
      <vt:variant>
        <vt:i4>738</vt:i4>
      </vt:variant>
      <vt:variant>
        <vt:i4>0</vt:i4>
      </vt:variant>
      <vt:variant>
        <vt:i4>5</vt:i4>
      </vt:variant>
      <vt:variant>
        <vt:lpwstr>http://www.iea.org/stats/electricitydata.asp?COUNTRY_CODE=AL</vt:lpwstr>
      </vt:variant>
      <vt:variant>
        <vt:lpwstr/>
      </vt:variant>
      <vt:variant>
        <vt:i4>983102</vt:i4>
      </vt:variant>
      <vt:variant>
        <vt:i4>735</vt:i4>
      </vt:variant>
      <vt:variant>
        <vt:i4>0</vt:i4>
      </vt:variant>
      <vt:variant>
        <vt:i4>5</vt:i4>
      </vt:variant>
      <vt:variant>
        <vt:lpwstr>http://www.iea.org/stats/gasdata.asp?COUNTRY_CODE=BA</vt:lpwstr>
      </vt:variant>
      <vt:variant>
        <vt:lpwstr/>
      </vt:variant>
      <vt:variant>
        <vt:i4>1441845</vt:i4>
      </vt:variant>
      <vt:variant>
        <vt:i4>732</vt:i4>
      </vt:variant>
      <vt:variant>
        <vt:i4>0</vt:i4>
      </vt:variant>
      <vt:variant>
        <vt:i4>5</vt:i4>
      </vt:variant>
      <vt:variant>
        <vt:lpwstr>http://www.iea.org/stats/electricitydata.asp?COUNTRY_CODE=BA</vt:lpwstr>
      </vt:variant>
      <vt:variant>
        <vt:lpwstr/>
      </vt:variant>
      <vt:variant>
        <vt:i4>1900590</vt:i4>
      </vt:variant>
      <vt:variant>
        <vt:i4>729</vt:i4>
      </vt:variant>
      <vt:variant>
        <vt:i4>0</vt:i4>
      </vt:variant>
      <vt:variant>
        <vt:i4>5</vt:i4>
      </vt:variant>
      <vt:variant>
        <vt:lpwstr>http://www.iea.org/stats/gasdata.asp?COUNTRY_CODE=RS</vt:lpwstr>
      </vt:variant>
      <vt:variant>
        <vt:lpwstr/>
      </vt:variant>
      <vt:variant>
        <vt:i4>1835066</vt:i4>
      </vt:variant>
      <vt:variant>
        <vt:i4>726</vt:i4>
      </vt:variant>
      <vt:variant>
        <vt:i4>0</vt:i4>
      </vt:variant>
      <vt:variant>
        <vt:i4>5</vt:i4>
      </vt:variant>
      <vt:variant>
        <vt:lpwstr>http://www.iea.org/stats/electricitydata.asp?COUNTRY_CODE=MK</vt:lpwstr>
      </vt:variant>
      <vt:variant>
        <vt:lpwstr/>
      </vt:variant>
      <vt:variant>
        <vt:i4>1900590</vt:i4>
      </vt:variant>
      <vt:variant>
        <vt:i4>723</vt:i4>
      </vt:variant>
      <vt:variant>
        <vt:i4>0</vt:i4>
      </vt:variant>
      <vt:variant>
        <vt:i4>5</vt:i4>
      </vt:variant>
      <vt:variant>
        <vt:lpwstr>http://www.iea.org/stats/gasdata.asp?COUNTRY_CODE=RS</vt:lpwstr>
      </vt:variant>
      <vt:variant>
        <vt:lpwstr/>
      </vt:variant>
      <vt:variant>
        <vt:i4>262181</vt:i4>
      </vt:variant>
      <vt:variant>
        <vt:i4>720</vt:i4>
      </vt:variant>
      <vt:variant>
        <vt:i4>0</vt:i4>
      </vt:variant>
      <vt:variant>
        <vt:i4>5</vt:i4>
      </vt:variant>
      <vt:variant>
        <vt:lpwstr>http://www.iea.org/stats/electricitydata.asp?COUNTRY_CODE=RS</vt:lpwstr>
      </vt:variant>
      <vt:variant>
        <vt:lpwstr/>
      </vt:variant>
      <vt:variant>
        <vt:i4>1835060</vt:i4>
      </vt:variant>
      <vt:variant>
        <vt:i4>717</vt:i4>
      </vt:variant>
      <vt:variant>
        <vt:i4>0</vt:i4>
      </vt:variant>
      <vt:variant>
        <vt:i4>5</vt:i4>
      </vt:variant>
      <vt:variant>
        <vt:lpwstr>http://www.iea.org/stats/gasdata.asp?COUNTRY_CODE=HR</vt:lpwstr>
      </vt:variant>
      <vt:variant>
        <vt:lpwstr/>
      </vt:variant>
      <vt:variant>
        <vt:i4>327743</vt:i4>
      </vt:variant>
      <vt:variant>
        <vt:i4>714</vt:i4>
      </vt:variant>
      <vt:variant>
        <vt:i4>0</vt:i4>
      </vt:variant>
      <vt:variant>
        <vt:i4>5</vt:i4>
      </vt:variant>
      <vt:variant>
        <vt:lpwstr>http://www.iea.org/stats/electricitydata.asp?COUNTRY_CODE=HR</vt:lpwstr>
      </vt:variant>
      <vt:variant>
        <vt:lpwstr/>
      </vt:variant>
      <vt:variant>
        <vt:i4>4325405</vt:i4>
      </vt:variant>
      <vt:variant>
        <vt:i4>711</vt:i4>
      </vt:variant>
      <vt:variant>
        <vt:i4>0</vt:i4>
      </vt:variant>
      <vt:variant>
        <vt:i4>5</vt:i4>
      </vt:variant>
      <vt:variant>
        <vt:lpwstr>http://www.encharter.org/</vt:lpwstr>
      </vt:variant>
      <vt:variant>
        <vt:lpwstr/>
      </vt:variant>
      <vt:variant>
        <vt:i4>655446</vt:i4>
      </vt:variant>
      <vt:variant>
        <vt:i4>708</vt:i4>
      </vt:variant>
      <vt:variant>
        <vt:i4>0</vt:i4>
      </vt:variant>
      <vt:variant>
        <vt:i4>5</vt:i4>
      </vt:variant>
      <vt:variant>
        <vt:lpwstr>http://www.energy-community.org/</vt:lpwstr>
      </vt:variant>
      <vt:variant>
        <vt:lpwstr/>
      </vt:variant>
      <vt:variant>
        <vt:i4>5308499</vt:i4>
      </vt:variant>
      <vt:variant>
        <vt:i4>705</vt:i4>
      </vt:variant>
      <vt:variant>
        <vt:i4>0</vt:i4>
      </vt:variant>
      <vt:variant>
        <vt:i4>5</vt:i4>
      </vt:variant>
      <vt:variant>
        <vt:lpwstr>http://www.veolia-es.com.ua/</vt:lpwstr>
      </vt:variant>
      <vt:variant>
        <vt:lpwstr/>
      </vt:variant>
      <vt:variant>
        <vt:i4>3014686</vt:i4>
      </vt:variant>
      <vt:variant>
        <vt:i4>702</vt:i4>
      </vt:variant>
      <vt:variant>
        <vt:i4>0</vt:i4>
      </vt:variant>
      <vt:variant>
        <vt:i4>5</vt:i4>
      </vt:variant>
      <vt:variant>
        <vt:lpwstr>mailto:info@veolia-es.com.ua</vt:lpwstr>
      </vt:variant>
      <vt:variant>
        <vt:lpwstr/>
      </vt:variant>
      <vt:variant>
        <vt:i4>3014780</vt:i4>
      </vt:variant>
      <vt:variant>
        <vt:i4>699</vt:i4>
      </vt:variant>
      <vt:variant>
        <vt:i4>0</vt:i4>
      </vt:variant>
      <vt:variant>
        <vt:i4>5</vt:i4>
      </vt:variant>
      <vt:variant>
        <vt:lpwstr>http://www.veoliaenvironnement.com/</vt:lpwstr>
      </vt:variant>
      <vt:variant>
        <vt:lpwstr/>
      </vt:variant>
      <vt:variant>
        <vt:i4>6094915</vt:i4>
      </vt:variant>
      <vt:variant>
        <vt:i4>696</vt:i4>
      </vt:variant>
      <vt:variant>
        <vt:i4>0</vt:i4>
      </vt:variant>
      <vt:variant>
        <vt:i4>5</vt:i4>
      </vt:variant>
      <vt:variant>
        <vt:lpwstr>http://www.remondis.com/</vt:lpwstr>
      </vt:variant>
      <vt:variant>
        <vt:lpwstr/>
      </vt:variant>
      <vt:variant>
        <vt:i4>6553710</vt:i4>
      </vt:variant>
      <vt:variant>
        <vt:i4>693</vt:i4>
      </vt:variant>
      <vt:variant>
        <vt:i4>0</vt:i4>
      </vt:variant>
      <vt:variant>
        <vt:i4>5</vt:i4>
      </vt:variant>
      <vt:variant>
        <vt:lpwstr>http://www.fcc.es/</vt:lpwstr>
      </vt:variant>
      <vt:variant>
        <vt:lpwstr/>
      </vt:variant>
      <vt:variant>
        <vt:i4>2883707</vt:i4>
      </vt:variant>
      <vt:variant>
        <vt:i4>690</vt:i4>
      </vt:variant>
      <vt:variant>
        <vt:i4>0</vt:i4>
      </vt:variant>
      <vt:variant>
        <vt:i4>5</vt:i4>
      </vt:variant>
      <vt:variant>
        <vt:lpwstr>http://www.alba-online.de/</vt:lpwstr>
      </vt:variant>
      <vt:variant>
        <vt:lpwstr/>
      </vt:variant>
      <vt:variant>
        <vt:i4>7733367</vt:i4>
      </vt:variant>
      <vt:variant>
        <vt:i4>687</vt:i4>
      </vt:variant>
      <vt:variant>
        <vt:i4>0</vt:i4>
      </vt:variant>
      <vt:variant>
        <vt:i4>5</vt:i4>
      </vt:variant>
      <vt:variant>
        <vt:lpwstr>http://www.eib.org/projects/loans/2006/20060038.htm</vt:lpwstr>
      </vt:variant>
      <vt:variant>
        <vt:lpwstr/>
      </vt:variant>
      <vt:variant>
        <vt:i4>2687039</vt:i4>
      </vt:variant>
      <vt:variant>
        <vt:i4>684</vt:i4>
      </vt:variant>
      <vt:variant>
        <vt:i4>0</vt:i4>
      </vt:variant>
      <vt:variant>
        <vt:i4>5</vt:i4>
      </vt:variant>
      <vt:variant>
        <vt:lpwstr>http://web.worldbank.org/external/projects/main?pagePK=64283627&amp;piPK=73230&amp;theSitePK=40941&amp;menuPK=228424&amp;Projectid=P095337</vt:lpwstr>
      </vt:variant>
      <vt:variant>
        <vt:lpwstr/>
      </vt:variant>
      <vt:variant>
        <vt:i4>2687037</vt:i4>
      </vt:variant>
      <vt:variant>
        <vt:i4>681</vt:i4>
      </vt:variant>
      <vt:variant>
        <vt:i4>0</vt:i4>
      </vt:variant>
      <vt:variant>
        <vt:i4>5</vt:i4>
      </vt:variant>
      <vt:variant>
        <vt:lpwstr>http://web.worldbank.org/external/projects/main?pagePK=64283627&amp;piPK=73230&amp;theSitePK=40941&amp;menuPK=228424&amp;Projectid=P120659</vt:lpwstr>
      </vt:variant>
      <vt:variant>
        <vt:lpwstr/>
      </vt:variant>
      <vt:variant>
        <vt:i4>2359345</vt:i4>
      </vt:variant>
      <vt:variant>
        <vt:i4>678</vt:i4>
      </vt:variant>
      <vt:variant>
        <vt:i4>0</vt:i4>
      </vt:variant>
      <vt:variant>
        <vt:i4>5</vt:i4>
      </vt:variant>
      <vt:variant>
        <vt:lpwstr>http://web.worldbank.org/external/projects/main?pagePK=64283627&amp;piPK=73230&amp;theSitePK=40941&amp;menuPK=228424&amp;Projectid=P079116</vt:lpwstr>
      </vt:variant>
      <vt:variant>
        <vt:lpwstr/>
      </vt:variant>
      <vt:variant>
        <vt:i4>2359344</vt:i4>
      </vt:variant>
      <vt:variant>
        <vt:i4>675</vt:i4>
      </vt:variant>
      <vt:variant>
        <vt:i4>0</vt:i4>
      </vt:variant>
      <vt:variant>
        <vt:i4>5</vt:i4>
      </vt:variant>
      <vt:variant>
        <vt:lpwstr>http://web.worldbank.org/external/projects/main?pagePK=64283627&amp;piPK=73230&amp;theSitePK=40941&amp;menuPK=228424&amp;Projectid=P118405</vt:lpwstr>
      </vt:variant>
      <vt:variant>
        <vt:lpwstr/>
      </vt:variant>
      <vt:variant>
        <vt:i4>2621495</vt:i4>
      </vt:variant>
      <vt:variant>
        <vt:i4>672</vt:i4>
      </vt:variant>
      <vt:variant>
        <vt:i4>0</vt:i4>
      </vt:variant>
      <vt:variant>
        <vt:i4>5</vt:i4>
      </vt:variant>
      <vt:variant>
        <vt:lpwstr>http://web.worldbank.org/external/projects/main?pagePK=64283627&amp;piPK=73230&amp;theSitePK=40941&amp;menuPK=228424&amp;Projectid=P096481</vt:lpwstr>
      </vt:variant>
      <vt:variant>
        <vt:lpwstr/>
      </vt:variant>
      <vt:variant>
        <vt:i4>2424886</vt:i4>
      </vt:variant>
      <vt:variant>
        <vt:i4>669</vt:i4>
      </vt:variant>
      <vt:variant>
        <vt:i4>0</vt:i4>
      </vt:variant>
      <vt:variant>
        <vt:i4>5</vt:i4>
      </vt:variant>
      <vt:variant>
        <vt:lpwstr>http://web.worldbank.org/external/projects/main?pagePK=64283627&amp;piPK=73230&amp;theSitePK=40941&amp;menuPK=228424&amp;Projectid=P107998</vt:lpwstr>
      </vt:variant>
      <vt:variant>
        <vt:lpwstr/>
      </vt:variant>
      <vt:variant>
        <vt:i4>2424893</vt:i4>
      </vt:variant>
      <vt:variant>
        <vt:i4>666</vt:i4>
      </vt:variant>
      <vt:variant>
        <vt:i4>0</vt:i4>
      </vt:variant>
      <vt:variant>
        <vt:i4>5</vt:i4>
      </vt:variant>
      <vt:variant>
        <vt:lpwstr>http://web.worldbank.org/external/projects/main?pagePK=64283627&amp;piPK=73230&amp;theSitePK=40941&amp;menuPK=228424&amp;Projectid=P114515</vt:lpwstr>
      </vt:variant>
      <vt:variant>
        <vt:lpwstr/>
      </vt:variant>
      <vt:variant>
        <vt:i4>2752575</vt:i4>
      </vt:variant>
      <vt:variant>
        <vt:i4>663</vt:i4>
      </vt:variant>
      <vt:variant>
        <vt:i4>0</vt:i4>
      </vt:variant>
      <vt:variant>
        <vt:i4>5</vt:i4>
      </vt:variant>
      <vt:variant>
        <vt:lpwstr>http://web.worldbank.org/external/projects/main?pagePK=64283627&amp;piPK=73230&amp;theSitePK=40941&amp;menuPK=228424&amp;Projectid=P110679</vt:lpwstr>
      </vt:variant>
      <vt:variant>
        <vt:lpwstr/>
      </vt:variant>
      <vt:variant>
        <vt:i4>3014705</vt:i4>
      </vt:variant>
      <vt:variant>
        <vt:i4>660</vt:i4>
      </vt:variant>
      <vt:variant>
        <vt:i4>0</vt:i4>
      </vt:variant>
      <vt:variant>
        <vt:i4>5</vt:i4>
      </vt:variant>
      <vt:variant>
        <vt:lpwstr>http://web.worldbank.org/external/projects/main?pagePK=64283627&amp;piPK=73230&amp;theSitePK=40941&amp;menuPK=228424&amp;Projectid=P118912</vt:lpwstr>
      </vt:variant>
      <vt:variant>
        <vt:lpwstr/>
      </vt:variant>
      <vt:variant>
        <vt:i4>7340145</vt:i4>
      </vt:variant>
      <vt:variant>
        <vt:i4>657</vt:i4>
      </vt:variant>
      <vt:variant>
        <vt:i4>0</vt:i4>
      </vt:variant>
      <vt:variant>
        <vt:i4>5</vt:i4>
      </vt:variant>
      <vt:variant>
        <vt:lpwstr>http://ec.europa.eu/eu2020/pdf/Annex SWD implementation last version 15-07-2010.pdf</vt:lpwstr>
      </vt:variant>
      <vt:variant>
        <vt:lpwstr/>
      </vt:variant>
      <vt:variant>
        <vt:i4>7209038</vt:i4>
      </vt:variant>
      <vt:variant>
        <vt:i4>654</vt:i4>
      </vt:variant>
      <vt:variant>
        <vt:i4>0</vt:i4>
      </vt:variant>
      <vt:variant>
        <vt:i4>5</vt:i4>
      </vt:variant>
      <vt:variant>
        <vt:lpwstr>http://ec.europa.eu/eu2020/index_en.htm</vt:lpwstr>
      </vt:variant>
      <vt:variant>
        <vt:lpwstr/>
      </vt:variant>
      <vt:variant>
        <vt:i4>2752622</vt:i4>
      </vt:variant>
      <vt:variant>
        <vt:i4>651</vt:i4>
      </vt:variant>
      <vt:variant>
        <vt:i4>0</vt:i4>
      </vt:variant>
      <vt:variant>
        <vt:i4>5</vt:i4>
      </vt:variant>
      <vt:variant>
        <vt:lpwstr>http://siteresources.worldbank.org/INTGEP/Resources/335315-1294842452675/ECA-Annex.pdf</vt:lpwstr>
      </vt:variant>
      <vt:variant>
        <vt:lpwstr/>
      </vt:variant>
      <vt:variant>
        <vt:i4>3735637</vt:i4>
      </vt:variant>
      <vt:variant>
        <vt:i4>648</vt:i4>
      </vt:variant>
      <vt:variant>
        <vt:i4>0</vt:i4>
      </vt:variant>
      <vt:variant>
        <vt:i4>5</vt:i4>
      </vt:variant>
      <vt:variant>
        <vt:lpwstr>http://ec.europa.eu/enlargement/potential-candidates/serbia/index_en.htm</vt:lpwstr>
      </vt:variant>
      <vt:variant>
        <vt:lpwstr/>
      </vt:variant>
      <vt:variant>
        <vt:i4>2097230</vt:i4>
      </vt:variant>
      <vt:variant>
        <vt:i4>645</vt:i4>
      </vt:variant>
      <vt:variant>
        <vt:i4>0</vt:i4>
      </vt:variant>
      <vt:variant>
        <vt:i4>5</vt:i4>
      </vt:variant>
      <vt:variant>
        <vt:lpwstr>http://ec.europa.eu/enlargement/potential-candidates/montenegro/index_en.htm</vt:lpwstr>
      </vt:variant>
      <vt:variant>
        <vt:lpwstr/>
      </vt:variant>
      <vt:variant>
        <vt:i4>3997793</vt:i4>
      </vt:variant>
      <vt:variant>
        <vt:i4>642</vt:i4>
      </vt:variant>
      <vt:variant>
        <vt:i4>0</vt:i4>
      </vt:variant>
      <vt:variant>
        <vt:i4>5</vt:i4>
      </vt:variant>
      <vt:variant>
        <vt:lpwstr>http://ec.europa.eu/enlargement/candidate-countries/the_former_yugoslav_republic_of_macedonia/index_en.htm</vt:lpwstr>
      </vt:variant>
      <vt:variant>
        <vt:lpwstr/>
      </vt:variant>
      <vt:variant>
        <vt:i4>8257554</vt:i4>
      </vt:variant>
      <vt:variant>
        <vt:i4>639</vt:i4>
      </vt:variant>
      <vt:variant>
        <vt:i4>0</vt:i4>
      </vt:variant>
      <vt:variant>
        <vt:i4>5</vt:i4>
      </vt:variant>
      <vt:variant>
        <vt:lpwstr>http://ec.europa.eu/enlargement/candidate-countries/croatia/index_en.htm</vt:lpwstr>
      </vt:variant>
      <vt:variant>
        <vt:lpwstr/>
      </vt:variant>
      <vt:variant>
        <vt:i4>2555982</vt:i4>
      </vt:variant>
      <vt:variant>
        <vt:i4>636</vt:i4>
      </vt:variant>
      <vt:variant>
        <vt:i4>0</vt:i4>
      </vt:variant>
      <vt:variant>
        <vt:i4>5</vt:i4>
      </vt:variant>
      <vt:variant>
        <vt:lpwstr>http://ec.europa.eu/enlargement/potential-candidates/bosnia_and_herzegovina/index_en.htm</vt:lpwstr>
      </vt:variant>
      <vt:variant>
        <vt:lpwstr/>
      </vt:variant>
      <vt:variant>
        <vt:i4>458848</vt:i4>
      </vt:variant>
      <vt:variant>
        <vt:i4>633</vt:i4>
      </vt:variant>
      <vt:variant>
        <vt:i4>0</vt:i4>
      </vt:variant>
      <vt:variant>
        <vt:i4>5</vt:i4>
      </vt:variant>
      <vt:variant>
        <vt:lpwstr>http://ec.europa.eu/enlargement/potential-candidates/albania/index_en.htm</vt:lpwstr>
      </vt:variant>
      <vt:variant>
        <vt:lpwstr/>
      </vt:variant>
      <vt:variant>
        <vt:i4>4456507</vt:i4>
      </vt:variant>
      <vt:variant>
        <vt:i4>630</vt:i4>
      </vt:variant>
      <vt:variant>
        <vt:i4>0</vt:i4>
      </vt:variant>
      <vt:variant>
        <vt:i4>5</vt:i4>
      </vt:variant>
      <vt:variant>
        <vt:lpwstr>http://www.eeas.europa.eu/ukraine/index_en.htm</vt:lpwstr>
      </vt:variant>
      <vt:variant>
        <vt:lpwstr/>
      </vt:variant>
      <vt:variant>
        <vt:i4>6094911</vt:i4>
      </vt:variant>
      <vt:variant>
        <vt:i4>627</vt:i4>
      </vt:variant>
      <vt:variant>
        <vt:i4>0</vt:i4>
      </vt:variant>
      <vt:variant>
        <vt:i4>5</vt:i4>
      </vt:variant>
      <vt:variant>
        <vt:lpwstr>http://www.eeas.europa.eu/moldova/index_en.htm</vt:lpwstr>
      </vt:variant>
      <vt:variant>
        <vt:lpwstr/>
      </vt:variant>
      <vt:variant>
        <vt:i4>6160446</vt:i4>
      </vt:variant>
      <vt:variant>
        <vt:i4>624</vt:i4>
      </vt:variant>
      <vt:variant>
        <vt:i4>0</vt:i4>
      </vt:variant>
      <vt:variant>
        <vt:i4>5</vt:i4>
      </vt:variant>
      <vt:variant>
        <vt:lpwstr>http://www.eeas.europa.eu/georgia/index_en.htm</vt:lpwstr>
      </vt:variant>
      <vt:variant>
        <vt:lpwstr/>
      </vt:variant>
      <vt:variant>
        <vt:i4>5308479</vt:i4>
      </vt:variant>
      <vt:variant>
        <vt:i4>621</vt:i4>
      </vt:variant>
      <vt:variant>
        <vt:i4>0</vt:i4>
      </vt:variant>
      <vt:variant>
        <vt:i4>5</vt:i4>
      </vt:variant>
      <vt:variant>
        <vt:lpwstr>http://www.eeas.europa.eu/belarus/index_en.htm</vt:lpwstr>
      </vt:variant>
      <vt:variant>
        <vt:lpwstr/>
      </vt:variant>
      <vt:variant>
        <vt:i4>1507433</vt:i4>
      </vt:variant>
      <vt:variant>
        <vt:i4>618</vt:i4>
      </vt:variant>
      <vt:variant>
        <vt:i4>0</vt:i4>
      </vt:variant>
      <vt:variant>
        <vt:i4>5</vt:i4>
      </vt:variant>
      <vt:variant>
        <vt:lpwstr>http://www.eeas.europa.eu/azerbaijan/index_en.htm</vt:lpwstr>
      </vt:variant>
      <vt:variant>
        <vt:lpwstr/>
      </vt:variant>
      <vt:variant>
        <vt:i4>6160435</vt:i4>
      </vt:variant>
      <vt:variant>
        <vt:i4>615</vt:i4>
      </vt:variant>
      <vt:variant>
        <vt:i4>0</vt:i4>
      </vt:variant>
      <vt:variant>
        <vt:i4>5</vt:i4>
      </vt:variant>
      <vt:variant>
        <vt:lpwstr>http://www.eeas.europa.eu/armenia/index_en.htm</vt:lpwstr>
      </vt:variant>
      <vt:variant>
        <vt:lpwstr/>
      </vt:variant>
      <vt:variant>
        <vt:i4>1572919</vt:i4>
      </vt:variant>
      <vt:variant>
        <vt:i4>608</vt:i4>
      </vt:variant>
      <vt:variant>
        <vt:i4>0</vt:i4>
      </vt:variant>
      <vt:variant>
        <vt:i4>5</vt:i4>
      </vt:variant>
      <vt:variant>
        <vt:lpwstr/>
      </vt:variant>
      <vt:variant>
        <vt:lpwstr>_Toc285600014</vt:lpwstr>
      </vt:variant>
      <vt:variant>
        <vt:i4>1572919</vt:i4>
      </vt:variant>
      <vt:variant>
        <vt:i4>602</vt:i4>
      </vt:variant>
      <vt:variant>
        <vt:i4>0</vt:i4>
      </vt:variant>
      <vt:variant>
        <vt:i4>5</vt:i4>
      </vt:variant>
      <vt:variant>
        <vt:lpwstr/>
      </vt:variant>
      <vt:variant>
        <vt:lpwstr>_Toc285600013</vt:lpwstr>
      </vt:variant>
      <vt:variant>
        <vt:i4>1572919</vt:i4>
      </vt:variant>
      <vt:variant>
        <vt:i4>596</vt:i4>
      </vt:variant>
      <vt:variant>
        <vt:i4>0</vt:i4>
      </vt:variant>
      <vt:variant>
        <vt:i4>5</vt:i4>
      </vt:variant>
      <vt:variant>
        <vt:lpwstr/>
      </vt:variant>
      <vt:variant>
        <vt:lpwstr>_Toc285600012</vt:lpwstr>
      </vt:variant>
      <vt:variant>
        <vt:i4>1572919</vt:i4>
      </vt:variant>
      <vt:variant>
        <vt:i4>590</vt:i4>
      </vt:variant>
      <vt:variant>
        <vt:i4>0</vt:i4>
      </vt:variant>
      <vt:variant>
        <vt:i4>5</vt:i4>
      </vt:variant>
      <vt:variant>
        <vt:lpwstr/>
      </vt:variant>
      <vt:variant>
        <vt:lpwstr>_Toc285600011</vt:lpwstr>
      </vt:variant>
      <vt:variant>
        <vt:i4>1572919</vt:i4>
      </vt:variant>
      <vt:variant>
        <vt:i4>584</vt:i4>
      </vt:variant>
      <vt:variant>
        <vt:i4>0</vt:i4>
      </vt:variant>
      <vt:variant>
        <vt:i4>5</vt:i4>
      </vt:variant>
      <vt:variant>
        <vt:lpwstr/>
      </vt:variant>
      <vt:variant>
        <vt:lpwstr>_Toc285600010</vt:lpwstr>
      </vt:variant>
      <vt:variant>
        <vt:i4>1638455</vt:i4>
      </vt:variant>
      <vt:variant>
        <vt:i4>578</vt:i4>
      </vt:variant>
      <vt:variant>
        <vt:i4>0</vt:i4>
      </vt:variant>
      <vt:variant>
        <vt:i4>5</vt:i4>
      </vt:variant>
      <vt:variant>
        <vt:lpwstr/>
      </vt:variant>
      <vt:variant>
        <vt:lpwstr>_Toc285600009</vt:lpwstr>
      </vt:variant>
      <vt:variant>
        <vt:i4>1638455</vt:i4>
      </vt:variant>
      <vt:variant>
        <vt:i4>572</vt:i4>
      </vt:variant>
      <vt:variant>
        <vt:i4>0</vt:i4>
      </vt:variant>
      <vt:variant>
        <vt:i4>5</vt:i4>
      </vt:variant>
      <vt:variant>
        <vt:lpwstr/>
      </vt:variant>
      <vt:variant>
        <vt:lpwstr>_Toc285600008</vt:lpwstr>
      </vt:variant>
      <vt:variant>
        <vt:i4>1638455</vt:i4>
      </vt:variant>
      <vt:variant>
        <vt:i4>566</vt:i4>
      </vt:variant>
      <vt:variant>
        <vt:i4>0</vt:i4>
      </vt:variant>
      <vt:variant>
        <vt:i4>5</vt:i4>
      </vt:variant>
      <vt:variant>
        <vt:lpwstr/>
      </vt:variant>
      <vt:variant>
        <vt:lpwstr>_Toc285600007</vt:lpwstr>
      </vt:variant>
      <vt:variant>
        <vt:i4>1638455</vt:i4>
      </vt:variant>
      <vt:variant>
        <vt:i4>560</vt:i4>
      </vt:variant>
      <vt:variant>
        <vt:i4>0</vt:i4>
      </vt:variant>
      <vt:variant>
        <vt:i4>5</vt:i4>
      </vt:variant>
      <vt:variant>
        <vt:lpwstr/>
      </vt:variant>
      <vt:variant>
        <vt:lpwstr>_Toc285600006</vt:lpwstr>
      </vt:variant>
      <vt:variant>
        <vt:i4>1638455</vt:i4>
      </vt:variant>
      <vt:variant>
        <vt:i4>554</vt:i4>
      </vt:variant>
      <vt:variant>
        <vt:i4>0</vt:i4>
      </vt:variant>
      <vt:variant>
        <vt:i4>5</vt:i4>
      </vt:variant>
      <vt:variant>
        <vt:lpwstr/>
      </vt:variant>
      <vt:variant>
        <vt:lpwstr>_Toc285600005</vt:lpwstr>
      </vt:variant>
      <vt:variant>
        <vt:i4>1638455</vt:i4>
      </vt:variant>
      <vt:variant>
        <vt:i4>548</vt:i4>
      </vt:variant>
      <vt:variant>
        <vt:i4>0</vt:i4>
      </vt:variant>
      <vt:variant>
        <vt:i4>5</vt:i4>
      </vt:variant>
      <vt:variant>
        <vt:lpwstr/>
      </vt:variant>
      <vt:variant>
        <vt:lpwstr>_Toc285600004</vt:lpwstr>
      </vt:variant>
      <vt:variant>
        <vt:i4>1638455</vt:i4>
      </vt:variant>
      <vt:variant>
        <vt:i4>542</vt:i4>
      </vt:variant>
      <vt:variant>
        <vt:i4>0</vt:i4>
      </vt:variant>
      <vt:variant>
        <vt:i4>5</vt:i4>
      </vt:variant>
      <vt:variant>
        <vt:lpwstr/>
      </vt:variant>
      <vt:variant>
        <vt:lpwstr>_Toc285600003</vt:lpwstr>
      </vt:variant>
      <vt:variant>
        <vt:i4>1638455</vt:i4>
      </vt:variant>
      <vt:variant>
        <vt:i4>536</vt:i4>
      </vt:variant>
      <vt:variant>
        <vt:i4>0</vt:i4>
      </vt:variant>
      <vt:variant>
        <vt:i4>5</vt:i4>
      </vt:variant>
      <vt:variant>
        <vt:lpwstr/>
      </vt:variant>
      <vt:variant>
        <vt:lpwstr>_Toc285600002</vt:lpwstr>
      </vt:variant>
      <vt:variant>
        <vt:i4>1638455</vt:i4>
      </vt:variant>
      <vt:variant>
        <vt:i4>530</vt:i4>
      </vt:variant>
      <vt:variant>
        <vt:i4>0</vt:i4>
      </vt:variant>
      <vt:variant>
        <vt:i4>5</vt:i4>
      </vt:variant>
      <vt:variant>
        <vt:lpwstr/>
      </vt:variant>
      <vt:variant>
        <vt:lpwstr>_Toc285600001</vt:lpwstr>
      </vt:variant>
      <vt:variant>
        <vt:i4>1638455</vt:i4>
      </vt:variant>
      <vt:variant>
        <vt:i4>524</vt:i4>
      </vt:variant>
      <vt:variant>
        <vt:i4>0</vt:i4>
      </vt:variant>
      <vt:variant>
        <vt:i4>5</vt:i4>
      </vt:variant>
      <vt:variant>
        <vt:lpwstr/>
      </vt:variant>
      <vt:variant>
        <vt:lpwstr>_Toc285600000</vt:lpwstr>
      </vt:variant>
      <vt:variant>
        <vt:i4>1703991</vt:i4>
      </vt:variant>
      <vt:variant>
        <vt:i4>518</vt:i4>
      </vt:variant>
      <vt:variant>
        <vt:i4>0</vt:i4>
      </vt:variant>
      <vt:variant>
        <vt:i4>5</vt:i4>
      </vt:variant>
      <vt:variant>
        <vt:lpwstr/>
      </vt:variant>
      <vt:variant>
        <vt:lpwstr>_Toc285599999</vt:lpwstr>
      </vt:variant>
      <vt:variant>
        <vt:i4>1703991</vt:i4>
      </vt:variant>
      <vt:variant>
        <vt:i4>512</vt:i4>
      </vt:variant>
      <vt:variant>
        <vt:i4>0</vt:i4>
      </vt:variant>
      <vt:variant>
        <vt:i4>5</vt:i4>
      </vt:variant>
      <vt:variant>
        <vt:lpwstr/>
      </vt:variant>
      <vt:variant>
        <vt:lpwstr>_Toc285599998</vt:lpwstr>
      </vt:variant>
      <vt:variant>
        <vt:i4>1703991</vt:i4>
      </vt:variant>
      <vt:variant>
        <vt:i4>506</vt:i4>
      </vt:variant>
      <vt:variant>
        <vt:i4>0</vt:i4>
      </vt:variant>
      <vt:variant>
        <vt:i4>5</vt:i4>
      </vt:variant>
      <vt:variant>
        <vt:lpwstr/>
      </vt:variant>
      <vt:variant>
        <vt:lpwstr>_Toc285599997</vt:lpwstr>
      </vt:variant>
      <vt:variant>
        <vt:i4>1703991</vt:i4>
      </vt:variant>
      <vt:variant>
        <vt:i4>500</vt:i4>
      </vt:variant>
      <vt:variant>
        <vt:i4>0</vt:i4>
      </vt:variant>
      <vt:variant>
        <vt:i4>5</vt:i4>
      </vt:variant>
      <vt:variant>
        <vt:lpwstr/>
      </vt:variant>
      <vt:variant>
        <vt:lpwstr>_Toc285599996</vt:lpwstr>
      </vt:variant>
      <vt:variant>
        <vt:i4>1703991</vt:i4>
      </vt:variant>
      <vt:variant>
        <vt:i4>494</vt:i4>
      </vt:variant>
      <vt:variant>
        <vt:i4>0</vt:i4>
      </vt:variant>
      <vt:variant>
        <vt:i4>5</vt:i4>
      </vt:variant>
      <vt:variant>
        <vt:lpwstr/>
      </vt:variant>
      <vt:variant>
        <vt:lpwstr>_Toc285599995</vt:lpwstr>
      </vt:variant>
      <vt:variant>
        <vt:i4>1703991</vt:i4>
      </vt:variant>
      <vt:variant>
        <vt:i4>488</vt:i4>
      </vt:variant>
      <vt:variant>
        <vt:i4>0</vt:i4>
      </vt:variant>
      <vt:variant>
        <vt:i4>5</vt:i4>
      </vt:variant>
      <vt:variant>
        <vt:lpwstr/>
      </vt:variant>
      <vt:variant>
        <vt:lpwstr>_Toc285599994</vt:lpwstr>
      </vt:variant>
      <vt:variant>
        <vt:i4>1703991</vt:i4>
      </vt:variant>
      <vt:variant>
        <vt:i4>482</vt:i4>
      </vt:variant>
      <vt:variant>
        <vt:i4>0</vt:i4>
      </vt:variant>
      <vt:variant>
        <vt:i4>5</vt:i4>
      </vt:variant>
      <vt:variant>
        <vt:lpwstr/>
      </vt:variant>
      <vt:variant>
        <vt:lpwstr>_Toc285599993</vt:lpwstr>
      </vt:variant>
      <vt:variant>
        <vt:i4>1703991</vt:i4>
      </vt:variant>
      <vt:variant>
        <vt:i4>476</vt:i4>
      </vt:variant>
      <vt:variant>
        <vt:i4>0</vt:i4>
      </vt:variant>
      <vt:variant>
        <vt:i4>5</vt:i4>
      </vt:variant>
      <vt:variant>
        <vt:lpwstr/>
      </vt:variant>
      <vt:variant>
        <vt:lpwstr>_Toc285599992</vt:lpwstr>
      </vt:variant>
      <vt:variant>
        <vt:i4>1703991</vt:i4>
      </vt:variant>
      <vt:variant>
        <vt:i4>470</vt:i4>
      </vt:variant>
      <vt:variant>
        <vt:i4>0</vt:i4>
      </vt:variant>
      <vt:variant>
        <vt:i4>5</vt:i4>
      </vt:variant>
      <vt:variant>
        <vt:lpwstr/>
      </vt:variant>
      <vt:variant>
        <vt:lpwstr>_Toc285599991</vt:lpwstr>
      </vt:variant>
      <vt:variant>
        <vt:i4>1703991</vt:i4>
      </vt:variant>
      <vt:variant>
        <vt:i4>464</vt:i4>
      </vt:variant>
      <vt:variant>
        <vt:i4>0</vt:i4>
      </vt:variant>
      <vt:variant>
        <vt:i4>5</vt:i4>
      </vt:variant>
      <vt:variant>
        <vt:lpwstr/>
      </vt:variant>
      <vt:variant>
        <vt:lpwstr>_Toc285599990</vt:lpwstr>
      </vt:variant>
      <vt:variant>
        <vt:i4>1769527</vt:i4>
      </vt:variant>
      <vt:variant>
        <vt:i4>458</vt:i4>
      </vt:variant>
      <vt:variant>
        <vt:i4>0</vt:i4>
      </vt:variant>
      <vt:variant>
        <vt:i4>5</vt:i4>
      </vt:variant>
      <vt:variant>
        <vt:lpwstr/>
      </vt:variant>
      <vt:variant>
        <vt:lpwstr>_Toc285599989</vt:lpwstr>
      </vt:variant>
      <vt:variant>
        <vt:i4>1769527</vt:i4>
      </vt:variant>
      <vt:variant>
        <vt:i4>452</vt:i4>
      </vt:variant>
      <vt:variant>
        <vt:i4>0</vt:i4>
      </vt:variant>
      <vt:variant>
        <vt:i4>5</vt:i4>
      </vt:variant>
      <vt:variant>
        <vt:lpwstr/>
      </vt:variant>
      <vt:variant>
        <vt:lpwstr>_Toc285599988</vt:lpwstr>
      </vt:variant>
      <vt:variant>
        <vt:i4>1769527</vt:i4>
      </vt:variant>
      <vt:variant>
        <vt:i4>446</vt:i4>
      </vt:variant>
      <vt:variant>
        <vt:i4>0</vt:i4>
      </vt:variant>
      <vt:variant>
        <vt:i4>5</vt:i4>
      </vt:variant>
      <vt:variant>
        <vt:lpwstr/>
      </vt:variant>
      <vt:variant>
        <vt:lpwstr>_Toc285599987</vt:lpwstr>
      </vt:variant>
      <vt:variant>
        <vt:i4>1769527</vt:i4>
      </vt:variant>
      <vt:variant>
        <vt:i4>440</vt:i4>
      </vt:variant>
      <vt:variant>
        <vt:i4>0</vt:i4>
      </vt:variant>
      <vt:variant>
        <vt:i4>5</vt:i4>
      </vt:variant>
      <vt:variant>
        <vt:lpwstr/>
      </vt:variant>
      <vt:variant>
        <vt:lpwstr>_Toc285599986</vt:lpwstr>
      </vt:variant>
      <vt:variant>
        <vt:i4>1769527</vt:i4>
      </vt:variant>
      <vt:variant>
        <vt:i4>434</vt:i4>
      </vt:variant>
      <vt:variant>
        <vt:i4>0</vt:i4>
      </vt:variant>
      <vt:variant>
        <vt:i4>5</vt:i4>
      </vt:variant>
      <vt:variant>
        <vt:lpwstr/>
      </vt:variant>
      <vt:variant>
        <vt:lpwstr>_Toc285599985</vt:lpwstr>
      </vt:variant>
      <vt:variant>
        <vt:i4>1769527</vt:i4>
      </vt:variant>
      <vt:variant>
        <vt:i4>428</vt:i4>
      </vt:variant>
      <vt:variant>
        <vt:i4>0</vt:i4>
      </vt:variant>
      <vt:variant>
        <vt:i4>5</vt:i4>
      </vt:variant>
      <vt:variant>
        <vt:lpwstr/>
      </vt:variant>
      <vt:variant>
        <vt:lpwstr>_Toc285599984</vt:lpwstr>
      </vt:variant>
      <vt:variant>
        <vt:i4>1769527</vt:i4>
      </vt:variant>
      <vt:variant>
        <vt:i4>422</vt:i4>
      </vt:variant>
      <vt:variant>
        <vt:i4>0</vt:i4>
      </vt:variant>
      <vt:variant>
        <vt:i4>5</vt:i4>
      </vt:variant>
      <vt:variant>
        <vt:lpwstr/>
      </vt:variant>
      <vt:variant>
        <vt:lpwstr>_Toc285599983</vt:lpwstr>
      </vt:variant>
      <vt:variant>
        <vt:i4>1769527</vt:i4>
      </vt:variant>
      <vt:variant>
        <vt:i4>416</vt:i4>
      </vt:variant>
      <vt:variant>
        <vt:i4>0</vt:i4>
      </vt:variant>
      <vt:variant>
        <vt:i4>5</vt:i4>
      </vt:variant>
      <vt:variant>
        <vt:lpwstr/>
      </vt:variant>
      <vt:variant>
        <vt:lpwstr>_Toc285599982</vt:lpwstr>
      </vt:variant>
      <vt:variant>
        <vt:i4>1769527</vt:i4>
      </vt:variant>
      <vt:variant>
        <vt:i4>410</vt:i4>
      </vt:variant>
      <vt:variant>
        <vt:i4>0</vt:i4>
      </vt:variant>
      <vt:variant>
        <vt:i4>5</vt:i4>
      </vt:variant>
      <vt:variant>
        <vt:lpwstr/>
      </vt:variant>
      <vt:variant>
        <vt:lpwstr>_Toc285599981</vt:lpwstr>
      </vt:variant>
      <vt:variant>
        <vt:i4>1769527</vt:i4>
      </vt:variant>
      <vt:variant>
        <vt:i4>404</vt:i4>
      </vt:variant>
      <vt:variant>
        <vt:i4>0</vt:i4>
      </vt:variant>
      <vt:variant>
        <vt:i4>5</vt:i4>
      </vt:variant>
      <vt:variant>
        <vt:lpwstr/>
      </vt:variant>
      <vt:variant>
        <vt:lpwstr>_Toc285599980</vt:lpwstr>
      </vt:variant>
      <vt:variant>
        <vt:i4>1310775</vt:i4>
      </vt:variant>
      <vt:variant>
        <vt:i4>398</vt:i4>
      </vt:variant>
      <vt:variant>
        <vt:i4>0</vt:i4>
      </vt:variant>
      <vt:variant>
        <vt:i4>5</vt:i4>
      </vt:variant>
      <vt:variant>
        <vt:lpwstr/>
      </vt:variant>
      <vt:variant>
        <vt:lpwstr>_Toc285599979</vt:lpwstr>
      </vt:variant>
      <vt:variant>
        <vt:i4>1310775</vt:i4>
      </vt:variant>
      <vt:variant>
        <vt:i4>392</vt:i4>
      </vt:variant>
      <vt:variant>
        <vt:i4>0</vt:i4>
      </vt:variant>
      <vt:variant>
        <vt:i4>5</vt:i4>
      </vt:variant>
      <vt:variant>
        <vt:lpwstr/>
      </vt:variant>
      <vt:variant>
        <vt:lpwstr>_Toc285599978</vt:lpwstr>
      </vt:variant>
      <vt:variant>
        <vt:i4>1310775</vt:i4>
      </vt:variant>
      <vt:variant>
        <vt:i4>386</vt:i4>
      </vt:variant>
      <vt:variant>
        <vt:i4>0</vt:i4>
      </vt:variant>
      <vt:variant>
        <vt:i4>5</vt:i4>
      </vt:variant>
      <vt:variant>
        <vt:lpwstr/>
      </vt:variant>
      <vt:variant>
        <vt:lpwstr>_Toc285599977</vt:lpwstr>
      </vt:variant>
      <vt:variant>
        <vt:i4>1310775</vt:i4>
      </vt:variant>
      <vt:variant>
        <vt:i4>380</vt:i4>
      </vt:variant>
      <vt:variant>
        <vt:i4>0</vt:i4>
      </vt:variant>
      <vt:variant>
        <vt:i4>5</vt:i4>
      </vt:variant>
      <vt:variant>
        <vt:lpwstr/>
      </vt:variant>
      <vt:variant>
        <vt:lpwstr>_Toc285599976</vt:lpwstr>
      </vt:variant>
      <vt:variant>
        <vt:i4>1310775</vt:i4>
      </vt:variant>
      <vt:variant>
        <vt:i4>374</vt:i4>
      </vt:variant>
      <vt:variant>
        <vt:i4>0</vt:i4>
      </vt:variant>
      <vt:variant>
        <vt:i4>5</vt:i4>
      </vt:variant>
      <vt:variant>
        <vt:lpwstr/>
      </vt:variant>
      <vt:variant>
        <vt:lpwstr>_Toc285599975</vt:lpwstr>
      </vt:variant>
      <vt:variant>
        <vt:i4>1310775</vt:i4>
      </vt:variant>
      <vt:variant>
        <vt:i4>368</vt:i4>
      </vt:variant>
      <vt:variant>
        <vt:i4>0</vt:i4>
      </vt:variant>
      <vt:variant>
        <vt:i4>5</vt:i4>
      </vt:variant>
      <vt:variant>
        <vt:lpwstr/>
      </vt:variant>
      <vt:variant>
        <vt:lpwstr>_Toc285599974</vt:lpwstr>
      </vt:variant>
      <vt:variant>
        <vt:i4>1310775</vt:i4>
      </vt:variant>
      <vt:variant>
        <vt:i4>362</vt:i4>
      </vt:variant>
      <vt:variant>
        <vt:i4>0</vt:i4>
      </vt:variant>
      <vt:variant>
        <vt:i4>5</vt:i4>
      </vt:variant>
      <vt:variant>
        <vt:lpwstr/>
      </vt:variant>
      <vt:variant>
        <vt:lpwstr>_Toc285599973</vt:lpwstr>
      </vt:variant>
      <vt:variant>
        <vt:i4>1310775</vt:i4>
      </vt:variant>
      <vt:variant>
        <vt:i4>356</vt:i4>
      </vt:variant>
      <vt:variant>
        <vt:i4>0</vt:i4>
      </vt:variant>
      <vt:variant>
        <vt:i4>5</vt:i4>
      </vt:variant>
      <vt:variant>
        <vt:lpwstr/>
      </vt:variant>
      <vt:variant>
        <vt:lpwstr>_Toc285599972</vt:lpwstr>
      </vt:variant>
      <vt:variant>
        <vt:i4>1310775</vt:i4>
      </vt:variant>
      <vt:variant>
        <vt:i4>350</vt:i4>
      </vt:variant>
      <vt:variant>
        <vt:i4>0</vt:i4>
      </vt:variant>
      <vt:variant>
        <vt:i4>5</vt:i4>
      </vt:variant>
      <vt:variant>
        <vt:lpwstr/>
      </vt:variant>
      <vt:variant>
        <vt:lpwstr>_Toc285599971</vt:lpwstr>
      </vt:variant>
      <vt:variant>
        <vt:i4>1310775</vt:i4>
      </vt:variant>
      <vt:variant>
        <vt:i4>344</vt:i4>
      </vt:variant>
      <vt:variant>
        <vt:i4>0</vt:i4>
      </vt:variant>
      <vt:variant>
        <vt:i4>5</vt:i4>
      </vt:variant>
      <vt:variant>
        <vt:lpwstr/>
      </vt:variant>
      <vt:variant>
        <vt:lpwstr>_Toc285599970</vt:lpwstr>
      </vt:variant>
      <vt:variant>
        <vt:i4>1376311</vt:i4>
      </vt:variant>
      <vt:variant>
        <vt:i4>338</vt:i4>
      </vt:variant>
      <vt:variant>
        <vt:i4>0</vt:i4>
      </vt:variant>
      <vt:variant>
        <vt:i4>5</vt:i4>
      </vt:variant>
      <vt:variant>
        <vt:lpwstr/>
      </vt:variant>
      <vt:variant>
        <vt:lpwstr>_Toc285599969</vt:lpwstr>
      </vt:variant>
      <vt:variant>
        <vt:i4>1376311</vt:i4>
      </vt:variant>
      <vt:variant>
        <vt:i4>332</vt:i4>
      </vt:variant>
      <vt:variant>
        <vt:i4>0</vt:i4>
      </vt:variant>
      <vt:variant>
        <vt:i4>5</vt:i4>
      </vt:variant>
      <vt:variant>
        <vt:lpwstr/>
      </vt:variant>
      <vt:variant>
        <vt:lpwstr>_Toc285599968</vt:lpwstr>
      </vt:variant>
      <vt:variant>
        <vt:i4>1376311</vt:i4>
      </vt:variant>
      <vt:variant>
        <vt:i4>326</vt:i4>
      </vt:variant>
      <vt:variant>
        <vt:i4>0</vt:i4>
      </vt:variant>
      <vt:variant>
        <vt:i4>5</vt:i4>
      </vt:variant>
      <vt:variant>
        <vt:lpwstr/>
      </vt:variant>
      <vt:variant>
        <vt:lpwstr>_Toc285599967</vt:lpwstr>
      </vt:variant>
      <vt:variant>
        <vt:i4>1376311</vt:i4>
      </vt:variant>
      <vt:variant>
        <vt:i4>320</vt:i4>
      </vt:variant>
      <vt:variant>
        <vt:i4>0</vt:i4>
      </vt:variant>
      <vt:variant>
        <vt:i4>5</vt:i4>
      </vt:variant>
      <vt:variant>
        <vt:lpwstr/>
      </vt:variant>
      <vt:variant>
        <vt:lpwstr>_Toc285599966</vt:lpwstr>
      </vt:variant>
      <vt:variant>
        <vt:i4>1376311</vt:i4>
      </vt:variant>
      <vt:variant>
        <vt:i4>314</vt:i4>
      </vt:variant>
      <vt:variant>
        <vt:i4>0</vt:i4>
      </vt:variant>
      <vt:variant>
        <vt:i4>5</vt:i4>
      </vt:variant>
      <vt:variant>
        <vt:lpwstr/>
      </vt:variant>
      <vt:variant>
        <vt:lpwstr>_Toc285599965</vt:lpwstr>
      </vt:variant>
      <vt:variant>
        <vt:i4>1376311</vt:i4>
      </vt:variant>
      <vt:variant>
        <vt:i4>308</vt:i4>
      </vt:variant>
      <vt:variant>
        <vt:i4>0</vt:i4>
      </vt:variant>
      <vt:variant>
        <vt:i4>5</vt:i4>
      </vt:variant>
      <vt:variant>
        <vt:lpwstr/>
      </vt:variant>
      <vt:variant>
        <vt:lpwstr>_Toc285599964</vt:lpwstr>
      </vt:variant>
      <vt:variant>
        <vt:i4>1376311</vt:i4>
      </vt:variant>
      <vt:variant>
        <vt:i4>302</vt:i4>
      </vt:variant>
      <vt:variant>
        <vt:i4>0</vt:i4>
      </vt:variant>
      <vt:variant>
        <vt:i4>5</vt:i4>
      </vt:variant>
      <vt:variant>
        <vt:lpwstr/>
      </vt:variant>
      <vt:variant>
        <vt:lpwstr>_Toc285599963</vt:lpwstr>
      </vt:variant>
      <vt:variant>
        <vt:i4>1376311</vt:i4>
      </vt:variant>
      <vt:variant>
        <vt:i4>296</vt:i4>
      </vt:variant>
      <vt:variant>
        <vt:i4>0</vt:i4>
      </vt:variant>
      <vt:variant>
        <vt:i4>5</vt:i4>
      </vt:variant>
      <vt:variant>
        <vt:lpwstr/>
      </vt:variant>
      <vt:variant>
        <vt:lpwstr>_Toc285599962</vt:lpwstr>
      </vt:variant>
      <vt:variant>
        <vt:i4>1376311</vt:i4>
      </vt:variant>
      <vt:variant>
        <vt:i4>290</vt:i4>
      </vt:variant>
      <vt:variant>
        <vt:i4>0</vt:i4>
      </vt:variant>
      <vt:variant>
        <vt:i4>5</vt:i4>
      </vt:variant>
      <vt:variant>
        <vt:lpwstr/>
      </vt:variant>
      <vt:variant>
        <vt:lpwstr>_Toc285599961</vt:lpwstr>
      </vt:variant>
      <vt:variant>
        <vt:i4>1376311</vt:i4>
      </vt:variant>
      <vt:variant>
        <vt:i4>284</vt:i4>
      </vt:variant>
      <vt:variant>
        <vt:i4>0</vt:i4>
      </vt:variant>
      <vt:variant>
        <vt:i4>5</vt:i4>
      </vt:variant>
      <vt:variant>
        <vt:lpwstr/>
      </vt:variant>
      <vt:variant>
        <vt:lpwstr>_Toc285599960</vt:lpwstr>
      </vt:variant>
      <vt:variant>
        <vt:i4>1441847</vt:i4>
      </vt:variant>
      <vt:variant>
        <vt:i4>278</vt:i4>
      </vt:variant>
      <vt:variant>
        <vt:i4>0</vt:i4>
      </vt:variant>
      <vt:variant>
        <vt:i4>5</vt:i4>
      </vt:variant>
      <vt:variant>
        <vt:lpwstr/>
      </vt:variant>
      <vt:variant>
        <vt:lpwstr>_Toc285599959</vt:lpwstr>
      </vt:variant>
      <vt:variant>
        <vt:i4>1441847</vt:i4>
      </vt:variant>
      <vt:variant>
        <vt:i4>272</vt:i4>
      </vt:variant>
      <vt:variant>
        <vt:i4>0</vt:i4>
      </vt:variant>
      <vt:variant>
        <vt:i4>5</vt:i4>
      </vt:variant>
      <vt:variant>
        <vt:lpwstr/>
      </vt:variant>
      <vt:variant>
        <vt:lpwstr>_Toc285599958</vt:lpwstr>
      </vt:variant>
      <vt:variant>
        <vt:i4>1441847</vt:i4>
      </vt:variant>
      <vt:variant>
        <vt:i4>266</vt:i4>
      </vt:variant>
      <vt:variant>
        <vt:i4>0</vt:i4>
      </vt:variant>
      <vt:variant>
        <vt:i4>5</vt:i4>
      </vt:variant>
      <vt:variant>
        <vt:lpwstr/>
      </vt:variant>
      <vt:variant>
        <vt:lpwstr>_Toc285599957</vt:lpwstr>
      </vt:variant>
      <vt:variant>
        <vt:i4>1441847</vt:i4>
      </vt:variant>
      <vt:variant>
        <vt:i4>260</vt:i4>
      </vt:variant>
      <vt:variant>
        <vt:i4>0</vt:i4>
      </vt:variant>
      <vt:variant>
        <vt:i4>5</vt:i4>
      </vt:variant>
      <vt:variant>
        <vt:lpwstr/>
      </vt:variant>
      <vt:variant>
        <vt:lpwstr>_Toc285599956</vt:lpwstr>
      </vt:variant>
      <vt:variant>
        <vt:i4>1441847</vt:i4>
      </vt:variant>
      <vt:variant>
        <vt:i4>254</vt:i4>
      </vt:variant>
      <vt:variant>
        <vt:i4>0</vt:i4>
      </vt:variant>
      <vt:variant>
        <vt:i4>5</vt:i4>
      </vt:variant>
      <vt:variant>
        <vt:lpwstr/>
      </vt:variant>
      <vt:variant>
        <vt:lpwstr>_Toc285599955</vt:lpwstr>
      </vt:variant>
      <vt:variant>
        <vt:i4>1441847</vt:i4>
      </vt:variant>
      <vt:variant>
        <vt:i4>248</vt:i4>
      </vt:variant>
      <vt:variant>
        <vt:i4>0</vt:i4>
      </vt:variant>
      <vt:variant>
        <vt:i4>5</vt:i4>
      </vt:variant>
      <vt:variant>
        <vt:lpwstr/>
      </vt:variant>
      <vt:variant>
        <vt:lpwstr>_Toc285599954</vt:lpwstr>
      </vt:variant>
      <vt:variant>
        <vt:i4>1441847</vt:i4>
      </vt:variant>
      <vt:variant>
        <vt:i4>242</vt:i4>
      </vt:variant>
      <vt:variant>
        <vt:i4>0</vt:i4>
      </vt:variant>
      <vt:variant>
        <vt:i4>5</vt:i4>
      </vt:variant>
      <vt:variant>
        <vt:lpwstr/>
      </vt:variant>
      <vt:variant>
        <vt:lpwstr>_Toc285599953</vt:lpwstr>
      </vt:variant>
      <vt:variant>
        <vt:i4>1441847</vt:i4>
      </vt:variant>
      <vt:variant>
        <vt:i4>236</vt:i4>
      </vt:variant>
      <vt:variant>
        <vt:i4>0</vt:i4>
      </vt:variant>
      <vt:variant>
        <vt:i4>5</vt:i4>
      </vt:variant>
      <vt:variant>
        <vt:lpwstr/>
      </vt:variant>
      <vt:variant>
        <vt:lpwstr>_Toc285599952</vt:lpwstr>
      </vt:variant>
      <vt:variant>
        <vt:i4>1441847</vt:i4>
      </vt:variant>
      <vt:variant>
        <vt:i4>230</vt:i4>
      </vt:variant>
      <vt:variant>
        <vt:i4>0</vt:i4>
      </vt:variant>
      <vt:variant>
        <vt:i4>5</vt:i4>
      </vt:variant>
      <vt:variant>
        <vt:lpwstr/>
      </vt:variant>
      <vt:variant>
        <vt:lpwstr>_Toc285599951</vt:lpwstr>
      </vt:variant>
      <vt:variant>
        <vt:i4>1441847</vt:i4>
      </vt:variant>
      <vt:variant>
        <vt:i4>224</vt:i4>
      </vt:variant>
      <vt:variant>
        <vt:i4>0</vt:i4>
      </vt:variant>
      <vt:variant>
        <vt:i4>5</vt:i4>
      </vt:variant>
      <vt:variant>
        <vt:lpwstr/>
      </vt:variant>
      <vt:variant>
        <vt:lpwstr>_Toc285599950</vt:lpwstr>
      </vt:variant>
      <vt:variant>
        <vt:i4>1507383</vt:i4>
      </vt:variant>
      <vt:variant>
        <vt:i4>218</vt:i4>
      </vt:variant>
      <vt:variant>
        <vt:i4>0</vt:i4>
      </vt:variant>
      <vt:variant>
        <vt:i4>5</vt:i4>
      </vt:variant>
      <vt:variant>
        <vt:lpwstr/>
      </vt:variant>
      <vt:variant>
        <vt:lpwstr>_Toc285599949</vt:lpwstr>
      </vt:variant>
      <vt:variant>
        <vt:i4>1507383</vt:i4>
      </vt:variant>
      <vt:variant>
        <vt:i4>212</vt:i4>
      </vt:variant>
      <vt:variant>
        <vt:i4>0</vt:i4>
      </vt:variant>
      <vt:variant>
        <vt:i4>5</vt:i4>
      </vt:variant>
      <vt:variant>
        <vt:lpwstr/>
      </vt:variant>
      <vt:variant>
        <vt:lpwstr>_Toc285599948</vt:lpwstr>
      </vt:variant>
      <vt:variant>
        <vt:i4>1507383</vt:i4>
      </vt:variant>
      <vt:variant>
        <vt:i4>206</vt:i4>
      </vt:variant>
      <vt:variant>
        <vt:i4>0</vt:i4>
      </vt:variant>
      <vt:variant>
        <vt:i4>5</vt:i4>
      </vt:variant>
      <vt:variant>
        <vt:lpwstr/>
      </vt:variant>
      <vt:variant>
        <vt:lpwstr>_Toc285599947</vt:lpwstr>
      </vt:variant>
      <vt:variant>
        <vt:i4>1507383</vt:i4>
      </vt:variant>
      <vt:variant>
        <vt:i4>200</vt:i4>
      </vt:variant>
      <vt:variant>
        <vt:i4>0</vt:i4>
      </vt:variant>
      <vt:variant>
        <vt:i4>5</vt:i4>
      </vt:variant>
      <vt:variant>
        <vt:lpwstr/>
      </vt:variant>
      <vt:variant>
        <vt:lpwstr>_Toc285599946</vt:lpwstr>
      </vt:variant>
      <vt:variant>
        <vt:i4>1507383</vt:i4>
      </vt:variant>
      <vt:variant>
        <vt:i4>194</vt:i4>
      </vt:variant>
      <vt:variant>
        <vt:i4>0</vt:i4>
      </vt:variant>
      <vt:variant>
        <vt:i4>5</vt:i4>
      </vt:variant>
      <vt:variant>
        <vt:lpwstr/>
      </vt:variant>
      <vt:variant>
        <vt:lpwstr>_Toc285599945</vt:lpwstr>
      </vt:variant>
      <vt:variant>
        <vt:i4>1507383</vt:i4>
      </vt:variant>
      <vt:variant>
        <vt:i4>188</vt:i4>
      </vt:variant>
      <vt:variant>
        <vt:i4>0</vt:i4>
      </vt:variant>
      <vt:variant>
        <vt:i4>5</vt:i4>
      </vt:variant>
      <vt:variant>
        <vt:lpwstr/>
      </vt:variant>
      <vt:variant>
        <vt:lpwstr>_Toc285599944</vt:lpwstr>
      </vt:variant>
      <vt:variant>
        <vt:i4>1507383</vt:i4>
      </vt:variant>
      <vt:variant>
        <vt:i4>182</vt:i4>
      </vt:variant>
      <vt:variant>
        <vt:i4>0</vt:i4>
      </vt:variant>
      <vt:variant>
        <vt:i4>5</vt:i4>
      </vt:variant>
      <vt:variant>
        <vt:lpwstr/>
      </vt:variant>
      <vt:variant>
        <vt:lpwstr>_Toc285599943</vt:lpwstr>
      </vt:variant>
      <vt:variant>
        <vt:i4>1507383</vt:i4>
      </vt:variant>
      <vt:variant>
        <vt:i4>176</vt:i4>
      </vt:variant>
      <vt:variant>
        <vt:i4>0</vt:i4>
      </vt:variant>
      <vt:variant>
        <vt:i4>5</vt:i4>
      </vt:variant>
      <vt:variant>
        <vt:lpwstr/>
      </vt:variant>
      <vt:variant>
        <vt:lpwstr>_Toc285599942</vt:lpwstr>
      </vt:variant>
      <vt:variant>
        <vt:i4>1507383</vt:i4>
      </vt:variant>
      <vt:variant>
        <vt:i4>170</vt:i4>
      </vt:variant>
      <vt:variant>
        <vt:i4>0</vt:i4>
      </vt:variant>
      <vt:variant>
        <vt:i4>5</vt:i4>
      </vt:variant>
      <vt:variant>
        <vt:lpwstr/>
      </vt:variant>
      <vt:variant>
        <vt:lpwstr>_Toc285599941</vt:lpwstr>
      </vt:variant>
      <vt:variant>
        <vt:i4>1507383</vt:i4>
      </vt:variant>
      <vt:variant>
        <vt:i4>164</vt:i4>
      </vt:variant>
      <vt:variant>
        <vt:i4>0</vt:i4>
      </vt:variant>
      <vt:variant>
        <vt:i4>5</vt:i4>
      </vt:variant>
      <vt:variant>
        <vt:lpwstr/>
      </vt:variant>
      <vt:variant>
        <vt:lpwstr>_Toc285599940</vt:lpwstr>
      </vt:variant>
      <vt:variant>
        <vt:i4>1048631</vt:i4>
      </vt:variant>
      <vt:variant>
        <vt:i4>158</vt:i4>
      </vt:variant>
      <vt:variant>
        <vt:i4>0</vt:i4>
      </vt:variant>
      <vt:variant>
        <vt:i4>5</vt:i4>
      </vt:variant>
      <vt:variant>
        <vt:lpwstr/>
      </vt:variant>
      <vt:variant>
        <vt:lpwstr>_Toc285599939</vt:lpwstr>
      </vt:variant>
      <vt:variant>
        <vt:i4>1048631</vt:i4>
      </vt:variant>
      <vt:variant>
        <vt:i4>152</vt:i4>
      </vt:variant>
      <vt:variant>
        <vt:i4>0</vt:i4>
      </vt:variant>
      <vt:variant>
        <vt:i4>5</vt:i4>
      </vt:variant>
      <vt:variant>
        <vt:lpwstr/>
      </vt:variant>
      <vt:variant>
        <vt:lpwstr>_Toc285599938</vt:lpwstr>
      </vt:variant>
      <vt:variant>
        <vt:i4>1048631</vt:i4>
      </vt:variant>
      <vt:variant>
        <vt:i4>146</vt:i4>
      </vt:variant>
      <vt:variant>
        <vt:i4>0</vt:i4>
      </vt:variant>
      <vt:variant>
        <vt:i4>5</vt:i4>
      </vt:variant>
      <vt:variant>
        <vt:lpwstr/>
      </vt:variant>
      <vt:variant>
        <vt:lpwstr>_Toc285599937</vt:lpwstr>
      </vt:variant>
      <vt:variant>
        <vt:i4>1048631</vt:i4>
      </vt:variant>
      <vt:variant>
        <vt:i4>140</vt:i4>
      </vt:variant>
      <vt:variant>
        <vt:i4>0</vt:i4>
      </vt:variant>
      <vt:variant>
        <vt:i4>5</vt:i4>
      </vt:variant>
      <vt:variant>
        <vt:lpwstr/>
      </vt:variant>
      <vt:variant>
        <vt:lpwstr>_Toc285599936</vt:lpwstr>
      </vt:variant>
      <vt:variant>
        <vt:i4>1048631</vt:i4>
      </vt:variant>
      <vt:variant>
        <vt:i4>134</vt:i4>
      </vt:variant>
      <vt:variant>
        <vt:i4>0</vt:i4>
      </vt:variant>
      <vt:variant>
        <vt:i4>5</vt:i4>
      </vt:variant>
      <vt:variant>
        <vt:lpwstr/>
      </vt:variant>
      <vt:variant>
        <vt:lpwstr>_Toc285599935</vt:lpwstr>
      </vt:variant>
      <vt:variant>
        <vt:i4>1048631</vt:i4>
      </vt:variant>
      <vt:variant>
        <vt:i4>128</vt:i4>
      </vt:variant>
      <vt:variant>
        <vt:i4>0</vt:i4>
      </vt:variant>
      <vt:variant>
        <vt:i4>5</vt:i4>
      </vt:variant>
      <vt:variant>
        <vt:lpwstr/>
      </vt:variant>
      <vt:variant>
        <vt:lpwstr>_Toc285599934</vt:lpwstr>
      </vt:variant>
      <vt:variant>
        <vt:i4>1048631</vt:i4>
      </vt:variant>
      <vt:variant>
        <vt:i4>122</vt:i4>
      </vt:variant>
      <vt:variant>
        <vt:i4>0</vt:i4>
      </vt:variant>
      <vt:variant>
        <vt:i4>5</vt:i4>
      </vt:variant>
      <vt:variant>
        <vt:lpwstr/>
      </vt:variant>
      <vt:variant>
        <vt:lpwstr>_Toc285599933</vt:lpwstr>
      </vt:variant>
      <vt:variant>
        <vt:i4>1048631</vt:i4>
      </vt:variant>
      <vt:variant>
        <vt:i4>116</vt:i4>
      </vt:variant>
      <vt:variant>
        <vt:i4>0</vt:i4>
      </vt:variant>
      <vt:variant>
        <vt:i4>5</vt:i4>
      </vt:variant>
      <vt:variant>
        <vt:lpwstr/>
      </vt:variant>
      <vt:variant>
        <vt:lpwstr>_Toc285599932</vt:lpwstr>
      </vt:variant>
      <vt:variant>
        <vt:i4>1048631</vt:i4>
      </vt:variant>
      <vt:variant>
        <vt:i4>110</vt:i4>
      </vt:variant>
      <vt:variant>
        <vt:i4>0</vt:i4>
      </vt:variant>
      <vt:variant>
        <vt:i4>5</vt:i4>
      </vt:variant>
      <vt:variant>
        <vt:lpwstr/>
      </vt:variant>
      <vt:variant>
        <vt:lpwstr>_Toc285599931</vt:lpwstr>
      </vt:variant>
      <vt:variant>
        <vt:i4>1048631</vt:i4>
      </vt:variant>
      <vt:variant>
        <vt:i4>104</vt:i4>
      </vt:variant>
      <vt:variant>
        <vt:i4>0</vt:i4>
      </vt:variant>
      <vt:variant>
        <vt:i4>5</vt:i4>
      </vt:variant>
      <vt:variant>
        <vt:lpwstr/>
      </vt:variant>
      <vt:variant>
        <vt:lpwstr>_Toc285599930</vt:lpwstr>
      </vt:variant>
      <vt:variant>
        <vt:i4>1114167</vt:i4>
      </vt:variant>
      <vt:variant>
        <vt:i4>98</vt:i4>
      </vt:variant>
      <vt:variant>
        <vt:i4>0</vt:i4>
      </vt:variant>
      <vt:variant>
        <vt:i4>5</vt:i4>
      </vt:variant>
      <vt:variant>
        <vt:lpwstr/>
      </vt:variant>
      <vt:variant>
        <vt:lpwstr>_Toc285599929</vt:lpwstr>
      </vt:variant>
      <vt:variant>
        <vt:i4>1114167</vt:i4>
      </vt:variant>
      <vt:variant>
        <vt:i4>92</vt:i4>
      </vt:variant>
      <vt:variant>
        <vt:i4>0</vt:i4>
      </vt:variant>
      <vt:variant>
        <vt:i4>5</vt:i4>
      </vt:variant>
      <vt:variant>
        <vt:lpwstr/>
      </vt:variant>
      <vt:variant>
        <vt:lpwstr>_Toc285599928</vt:lpwstr>
      </vt:variant>
      <vt:variant>
        <vt:i4>1114167</vt:i4>
      </vt:variant>
      <vt:variant>
        <vt:i4>86</vt:i4>
      </vt:variant>
      <vt:variant>
        <vt:i4>0</vt:i4>
      </vt:variant>
      <vt:variant>
        <vt:i4>5</vt:i4>
      </vt:variant>
      <vt:variant>
        <vt:lpwstr/>
      </vt:variant>
      <vt:variant>
        <vt:lpwstr>_Toc285599927</vt:lpwstr>
      </vt:variant>
      <vt:variant>
        <vt:i4>1114167</vt:i4>
      </vt:variant>
      <vt:variant>
        <vt:i4>80</vt:i4>
      </vt:variant>
      <vt:variant>
        <vt:i4>0</vt:i4>
      </vt:variant>
      <vt:variant>
        <vt:i4>5</vt:i4>
      </vt:variant>
      <vt:variant>
        <vt:lpwstr/>
      </vt:variant>
      <vt:variant>
        <vt:lpwstr>_Toc285599926</vt:lpwstr>
      </vt:variant>
      <vt:variant>
        <vt:i4>1114167</vt:i4>
      </vt:variant>
      <vt:variant>
        <vt:i4>74</vt:i4>
      </vt:variant>
      <vt:variant>
        <vt:i4>0</vt:i4>
      </vt:variant>
      <vt:variant>
        <vt:i4>5</vt:i4>
      </vt:variant>
      <vt:variant>
        <vt:lpwstr/>
      </vt:variant>
      <vt:variant>
        <vt:lpwstr>_Toc285599925</vt:lpwstr>
      </vt:variant>
      <vt:variant>
        <vt:i4>1114167</vt:i4>
      </vt:variant>
      <vt:variant>
        <vt:i4>68</vt:i4>
      </vt:variant>
      <vt:variant>
        <vt:i4>0</vt:i4>
      </vt:variant>
      <vt:variant>
        <vt:i4>5</vt:i4>
      </vt:variant>
      <vt:variant>
        <vt:lpwstr/>
      </vt:variant>
      <vt:variant>
        <vt:lpwstr>_Toc285599924</vt:lpwstr>
      </vt:variant>
      <vt:variant>
        <vt:i4>1114167</vt:i4>
      </vt:variant>
      <vt:variant>
        <vt:i4>62</vt:i4>
      </vt:variant>
      <vt:variant>
        <vt:i4>0</vt:i4>
      </vt:variant>
      <vt:variant>
        <vt:i4>5</vt:i4>
      </vt:variant>
      <vt:variant>
        <vt:lpwstr/>
      </vt:variant>
      <vt:variant>
        <vt:lpwstr>_Toc285599923</vt:lpwstr>
      </vt:variant>
      <vt:variant>
        <vt:i4>1114167</vt:i4>
      </vt:variant>
      <vt:variant>
        <vt:i4>56</vt:i4>
      </vt:variant>
      <vt:variant>
        <vt:i4>0</vt:i4>
      </vt:variant>
      <vt:variant>
        <vt:i4>5</vt:i4>
      </vt:variant>
      <vt:variant>
        <vt:lpwstr/>
      </vt:variant>
      <vt:variant>
        <vt:lpwstr>_Toc285599922</vt:lpwstr>
      </vt:variant>
      <vt:variant>
        <vt:i4>1114167</vt:i4>
      </vt:variant>
      <vt:variant>
        <vt:i4>50</vt:i4>
      </vt:variant>
      <vt:variant>
        <vt:i4>0</vt:i4>
      </vt:variant>
      <vt:variant>
        <vt:i4>5</vt:i4>
      </vt:variant>
      <vt:variant>
        <vt:lpwstr/>
      </vt:variant>
      <vt:variant>
        <vt:lpwstr>_Toc285599921</vt:lpwstr>
      </vt:variant>
      <vt:variant>
        <vt:i4>1114167</vt:i4>
      </vt:variant>
      <vt:variant>
        <vt:i4>44</vt:i4>
      </vt:variant>
      <vt:variant>
        <vt:i4>0</vt:i4>
      </vt:variant>
      <vt:variant>
        <vt:i4>5</vt:i4>
      </vt:variant>
      <vt:variant>
        <vt:lpwstr/>
      </vt:variant>
      <vt:variant>
        <vt:lpwstr>_Toc285599920</vt:lpwstr>
      </vt:variant>
      <vt:variant>
        <vt:i4>1179703</vt:i4>
      </vt:variant>
      <vt:variant>
        <vt:i4>38</vt:i4>
      </vt:variant>
      <vt:variant>
        <vt:i4>0</vt:i4>
      </vt:variant>
      <vt:variant>
        <vt:i4>5</vt:i4>
      </vt:variant>
      <vt:variant>
        <vt:lpwstr/>
      </vt:variant>
      <vt:variant>
        <vt:lpwstr>_Toc285599919</vt:lpwstr>
      </vt:variant>
      <vt:variant>
        <vt:i4>1179703</vt:i4>
      </vt:variant>
      <vt:variant>
        <vt:i4>32</vt:i4>
      </vt:variant>
      <vt:variant>
        <vt:i4>0</vt:i4>
      </vt:variant>
      <vt:variant>
        <vt:i4>5</vt:i4>
      </vt:variant>
      <vt:variant>
        <vt:lpwstr/>
      </vt:variant>
      <vt:variant>
        <vt:lpwstr>_Toc285599918</vt:lpwstr>
      </vt:variant>
      <vt:variant>
        <vt:i4>1179703</vt:i4>
      </vt:variant>
      <vt:variant>
        <vt:i4>26</vt:i4>
      </vt:variant>
      <vt:variant>
        <vt:i4>0</vt:i4>
      </vt:variant>
      <vt:variant>
        <vt:i4>5</vt:i4>
      </vt:variant>
      <vt:variant>
        <vt:lpwstr/>
      </vt:variant>
      <vt:variant>
        <vt:lpwstr>_Toc285599917</vt:lpwstr>
      </vt:variant>
      <vt:variant>
        <vt:i4>1179703</vt:i4>
      </vt:variant>
      <vt:variant>
        <vt:i4>20</vt:i4>
      </vt:variant>
      <vt:variant>
        <vt:i4>0</vt:i4>
      </vt:variant>
      <vt:variant>
        <vt:i4>5</vt:i4>
      </vt:variant>
      <vt:variant>
        <vt:lpwstr/>
      </vt:variant>
      <vt:variant>
        <vt:lpwstr>_Toc285599916</vt:lpwstr>
      </vt:variant>
      <vt:variant>
        <vt:i4>1179703</vt:i4>
      </vt:variant>
      <vt:variant>
        <vt:i4>14</vt:i4>
      </vt:variant>
      <vt:variant>
        <vt:i4>0</vt:i4>
      </vt:variant>
      <vt:variant>
        <vt:i4>5</vt:i4>
      </vt:variant>
      <vt:variant>
        <vt:lpwstr/>
      </vt:variant>
      <vt:variant>
        <vt:lpwstr>_Toc285599915</vt:lpwstr>
      </vt:variant>
      <vt:variant>
        <vt:i4>1179703</vt:i4>
      </vt:variant>
      <vt:variant>
        <vt:i4>8</vt:i4>
      </vt:variant>
      <vt:variant>
        <vt:i4>0</vt:i4>
      </vt:variant>
      <vt:variant>
        <vt:i4>5</vt:i4>
      </vt:variant>
      <vt:variant>
        <vt:lpwstr/>
      </vt:variant>
      <vt:variant>
        <vt:lpwstr>_Toc285599914</vt:lpwstr>
      </vt:variant>
      <vt:variant>
        <vt:i4>1179703</vt:i4>
      </vt:variant>
      <vt:variant>
        <vt:i4>2</vt:i4>
      </vt:variant>
      <vt:variant>
        <vt:i4>0</vt:i4>
      </vt:variant>
      <vt:variant>
        <vt:i4>5</vt:i4>
      </vt:variant>
      <vt:variant>
        <vt:lpwstr/>
      </vt:variant>
      <vt:variant>
        <vt:lpwstr>_Toc285599913</vt:lpwstr>
      </vt:variant>
      <vt:variant>
        <vt:i4>2490428</vt:i4>
      </vt:variant>
      <vt:variant>
        <vt:i4>159</vt:i4>
      </vt:variant>
      <vt:variant>
        <vt:i4>0</vt:i4>
      </vt:variant>
      <vt:variant>
        <vt:i4>5</vt:i4>
      </vt:variant>
      <vt:variant>
        <vt:lpwstr>http://www.naftogaz.com/www/2/nakweben.nsf/</vt:lpwstr>
      </vt:variant>
      <vt:variant>
        <vt:lpwstr/>
      </vt:variant>
      <vt:variant>
        <vt:i4>1179736</vt:i4>
      </vt:variant>
      <vt:variant>
        <vt:i4>156</vt:i4>
      </vt:variant>
      <vt:variant>
        <vt:i4>0</vt:i4>
      </vt:variant>
      <vt:variant>
        <vt:i4>5</vt:i4>
      </vt:variant>
      <vt:variant>
        <vt:lpwstr>http://www.aes.com/aes/index?page=country&amp;cat=UA</vt:lpwstr>
      </vt:variant>
      <vt:variant>
        <vt:lpwstr/>
      </vt:variant>
      <vt:variant>
        <vt:i4>84</vt:i4>
      </vt:variant>
      <vt:variant>
        <vt:i4>153</vt:i4>
      </vt:variant>
      <vt:variant>
        <vt:i4>0</vt:i4>
      </vt:variant>
      <vt:variant>
        <vt:i4>5</vt:i4>
      </vt:variant>
      <vt:variant>
        <vt:lpwstr>http://kyivenergo.ua/en/about-company</vt:lpwstr>
      </vt:variant>
      <vt:variant>
        <vt:lpwstr/>
      </vt:variant>
      <vt:variant>
        <vt:i4>5111819</vt:i4>
      </vt:variant>
      <vt:variant>
        <vt:i4>150</vt:i4>
      </vt:variant>
      <vt:variant>
        <vt:i4>0</vt:i4>
      </vt:variant>
      <vt:variant>
        <vt:i4>5</vt:i4>
      </vt:variant>
      <vt:variant>
        <vt:lpwstr>http://www.ecu.gov.ua/en/company/structure/kyiv.html</vt:lpwstr>
      </vt:variant>
      <vt:variant>
        <vt:lpwstr/>
      </vt:variant>
      <vt:variant>
        <vt:i4>2228324</vt:i4>
      </vt:variant>
      <vt:variant>
        <vt:i4>147</vt:i4>
      </vt:variant>
      <vt:variant>
        <vt:i4>0</vt:i4>
      </vt:variant>
      <vt:variant>
        <vt:i4>5</vt:i4>
      </vt:variant>
      <vt:variant>
        <vt:lpwstr>http://www.ecu.gov.ua/en/company/structure/ukrhydro.html?id=366</vt:lpwstr>
      </vt:variant>
      <vt:variant>
        <vt:lpwstr/>
      </vt:variant>
      <vt:variant>
        <vt:i4>2621546</vt:i4>
      </vt:variant>
      <vt:variant>
        <vt:i4>144</vt:i4>
      </vt:variant>
      <vt:variant>
        <vt:i4>0</vt:i4>
      </vt:variant>
      <vt:variant>
        <vt:i4>5</vt:i4>
      </vt:variant>
      <vt:variant>
        <vt:lpwstr>http://www.ecu.gov.ua/en/company/structure/dn.html</vt:lpwstr>
      </vt:variant>
      <vt:variant>
        <vt:lpwstr/>
      </vt:variant>
      <vt:variant>
        <vt:i4>5308493</vt:i4>
      </vt:variant>
      <vt:variant>
        <vt:i4>141</vt:i4>
      </vt:variant>
      <vt:variant>
        <vt:i4>0</vt:i4>
      </vt:variant>
      <vt:variant>
        <vt:i4>5</vt:i4>
      </vt:variant>
      <vt:variant>
        <vt:lpwstr>http://dniproenergo.ua/index.php?lang=russian</vt:lpwstr>
      </vt:variant>
      <vt:variant>
        <vt:lpwstr/>
      </vt:variant>
      <vt:variant>
        <vt:i4>74</vt:i4>
      </vt:variant>
      <vt:variant>
        <vt:i4>138</vt:i4>
      </vt:variant>
      <vt:variant>
        <vt:i4>0</vt:i4>
      </vt:variant>
      <vt:variant>
        <vt:i4>5</vt:i4>
      </vt:variant>
      <vt:variant>
        <vt:lpwstr>http://www.ecu.gov.ua/en/company/structure/centr.html</vt:lpwstr>
      </vt:variant>
      <vt:variant>
        <vt:lpwstr/>
      </vt:variant>
      <vt:variant>
        <vt:i4>2162805</vt:i4>
      </vt:variant>
      <vt:variant>
        <vt:i4>135</vt:i4>
      </vt:variant>
      <vt:variant>
        <vt:i4>0</vt:i4>
      </vt:variant>
      <vt:variant>
        <vt:i4>5</vt:i4>
      </vt:variant>
      <vt:variant>
        <vt:lpwstr>http://www.zakhidenergo.ua/ua/</vt:lpwstr>
      </vt:variant>
      <vt:variant>
        <vt:lpwstr/>
      </vt:variant>
      <vt:variant>
        <vt:i4>3407977</vt:i4>
      </vt:variant>
      <vt:variant>
        <vt:i4>132</vt:i4>
      </vt:variant>
      <vt:variant>
        <vt:i4>0</vt:i4>
      </vt:variant>
      <vt:variant>
        <vt:i4>5</vt:i4>
      </vt:variant>
      <vt:variant>
        <vt:lpwstr>http://www.ecu.gov.ua/en/company/structure/zakhid.html</vt:lpwstr>
      </vt:variant>
      <vt:variant>
        <vt:lpwstr/>
      </vt:variant>
      <vt:variant>
        <vt:i4>3473489</vt:i4>
      </vt:variant>
      <vt:variant>
        <vt:i4>129</vt:i4>
      </vt:variant>
      <vt:variant>
        <vt:i4>0</vt:i4>
      </vt:variant>
      <vt:variant>
        <vt:i4>5</vt:i4>
      </vt:variant>
      <vt:variant>
        <vt:lpwstr>http://www.energoatom.kiev.ua/en/index_eng.htm</vt:lpwstr>
      </vt:variant>
      <vt:variant>
        <vt:lpwstr/>
      </vt:variant>
      <vt:variant>
        <vt:i4>2752625</vt:i4>
      </vt:variant>
      <vt:variant>
        <vt:i4>126</vt:i4>
      </vt:variant>
      <vt:variant>
        <vt:i4>0</vt:i4>
      </vt:variant>
      <vt:variant>
        <vt:i4>5</vt:i4>
      </vt:variant>
      <vt:variant>
        <vt:lpwstr>http://www.ukrenergo.energy.gov.ua/ukrenergo/control/en/publish/article?art_id=36400&amp;cat_id=36373</vt:lpwstr>
      </vt:variant>
      <vt:variant>
        <vt:lpwstr/>
      </vt:variant>
      <vt:variant>
        <vt:i4>6881319</vt:i4>
      </vt:variant>
      <vt:variant>
        <vt:i4>123</vt:i4>
      </vt:variant>
      <vt:variant>
        <vt:i4>0</vt:i4>
      </vt:variant>
      <vt:variant>
        <vt:i4>5</vt:i4>
      </vt:variant>
      <vt:variant>
        <vt:lpwstr>http://www.erranet.org/AboutUs/Members/Profiles/Ukraine</vt:lpwstr>
      </vt:variant>
      <vt:variant>
        <vt:lpwstr/>
      </vt:variant>
      <vt:variant>
        <vt:i4>7340071</vt:i4>
      </vt:variant>
      <vt:variant>
        <vt:i4>120</vt:i4>
      </vt:variant>
      <vt:variant>
        <vt:i4>0</vt:i4>
      </vt:variant>
      <vt:variant>
        <vt:i4>5</vt:i4>
      </vt:variant>
      <vt:variant>
        <vt:lpwstr>http://www.erranet.org/AboutUs/Members/Profiles/Moldova</vt:lpwstr>
      </vt:variant>
      <vt:variant>
        <vt:lpwstr/>
      </vt:variant>
      <vt:variant>
        <vt:i4>3735611</vt:i4>
      </vt:variant>
      <vt:variant>
        <vt:i4>117</vt:i4>
      </vt:variant>
      <vt:variant>
        <vt:i4>0</vt:i4>
      </vt:variant>
      <vt:variant>
        <vt:i4>5</vt:i4>
      </vt:variant>
      <vt:variant>
        <vt:lpwstr>http://www.interrao.ru/eng/websites/100.php/popup/100/</vt:lpwstr>
      </vt:variant>
      <vt:variant>
        <vt:lpwstr/>
      </vt:variant>
      <vt:variant>
        <vt:i4>7536678</vt:i4>
      </vt:variant>
      <vt:variant>
        <vt:i4>114</vt:i4>
      </vt:variant>
      <vt:variant>
        <vt:i4>0</vt:i4>
      </vt:variant>
      <vt:variant>
        <vt:i4>5</vt:i4>
      </vt:variant>
      <vt:variant>
        <vt:lpwstr>http://www.erranet.org/AboutUs/Members/Profiles/Georgia</vt:lpwstr>
      </vt:variant>
      <vt:variant>
        <vt:lpwstr/>
      </vt:variant>
      <vt:variant>
        <vt:i4>5111853</vt:i4>
      </vt:variant>
      <vt:variant>
        <vt:i4>111</vt:i4>
      </vt:variant>
      <vt:variant>
        <vt:i4>0</vt:i4>
      </vt:variant>
      <vt:variant>
        <vt:i4>5</vt:i4>
      </vt:variant>
      <vt:variant>
        <vt:lpwstr>http://www.inogate.org/index.php?option=com_inogate&amp;view=countrysector&amp;id=20&amp;Itemid=63&amp;lang=en</vt:lpwstr>
      </vt:variant>
      <vt:variant>
        <vt:lpwstr/>
      </vt:variant>
      <vt:variant>
        <vt:i4>5046317</vt:i4>
      </vt:variant>
      <vt:variant>
        <vt:i4>108</vt:i4>
      </vt:variant>
      <vt:variant>
        <vt:i4>0</vt:i4>
      </vt:variant>
      <vt:variant>
        <vt:i4>5</vt:i4>
      </vt:variant>
      <vt:variant>
        <vt:lpwstr>http://www.inogate.org/index.php?option=com_inogate&amp;view=countrysector&amp;id=23&amp;Itemid=63&amp;lang=en</vt:lpwstr>
      </vt:variant>
      <vt:variant>
        <vt:lpwstr/>
      </vt:variant>
      <vt:variant>
        <vt:i4>5111854</vt:i4>
      </vt:variant>
      <vt:variant>
        <vt:i4>105</vt:i4>
      </vt:variant>
      <vt:variant>
        <vt:i4>0</vt:i4>
      </vt:variant>
      <vt:variant>
        <vt:i4>5</vt:i4>
      </vt:variant>
      <vt:variant>
        <vt:lpwstr>http://www.inogate.org/index.php?option=com_inogate&amp;view=countrysector&amp;id=10&amp;Itemid=63&amp;lang=en</vt:lpwstr>
      </vt:variant>
      <vt:variant>
        <vt:lpwstr/>
      </vt:variant>
      <vt:variant>
        <vt:i4>6291495</vt:i4>
      </vt:variant>
      <vt:variant>
        <vt:i4>102</vt:i4>
      </vt:variant>
      <vt:variant>
        <vt:i4>0</vt:i4>
      </vt:variant>
      <vt:variant>
        <vt:i4>5</vt:i4>
      </vt:variant>
      <vt:variant>
        <vt:lpwstr>http://www.erranet.org/AboutUs/Members/Profiles/Azerbaijan</vt:lpwstr>
      </vt:variant>
      <vt:variant>
        <vt:lpwstr/>
      </vt:variant>
      <vt:variant>
        <vt:i4>2949237</vt:i4>
      </vt:variant>
      <vt:variant>
        <vt:i4>99</vt:i4>
      </vt:variant>
      <vt:variant>
        <vt:i4>0</vt:i4>
      </vt:variant>
      <vt:variant>
        <vt:i4>5</vt:i4>
      </vt:variant>
      <vt:variant>
        <vt:lpwstr>http://www.azerenerji.com/index.php?section=47</vt:lpwstr>
      </vt:variant>
      <vt:variant>
        <vt:lpwstr/>
      </vt:variant>
      <vt:variant>
        <vt:i4>4980782</vt:i4>
      </vt:variant>
      <vt:variant>
        <vt:i4>96</vt:i4>
      </vt:variant>
      <vt:variant>
        <vt:i4>0</vt:i4>
      </vt:variant>
      <vt:variant>
        <vt:i4>5</vt:i4>
      </vt:variant>
      <vt:variant>
        <vt:lpwstr>http://www.inogate.org/index.php?option=com_inogate&amp;view=countrysector&amp;id=12&amp;Itemid=63&amp;lang=en</vt:lpwstr>
      </vt:variant>
      <vt:variant>
        <vt:lpwstr/>
      </vt:variant>
      <vt:variant>
        <vt:i4>1507358</vt:i4>
      </vt:variant>
      <vt:variant>
        <vt:i4>93</vt:i4>
      </vt:variant>
      <vt:variant>
        <vt:i4>0</vt:i4>
      </vt:variant>
      <vt:variant>
        <vt:i4>5</vt:i4>
      </vt:variant>
      <vt:variant>
        <vt:lpwstr>http://www.armrusgasprom.am/</vt:lpwstr>
      </vt:variant>
      <vt:variant>
        <vt:lpwstr/>
      </vt:variant>
      <vt:variant>
        <vt:i4>7536683</vt:i4>
      </vt:variant>
      <vt:variant>
        <vt:i4>90</vt:i4>
      </vt:variant>
      <vt:variant>
        <vt:i4>0</vt:i4>
      </vt:variant>
      <vt:variant>
        <vt:i4>5</vt:i4>
      </vt:variant>
      <vt:variant>
        <vt:lpwstr>http://www.erranet.org/AboutUs/Members/Profiles/Armenia</vt:lpwstr>
      </vt:variant>
      <vt:variant>
        <vt:lpwstr/>
      </vt:variant>
      <vt:variant>
        <vt:i4>4063334</vt:i4>
      </vt:variant>
      <vt:variant>
        <vt:i4>87</vt:i4>
      </vt:variant>
      <vt:variant>
        <vt:i4>0</vt:i4>
      </vt:variant>
      <vt:variant>
        <vt:i4>5</vt:i4>
      </vt:variant>
      <vt:variant>
        <vt:lpwstr>http://www.geni.org/globalenergy/library/national_energy_grid/armenia/index.shtml</vt:lpwstr>
      </vt:variant>
      <vt:variant>
        <vt:lpwstr/>
      </vt:variant>
      <vt:variant>
        <vt:i4>2490469</vt:i4>
      </vt:variant>
      <vt:variant>
        <vt:i4>84</vt:i4>
      </vt:variant>
      <vt:variant>
        <vt:i4>0</vt:i4>
      </vt:variant>
      <vt:variant>
        <vt:i4>5</vt:i4>
      </vt:variant>
      <vt:variant>
        <vt:lpwstr>http://www.ena.am/AboutUs.aspx</vt:lpwstr>
      </vt:variant>
      <vt:variant>
        <vt:lpwstr/>
      </vt:variant>
      <vt:variant>
        <vt:i4>6488182</vt:i4>
      </vt:variant>
      <vt:variant>
        <vt:i4>81</vt:i4>
      </vt:variant>
      <vt:variant>
        <vt:i4>0</vt:i4>
      </vt:variant>
      <vt:variant>
        <vt:i4>5</vt:i4>
      </vt:variant>
      <vt:variant>
        <vt:lpwstr>http://www.mek.am/</vt:lpwstr>
      </vt:variant>
      <vt:variant>
        <vt:lpwstr/>
      </vt:variant>
      <vt:variant>
        <vt:i4>983052</vt:i4>
      </vt:variant>
      <vt:variant>
        <vt:i4>78</vt:i4>
      </vt:variant>
      <vt:variant>
        <vt:i4>0</vt:i4>
      </vt:variant>
      <vt:variant>
        <vt:i4>5</vt:i4>
      </vt:variant>
      <vt:variant>
        <vt:lpwstr>http://www.raztes.am/eng/history.htm</vt:lpwstr>
      </vt:variant>
      <vt:variant>
        <vt:lpwstr/>
      </vt:variant>
      <vt:variant>
        <vt:i4>7077979</vt:i4>
      </vt:variant>
      <vt:variant>
        <vt:i4>75</vt:i4>
      </vt:variant>
      <vt:variant>
        <vt:i4>0</vt:i4>
      </vt:variant>
      <vt:variant>
        <vt:i4>5</vt:i4>
      </vt:variant>
      <vt:variant>
        <vt:lpwstr>http://www.inogate.org/index.php?option=com_inogate&amp;view=countrysector&amp;id=8&amp;Itemid=63&amp;lang=en</vt:lpwstr>
      </vt:variant>
      <vt:variant>
        <vt:lpwstr/>
      </vt:variant>
      <vt:variant>
        <vt:i4>6881316</vt:i4>
      </vt:variant>
      <vt:variant>
        <vt:i4>72</vt:i4>
      </vt:variant>
      <vt:variant>
        <vt:i4>0</vt:i4>
      </vt:variant>
      <vt:variant>
        <vt:i4>5</vt:i4>
      </vt:variant>
      <vt:variant>
        <vt:lpwstr>http://www.erranet.org/AboutUs/Members/Profiles/Albania</vt:lpwstr>
      </vt:variant>
      <vt:variant>
        <vt:lpwstr/>
      </vt:variant>
      <vt:variant>
        <vt:i4>2162738</vt:i4>
      </vt:variant>
      <vt:variant>
        <vt:i4>69</vt:i4>
      </vt:variant>
      <vt:variant>
        <vt:i4>0</vt:i4>
      </vt:variant>
      <vt:variant>
        <vt:i4>5</vt:i4>
      </vt:variant>
      <vt:variant>
        <vt:lpwstr>http://www.cez.al/en/home.html</vt:lpwstr>
      </vt:variant>
      <vt:variant>
        <vt:lpwstr/>
      </vt:variant>
      <vt:variant>
        <vt:i4>7274612</vt:i4>
      </vt:variant>
      <vt:variant>
        <vt:i4>66</vt:i4>
      </vt:variant>
      <vt:variant>
        <vt:i4>0</vt:i4>
      </vt:variant>
      <vt:variant>
        <vt:i4>5</vt:i4>
      </vt:variant>
      <vt:variant>
        <vt:lpwstr>http://www.sarajevogas.ba/</vt:lpwstr>
      </vt:variant>
      <vt:variant>
        <vt:lpwstr/>
      </vt:variant>
      <vt:variant>
        <vt:i4>3670129</vt:i4>
      </vt:variant>
      <vt:variant>
        <vt:i4>63</vt:i4>
      </vt:variant>
      <vt:variant>
        <vt:i4>0</vt:i4>
      </vt:variant>
      <vt:variant>
        <vt:i4>5</vt:i4>
      </vt:variant>
      <vt:variant>
        <vt:lpwstr>http://www.bh-gas.ba/eng/index.htm</vt:lpwstr>
      </vt:variant>
      <vt:variant>
        <vt:lpwstr/>
      </vt:variant>
      <vt:variant>
        <vt:i4>1769556</vt:i4>
      </vt:variant>
      <vt:variant>
        <vt:i4>60</vt:i4>
      </vt:variant>
      <vt:variant>
        <vt:i4>0</vt:i4>
      </vt:variant>
      <vt:variant>
        <vt:i4>5</vt:i4>
      </vt:variant>
      <vt:variant>
        <vt:lpwstr>http://www.erranet.org/AboutUs/Members/Profiles/BosniaAndHerzegovina</vt:lpwstr>
      </vt:variant>
      <vt:variant>
        <vt:lpwstr/>
      </vt:variant>
      <vt:variant>
        <vt:i4>6094859</vt:i4>
      </vt:variant>
      <vt:variant>
        <vt:i4>57</vt:i4>
      </vt:variant>
      <vt:variant>
        <vt:i4>0</vt:i4>
      </vt:variant>
      <vt:variant>
        <vt:i4>5</vt:i4>
      </vt:variant>
      <vt:variant>
        <vt:lpwstr>http://www.elprenosbih.ba/a2/index.php/pg/0.html</vt:lpwstr>
      </vt:variant>
      <vt:variant>
        <vt:lpwstr/>
      </vt:variant>
      <vt:variant>
        <vt:i4>7340141</vt:i4>
      </vt:variant>
      <vt:variant>
        <vt:i4>54</vt:i4>
      </vt:variant>
      <vt:variant>
        <vt:i4>0</vt:i4>
      </vt:variant>
      <vt:variant>
        <vt:i4>5</vt:i4>
      </vt:variant>
      <vt:variant>
        <vt:lpwstr>http://www.ers.ba/</vt:lpwstr>
      </vt:variant>
      <vt:variant>
        <vt:lpwstr/>
      </vt:variant>
      <vt:variant>
        <vt:i4>1507358</vt:i4>
      </vt:variant>
      <vt:variant>
        <vt:i4>51</vt:i4>
      </vt:variant>
      <vt:variant>
        <vt:i4>0</vt:i4>
      </vt:variant>
      <vt:variant>
        <vt:i4>5</vt:i4>
      </vt:variant>
      <vt:variant>
        <vt:lpwstr>http://www.elektroprivreda.ba/np/ep/epp?bp=O</vt:lpwstr>
      </vt:variant>
      <vt:variant>
        <vt:lpwstr/>
      </vt:variant>
      <vt:variant>
        <vt:i4>6553658</vt:i4>
      </vt:variant>
      <vt:variant>
        <vt:i4>48</vt:i4>
      </vt:variant>
      <vt:variant>
        <vt:i4>0</vt:i4>
      </vt:variant>
      <vt:variant>
        <vt:i4>5</vt:i4>
      </vt:variant>
      <vt:variant>
        <vt:lpwstr>http://www.erranet.org/AboutUs/Members/Profiles/UNMIKKosovo</vt:lpwstr>
      </vt:variant>
      <vt:variant>
        <vt:lpwstr/>
      </vt:variant>
      <vt:variant>
        <vt:i4>6160396</vt:i4>
      </vt:variant>
      <vt:variant>
        <vt:i4>45</vt:i4>
      </vt:variant>
      <vt:variant>
        <vt:i4>0</vt:i4>
      </vt:variant>
      <vt:variant>
        <vt:i4>5</vt:i4>
      </vt:variant>
      <vt:variant>
        <vt:lpwstr>http://www.kek-energy.com/en/default.asp</vt:lpwstr>
      </vt:variant>
      <vt:variant>
        <vt:lpwstr/>
      </vt:variant>
      <vt:variant>
        <vt:i4>7340088</vt:i4>
      </vt:variant>
      <vt:variant>
        <vt:i4>42</vt:i4>
      </vt:variant>
      <vt:variant>
        <vt:i4>0</vt:i4>
      </vt:variant>
      <vt:variant>
        <vt:i4>5</vt:i4>
      </vt:variant>
      <vt:variant>
        <vt:lpwstr>http://www.erranet.org/AboutUs/Members/Profiles/Montenegro</vt:lpwstr>
      </vt:variant>
      <vt:variant>
        <vt:lpwstr/>
      </vt:variant>
      <vt:variant>
        <vt:i4>8192122</vt:i4>
      </vt:variant>
      <vt:variant>
        <vt:i4>39</vt:i4>
      </vt:variant>
      <vt:variant>
        <vt:i4>0</vt:i4>
      </vt:variant>
      <vt:variant>
        <vt:i4>5</vt:i4>
      </vt:variant>
      <vt:variant>
        <vt:lpwstr>http://www.epcg.co.me/enindex.html</vt:lpwstr>
      </vt:variant>
      <vt:variant>
        <vt:lpwstr/>
      </vt:variant>
      <vt:variant>
        <vt:i4>3604535</vt:i4>
      </vt:variant>
      <vt:variant>
        <vt:i4>36</vt:i4>
      </vt:variant>
      <vt:variant>
        <vt:i4>0</vt:i4>
      </vt:variant>
      <vt:variant>
        <vt:i4>5</vt:i4>
      </vt:variant>
      <vt:variant>
        <vt:lpwstr>http://www.erc.org.mk/DefaultEn.asp</vt:lpwstr>
      </vt:variant>
      <vt:variant>
        <vt:lpwstr/>
      </vt:variant>
      <vt:variant>
        <vt:i4>983117</vt:i4>
      </vt:variant>
      <vt:variant>
        <vt:i4>33</vt:i4>
      </vt:variant>
      <vt:variant>
        <vt:i4>0</vt:i4>
      </vt:variant>
      <vt:variant>
        <vt:i4>5</vt:i4>
      </vt:variant>
      <vt:variant>
        <vt:lpwstr>http://www.erranet.org/AboutUs/Members/Profiles/Macedonia</vt:lpwstr>
      </vt:variant>
      <vt:variant>
        <vt:lpwstr/>
      </vt:variant>
      <vt:variant>
        <vt:i4>1572911</vt:i4>
      </vt:variant>
      <vt:variant>
        <vt:i4>30</vt:i4>
      </vt:variant>
      <vt:variant>
        <vt:i4>0</vt:i4>
      </vt:variant>
      <vt:variant>
        <vt:i4>5</vt:i4>
      </vt:variant>
      <vt:variant>
        <vt:lpwstr>http://www.evn.com.mk/mk/presse/white_book.asp</vt:lpwstr>
      </vt:variant>
      <vt:variant>
        <vt:lpwstr/>
      </vt:variant>
      <vt:variant>
        <vt:i4>7077922</vt:i4>
      </vt:variant>
      <vt:variant>
        <vt:i4>27</vt:i4>
      </vt:variant>
      <vt:variant>
        <vt:i4>0</vt:i4>
      </vt:variant>
      <vt:variant>
        <vt:i4>5</vt:i4>
      </vt:variant>
      <vt:variant>
        <vt:lpwstr>http://www.evn.com.mk/</vt:lpwstr>
      </vt:variant>
      <vt:variant>
        <vt:lpwstr/>
      </vt:variant>
      <vt:variant>
        <vt:i4>851996</vt:i4>
      </vt:variant>
      <vt:variant>
        <vt:i4>24</vt:i4>
      </vt:variant>
      <vt:variant>
        <vt:i4>0</vt:i4>
      </vt:variant>
      <vt:variant>
        <vt:i4>5</vt:i4>
      </vt:variant>
      <vt:variant>
        <vt:lpwstr>http://www.mepso.com.mk/en-us/Details.aspx?categoryID=77</vt:lpwstr>
      </vt:variant>
      <vt:variant>
        <vt:lpwstr/>
      </vt:variant>
      <vt:variant>
        <vt:i4>3604603</vt:i4>
      </vt:variant>
      <vt:variant>
        <vt:i4>21</vt:i4>
      </vt:variant>
      <vt:variant>
        <vt:i4>0</vt:i4>
      </vt:variant>
      <vt:variant>
        <vt:i4>5</vt:i4>
      </vt:variant>
      <vt:variant>
        <vt:lpwstr>http://www.elem.com.mk/en/ElemToday.asp</vt:lpwstr>
      </vt:variant>
      <vt:variant>
        <vt:lpwstr/>
      </vt:variant>
      <vt:variant>
        <vt:i4>4849674</vt:i4>
      </vt:variant>
      <vt:variant>
        <vt:i4>18</vt:i4>
      </vt:variant>
      <vt:variant>
        <vt:i4>0</vt:i4>
      </vt:variant>
      <vt:variant>
        <vt:i4>5</vt:i4>
      </vt:variant>
      <vt:variant>
        <vt:lpwstr>http://www.srbijagas.com/</vt:lpwstr>
      </vt:variant>
      <vt:variant>
        <vt:lpwstr/>
      </vt:variant>
      <vt:variant>
        <vt:i4>7012385</vt:i4>
      </vt:variant>
      <vt:variant>
        <vt:i4>15</vt:i4>
      </vt:variant>
      <vt:variant>
        <vt:i4>0</vt:i4>
      </vt:variant>
      <vt:variant>
        <vt:i4>5</vt:i4>
      </vt:variant>
      <vt:variant>
        <vt:lpwstr>http://www.erranet.org/AboutUs/Members/Profiles/Serbia</vt:lpwstr>
      </vt:variant>
      <vt:variant>
        <vt:lpwstr/>
      </vt:variant>
      <vt:variant>
        <vt:i4>4915222</vt:i4>
      </vt:variant>
      <vt:variant>
        <vt:i4>12</vt:i4>
      </vt:variant>
      <vt:variant>
        <vt:i4>0</vt:i4>
      </vt:variant>
      <vt:variant>
        <vt:i4>5</vt:i4>
      </vt:variant>
      <vt:variant>
        <vt:lpwstr>http://www.eps.rs/english.htm</vt:lpwstr>
      </vt:variant>
      <vt:variant>
        <vt:lpwstr/>
      </vt:variant>
      <vt:variant>
        <vt:i4>851968</vt:i4>
      </vt:variant>
      <vt:variant>
        <vt:i4>9</vt:i4>
      </vt:variant>
      <vt:variant>
        <vt:i4>0</vt:i4>
      </vt:variant>
      <vt:variant>
        <vt:i4>5</vt:i4>
      </vt:variant>
      <vt:variant>
        <vt:lpwstr>http://www.plinacro.hr/default.aspx?id=95</vt:lpwstr>
      </vt:variant>
      <vt:variant>
        <vt:lpwstr/>
      </vt:variant>
      <vt:variant>
        <vt:i4>4784153</vt:i4>
      </vt:variant>
      <vt:variant>
        <vt:i4>6</vt:i4>
      </vt:variant>
      <vt:variant>
        <vt:i4>0</vt:i4>
      </vt:variant>
      <vt:variant>
        <vt:i4>5</vt:i4>
      </vt:variant>
      <vt:variant>
        <vt:lpwstr>http://www.ina.hr/default.aspx?id=246</vt:lpwstr>
      </vt:variant>
      <vt:variant>
        <vt:lpwstr/>
      </vt:variant>
      <vt:variant>
        <vt:i4>7798833</vt:i4>
      </vt:variant>
      <vt:variant>
        <vt:i4>3</vt:i4>
      </vt:variant>
      <vt:variant>
        <vt:i4>0</vt:i4>
      </vt:variant>
      <vt:variant>
        <vt:i4>5</vt:i4>
      </vt:variant>
      <vt:variant>
        <vt:lpwstr>http://www.erranet.org/AboutUs/Members/Profiles/Croatia</vt:lpwstr>
      </vt:variant>
      <vt:variant>
        <vt:lpwstr/>
      </vt:variant>
      <vt:variant>
        <vt:i4>2818111</vt:i4>
      </vt:variant>
      <vt:variant>
        <vt:i4>0</vt:i4>
      </vt:variant>
      <vt:variant>
        <vt:i4>0</vt:i4>
      </vt:variant>
      <vt:variant>
        <vt:i4>5</vt:i4>
      </vt:variant>
      <vt:variant>
        <vt:lpwstr>http://www.hep.hr/hep/en/news/default.aspx</vt:lpwstr>
      </vt:variant>
      <vt:variant>
        <vt:lpwstr/>
      </vt:variant>
      <vt:variant>
        <vt:i4>6946902</vt:i4>
      </vt:variant>
      <vt:variant>
        <vt:i4>39</vt:i4>
      </vt:variant>
      <vt:variant>
        <vt:i4>0</vt:i4>
      </vt:variant>
      <vt:variant>
        <vt:i4>5</vt:i4>
      </vt:variant>
      <vt:variant>
        <vt:lpwstr>mailto:psiru@psiru.org</vt:lpwstr>
      </vt:variant>
      <vt:variant>
        <vt:lpwstr/>
      </vt:variant>
      <vt:variant>
        <vt:i4>5177357</vt:i4>
      </vt:variant>
      <vt:variant>
        <vt:i4>36</vt:i4>
      </vt:variant>
      <vt:variant>
        <vt:i4>0</vt:i4>
      </vt:variant>
      <vt:variant>
        <vt:i4>5</vt:i4>
      </vt:variant>
      <vt:variant>
        <vt:lpwstr>http://www.psiru.org/</vt:lpwstr>
      </vt:variant>
      <vt:variant>
        <vt:lpwstr/>
      </vt:variant>
      <vt:variant>
        <vt:i4>5177357</vt:i4>
      </vt:variant>
      <vt:variant>
        <vt:i4>33</vt:i4>
      </vt:variant>
      <vt:variant>
        <vt:i4>0</vt:i4>
      </vt:variant>
      <vt:variant>
        <vt:i4>5</vt:i4>
      </vt:variant>
      <vt:variant>
        <vt:lpwstr>http://www.psiru.org/</vt:lpwstr>
      </vt:variant>
      <vt:variant>
        <vt:lpwstr/>
      </vt:variant>
      <vt:variant>
        <vt:i4>5177357</vt:i4>
      </vt:variant>
      <vt:variant>
        <vt:i4>21</vt:i4>
      </vt:variant>
      <vt:variant>
        <vt:i4>0</vt:i4>
      </vt:variant>
      <vt:variant>
        <vt:i4>5</vt:i4>
      </vt:variant>
      <vt:variant>
        <vt:lpwstr>http://www.psiru.org/</vt:lpwstr>
      </vt:variant>
      <vt:variant>
        <vt:lpwstr/>
      </vt:variant>
      <vt:variant>
        <vt:i4>6946902</vt:i4>
      </vt:variant>
      <vt:variant>
        <vt:i4>18</vt:i4>
      </vt:variant>
      <vt:variant>
        <vt:i4>0</vt:i4>
      </vt:variant>
      <vt:variant>
        <vt:i4>5</vt:i4>
      </vt:variant>
      <vt:variant>
        <vt:lpwstr>mailto:psiru@psiru.org</vt:lpwstr>
      </vt:variant>
      <vt:variant>
        <vt:lpwstr/>
      </vt:variant>
      <vt:variant>
        <vt:i4>5177357</vt:i4>
      </vt:variant>
      <vt:variant>
        <vt:i4>15</vt:i4>
      </vt:variant>
      <vt:variant>
        <vt:i4>0</vt:i4>
      </vt:variant>
      <vt:variant>
        <vt:i4>5</vt:i4>
      </vt:variant>
      <vt:variant>
        <vt:lpwstr>http://www.psiru.org/</vt:lpwstr>
      </vt:variant>
      <vt:variant>
        <vt:lpwstr/>
      </vt:variant>
      <vt:variant>
        <vt:i4>5177357</vt:i4>
      </vt:variant>
      <vt:variant>
        <vt:i4>12</vt:i4>
      </vt:variant>
      <vt:variant>
        <vt:i4>0</vt:i4>
      </vt:variant>
      <vt:variant>
        <vt:i4>5</vt:i4>
      </vt:variant>
      <vt:variant>
        <vt:lpwstr>http://www.psiru.org/</vt:lpwstr>
      </vt:variant>
      <vt:variant>
        <vt:lpwstr/>
      </vt:variant>
      <vt:variant>
        <vt:i4>5177357</vt:i4>
      </vt:variant>
      <vt:variant>
        <vt:i4>0</vt:i4>
      </vt:variant>
      <vt:variant>
        <vt:i4>0</vt:i4>
      </vt:variant>
      <vt:variant>
        <vt:i4>5</vt:i4>
      </vt:variant>
      <vt:variant>
        <vt:lpwstr>http://www.psiru.org/</vt:lpwstr>
      </vt:variant>
      <vt:variant>
        <vt:lpwstr/>
      </vt:variant>
      <vt:variant>
        <vt:i4>1441884</vt:i4>
      </vt:variant>
      <vt:variant>
        <vt:i4>111</vt:i4>
      </vt:variant>
      <vt:variant>
        <vt:i4>0</vt:i4>
      </vt:variant>
      <vt:variant>
        <vt:i4>5</vt:i4>
      </vt:variant>
      <vt:variant>
        <vt:lpwstr>http://www.berlinwasser.com/content/language1/downloads/BWI_COMPANY_2009.pdf</vt:lpwstr>
      </vt:variant>
      <vt:variant>
        <vt:lpwstr/>
      </vt:variant>
      <vt:variant>
        <vt:i4>2687020</vt:i4>
      </vt:variant>
      <vt:variant>
        <vt:i4>108</vt:i4>
      </vt:variant>
      <vt:variant>
        <vt:i4>0</vt:i4>
      </vt:variant>
      <vt:variant>
        <vt:i4>5</vt:i4>
      </vt:variant>
      <vt:variant>
        <vt:lpwstr>http://www.ifc.org/ifcext/media.nsf/content/SelectedPressRelease?OpenDocument&amp;UNID=80FBA1D1C466866085257737005B9ABF</vt:lpwstr>
      </vt:variant>
      <vt:variant>
        <vt:lpwstr/>
      </vt:variant>
      <vt:variant>
        <vt:i4>5570655</vt:i4>
      </vt:variant>
      <vt:variant>
        <vt:i4>105</vt:i4>
      </vt:variant>
      <vt:variant>
        <vt:i4>0</vt:i4>
      </vt:variant>
      <vt:variant>
        <vt:i4>5</vt:i4>
      </vt:variant>
      <vt:variant>
        <vt:lpwstr>http://www.finance.veolia.com/docs/Operating-and-Financial-Review-June-2010-def-sans-mark-up.pdf</vt:lpwstr>
      </vt:variant>
      <vt:variant>
        <vt:lpwstr/>
      </vt:variant>
      <vt:variant>
        <vt:i4>6946834</vt:i4>
      </vt:variant>
      <vt:variant>
        <vt:i4>102</vt:i4>
      </vt:variant>
      <vt:variant>
        <vt:i4>0</vt:i4>
      </vt:variant>
      <vt:variant>
        <vt:i4>5</vt:i4>
      </vt:variant>
      <vt:variant>
        <vt:lpwstr>http://www.fcc.es/fcc/corp/ing/sdp_n_ddln_434.htm</vt:lpwstr>
      </vt:variant>
      <vt:variant>
        <vt:lpwstr/>
      </vt:variant>
      <vt:variant>
        <vt:i4>983053</vt:i4>
      </vt:variant>
      <vt:variant>
        <vt:i4>99</vt:i4>
      </vt:variant>
      <vt:variant>
        <vt:i4>0</vt:i4>
      </vt:variant>
      <vt:variant>
        <vt:i4>5</vt:i4>
      </vt:variant>
      <vt:variant>
        <vt:lpwstr>http://www.wbif.eu/attached_documents/9963/3292/World_Bank_ECA_Strategy_Apr_2010.pdf</vt:lpwstr>
      </vt:variant>
      <vt:variant>
        <vt:lpwstr/>
      </vt:variant>
      <vt:variant>
        <vt:i4>7209038</vt:i4>
      </vt:variant>
      <vt:variant>
        <vt:i4>96</vt:i4>
      </vt:variant>
      <vt:variant>
        <vt:i4>0</vt:i4>
      </vt:variant>
      <vt:variant>
        <vt:i4>5</vt:i4>
      </vt:variant>
      <vt:variant>
        <vt:lpwstr>http://ec.europa.eu/eu2020/index_en.htm</vt:lpwstr>
      </vt:variant>
      <vt:variant>
        <vt:lpwstr/>
      </vt:variant>
      <vt:variant>
        <vt:i4>2228269</vt:i4>
      </vt:variant>
      <vt:variant>
        <vt:i4>93</vt:i4>
      </vt:variant>
      <vt:variant>
        <vt:i4>0</vt:i4>
      </vt:variant>
      <vt:variant>
        <vt:i4>5</vt:i4>
      </vt:variant>
      <vt:variant>
        <vt:lpwstr>http://www.veolia-es.com.ua/ru/news/50/</vt:lpwstr>
      </vt:variant>
      <vt:variant>
        <vt:lpwstr/>
      </vt:variant>
      <vt:variant>
        <vt:i4>2818090</vt:i4>
      </vt:variant>
      <vt:variant>
        <vt:i4>90</vt:i4>
      </vt:variant>
      <vt:variant>
        <vt:i4>0</vt:i4>
      </vt:variant>
      <vt:variant>
        <vt:i4>5</vt:i4>
      </vt:variant>
      <vt:variant>
        <vt:lpwstr>http://www.veolia-es.com.ua/ru/news/29/</vt:lpwstr>
      </vt:variant>
      <vt:variant>
        <vt:lpwstr/>
      </vt:variant>
      <vt:variant>
        <vt:i4>5242947</vt:i4>
      </vt:variant>
      <vt:variant>
        <vt:i4>87</vt:i4>
      </vt:variant>
      <vt:variant>
        <vt:i4>0</vt:i4>
      </vt:variant>
      <vt:variant>
        <vt:i4>5</vt:i4>
      </vt:variant>
      <vt:variant>
        <vt:lpwstr>http://www.remondis.ua/ru/rua/sonderseiten/glavnaja/</vt:lpwstr>
      </vt:variant>
      <vt:variant>
        <vt:lpwstr/>
      </vt:variant>
      <vt:variant>
        <vt:i4>983053</vt:i4>
      </vt:variant>
      <vt:variant>
        <vt:i4>84</vt:i4>
      </vt:variant>
      <vt:variant>
        <vt:i4>0</vt:i4>
      </vt:variant>
      <vt:variant>
        <vt:i4>5</vt:i4>
      </vt:variant>
      <vt:variant>
        <vt:lpwstr>http://www.wbif.eu/attached_documents/9963/3292/World_Bank_ECA_Strategy_Apr_2010.pdf</vt:lpwstr>
      </vt:variant>
      <vt:variant>
        <vt:lpwstr/>
      </vt:variant>
      <vt:variant>
        <vt:i4>7602178</vt:i4>
      </vt:variant>
      <vt:variant>
        <vt:i4>81</vt:i4>
      </vt:variant>
      <vt:variant>
        <vt:i4>0</vt:i4>
      </vt:variant>
      <vt:variant>
        <vt:i4>5</vt:i4>
      </vt:variant>
      <vt:variant>
        <vt:lpwstr>http://www.unece.org/env/epr/epr_studies/Georgia II.pdf</vt:lpwstr>
      </vt:variant>
      <vt:variant>
        <vt:lpwstr/>
      </vt:variant>
      <vt:variant>
        <vt:i4>5111884</vt:i4>
      </vt:variant>
      <vt:variant>
        <vt:i4>78</vt:i4>
      </vt:variant>
      <vt:variant>
        <vt:i4>0</vt:i4>
      </vt:variant>
      <vt:variant>
        <vt:i4>5</vt:i4>
      </vt:variant>
      <vt:variant>
        <vt:lpwstr>http://www.unece.org/publications/environment/epr/welcome.htm</vt:lpwstr>
      </vt:variant>
      <vt:variant>
        <vt:lpwstr/>
      </vt:variant>
      <vt:variant>
        <vt:i4>5308439</vt:i4>
      </vt:variant>
      <vt:variant>
        <vt:i4>75</vt:i4>
      </vt:variant>
      <vt:variant>
        <vt:i4>0</vt:i4>
      </vt:variant>
      <vt:variant>
        <vt:i4>5</vt:i4>
      </vt:variant>
      <vt:variant>
        <vt:lpwstr>http://www.unece.org/env/efe/welcome.html</vt:lpwstr>
      </vt:variant>
      <vt:variant>
        <vt:lpwstr/>
      </vt:variant>
      <vt:variant>
        <vt:i4>524401</vt:i4>
      </vt:variant>
      <vt:variant>
        <vt:i4>72</vt:i4>
      </vt:variant>
      <vt:variant>
        <vt:i4>0</vt:i4>
      </vt:variant>
      <vt:variant>
        <vt:i4>5</vt:i4>
      </vt:variant>
      <vt:variant>
        <vt:lpwstr>http://www.oecd.org/document/34/0,3746,en_2649_33722239_34983714_1_1_1_1,00.html</vt:lpwstr>
      </vt:variant>
      <vt:variant>
        <vt:lpwstr/>
      </vt:variant>
      <vt:variant>
        <vt:i4>524401</vt:i4>
      </vt:variant>
      <vt:variant>
        <vt:i4>69</vt:i4>
      </vt:variant>
      <vt:variant>
        <vt:i4>0</vt:i4>
      </vt:variant>
      <vt:variant>
        <vt:i4>5</vt:i4>
      </vt:variant>
      <vt:variant>
        <vt:lpwstr>http://www.oecd.org/document/34/0,3746,en_2649_33722239_34983714_1_1_1_1,00.html</vt:lpwstr>
      </vt:variant>
      <vt:variant>
        <vt:lpwstr/>
      </vt:variant>
      <vt:variant>
        <vt:i4>524401</vt:i4>
      </vt:variant>
      <vt:variant>
        <vt:i4>66</vt:i4>
      </vt:variant>
      <vt:variant>
        <vt:i4>0</vt:i4>
      </vt:variant>
      <vt:variant>
        <vt:i4>5</vt:i4>
      </vt:variant>
      <vt:variant>
        <vt:lpwstr>http://www.oecd.org/document/34/0,3746,en_2649_33722239_34983714_1_1_1_1,00.html</vt:lpwstr>
      </vt:variant>
      <vt:variant>
        <vt:lpwstr/>
      </vt:variant>
      <vt:variant>
        <vt:i4>524401</vt:i4>
      </vt:variant>
      <vt:variant>
        <vt:i4>63</vt:i4>
      </vt:variant>
      <vt:variant>
        <vt:i4>0</vt:i4>
      </vt:variant>
      <vt:variant>
        <vt:i4>5</vt:i4>
      </vt:variant>
      <vt:variant>
        <vt:lpwstr>http://www.oecd.org/document/34/0,3746,en_2649_33722239_34983714_1_1_1_1,00.html</vt:lpwstr>
      </vt:variant>
      <vt:variant>
        <vt:lpwstr/>
      </vt:variant>
      <vt:variant>
        <vt:i4>6160484</vt:i4>
      </vt:variant>
      <vt:variant>
        <vt:i4>60</vt:i4>
      </vt:variant>
      <vt:variant>
        <vt:i4>0</vt:i4>
      </vt:variant>
      <vt:variant>
        <vt:i4>5</vt:i4>
      </vt:variant>
      <vt:variant>
        <vt:lpwstr>http://www.oecd.org/department/0,3355,en_2649_34343_1_1_1_1_1,00.html</vt:lpwstr>
      </vt:variant>
      <vt:variant>
        <vt:lpwstr/>
      </vt:variant>
      <vt:variant>
        <vt:i4>5308439</vt:i4>
      </vt:variant>
      <vt:variant>
        <vt:i4>57</vt:i4>
      </vt:variant>
      <vt:variant>
        <vt:i4>0</vt:i4>
      </vt:variant>
      <vt:variant>
        <vt:i4>5</vt:i4>
      </vt:variant>
      <vt:variant>
        <vt:lpwstr>http://www.unece.org/env/efe/welcome.html</vt:lpwstr>
      </vt:variant>
      <vt:variant>
        <vt:lpwstr/>
      </vt:variant>
      <vt:variant>
        <vt:i4>6160484</vt:i4>
      </vt:variant>
      <vt:variant>
        <vt:i4>54</vt:i4>
      </vt:variant>
      <vt:variant>
        <vt:i4>0</vt:i4>
      </vt:variant>
      <vt:variant>
        <vt:i4>5</vt:i4>
      </vt:variant>
      <vt:variant>
        <vt:lpwstr>http://www.oecd.org/department/0,3355,en_2649_34343_1_1_1_1_1,00.html</vt:lpwstr>
      </vt:variant>
      <vt:variant>
        <vt:lpwstr/>
      </vt:variant>
      <vt:variant>
        <vt:i4>983053</vt:i4>
      </vt:variant>
      <vt:variant>
        <vt:i4>51</vt:i4>
      </vt:variant>
      <vt:variant>
        <vt:i4>0</vt:i4>
      </vt:variant>
      <vt:variant>
        <vt:i4>5</vt:i4>
      </vt:variant>
      <vt:variant>
        <vt:lpwstr>http://www.wbif.eu/attached_documents/9963/3292/World_Bank_ECA_Strategy_Apr_2010.pdf</vt:lpwstr>
      </vt:variant>
      <vt:variant>
        <vt:lpwstr/>
      </vt:variant>
      <vt:variant>
        <vt:i4>4718611</vt:i4>
      </vt:variant>
      <vt:variant>
        <vt:i4>48</vt:i4>
      </vt:variant>
      <vt:variant>
        <vt:i4>0</vt:i4>
      </vt:variant>
      <vt:variant>
        <vt:i4>5</vt:i4>
      </vt:variant>
      <vt:variant>
        <vt:lpwstr>http://ec.europa.eu/eu2020/pdf/115346.pdf</vt:lpwstr>
      </vt:variant>
      <vt:variant>
        <vt:lpwstr/>
      </vt:variant>
      <vt:variant>
        <vt:i4>3473509</vt:i4>
      </vt:variant>
      <vt:variant>
        <vt:i4>45</vt:i4>
      </vt:variant>
      <vt:variant>
        <vt:i4>0</vt:i4>
      </vt:variant>
      <vt:variant>
        <vt:i4>5</vt:i4>
      </vt:variant>
      <vt:variant>
        <vt:lpwstr>http://ec.europa.eu/eu2020/pdf/COMPLET EN BARROSO   007 - Europe 2020 - EN version.pdf</vt:lpwstr>
      </vt:variant>
      <vt:variant>
        <vt:lpwstr/>
      </vt:variant>
      <vt:variant>
        <vt:i4>131102</vt:i4>
      </vt:variant>
      <vt:variant>
        <vt:i4>42</vt:i4>
      </vt:variant>
      <vt:variant>
        <vt:i4>0</vt:i4>
      </vt:variant>
      <vt:variant>
        <vt:i4>5</vt:i4>
      </vt:variant>
      <vt:variant>
        <vt:lpwstr>http://www.eeas.europa.eu/eastern/civil_society/forum2010/docs/organisations_en.pdf</vt:lpwstr>
      </vt:variant>
      <vt:variant>
        <vt:lpwstr/>
      </vt:variant>
      <vt:variant>
        <vt:i4>1310731</vt:i4>
      </vt:variant>
      <vt:variant>
        <vt:i4>39</vt:i4>
      </vt:variant>
      <vt:variant>
        <vt:i4>0</vt:i4>
      </vt:variant>
      <vt:variant>
        <vt:i4>5</vt:i4>
      </vt:variant>
      <vt:variant>
        <vt:lpwstr>http://www.eeas.europa.eu/eastern/civil_society/forum2010/docs/csf_selection_eap_en.pdf</vt:lpwstr>
      </vt:variant>
      <vt:variant>
        <vt:lpwstr/>
      </vt:variant>
      <vt:variant>
        <vt:i4>7340145</vt:i4>
      </vt:variant>
      <vt:variant>
        <vt:i4>36</vt:i4>
      </vt:variant>
      <vt:variant>
        <vt:i4>0</vt:i4>
      </vt:variant>
      <vt:variant>
        <vt:i4>5</vt:i4>
      </vt:variant>
      <vt:variant>
        <vt:lpwstr>http://ec.europa.eu/eu2020/pdf/Annex SWD implementation last version 15-07-2010.pdf</vt:lpwstr>
      </vt:variant>
      <vt:variant>
        <vt:lpwstr/>
      </vt:variant>
      <vt:variant>
        <vt:i4>4259864</vt:i4>
      </vt:variant>
      <vt:variant>
        <vt:i4>33</vt:i4>
      </vt:variant>
      <vt:variant>
        <vt:i4>0</vt:i4>
      </vt:variant>
      <vt:variant>
        <vt:i4>5</vt:i4>
      </vt:variant>
      <vt:variant>
        <vt:lpwstr>http://ec.europa.eu/eu2020/pdf/Brochure Integrated Guidelines.pdf</vt:lpwstr>
      </vt:variant>
      <vt:variant>
        <vt:lpwstr/>
      </vt:variant>
      <vt:variant>
        <vt:i4>589886</vt:i4>
      </vt:variant>
      <vt:variant>
        <vt:i4>30</vt:i4>
      </vt:variant>
      <vt:variant>
        <vt:i4>0</vt:i4>
      </vt:variant>
      <vt:variant>
        <vt:i4>5</vt:i4>
      </vt:variant>
      <vt:variant>
        <vt:lpwstr>http://www.consilium.europa.eu/uedocs/cms_data/docs/pressdata/en/ec/113591.pdf</vt:lpwstr>
      </vt:variant>
      <vt:variant>
        <vt:lpwstr/>
      </vt:variant>
      <vt:variant>
        <vt:i4>5570577</vt:i4>
      </vt:variant>
      <vt:variant>
        <vt:i4>27</vt:i4>
      </vt:variant>
      <vt:variant>
        <vt:i4>0</vt:i4>
      </vt:variant>
      <vt:variant>
        <vt:i4>5</vt:i4>
      </vt:variant>
      <vt:variant>
        <vt:lpwstr>http://europa.eu/rapid/pressReleasesAction.do?reference=MEMO/10/288&amp;format=HTML&amp;aged=0&amp;language=EN&amp;guiLanguage=en</vt:lpwstr>
      </vt:variant>
      <vt:variant>
        <vt:lpwstr/>
      </vt:variant>
      <vt:variant>
        <vt:i4>5111892</vt:i4>
      </vt:variant>
      <vt:variant>
        <vt:i4>24</vt:i4>
      </vt:variant>
      <vt:variant>
        <vt:i4>0</vt:i4>
      </vt:variant>
      <vt:variant>
        <vt:i4>5</vt:i4>
      </vt:variant>
      <vt:variant>
        <vt:lpwstr>http://ec.europa.eu/economy_finance/articles/euro/documents/com_367_code_en.pdf</vt:lpwstr>
      </vt:variant>
      <vt:variant>
        <vt:lpwstr/>
      </vt:variant>
      <vt:variant>
        <vt:i4>2687037</vt:i4>
      </vt:variant>
      <vt:variant>
        <vt:i4>21</vt:i4>
      </vt:variant>
      <vt:variant>
        <vt:i4>0</vt:i4>
      </vt:variant>
      <vt:variant>
        <vt:i4>5</vt:i4>
      </vt:variant>
      <vt:variant>
        <vt:lpwstr>http://ec.europa.eu/economy_finance/articles/euro/documents/com_2010_367_en.pdf</vt:lpwstr>
      </vt:variant>
      <vt:variant>
        <vt:lpwstr/>
      </vt:variant>
      <vt:variant>
        <vt:i4>2228339</vt:i4>
      </vt:variant>
      <vt:variant>
        <vt:i4>18</vt:i4>
      </vt:variant>
      <vt:variant>
        <vt:i4>0</vt:i4>
      </vt:variant>
      <vt:variant>
        <vt:i4>5</vt:i4>
      </vt:variant>
      <vt:variant>
        <vt:lpwstr>http://europa.eu/rapid/pressReleasesAction.do?reference=IP/10/859&amp;format=HTML&amp;aged=0&amp;language=EN&amp;guiLanguage=en</vt:lpwstr>
      </vt:variant>
      <vt:variant>
        <vt:lpwstr/>
      </vt:variant>
      <vt:variant>
        <vt:i4>4259864</vt:i4>
      </vt:variant>
      <vt:variant>
        <vt:i4>15</vt:i4>
      </vt:variant>
      <vt:variant>
        <vt:i4>0</vt:i4>
      </vt:variant>
      <vt:variant>
        <vt:i4>5</vt:i4>
      </vt:variant>
      <vt:variant>
        <vt:lpwstr>http://ec.europa.eu/eu2020/pdf/Brochure Integrated Guidelines.pdf</vt:lpwstr>
      </vt:variant>
      <vt:variant>
        <vt:lpwstr/>
      </vt:variant>
      <vt:variant>
        <vt:i4>7340145</vt:i4>
      </vt:variant>
      <vt:variant>
        <vt:i4>12</vt:i4>
      </vt:variant>
      <vt:variant>
        <vt:i4>0</vt:i4>
      </vt:variant>
      <vt:variant>
        <vt:i4>5</vt:i4>
      </vt:variant>
      <vt:variant>
        <vt:lpwstr>http://ec.europa.eu/eu2020/pdf/Annex SWD implementation last version 15-07-2010.pdf</vt:lpwstr>
      </vt:variant>
      <vt:variant>
        <vt:lpwstr/>
      </vt:variant>
      <vt:variant>
        <vt:i4>7340145</vt:i4>
      </vt:variant>
      <vt:variant>
        <vt:i4>9</vt:i4>
      </vt:variant>
      <vt:variant>
        <vt:i4>0</vt:i4>
      </vt:variant>
      <vt:variant>
        <vt:i4>5</vt:i4>
      </vt:variant>
      <vt:variant>
        <vt:lpwstr>http://ec.europa.eu/eu2020/pdf/Annex SWD implementation last version 15-07-2010.pdf</vt:lpwstr>
      </vt:variant>
      <vt:variant>
        <vt:lpwstr/>
      </vt:variant>
      <vt:variant>
        <vt:i4>3473509</vt:i4>
      </vt:variant>
      <vt:variant>
        <vt:i4>6</vt:i4>
      </vt:variant>
      <vt:variant>
        <vt:i4>0</vt:i4>
      </vt:variant>
      <vt:variant>
        <vt:i4>5</vt:i4>
      </vt:variant>
      <vt:variant>
        <vt:lpwstr>http://ec.europa.eu/eu2020/pdf/COMPLET EN BARROSO   007 - Europe 2020 - EN version.pdf</vt:lpwstr>
      </vt:variant>
      <vt:variant>
        <vt:lpwstr/>
      </vt:variant>
      <vt:variant>
        <vt:i4>327700</vt:i4>
      </vt:variant>
      <vt:variant>
        <vt:i4>3</vt:i4>
      </vt:variant>
      <vt:variant>
        <vt:i4>0</vt:i4>
      </vt:variant>
      <vt:variant>
        <vt:i4>5</vt:i4>
      </vt:variant>
      <vt:variant>
        <vt:lpwstr>http://www.psiru.ben-scott.co.uk/</vt:lpwstr>
      </vt:variant>
      <vt:variant>
        <vt:lpwstr/>
      </vt:variant>
      <vt:variant>
        <vt:i4>4849724</vt:i4>
      </vt:variant>
      <vt:variant>
        <vt:i4>0</vt:i4>
      </vt:variant>
      <vt:variant>
        <vt:i4>0</vt:i4>
      </vt:variant>
      <vt:variant>
        <vt:i4>5</vt:i4>
      </vt:variant>
      <vt:variant>
        <vt:lpwstr>http://en.wikipedia.org/wiki/List_of_countries_by_GDP_%28nominal%29_per_capita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dh</dc:creator>
  <cp:keywords/>
  <cp:lastModifiedBy>dh</cp:lastModifiedBy>
  <cp:revision>2</cp:revision>
  <cp:lastPrinted>2011-06-06T07:58:00Z</cp:lastPrinted>
  <dcterms:created xsi:type="dcterms:W3CDTF">2011-10-07T15:33:00Z</dcterms:created>
  <dcterms:modified xsi:type="dcterms:W3CDTF">2011-10-07T15:33:00Z</dcterms:modified>
</cp:coreProperties>
</file>