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E6" w:rsidRPr="00A747B8" w:rsidRDefault="008F066E">
      <w:pPr>
        <w:rPr>
          <w:rFonts w:ascii="Arial" w:hAnsi="Arial" w:cs="Arial"/>
          <w:sz w:val="24"/>
          <w:szCs w:val="24"/>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New UoG Logo Jan 2010" style="position:absolute;margin-left:299.25pt;margin-top:-54.75pt;width:174.75pt;height:87pt;z-index:251658240;visibility:visible">
            <v:imagedata r:id="rId8" o:title=""/>
          </v:shape>
        </w:pict>
      </w:r>
      <w:r w:rsidR="00C670E6">
        <w:rPr>
          <w:rFonts w:ascii="Arial" w:hAnsi="Arial" w:cs="Arial"/>
          <w:sz w:val="24"/>
          <w:szCs w:val="24"/>
        </w:rPr>
        <w:t xml:space="preserve">   </w:t>
      </w:r>
    </w:p>
    <w:p w:rsidR="00C670E6" w:rsidRPr="00A747B8" w:rsidRDefault="00C670E6" w:rsidP="00B336A5">
      <w:pPr>
        <w:rPr>
          <w:rFonts w:ascii="Arial" w:hAnsi="Arial" w:cs="Arial"/>
          <w:sz w:val="24"/>
          <w:szCs w:val="24"/>
        </w:rPr>
      </w:pPr>
    </w:p>
    <w:p w:rsidR="00C670E6" w:rsidRPr="00A747B8" w:rsidRDefault="00C670E6" w:rsidP="00B336A5">
      <w:pPr>
        <w:jc w:val="center"/>
        <w:rPr>
          <w:rFonts w:ascii="Arial" w:hAnsi="Arial" w:cs="Arial"/>
          <w:b/>
          <w:sz w:val="24"/>
          <w:szCs w:val="24"/>
        </w:rPr>
      </w:pPr>
      <w:r>
        <w:rPr>
          <w:rFonts w:ascii="Arial" w:hAnsi="Arial" w:cs="Arial"/>
          <w:b/>
          <w:sz w:val="24"/>
          <w:szCs w:val="24"/>
        </w:rPr>
        <w:t>LEARNING AND QUALITY COMMITTEE</w:t>
      </w:r>
    </w:p>
    <w:p w:rsidR="00C670E6" w:rsidRPr="00A747B8" w:rsidRDefault="00C670E6" w:rsidP="00B336A5">
      <w:pPr>
        <w:tabs>
          <w:tab w:val="left" w:pos="0"/>
        </w:tabs>
        <w:jc w:val="center"/>
        <w:rPr>
          <w:rFonts w:ascii="Arial" w:hAnsi="Arial" w:cs="Arial"/>
          <w:b/>
          <w:sz w:val="24"/>
          <w:szCs w:val="24"/>
        </w:rPr>
      </w:pPr>
      <w:r w:rsidRPr="00A747B8">
        <w:rPr>
          <w:rFonts w:ascii="Arial" w:hAnsi="Arial" w:cs="Arial"/>
          <w:b/>
          <w:sz w:val="24"/>
          <w:szCs w:val="24"/>
        </w:rPr>
        <w:t xml:space="preserve">Minutes of the </w:t>
      </w:r>
      <w:r>
        <w:rPr>
          <w:rFonts w:ascii="Arial" w:hAnsi="Arial" w:cs="Arial"/>
          <w:b/>
          <w:sz w:val="24"/>
          <w:szCs w:val="24"/>
        </w:rPr>
        <w:t>second</w:t>
      </w:r>
      <w:r w:rsidRPr="00A747B8">
        <w:rPr>
          <w:rFonts w:ascii="Arial" w:hAnsi="Arial" w:cs="Arial"/>
          <w:b/>
          <w:sz w:val="24"/>
          <w:szCs w:val="24"/>
        </w:rPr>
        <w:t xml:space="preserve"> meeting of the </w:t>
      </w:r>
      <w:r>
        <w:rPr>
          <w:rFonts w:ascii="Arial" w:hAnsi="Arial" w:cs="Arial"/>
          <w:b/>
          <w:sz w:val="24"/>
          <w:szCs w:val="24"/>
        </w:rPr>
        <w:t>Learning and Quality Committee</w:t>
      </w:r>
      <w:r w:rsidRPr="00A747B8">
        <w:rPr>
          <w:rFonts w:ascii="Arial" w:hAnsi="Arial" w:cs="Arial"/>
          <w:b/>
          <w:sz w:val="24"/>
          <w:szCs w:val="24"/>
        </w:rPr>
        <w:t xml:space="preserve"> in the 201</w:t>
      </w:r>
      <w:r>
        <w:rPr>
          <w:rFonts w:ascii="Arial" w:hAnsi="Arial" w:cs="Arial"/>
          <w:b/>
          <w:sz w:val="24"/>
          <w:szCs w:val="24"/>
        </w:rPr>
        <w:t>2</w:t>
      </w:r>
      <w:r w:rsidRPr="00A747B8">
        <w:rPr>
          <w:rFonts w:ascii="Arial" w:hAnsi="Arial" w:cs="Arial"/>
          <w:b/>
          <w:sz w:val="24"/>
          <w:szCs w:val="24"/>
        </w:rPr>
        <w:t>-1</w:t>
      </w:r>
      <w:r>
        <w:rPr>
          <w:rFonts w:ascii="Arial" w:hAnsi="Arial" w:cs="Arial"/>
          <w:b/>
          <w:sz w:val="24"/>
          <w:szCs w:val="24"/>
        </w:rPr>
        <w:t>3</w:t>
      </w:r>
      <w:r w:rsidRPr="00A747B8">
        <w:rPr>
          <w:rFonts w:ascii="Arial" w:hAnsi="Arial" w:cs="Arial"/>
          <w:b/>
          <w:sz w:val="24"/>
          <w:szCs w:val="24"/>
        </w:rPr>
        <w:t xml:space="preserve"> academic session, held on </w:t>
      </w:r>
      <w:r>
        <w:rPr>
          <w:rFonts w:ascii="Arial" w:hAnsi="Arial" w:cs="Arial"/>
          <w:b/>
          <w:sz w:val="24"/>
          <w:szCs w:val="24"/>
        </w:rPr>
        <w:t>Thursday 18</w:t>
      </w:r>
      <w:r w:rsidRPr="007E2521">
        <w:rPr>
          <w:rFonts w:ascii="Arial" w:hAnsi="Arial" w:cs="Arial"/>
          <w:b/>
          <w:sz w:val="24"/>
          <w:szCs w:val="24"/>
          <w:vertAlign w:val="superscript"/>
        </w:rPr>
        <w:t>th</w:t>
      </w:r>
      <w:r>
        <w:rPr>
          <w:rFonts w:ascii="Arial" w:hAnsi="Arial" w:cs="Arial"/>
          <w:b/>
          <w:sz w:val="24"/>
          <w:szCs w:val="24"/>
        </w:rPr>
        <w:t xml:space="preserve"> October</w:t>
      </w:r>
      <w:r w:rsidRPr="00A747B8">
        <w:rPr>
          <w:rFonts w:ascii="Arial" w:hAnsi="Arial" w:cs="Arial"/>
          <w:b/>
          <w:sz w:val="24"/>
          <w:szCs w:val="24"/>
        </w:rPr>
        <w:t xml:space="preserve"> in </w:t>
      </w:r>
      <w:r>
        <w:rPr>
          <w:rFonts w:ascii="Arial" w:hAnsi="Arial" w:cs="Arial"/>
          <w:b/>
          <w:sz w:val="24"/>
          <w:szCs w:val="24"/>
        </w:rPr>
        <w:t>Seacole 109/10</w:t>
      </w:r>
      <w:r w:rsidRPr="00A747B8">
        <w:rPr>
          <w:rFonts w:ascii="Arial" w:hAnsi="Arial" w:cs="Arial"/>
          <w:b/>
          <w:sz w:val="24"/>
          <w:szCs w:val="24"/>
        </w:rPr>
        <w:t xml:space="preserve">, </w:t>
      </w:r>
      <w:r>
        <w:rPr>
          <w:rFonts w:ascii="Arial" w:hAnsi="Arial" w:cs="Arial"/>
          <w:b/>
          <w:sz w:val="24"/>
          <w:szCs w:val="24"/>
        </w:rPr>
        <w:t>Avery Hill Campus</w:t>
      </w:r>
    </w:p>
    <w:p w:rsidR="00C670E6" w:rsidRPr="00A747B8" w:rsidRDefault="00C670E6" w:rsidP="00B336A5">
      <w:pPr>
        <w:rPr>
          <w:rFonts w:ascii="Arial" w:hAnsi="Arial" w:cs="Arial"/>
          <w:sz w:val="24"/>
          <w:szCs w:val="24"/>
        </w:rPr>
      </w:pPr>
    </w:p>
    <w:tbl>
      <w:tblPr>
        <w:tblW w:w="0" w:type="auto"/>
        <w:tblLayout w:type="fixed"/>
        <w:tblLook w:val="01E0" w:firstRow="1" w:lastRow="1" w:firstColumn="1" w:lastColumn="1" w:noHBand="0" w:noVBand="0"/>
      </w:tblPr>
      <w:tblGrid>
        <w:gridCol w:w="2306"/>
        <w:gridCol w:w="2089"/>
        <w:gridCol w:w="5211"/>
      </w:tblGrid>
      <w:tr w:rsidR="00C670E6" w:rsidTr="005116F9">
        <w:trPr>
          <w:trHeight w:val="369"/>
        </w:trPr>
        <w:tc>
          <w:tcPr>
            <w:tcW w:w="2306" w:type="dxa"/>
            <w:vAlign w:val="center"/>
          </w:tcPr>
          <w:p w:rsidR="00C670E6" w:rsidRPr="00CA7635" w:rsidRDefault="00C670E6" w:rsidP="00B336A5">
            <w:pPr>
              <w:rPr>
                <w:rFonts w:ascii="Arial" w:hAnsi="Arial" w:cs="Arial"/>
                <w:sz w:val="20"/>
                <w:szCs w:val="20"/>
              </w:rPr>
            </w:pPr>
            <w:r w:rsidRPr="00CA7635">
              <w:rPr>
                <w:rFonts w:ascii="Arial" w:hAnsi="Arial" w:cs="Arial"/>
                <w:b/>
                <w:sz w:val="24"/>
                <w:szCs w:val="24"/>
              </w:rPr>
              <w:t>Present</w:t>
            </w:r>
            <w:r w:rsidRPr="00CA7635">
              <w:rPr>
                <w:rFonts w:ascii="Arial" w:hAnsi="Arial" w:cs="Arial"/>
                <w:sz w:val="20"/>
                <w:szCs w:val="20"/>
              </w:rPr>
              <w:t>:</w:t>
            </w: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S. Jarvis (Chair)</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Deputy Vice-Chancellor (Academic Development)</w:t>
            </w:r>
          </w:p>
        </w:tc>
      </w:tr>
      <w:tr w:rsidR="00C670E6" w:rsidTr="005116F9">
        <w:trPr>
          <w:trHeight w:val="207"/>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S. Naylor (Officer)</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QA Manager Learning and Quality Unit</w:t>
            </w:r>
          </w:p>
        </w:tc>
      </w:tr>
      <w:tr w:rsidR="00C670E6" w:rsidTr="005116F9">
        <w:trPr>
          <w:trHeight w:val="285"/>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D. Brander</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Vice President (Education), Students’ Union</w:t>
            </w:r>
          </w:p>
        </w:tc>
      </w:tr>
      <w:tr w:rsidR="00C670E6" w:rsidTr="005116F9">
        <w:trPr>
          <w:trHeight w:val="95"/>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W. Cealey Harrison</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Head of Learning and Quality Unit</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FB5110">
            <w:pPr>
              <w:rPr>
                <w:rFonts w:ascii="Arial" w:hAnsi="Arial" w:cs="Arial"/>
                <w:sz w:val="20"/>
                <w:szCs w:val="20"/>
              </w:rPr>
            </w:pPr>
            <w:r w:rsidRPr="00CA7635">
              <w:rPr>
                <w:rFonts w:ascii="Arial" w:hAnsi="Arial" w:cs="Arial"/>
                <w:sz w:val="20"/>
                <w:szCs w:val="20"/>
              </w:rPr>
              <w:t>C. Delage</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Architecture</w:t>
                  </w:r>
                </w:smartTag>
              </w:smartTag>
            </w:smartTag>
            <w:r w:rsidRPr="00CA7635">
              <w:rPr>
                <w:rFonts w:ascii="Arial" w:hAnsi="Arial" w:cs="Arial"/>
                <w:sz w:val="20"/>
                <w:szCs w:val="20"/>
              </w:rPr>
              <w:t>, Design and Construction</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J. Cullinane</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Business</w:t>
                  </w:r>
                </w:smartTag>
              </w:smartTag>
            </w:smartTag>
          </w:p>
        </w:tc>
      </w:tr>
      <w:tr w:rsidR="00C670E6" w:rsidTr="005116F9">
        <w:trPr>
          <w:trHeight w:val="159"/>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A. Grant</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Engineering</w:t>
                  </w:r>
                </w:smartTag>
              </w:smartTag>
            </w:smartTag>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V. Habgood</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DLQ, School Health and Social Care</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D. Hayes</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Head of Partnership Division</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C. Ierotheou</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r w:rsidRPr="00CA7635">
                <w:rPr>
                  <w:rFonts w:ascii="Arial" w:hAnsi="Arial" w:cs="Arial"/>
                  <w:sz w:val="20"/>
                  <w:szCs w:val="20"/>
                </w:rPr>
                <w:t>School</w:t>
              </w:r>
            </w:smartTag>
            <w:r w:rsidRPr="00CA7635">
              <w:rPr>
                <w:rFonts w:ascii="Arial" w:hAnsi="Arial" w:cs="Arial"/>
                <w:sz w:val="20"/>
                <w:szCs w:val="20"/>
              </w:rPr>
              <w:t xml:space="preserve"> of Computing &amp; Mathematical Sciences</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S. Leggatt</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 xml:space="preserve">Acting 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Education</w:t>
                  </w:r>
                </w:smartTag>
              </w:smartTag>
            </w:smartTag>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A. Murphy</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Head of Learning Services, ILS</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Z. Pe</w:t>
            </w:r>
            <w:r>
              <w:rPr>
                <w:rFonts w:ascii="Arial" w:hAnsi="Arial" w:cs="Arial"/>
                <w:sz w:val="20"/>
                <w:szCs w:val="20"/>
              </w:rPr>
              <w:t>t</w:t>
            </w:r>
            <w:r w:rsidRPr="00CA7635">
              <w:rPr>
                <w:rFonts w:ascii="Arial" w:hAnsi="Arial" w:cs="Arial"/>
                <w:sz w:val="20"/>
                <w:szCs w:val="20"/>
              </w:rPr>
              <w:t>tit</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DLQ, School of Humanities &amp; Social Sciences</w:t>
            </w:r>
          </w:p>
        </w:tc>
      </w:tr>
      <w:tr w:rsidR="00C670E6" w:rsidTr="005116F9">
        <w:trPr>
          <w:trHeight w:val="113"/>
        </w:trPr>
        <w:tc>
          <w:tcPr>
            <w:tcW w:w="2306" w:type="dxa"/>
            <w:vAlign w:val="center"/>
          </w:tcPr>
          <w:p w:rsidR="00C670E6" w:rsidRPr="00CA7635" w:rsidRDefault="00C670E6" w:rsidP="00B336A5">
            <w:pPr>
              <w:rPr>
                <w:rFonts w:ascii="Arial" w:hAnsi="Arial" w:cs="Arial"/>
                <w:sz w:val="20"/>
                <w:szCs w:val="20"/>
              </w:rPr>
            </w:pPr>
          </w:p>
        </w:tc>
        <w:tc>
          <w:tcPr>
            <w:tcW w:w="2089" w:type="dxa"/>
            <w:vAlign w:val="bottom"/>
          </w:tcPr>
          <w:p w:rsidR="00C670E6" w:rsidRPr="00CA7635" w:rsidRDefault="00C670E6" w:rsidP="005116F9">
            <w:pPr>
              <w:rPr>
                <w:rFonts w:ascii="Arial" w:hAnsi="Arial" w:cs="Arial"/>
                <w:sz w:val="20"/>
                <w:szCs w:val="20"/>
              </w:rPr>
            </w:pPr>
            <w:smartTag w:uri="urn:schemas-microsoft-com:office:smarttags" w:element="PlaceName">
              <w:smartTag w:uri="urn:schemas-microsoft-com:office:smarttags" w:element="place">
                <w:r w:rsidRPr="00CA7635">
                  <w:rPr>
                    <w:rFonts w:ascii="Arial" w:hAnsi="Arial" w:cs="Arial"/>
                    <w:sz w:val="20"/>
                    <w:szCs w:val="20"/>
                  </w:rPr>
                  <w:t>S. Walker</w:t>
                </w:r>
              </w:smartTag>
            </w:smartTag>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Head of Educational Development Unit</w:t>
            </w:r>
          </w:p>
        </w:tc>
      </w:tr>
      <w:tr w:rsidR="00C670E6" w:rsidTr="005116F9">
        <w:tc>
          <w:tcPr>
            <w:tcW w:w="2306" w:type="dxa"/>
            <w:vAlign w:val="center"/>
          </w:tcPr>
          <w:p w:rsidR="00C670E6" w:rsidRPr="00CA7635" w:rsidRDefault="00C670E6" w:rsidP="00B336A5">
            <w:pPr>
              <w:rPr>
                <w:rFonts w:ascii="Arial" w:hAnsi="Arial" w:cs="Arial"/>
                <w:b/>
                <w:sz w:val="24"/>
                <w:szCs w:val="24"/>
              </w:rPr>
            </w:pPr>
            <w:r w:rsidRPr="00CA7635">
              <w:rPr>
                <w:rFonts w:ascii="Arial" w:hAnsi="Arial" w:cs="Arial"/>
                <w:b/>
                <w:sz w:val="24"/>
                <w:szCs w:val="24"/>
              </w:rPr>
              <w:t>Apologies</w:t>
            </w:r>
          </w:p>
        </w:tc>
        <w:tc>
          <w:tcPr>
            <w:tcW w:w="2089"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D. Sheppard</w:t>
            </w:r>
          </w:p>
        </w:tc>
        <w:tc>
          <w:tcPr>
            <w:tcW w:w="5211" w:type="dxa"/>
            <w:vAlign w:val="bottom"/>
          </w:tcPr>
          <w:p w:rsidR="00C670E6" w:rsidRPr="00CA7635" w:rsidRDefault="00C670E6" w:rsidP="005116F9">
            <w:pPr>
              <w:rPr>
                <w:rFonts w:ascii="Arial" w:hAnsi="Arial" w:cs="Arial"/>
                <w:sz w:val="20"/>
                <w:szCs w:val="20"/>
              </w:rPr>
            </w:pPr>
            <w:r w:rsidRPr="00CA7635">
              <w:rPr>
                <w:rFonts w:ascii="Arial" w:hAnsi="Arial" w:cs="Arial"/>
                <w:sz w:val="20"/>
                <w:szCs w:val="20"/>
              </w:rPr>
              <w:t xml:space="preserve">SQAO,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Business</w:t>
                  </w:r>
                </w:smartTag>
              </w:smartTag>
            </w:smartTag>
          </w:p>
        </w:tc>
      </w:tr>
    </w:tbl>
    <w:p w:rsidR="00C670E6" w:rsidRDefault="00C670E6">
      <w:r>
        <w:br w:type="page"/>
      </w:r>
    </w:p>
    <w:tbl>
      <w:tblPr>
        <w:tblW w:w="10008" w:type="dxa"/>
        <w:tblLayout w:type="fixed"/>
        <w:tblLook w:val="01E0" w:firstRow="1" w:lastRow="1" w:firstColumn="1" w:lastColumn="1" w:noHBand="0" w:noVBand="0"/>
      </w:tblPr>
      <w:tblGrid>
        <w:gridCol w:w="1548"/>
        <w:gridCol w:w="7380"/>
        <w:gridCol w:w="1080"/>
      </w:tblGrid>
      <w:tr w:rsidR="00C670E6" w:rsidTr="008F6BE1">
        <w:tc>
          <w:tcPr>
            <w:tcW w:w="1548" w:type="dxa"/>
          </w:tcPr>
          <w:p w:rsidR="00C670E6" w:rsidRPr="00CA7635" w:rsidRDefault="00C670E6" w:rsidP="00FB5110">
            <w:pPr>
              <w:spacing w:after="240"/>
              <w:jc w:val="both"/>
              <w:rPr>
                <w:rFonts w:ascii="Arial" w:hAnsi="Arial" w:cs="Arial"/>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1</w:t>
            </w:r>
          </w:p>
        </w:tc>
        <w:tc>
          <w:tcPr>
            <w:tcW w:w="7380" w:type="dxa"/>
          </w:tcPr>
          <w:p w:rsidR="00C670E6" w:rsidRPr="00CA7635" w:rsidRDefault="00C670E6" w:rsidP="00CA7635">
            <w:pPr>
              <w:spacing w:after="240"/>
              <w:rPr>
                <w:rFonts w:ascii="Arial" w:hAnsi="Arial" w:cs="Arial"/>
                <w:sz w:val="24"/>
                <w:szCs w:val="24"/>
              </w:rPr>
            </w:pPr>
            <w:r w:rsidRPr="00CA7635">
              <w:rPr>
                <w:rFonts w:ascii="Arial" w:hAnsi="Arial" w:cs="Arial"/>
                <w:b/>
                <w:sz w:val="24"/>
                <w:szCs w:val="24"/>
              </w:rPr>
              <w:t>Items from Chair</w:t>
            </w:r>
          </w:p>
        </w:tc>
        <w:tc>
          <w:tcPr>
            <w:tcW w:w="1080" w:type="dxa"/>
          </w:tcPr>
          <w:p w:rsidR="00C670E6" w:rsidRPr="00CA7635" w:rsidRDefault="00C670E6" w:rsidP="00CA7635">
            <w:pPr>
              <w:spacing w:after="240"/>
              <w:rPr>
                <w:rFonts w:ascii="Arial" w:hAnsi="Arial" w:cs="Arial"/>
                <w:sz w:val="24"/>
                <w:szCs w:val="24"/>
              </w:rPr>
            </w:pPr>
          </w:p>
        </w:tc>
      </w:tr>
      <w:tr w:rsidR="00C670E6" w:rsidTr="008F6BE1">
        <w:tc>
          <w:tcPr>
            <w:tcW w:w="1548" w:type="dxa"/>
          </w:tcPr>
          <w:p w:rsidR="00C670E6" w:rsidRPr="00CA7635" w:rsidRDefault="00C670E6" w:rsidP="00CA7635">
            <w:pPr>
              <w:spacing w:after="240"/>
              <w:jc w:val="right"/>
              <w:rPr>
                <w:rFonts w:ascii="Arial" w:hAnsi="Arial" w:cs="Arial"/>
                <w:sz w:val="24"/>
                <w:szCs w:val="24"/>
              </w:rPr>
            </w:pPr>
            <w:r w:rsidRPr="00CA7635">
              <w:rPr>
                <w:rFonts w:ascii="Arial" w:hAnsi="Arial" w:cs="Arial"/>
                <w:sz w:val="24"/>
                <w:szCs w:val="24"/>
              </w:rPr>
              <w:t>1.1</w:t>
            </w:r>
          </w:p>
        </w:tc>
        <w:tc>
          <w:tcPr>
            <w:tcW w:w="7380" w:type="dxa"/>
          </w:tcPr>
          <w:p w:rsidR="00C670E6" w:rsidRPr="00CA7635" w:rsidRDefault="00C670E6" w:rsidP="00E1526B">
            <w:pPr>
              <w:spacing w:after="240"/>
              <w:rPr>
                <w:rFonts w:ascii="Arial" w:hAnsi="Arial" w:cs="Arial"/>
                <w:sz w:val="24"/>
                <w:szCs w:val="24"/>
              </w:rPr>
            </w:pPr>
            <w:r w:rsidRPr="0061224D">
              <w:rPr>
                <w:rFonts w:ascii="Arial" w:hAnsi="Arial" w:cs="Arial"/>
                <w:b/>
                <w:color w:val="FF0000"/>
                <w:sz w:val="24"/>
                <w:szCs w:val="24"/>
              </w:rPr>
              <w:t>SMRD</w:t>
            </w:r>
            <w:r>
              <w:rPr>
                <w:rFonts w:ascii="Arial" w:hAnsi="Arial" w:cs="Arial"/>
                <w:sz w:val="24"/>
                <w:szCs w:val="24"/>
              </w:rPr>
              <w:t>:  LQC noted that data for the 2011-12 SMRD has been sent to Deans and represented the position at the end of July 2012. Submission of the Report is due by 30/11/2012.  If members wished to reflect on the final position following resits, they were advised to consult SAP reports for consideration of outcomes at Course Level for the previous session.</w:t>
            </w:r>
          </w:p>
        </w:tc>
        <w:tc>
          <w:tcPr>
            <w:tcW w:w="1080" w:type="dxa"/>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jc w:val="right"/>
              <w:rPr>
                <w:rFonts w:ascii="Arial" w:hAnsi="Arial" w:cs="Arial"/>
                <w:sz w:val="24"/>
                <w:szCs w:val="24"/>
              </w:rPr>
            </w:pPr>
            <w:r w:rsidRPr="00CA7635">
              <w:rPr>
                <w:rFonts w:ascii="Arial" w:hAnsi="Arial" w:cs="Arial"/>
                <w:sz w:val="24"/>
                <w:szCs w:val="24"/>
              </w:rPr>
              <w:t>1.2</w:t>
            </w:r>
          </w:p>
        </w:tc>
        <w:tc>
          <w:tcPr>
            <w:tcW w:w="7380" w:type="dxa"/>
          </w:tcPr>
          <w:p w:rsidR="00C670E6" w:rsidRPr="00CA7635" w:rsidRDefault="00C670E6" w:rsidP="00E1526B">
            <w:pPr>
              <w:spacing w:after="240"/>
              <w:rPr>
                <w:rFonts w:ascii="Arial" w:hAnsi="Arial" w:cs="Arial"/>
                <w:sz w:val="24"/>
                <w:szCs w:val="24"/>
              </w:rPr>
            </w:pPr>
            <w:r w:rsidRPr="0061224D">
              <w:rPr>
                <w:rFonts w:ascii="Arial" w:hAnsi="Arial" w:cs="Arial"/>
                <w:b/>
                <w:color w:val="FF0000"/>
                <w:sz w:val="24"/>
                <w:szCs w:val="24"/>
              </w:rPr>
              <w:t>Portfolio Review</w:t>
            </w:r>
            <w:r>
              <w:rPr>
                <w:rFonts w:ascii="Arial" w:hAnsi="Arial" w:cs="Arial"/>
                <w:sz w:val="24"/>
                <w:szCs w:val="24"/>
              </w:rPr>
              <w:t>:  LQC was requested to note that the VCO is gathering data with respect to the extent to which programmes are meeting student number targets and the overall timely progression of cohorts from year to year. This data combined with KIS and academic dashboards will feed into a portfolio review and the need to have a continued rationalisation of the University’s portfolio of programmes and the identification of programmes that can grow.</w:t>
            </w:r>
          </w:p>
        </w:tc>
        <w:tc>
          <w:tcPr>
            <w:tcW w:w="1080" w:type="dxa"/>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rPr>
                <w:rFonts w:ascii="Arial" w:hAnsi="Arial" w:cs="Arial"/>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2</w:t>
            </w:r>
          </w:p>
        </w:tc>
        <w:tc>
          <w:tcPr>
            <w:tcW w:w="7380" w:type="dxa"/>
          </w:tcPr>
          <w:p w:rsidR="00C670E6" w:rsidRPr="00CA7635" w:rsidRDefault="00C670E6" w:rsidP="00CA7635">
            <w:pPr>
              <w:spacing w:after="240"/>
              <w:rPr>
                <w:rFonts w:ascii="Arial" w:hAnsi="Arial" w:cs="Arial"/>
                <w:sz w:val="24"/>
                <w:szCs w:val="24"/>
              </w:rPr>
            </w:pPr>
            <w:r w:rsidRPr="00CA7635">
              <w:rPr>
                <w:rFonts w:ascii="Arial" w:hAnsi="Arial" w:cs="Arial"/>
                <w:b/>
                <w:sz w:val="24"/>
                <w:szCs w:val="24"/>
              </w:rPr>
              <w:t>Minutes of the Previous Meeting</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p>
        </w:tc>
        <w:tc>
          <w:tcPr>
            <w:tcW w:w="7380" w:type="dxa"/>
          </w:tcPr>
          <w:p w:rsidR="00C670E6" w:rsidRPr="000E2630" w:rsidRDefault="00C670E6" w:rsidP="00CA7635">
            <w:pPr>
              <w:spacing w:after="240"/>
              <w:rPr>
                <w:rFonts w:ascii="Arial" w:hAnsi="Arial" w:cs="Arial"/>
                <w:sz w:val="24"/>
                <w:szCs w:val="24"/>
              </w:rPr>
            </w:pPr>
            <w:r w:rsidRPr="000E2630">
              <w:rPr>
                <w:rFonts w:ascii="Arial" w:hAnsi="Arial" w:cs="Arial"/>
                <w:sz w:val="24"/>
                <w:szCs w:val="24"/>
              </w:rPr>
              <w:t>The minutes of the meeting of 19</w:t>
            </w:r>
            <w:r w:rsidRPr="000E2630">
              <w:rPr>
                <w:rFonts w:ascii="Arial" w:hAnsi="Arial" w:cs="Arial"/>
                <w:sz w:val="24"/>
                <w:szCs w:val="24"/>
                <w:vertAlign w:val="superscript"/>
              </w:rPr>
              <w:t>th</w:t>
            </w:r>
            <w:r w:rsidRPr="000E2630">
              <w:rPr>
                <w:rFonts w:ascii="Arial" w:hAnsi="Arial" w:cs="Arial"/>
                <w:sz w:val="24"/>
                <w:szCs w:val="24"/>
              </w:rPr>
              <w:t xml:space="preserve"> September were agreed as a correct record subject to corrections to </w:t>
            </w:r>
            <w:r>
              <w:rPr>
                <w:rFonts w:ascii="Arial" w:hAnsi="Arial" w:cs="Arial"/>
                <w:sz w:val="24"/>
                <w:szCs w:val="24"/>
              </w:rPr>
              <w:t>some errors in respect of</w:t>
            </w:r>
            <w:r w:rsidRPr="000E2630">
              <w:rPr>
                <w:rFonts w:ascii="Arial" w:hAnsi="Arial" w:cs="Arial"/>
                <w:sz w:val="24"/>
                <w:szCs w:val="24"/>
              </w:rPr>
              <w:t xml:space="preserve"> member’s surnames and position</w:t>
            </w:r>
            <w:r>
              <w:rPr>
                <w:rFonts w:ascii="Arial" w:hAnsi="Arial" w:cs="Arial"/>
                <w:sz w:val="24"/>
                <w:szCs w:val="24"/>
              </w:rPr>
              <w:t>.</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.3</w:t>
            </w:r>
          </w:p>
        </w:tc>
        <w:tc>
          <w:tcPr>
            <w:tcW w:w="7380" w:type="dxa"/>
          </w:tcPr>
          <w:p w:rsidR="00C670E6" w:rsidRPr="00CA7635" w:rsidRDefault="00C670E6" w:rsidP="00CA7635">
            <w:pPr>
              <w:spacing w:after="240"/>
              <w:rPr>
                <w:rFonts w:ascii="Arial" w:hAnsi="Arial" w:cs="Arial"/>
                <w:b/>
                <w:sz w:val="24"/>
                <w:szCs w:val="24"/>
              </w:rPr>
            </w:pPr>
            <w:r w:rsidRPr="00CA7635">
              <w:rPr>
                <w:rFonts w:ascii="Arial" w:hAnsi="Arial" w:cs="Arial"/>
                <w:b/>
                <w:sz w:val="24"/>
                <w:szCs w:val="24"/>
              </w:rPr>
              <w:t>Matters arising from the Minutes</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jc w:val="right"/>
              <w:rPr>
                <w:rFonts w:ascii="Arial" w:hAnsi="Arial" w:cs="Arial"/>
                <w:sz w:val="24"/>
                <w:szCs w:val="24"/>
              </w:rPr>
            </w:pPr>
            <w:r w:rsidRPr="00CA7635">
              <w:rPr>
                <w:rFonts w:ascii="Arial" w:hAnsi="Arial" w:cs="Arial"/>
                <w:sz w:val="24"/>
                <w:szCs w:val="24"/>
              </w:rPr>
              <w:t>3.1</w:t>
            </w:r>
          </w:p>
        </w:tc>
        <w:tc>
          <w:tcPr>
            <w:tcW w:w="7380" w:type="dxa"/>
          </w:tcPr>
          <w:p w:rsidR="00C670E6" w:rsidRPr="0061224D" w:rsidRDefault="00C670E6" w:rsidP="00CA3106">
            <w:pPr>
              <w:spacing w:after="240"/>
              <w:rPr>
                <w:rFonts w:ascii="Arial" w:hAnsi="Arial" w:cs="Arial"/>
                <w:sz w:val="24"/>
                <w:szCs w:val="24"/>
              </w:rPr>
            </w:pPr>
            <w:r w:rsidRPr="0061224D">
              <w:rPr>
                <w:rFonts w:ascii="Arial" w:hAnsi="Arial" w:cs="Arial"/>
                <w:sz w:val="24"/>
                <w:szCs w:val="24"/>
              </w:rPr>
              <w:t>12/3.3 refers:  The VLE Working Group placed phantom sites on its agenda though all recognised that no easy automated solution is available to remove phantom Moodle sites.   Schools retain responsibility for checking and ensuring that course materials are attached to the correct sites</w:t>
            </w:r>
            <w:r>
              <w:rPr>
                <w:rFonts w:ascii="Arial" w:hAnsi="Arial" w:cs="Arial"/>
                <w:sz w:val="24"/>
                <w:szCs w:val="24"/>
              </w:rPr>
              <w:t>.</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jc w:val="right"/>
              <w:rPr>
                <w:rFonts w:ascii="Arial" w:hAnsi="Arial" w:cs="Arial"/>
                <w:sz w:val="24"/>
                <w:szCs w:val="24"/>
              </w:rPr>
            </w:pPr>
            <w:r w:rsidRPr="00CA7635">
              <w:rPr>
                <w:rFonts w:ascii="Arial" w:hAnsi="Arial" w:cs="Arial"/>
                <w:sz w:val="24"/>
                <w:szCs w:val="24"/>
              </w:rPr>
              <w:t>3.2</w:t>
            </w:r>
          </w:p>
        </w:tc>
        <w:tc>
          <w:tcPr>
            <w:tcW w:w="7380" w:type="dxa"/>
          </w:tcPr>
          <w:p w:rsidR="00C670E6" w:rsidRPr="0061224D" w:rsidRDefault="00C670E6" w:rsidP="007829C9">
            <w:pPr>
              <w:spacing w:after="240"/>
              <w:rPr>
                <w:rFonts w:ascii="Arial" w:hAnsi="Arial" w:cs="Arial"/>
                <w:sz w:val="24"/>
                <w:szCs w:val="24"/>
              </w:rPr>
            </w:pPr>
            <w:r w:rsidRPr="0061224D">
              <w:rPr>
                <w:rFonts w:ascii="Arial" w:hAnsi="Arial" w:cs="Arial"/>
                <w:sz w:val="24"/>
                <w:szCs w:val="24"/>
              </w:rPr>
              <w:t xml:space="preserve">12/4 refers:  EDU has registered interest with </w:t>
            </w:r>
            <w:smartTag w:uri="urn:schemas-microsoft-com:office:smarttags" w:element="place">
              <w:smartTag w:uri="urn:schemas-microsoft-com:office:smarttags" w:element="PlaceName">
                <w:r w:rsidRPr="0061224D">
                  <w:rPr>
                    <w:rFonts w:ascii="Arial" w:hAnsi="Arial" w:cs="Arial"/>
                    <w:sz w:val="24"/>
                    <w:szCs w:val="24"/>
                  </w:rPr>
                  <w:t>Higher</w:t>
                </w:r>
              </w:smartTag>
              <w:r w:rsidRPr="0061224D">
                <w:rPr>
                  <w:rFonts w:ascii="Arial" w:hAnsi="Arial" w:cs="Arial"/>
                  <w:sz w:val="24"/>
                  <w:szCs w:val="24"/>
                </w:rPr>
                <w:t xml:space="preserve"> </w:t>
              </w:r>
              <w:smartTag w:uri="urn:schemas-microsoft-com:office:smarttags" w:element="PlaceName">
                <w:r w:rsidRPr="0061224D">
                  <w:rPr>
                    <w:rFonts w:ascii="Arial" w:hAnsi="Arial" w:cs="Arial"/>
                    <w:sz w:val="24"/>
                    <w:szCs w:val="24"/>
                  </w:rPr>
                  <w:t>Education</w:t>
                </w:r>
              </w:smartTag>
              <w:r w:rsidRPr="0061224D">
                <w:rPr>
                  <w:rFonts w:ascii="Arial" w:hAnsi="Arial" w:cs="Arial"/>
                  <w:sz w:val="24"/>
                  <w:szCs w:val="24"/>
                </w:rPr>
                <w:t xml:space="preserve"> </w:t>
              </w:r>
              <w:smartTag w:uri="urn:schemas-microsoft-com:office:smarttags" w:element="PlaceType">
                <w:r w:rsidRPr="0061224D">
                  <w:rPr>
                    <w:rFonts w:ascii="Arial" w:hAnsi="Arial" w:cs="Arial"/>
                    <w:sz w:val="24"/>
                    <w:szCs w:val="24"/>
                  </w:rPr>
                  <w:t>Academy</w:t>
                </w:r>
              </w:smartTag>
            </w:smartTag>
            <w:r w:rsidRPr="0061224D">
              <w:rPr>
                <w:rFonts w:ascii="Arial" w:hAnsi="Arial" w:cs="Arial"/>
                <w:sz w:val="24"/>
                <w:szCs w:val="24"/>
              </w:rPr>
              <w:t xml:space="preserve"> for participation in </w:t>
            </w:r>
            <w:r>
              <w:rPr>
                <w:rFonts w:ascii="Arial" w:hAnsi="Arial" w:cs="Arial"/>
                <w:sz w:val="24"/>
                <w:szCs w:val="24"/>
              </w:rPr>
              <w:t>Postgraduate Taught Experience Survey.  PAS have agreed to identify cost and will contact DVC (Academic Development) for final confirmation to engage in the survey in 2012/13.</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424A89" w:rsidRDefault="00C670E6" w:rsidP="00CA7635">
            <w:pPr>
              <w:spacing w:after="240"/>
              <w:jc w:val="right"/>
              <w:rPr>
                <w:rFonts w:ascii="Arial" w:hAnsi="Arial" w:cs="Arial"/>
                <w:b/>
                <w:color w:val="FF0000"/>
                <w:sz w:val="24"/>
                <w:szCs w:val="24"/>
              </w:rPr>
            </w:pPr>
            <w:r w:rsidRPr="00424A89">
              <w:rPr>
                <w:rFonts w:ascii="Arial" w:hAnsi="Arial" w:cs="Arial"/>
                <w:b/>
                <w:color w:val="FF0000"/>
                <w:sz w:val="24"/>
                <w:szCs w:val="24"/>
              </w:rPr>
              <w:t>Action</w:t>
            </w:r>
          </w:p>
        </w:tc>
        <w:tc>
          <w:tcPr>
            <w:tcW w:w="7380" w:type="dxa"/>
          </w:tcPr>
          <w:p w:rsidR="00C670E6" w:rsidRPr="00424A89" w:rsidRDefault="00C670E6" w:rsidP="00454D5E">
            <w:pPr>
              <w:spacing w:after="240"/>
              <w:rPr>
                <w:rFonts w:ascii="Arial" w:hAnsi="Arial" w:cs="Arial"/>
                <w:b/>
                <w:color w:val="FF0000"/>
                <w:sz w:val="24"/>
                <w:szCs w:val="24"/>
              </w:rPr>
            </w:pPr>
            <w:r w:rsidRPr="00424A89">
              <w:rPr>
                <w:rFonts w:ascii="Arial" w:hAnsi="Arial" w:cs="Arial"/>
                <w:b/>
                <w:color w:val="FF0000"/>
                <w:sz w:val="24"/>
                <w:szCs w:val="24"/>
              </w:rPr>
              <w:t xml:space="preserve">PAS to confirm participation in </w:t>
            </w:r>
            <w:r>
              <w:rPr>
                <w:rFonts w:ascii="Arial" w:hAnsi="Arial" w:cs="Arial"/>
                <w:b/>
                <w:color w:val="FF0000"/>
                <w:sz w:val="24"/>
                <w:szCs w:val="24"/>
              </w:rPr>
              <w:t xml:space="preserve">PTES </w:t>
            </w:r>
            <w:r w:rsidRPr="00424A89">
              <w:rPr>
                <w:rFonts w:ascii="Arial" w:hAnsi="Arial" w:cs="Arial"/>
                <w:b/>
                <w:color w:val="FF0000"/>
                <w:sz w:val="24"/>
                <w:szCs w:val="24"/>
              </w:rPr>
              <w:t>as a matter of priority</w:t>
            </w:r>
          </w:p>
        </w:tc>
        <w:tc>
          <w:tcPr>
            <w:tcW w:w="1080" w:type="dxa"/>
            <w:tcBorders>
              <w:left w:val="nil"/>
            </w:tcBorders>
          </w:tcPr>
          <w:p w:rsidR="00C670E6" w:rsidRPr="00424A89" w:rsidRDefault="00C670E6" w:rsidP="00CA7635">
            <w:pPr>
              <w:spacing w:after="240"/>
              <w:rPr>
                <w:rFonts w:ascii="Arial" w:hAnsi="Arial" w:cs="Arial"/>
                <w:b/>
                <w:color w:val="FF0000"/>
                <w:sz w:val="24"/>
                <w:szCs w:val="24"/>
              </w:rPr>
            </w:pPr>
            <w:r w:rsidRPr="00424A89">
              <w:rPr>
                <w:rFonts w:ascii="Arial" w:hAnsi="Arial" w:cs="Arial"/>
                <w:b/>
                <w:color w:val="FF0000"/>
                <w:sz w:val="24"/>
                <w:szCs w:val="24"/>
              </w:rPr>
              <w:t>PAS</w:t>
            </w:r>
          </w:p>
        </w:tc>
      </w:tr>
      <w:tr w:rsidR="00C670E6" w:rsidTr="002369A4">
        <w:tc>
          <w:tcPr>
            <w:tcW w:w="1548" w:type="dxa"/>
          </w:tcPr>
          <w:p w:rsidR="00C670E6" w:rsidRPr="00CA7635" w:rsidRDefault="00C670E6" w:rsidP="00CA7635">
            <w:pPr>
              <w:spacing w:after="240"/>
              <w:jc w:val="right"/>
              <w:rPr>
                <w:rFonts w:ascii="Arial" w:hAnsi="Arial" w:cs="Arial"/>
                <w:sz w:val="24"/>
                <w:szCs w:val="24"/>
              </w:rPr>
            </w:pPr>
            <w:r w:rsidRPr="00CA7635">
              <w:rPr>
                <w:rFonts w:ascii="Arial" w:hAnsi="Arial" w:cs="Arial"/>
                <w:sz w:val="24"/>
                <w:szCs w:val="24"/>
              </w:rPr>
              <w:t>3.3</w:t>
            </w:r>
          </w:p>
        </w:tc>
        <w:tc>
          <w:tcPr>
            <w:tcW w:w="7380" w:type="dxa"/>
          </w:tcPr>
          <w:p w:rsidR="00C670E6" w:rsidRDefault="00C670E6" w:rsidP="00E1526B">
            <w:pPr>
              <w:spacing w:after="240"/>
              <w:rPr>
                <w:rFonts w:ascii="Arial" w:hAnsi="Arial" w:cs="Arial"/>
                <w:sz w:val="24"/>
                <w:szCs w:val="24"/>
              </w:rPr>
            </w:pPr>
            <w:r>
              <w:rPr>
                <w:rFonts w:ascii="Arial" w:hAnsi="Arial" w:cs="Arial"/>
                <w:sz w:val="24"/>
                <w:szCs w:val="24"/>
              </w:rPr>
              <w:t>12/4 refers:  The Chair reminded all members that new examiners need to be in place well before 31</w:t>
            </w:r>
            <w:r w:rsidRPr="000B4563">
              <w:rPr>
                <w:rFonts w:ascii="Arial" w:hAnsi="Arial" w:cs="Arial"/>
                <w:sz w:val="24"/>
                <w:szCs w:val="24"/>
                <w:vertAlign w:val="superscript"/>
              </w:rPr>
              <w:t>st</w:t>
            </w:r>
            <w:r>
              <w:rPr>
                <w:rFonts w:ascii="Arial" w:hAnsi="Arial" w:cs="Arial"/>
                <w:sz w:val="24"/>
                <w:szCs w:val="24"/>
              </w:rPr>
              <w:t xml:space="preserve"> December deadline to provide course and assessment coverage of term 2 and 3 courses.  Members were requested to ensure School agendas consider the replacement for outgoing examiners and extensions where </w:t>
            </w:r>
            <w:r>
              <w:rPr>
                <w:rFonts w:ascii="Arial" w:hAnsi="Arial" w:cs="Arial"/>
                <w:sz w:val="24"/>
                <w:szCs w:val="24"/>
              </w:rPr>
              <w:lastRenderedPageBreak/>
              <w:t>appropriate and inform the LQU as a matter of priority.</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jc w:val="right"/>
              <w:rPr>
                <w:rFonts w:ascii="Arial" w:hAnsi="Arial" w:cs="Arial"/>
                <w:sz w:val="24"/>
                <w:szCs w:val="24"/>
              </w:rPr>
            </w:pPr>
            <w:r>
              <w:rPr>
                <w:rFonts w:ascii="Arial" w:hAnsi="Arial" w:cs="Arial"/>
                <w:sz w:val="24"/>
                <w:szCs w:val="24"/>
              </w:rPr>
              <w:lastRenderedPageBreak/>
              <w:t>3.4</w:t>
            </w:r>
          </w:p>
        </w:tc>
        <w:tc>
          <w:tcPr>
            <w:tcW w:w="7380" w:type="dxa"/>
          </w:tcPr>
          <w:p w:rsidR="00C670E6" w:rsidRDefault="00C670E6" w:rsidP="00772D24">
            <w:pPr>
              <w:spacing w:after="240"/>
              <w:rPr>
                <w:rFonts w:ascii="Arial" w:hAnsi="Arial" w:cs="Arial"/>
                <w:sz w:val="24"/>
                <w:szCs w:val="24"/>
              </w:rPr>
            </w:pPr>
            <w:r>
              <w:rPr>
                <w:rFonts w:ascii="Arial" w:hAnsi="Arial" w:cs="Arial"/>
                <w:sz w:val="24"/>
                <w:szCs w:val="24"/>
              </w:rPr>
              <w:t>12.7.3 refers:  The Chair noted that he has discussed the University website with the University Secretary and the Director of Development and Communications.  LQU noted that the Head of Marketing has contacted the LQU and is also reviewing the outcomes of the review of Quality Code Section C from the point of view of the University web.</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44568B" w:rsidRDefault="00C670E6" w:rsidP="00CA7635">
            <w:pPr>
              <w:spacing w:after="240"/>
              <w:jc w:val="right"/>
              <w:rPr>
                <w:rFonts w:ascii="Arial" w:hAnsi="Arial" w:cs="Arial"/>
                <w:b/>
                <w:color w:val="FF0000"/>
                <w:sz w:val="24"/>
                <w:szCs w:val="24"/>
              </w:rPr>
            </w:pPr>
            <w:r w:rsidRPr="0044568B">
              <w:rPr>
                <w:rFonts w:ascii="Arial" w:hAnsi="Arial" w:cs="Arial"/>
                <w:b/>
                <w:color w:val="FF0000"/>
                <w:sz w:val="24"/>
                <w:szCs w:val="24"/>
              </w:rPr>
              <w:t>Action</w:t>
            </w:r>
          </w:p>
        </w:tc>
        <w:tc>
          <w:tcPr>
            <w:tcW w:w="7380" w:type="dxa"/>
          </w:tcPr>
          <w:p w:rsidR="00C670E6" w:rsidRPr="0044568B" w:rsidRDefault="00C670E6" w:rsidP="00772D24">
            <w:pPr>
              <w:spacing w:after="240"/>
              <w:rPr>
                <w:rFonts w:ascii="Arial" w:hAnsi="Arial" w:cs="Arial"/>
                <w:b/>
                <w:color w:val="FF0000"/>
                <w:sz w:val="24"/>
                <w:szCs w:val="24"/>
              </w:rPr>
            </w:pPr>
            <w:r w:rsidRPr="0044568B">
              <w:rPr>
                <w:rFonts w:ascii="Arial" w:hAnsi="Arial" w:cs="Arial"/>
                <w:b/>
                <w:color w:val="FF0000"/>
                <w:sz w:val="24"/>
                <w:szCs w:val="24"/>
              </w:rPr>
              <w:t>AOB Refers: LQU will request from appropriate parties a statement to all Partners reminding them of their obligations in respect of UKBA for the small number of overseas students who register at the Partner and then transfer to the University.</w:t>
            </w:r>
          </w:p>
        </w:tc>
        <w:tc>
          <w:tcPr>
            <w:tcW w:w="1080" w:type="dxa"/>
            <w:tcBorders>
              <w:left w:val="nil"/>
            </w:tcBorders>
          </w:tcPr>
          <w:p w:rsidR="00C670E6" w:rsidRPr="0044568B" w:rsidRDefault="00C670E6" w:rsidP="00CA7635">
            <w:pPr>
              <w:spacing w:after="240"/>
              <w:rPr>
                <w:rFonts w:ascii="Arial" w:hAnsi="Arial" w:cs="Arial"/>
                <w:b/>
                <w:color w:val="FF0000"/>
                <w:sz w:val="24"/>
                <w:szCs w:val="24"/>
              </w:rPr>
            </w:pPr>
            <w:r w:rsidRPr="0044568B">
              <w:rPr>
                <w:rFonts w:ascii="Arial" w:hAnsi="Arial" w:cs="Arial"/>
                <w:b/>
                <w:color w:val="FF0000"/>
                <w:sz w:val="24"/>
                <w:szCs w:val="24"/>
              </w:rPr>
              <w:t>LQU</w:t>
            </w:r>
          </w:p>
        </w:tc>
      </w:tr>
      <w:tr w:rsidR="00C670E6" w:rsidTr="002369A4">
        <w:tc>
          <w:tcPr>
            <w:tcW w:w="1548" w:type="dxa"/>
          </w:tcPr>
          <w:p w:rsidR="00C670E6" w:rsidRPr="00CA7635" w:rsidRDefault="00C670E6" w:rsidP="00CA7635">
            <w:pPr>
              <w:spacing w:after="240"/>
              <w:rPr>
                <w:rFonts w:ascii="Arial" w:hAnsi="Arial" w:cs="Arial"/>
                <w:b/>
                <w:color w:val="FF0000"/>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.4</w:t>
            </w:r>
          </w:p>
        </w:tc>
        <w:tc>
          <w:tcPr>
            <w:tcW w:w="7380" w:type="dxa"/>
          </w:tcPr>
          <w:p w:rsidR="00C670E6" w:rsidRPr="00CA7635" w:rsidRDefault="00C670E6" w:rsidP="00CA7635">
            <w:pPr>
              <w:spacing w:after="240"/>
              <w:rPr>
                <w:rFonts w:ascii="Arial" w:hAnsi="Arial" w:cs="Arial"/>
                <w:b/>
                <w:sz w:val="24"/>
                <w:szCs w:val="24"/>
              </w:rPr>
            </w:pPr>
            <w:r>
              <w:rPr>
                <w:rFonts w:ascii="Arial" w:hAnsi="Arial" w:cs="Arial"/>
                <w:b/>
                <w:sz w:val="24"/>
                <w:szCs w:val="24"/>
              </w:rPr>
              <w:t>University Learning, Teaching and Assessment Policy</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p>
        </w:tc>
        <w:tc>
          <w:tcPr>
            <w:tcW w:w="7380" w:type="dxa"/>
          </w:tcPr>
          <w:p w:rsidR="00C670E6" w:rsidRDefault="00C670E6" w:rsidP="00D912B6">
            <w:pPr>
              <w:spacing w:after="240"/>
              <w:rPr>
                <w:rFonts w:ascii="Arial" w:hAnsi="Arial" w:cs="Arial"/>
                <w:sz w:val="24"/>
                <w:szCs w:val="24"/>
              </w:rPr>
            </w:pPr>
            <w:r>
              <w:rPr>
                <w:rFonts w:ascii="Arial" w:hAnsi="Arial" w:cs="Arial"/>
                <w:sz w:val="24"/>
                <w:szCs w:val="24"/>
              </w:rPr>
              <w:t>The Committee received the final draft of the University’s Learning, Teaching and Assessment Strategy, whose recent revisions have been aimed at incorporating the principles of the Strategic Plan 21012 -2017 and to focus on “engagement”, both student and staff, as an underlying philosophy.  The Committee endorsed the Strategy with some comment on the use of “feed-forward” being included as a principle and to consider whether the final version needs to include the general Strategic KPIs.</w:t>
            </w:r>
          </w:p>
          <w:p w:rsidR="00C670E6" w:rsidRDefault="00C670E6" w:rsidP="00D912B6">
            <w:pPr>
              <w:spacing w:after="240"/>
              <w:rPr>
                <w:rFonts w:ascii="Arial" w:hAnsi="Arial" w:cs="Arial"/>
                <w:sz w:val="24"/>
                <w:szCs w:val="24"/>
              </w:rPr>
            </w:pPr>
            <w:r>
              <w:rPr>
                <w:rFonts w:ascii="Arial" w:hAnsi="Arial" w:cs="Arial"/>
                <w:sz w:val="24"/>
                <w:szCs w:val="24"/>
              </w:rPr>
              <w:t>The Committee noted that the next phase will require the production of an implementation plan across the University, engaging all Schools and Departments as appropriate.</w:t>
            </w:r>
          </w:p>
          <w:p w:rsidR="00C670E6" w:rsidRPr="00004160" w:rsidRDefault="00C670E6" w:rsidP="00D912B6">
            <w:pPr>
              <w:spacing w:after="240"/>
              <w:rPr>
                <w:rFonts w:ascii="Arial" w:hAnsi="Arial" w:cs="Arial"/>
                <w:sz w:val="24"/>
                <w:szCs w:val="24"/>
              </w:rPr>
            </w:pPr>
            <w:r>
              <w:rPr>
                <w:rFonts w:ascii="Arial" w:hAnsi="Arial" w:cs="Arial"/>
                <w:sz w:val="24"/>
                <w:szCs w:val="24"/>
              </w:rPr>
              <w:t>The draft Strategy will go to the November meeting of Council for ratification.</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.5</w:t>
            </w:r>
          </w:p>
        </w:tc>
        <w:tc>
          <w:tcPr>
            <w:tcW w:w="7380" w:type="dxa"/>
          </w:tcPr>
          <w:p w:rsidR="00C670E6" w:rsidRPr="00CA7635" w:rsidRDefault="00C670E6" w:rsidP="00B71293">
            <w:pPr>
              <w:spacing w:after="240"/>
              <w:rPr>
                <w:rFonts w:ascii="Arial" w:hAnsi="Arial" w:cs="Arial"/>
                <w:b/>
                <w:sz w:val="24"/>
                <w:szCs w:val="24"/>
              </w:rPr>
            </w:pPr>
            <w:r>
              <w:rPr>
                <w:rFonts w:ascii="Arial" w:hAnsi="Arial" w:cs="Arial"/>
                <w:b/>
                <w:sz w:val="24"/>
                <w:szCs w:val="24"/>
              </w:rPr>
              <w:t>Academic Regulations</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Default="00C670E6" w:rsidP="00CA7635">
            <w:pPr>
              <w:spacing w:after="240"/>
              <w:rPr>
                <w:rFonts w:ascii="Arial" w:hAnsi="Arial" w:cs="Arial"/>
                <w:sz w:val="24"/>
                <w:szCs w:val="24"/>
              </w:rPr>
            </w:pPr>
            <w:r>
              <w:rPr>
                <w:rFonts w:ascii="Arial" w:hAnsi="Arial" w:cs="Arial"/>
                <w:sz w:val="24"/>
                <w:szCs w:val="24"/>
              </w:rPr>
              <w:t xml:space="preserve">5a  </w:t>
            </w:r>
          </w:p>
          <w:p w:rsidR="00C670E6" w:rsidRDefault="00C670E6" w:rsidP="00CA7635">
            <w:pPr>
              <w:spacing w:after="240"/>
              <w:rPr>
                <w:rFonts w:ascii="Arial" w:hAnsi="Arial" w:cs="Arial"/>
                <w:sz w:val="24"/>
                <w:szCs w:val="24"/>
              </w:rPr>
            </w:pPr>
          </w:p>
          <w:p w:rsidR="00C670E6" w:rsidRDefault="00C670E6" w:rsidP="00CA7635">
            <w:pPr>
              <w:spacing w:after="240"/>
              <w:rPr>
                <w:rFonts w:ascii="Arial" w:hAnsi="Arial" w:cs="Arial"/>
                <w:sz w:val="24"/>
                <w:szCs w:val="24"/>
              </w:rPr>
            </w:pPr>
          </w:p>
          <w:p w:rsidR="00C670E6" w:rsidRDefault="00C670E6" w:rsidP="00CA7635">
            <w:pPr>
              <w:spacing w:after="240"/>
              <w:rPr>
                <w:rFonts w:ascii="Arial" w:hAnsi="Arial" w:cs="Arial"/>
                <w:sz w:val="24"/>
                <w:szCs w:val="24"/>
              </w:rPr>
            </w:pPr>
          </w:p>
          <w:p w:rsidR="00C670E6" w:rsidRDefault="00C670E6" w:rsidP="00CA7635">
            <w:pPr>
              <w:spacing w:after="240"/>
              <w:rPr>
                <w:rFonts w:ascii="Arial" w:hAnsi="Arial" w:cs="Arial"/>
                <w:sz w:val="24"/>
                <w:szCs w:val="24"/>
              </w:rPr>
            </w:pPr>
          </w:p>
          <w:p w:rsidR="00C670E6" w:rsidRDefault="00C670E6" w:rsidP="00CA7635">
            <w:pPr>
              <w:spacing w:after="240"/>
              <w:rPr>
                <w:rFonts w:ascii="Arial" w:hAnsi="Arial" w:cs="Arial"/>
                <w:sz w:val="24"/>
                <w:szCs w:val="24"/>
              </w:rPr>
            </w:pPr>
          </w:p>
          <w:p w:rsidR="00C670E6" w:rsidRDefault="00C670E6" w:rsidP="00CA7635">
            <w:pPr>
              <w:spacing w:after="240"/>
              <w:rPr>
                <w:rFonts w:ascii="Arial" w:hAnsi="Arial" w:cs="Arial"/>
                <w:sz w:val="24"/>
                <w:szCs w:val="24"/>
              </w:rPr>
            </w:pPr>
          </w:p>
          <w:p w:rsidR="00C670E6" w:rsidRPr="00CA7635" w:rsidRDefault="00C670E6" w:rsidP="00CA7635">
            <w:pPr>
              <w:spacing w:after="240"/>
              <w:rPr>
                <w:rFonts w:ascii="Arial" w:hAnsi="Arial" w:cs="Arial"/>
                <w:b/>
                <w:sz w:val="24"/>
                <w:szCs w:val="24"/>
              </w:rPr>
            </w:pPr>
            <w:r>
              <w:rPr>
                <w:rFonts w:ascii="Arial" w:hAnsi="Arial" w:cs="Arial"/>
                <w:sz w:val="24"/>
                <w:szCs w:val="24"/>
              </w:rPr>
              <w:t>5b</w:t>
            </w:r>
          </w:p>
        </w:tc>
        <w:tc>
          <w:tcPr>
            <w:tcW w:w="7380" w:type="dxa"/>
          </w:tcPr>
          <w:p w:rsidR="00C670E6" w:rsidRDefault="00C670E6" w:rsidP="004E5F80">
            <w:pPr>
              <w:spacing w:after="240"/>
              <w:rPr>
                <w:rFonts w:ascii="Arial" w:hAnsi="Arial" w:cs="Arial"/>
                <w:sz w:val="24"/>
                <w:szCs w:val="24"/>
              </w:rPr>
            </w:pPr>
            <w:r>
              <w:rPr>
                <w:rFonts w:ascii="Arial" w:hAnsi="Arial" w:cs="Arial"/>
                <w:sz w:val="24"/>
                <w:szCs w:val="24"/>
              </w:rPr>
              <w:lastRenderedPageBreak/>
              <w:t xml:space="preserve">At the request of School Directors of Learning and Quality the item 5a, relating to update of the Academic Regulations governing the nature, role, constituency and quoracy of SAPs and PABS was removed from the agenda and requested to be returned to committee once the formal structural revisions of the University have been completed.  The LQU agreed to re-circulate the draft with notes from members as well as a clear indication as to what has been retained from the current version.  LQU representatives noted that the current version did not represent a change to the overall nature of this part of the Academic Regulations but clarifications of what could reasonably be expected in current </w:t>
            </w:r>
            <w:r>
              <w:rPr>
                <w:rFonts w:ascii="Arial" w:hAnsi="Arial" w:cs="Arial"/>
                <w:sz w:val="24"/>
                <w:szCs w:val="24"/>
              </w:rPr>
              <w:lastRenderedPageBreak/>
              <w:t>practice.</w:t>
            </w:r>
          </w:p>
          <w:p w:rsidR="00C670E6" w:rsidRDefault="00C670E6" w:rsidP="004E5F80">
            <w:pPr>
              <w:spacing w:after="240"/>
              <w:rPr>
                <w:rFonts w:ascii="Arial" w:hAnsi="Arial" w:cs="Arial"/>
                <w:sz w:val="24"/>
                <w:szCs w:val="24"/>
              </w:rPr>
            </w:pPr>
            <w:r>
              <w:rPr>
                <w:rFonts w:ascii="Arial" w:hAnsi="Arial" w:cs="Arial"/>
                <w:sz w:val="24"/>
                <w:szCs w:val="24"/>
              </w:rPr>
              <w:t>A small number of external examiners had commented on the fact that students can pass a course not having attempted or seriously failed key elements of the assessment. LQC members acknowledged that it was general policy to provide a variety of assessments to measure general course outcomes, and that as these can overlap students can pass courses should they achieve high grades in single elements where the weightings permit.  The Committee agreed that it did not wish to return to any form of component requirement as had operated in the past.  The paper submitted for this item was endorsed in that the key issues to be kept under review are those of:</w:t>
            </w:r>
          </w:p>
          <w:p w:rsidR="00C670E6" w:rsidRDefault="00C670E6" w:rsidP="00DE2E96">
            <w:pPr>
              <w:numPr>
                <w:ilvl w:val="0"/>
                <w:numId w:val="1"/>
              </w:numPr>
              <w:spacing w:after="240"/>
              <w:rPr>
                <w:rFonts w:ascii="Arial" w:hAnsi="Arial" w:cs="Arial"/>
                <w:sz w:val="24"/>
                <w:szCs w:val="24"/>
              </w:rPr>
            </w:pPr>
            <w:r>
              <w:rPr>
                <w:rFonts w:ascii="Arial" w:hAnsi="Arial" w:cs="Arial"/>
                <w:sz w:val="24"/>
                <w:szCs w:val="24"/>
              </w:rPr>
              <w:t xml:space="preserve">reducing  over-assessment where possible in both the course and programme assessment strategy:   </w:t>
            </w:r>
          </w:p>
          <w:p w:rsidR="00C670E6" w:rsidRDefault="00C670E6" w:rsidP="00DE2E96">
            <w:pPr>
              <w:numPr>
                <w:ilvl w:val="0"/>
                <w:numId w:val="1"/>
              </w:numPr>
              <w:spacing w:after="240"/>
              <w:rPr>
                <w:rFonts w:ascii="Arial" w:hAnsi="Arial" w:cs="Arial"/>
                <w:sz w:val="24"/>
                <w:szCs w:val="24"/>
              </w:rPr>
            </w:pPr>
            <w:r>
              <w:rPr>
                <w:rFonts w:ascii="Arial" w:hAnsi="Arial" w:cs="Arial"/>
                <w:sz w:val="24"/>
                <w:szCs w:val="24"/>
              </w:rPr>
              <w:t>reducing variation of the weight and time allocated to assessment completion across Schools is desirable so that there is a consistency of University approach (Members were requested to utilise the EDU assessment tool for course assessment review).</w:t>
            </w:r>
          </w:p>
          <w:p w:rsidR="00C670E6" w:rsidRPr="00B71293" w:rsidRDefault="00C670E6" w:rsidP="00DE2E96">
            <w:pPr>
              <w:spacing w:after="240"/>
              <w:rPr>
                <w:rFonts w:ascii="Arial" w:hAnsi="Arial" w:cs="Arial"/>
                <w:sz w:val="24"/>
                <w:szCs w:val="24"/>
              </w:rPr>
            </w:pPr>
            <w:r>
              <w:rPr>
                <w:rFonts w:ascii="Arial" w:hAnsi="Arial" w:cs="Arial"/>
                <w:sz w:val="24"/>
                <w:szCs w:val="24"/>
              </w:rPr>
              <w:t>LQC wished to re-emphasise that PABs also retain the ability to set holistic reassessment tasks to cover multiple failed assessments where it deems this appropriate.</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8F6BE1" w:rsidRDefault="00C670E6" w:rsidP="00CA7635">
            <w:pPr>
              <w:spacing w:after="240"/>
              <w:rPr>
                <w:rFonts w:ascii="Arial" w:hAnsi="Arial" w:cs="Arial"/>
                <w:b/>
                <w:color w:val="FF0000"/>
                <w:sz w:val="24"/>
                <w:szCs w:val="24"/>
              </w:rPr>
            </w:pPr>
            <w:r w:rsidRPr="008F6BE1">
              <w:rPr>
                <w:rFonts w:ascii="Arial" w:hAnsi="Arial" w:cs="Arial"/>
                <w:b/>
                <w:color w:val="FF0000"/>
                <w:sz w:val="24"/>
                <w:szCs w:val="24"/>
              </w:rPr>
              <w:lastRenderedPageBreak/>
              <w:t>Action</w:t>
            </w:r>
          </w:p>
        </w:tc>
        <w:tc>
          <w:tcPr>
            <w:tcW w:w="7380" w:type="dxa"/>
          </w:tcPr>
          <w:p w:rsidR="00C670E6" w:rsidRPr="008F6BE1" w:rsidRDefault="00C670E6" w:rsidP="004E5F80">
            <w:pPr>
              <w:spacing w:after="240"/>
              <w:rPr>
                <w:rFonts w:ascii="Arial" w:hAnsi="Arial" w:cs="Arial"/>
                <w:b/>
                <w:color w:val="FF0000"/>
                <w:sz w:val="24"/>
                <w:szCs w:val="24"/>
              </w:rPr>
            </w:pPr>
            <w:r w:rsidRPr="008F6BE1">
              <w:rPr>
                <w:rFonts w:ascii="Arial" w:hAnsi="Arial" w:cs="Arial"/>
                <w:b/>
                <w:color w:val="FF0000"/>
                <w:sz w:val="24"/>
                <w:szCs w:val="24"/>
              </w:rPr>
              <w:t>LQU to re-circulate SAP and PAB paper to include indications of old and revised text together with School comments</w:t>
            </w:r>
          </w:p>
        </w:tc>
        <w:tc>
          <w:tcPr>
            <w:tcW w:w="1080" w:type="dxa"/>
            <w:tcBorders>
              <w:left w:val="nil"/>
            </w:tcBorders>
          </w:tcPr>
          <w:p w:rsidR="00C670E6" w:rsidRPr="008F6BE1" w:rsidRDefault="00C670E6" w:rsidP="00CA7635">
            <w:pPr>
              <w:spacing w:after="240"/>
              <w:rPr>
                <w:rFonts w:ascii="Arial" w:hAnsi="Arial" w:cs="Arial"/>
                <w:b/>
                <w:color w:val="FF0000"/>
                <w:sz w:val="24"/>
                <w:szCs w:val="24"/>
              </w:rPr>
            </w:pPr>
            <w:r w:rsidRPr="008F6BE1">
              <w:rPr>
                <w:rFonts w:ascii="Arial" w:hAnsi="Arial" w:cs="Arial"/>
                <w:b/>
                <w:color w:val="FF0000"/>
                <w:sz w:val="24"/>
                <w:szCs w:val="24"/>
              </w:rPr>
              <w:t>LQU</w:t>
            </w:r>
          </w:p>
        </w:tc>
      </w:tr>
      <w:tr w:rsidR="00C670E6" w:rsidTr="002369A4">
        <w:tc>
          <w:tcPr>
            <w:tcW w:w="1548" w:type="dxa"/>
          </w:tcPr>
          <w:p w:rsidR="00C670E6" w:rsidRPr="00CA7635" w:rsidRDefault="00C670E6" w:rsidP="00CA7635">
            <w:pPr>
              <w:spacing w:after="240"/>
              <w:rPr>
                <w:rFonts w:ascii="Arial" w:hAnsi="Arial" w:cs="Arial"/>
                <w:b/>
                <w:sz w:val="24"/>
                <w:szCs w:val="24"/>
              </w:rPr>
            </w:pPr>
            <w:r>
              <w:br w:type="page"/>
            </w: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.6</w:t>
            </w:r>
          </w:p>
        </w:tc>
        <w:tc>
          <w:tcPr>
            <w:tcW w:w="7380" w:type="dxa"/>
          </w:tcPr>
          <w:p w:rsidR="00C670E6" w:rsidRPr="00CA7635" w:rsidRDefault="00C670E6" w:rsidP="00D66F89">
            <w:pPr>
              <w:spacing w:after="240"/>
              <w:rPr>
                <w:rFonts w:ascii="Arial" w:hAnsi="Arial" w:cs="Arial"/>
                <w:b/>
                <w:sz w:val="24"/>
                <w:szCs w:val="24"/>
              </w:rPr>
            </w:pPr>
            <w:smartTag w:uri="urn:schemas-microsoft-com:office:smarttags" w:element="place">
              <w:smartTag w:uri="urn:schemas-microsoft-com:office:smarttags" w:element="country-region">
                <w:r>
                  <w:rPr>
                    <w:rFonts w:ascii="Arial" w:hAnsi="Arial" w:cs="Arial"/>
                    <w:b/>
                    <w:sz w:val="24"/>
                    <w:szCs w:val="24"/>
                  </w:rPr>
                  <w:t>UK</w:t>
                </w:r>
              </w:smartTag>
            </w:smartTag>
            <w:r>
              <w:rPr>
                <w:rFonts w:ascii="Arial" w:hAnsi="Arial" w:cs="Arial"/>
                <w:b/>
                <w:sz w:val="24"/>
                <w:szCs w:val="24"/>
              </w:rPr>
              <w:t xml:space="preserve"> Quality Code: Chapter B3 Learning and Teaching</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RPr="00E94E13" w:rsidTr="002369A4">
        <w:trPr>
          <w:trHeight w:val="647"/>
        </w:trPr>
        <w:tc>
          <w:tcPr>
            <w:tcW w:w="1548" w:type="dxa"/>
          </w:tcPr>
          <w:p w:rsidR="00C670E6" w:rsidRPr="00E94E13" w:rsidRDefault="00C670E6" w:rsidP="00CA7635">
            <w:pPr>
              <w:spacing w:after="240"/>
              <w:rPr>
                <w:rFonts w:ascii="Arial" w:hAnsi="Arial" w:cs="Arial"/>
                <w:sz w:val="24"/>
                <w:szCs w:val="24"/>
              </w:rPr>
            </w:pPr>
          </w:p>
        </w:tc>
        <w:tc>
          <w:tcPr>
            <w:tcW w:w="7380" w:type="dxa"/>
          </w:tcPr>
          <w:p w:rsidR="00C670E6" w:rsidRDefault="00C670E6" w:rsidP="005116F9">
            <w:pPr>
              <w:spacing w:after="240"/>
              <w:rPr>
                <w:rFonts w:ascii="Arial" w:hAnsi="Arial" w:cs="Arial"/>
                <w:sz w:val="24"/>
                <w:szCs w:val="24"/>
              </w:rPr>
            </w:pPr>
            <w:r>
              <w:rPr>
                <w:rFonts w:ascii="Arial" w:hAnsi="Arial" w:cs="Arial"/>
                <w:sz w:val="24"/>
                <w:szCs w:val="24"/>
              </w:rPr>
              <w:t>The Committee received the general Chapter of the UK Quality Code on Learning and Teaching.  Discussion of the general principles included:</w:t>
            </w:r>
          </w:p>
          <w:p w:rsidR="00C670E6" w:rsidRDefault="00C670E6" w:rsidP="002F57EE">
            <w:pPr>
              <w:numPr>
                <w:ilvl w:val="0"/>
                <w:numId w:val="3"/>
              </w:numPr>
              <w:spacing w:after="240"/>
              <w:rPr>
                <w:rFonts w:ascii="Arial" w:hAnsi="Arial" w:cs="Arial"/>
                <w:sz w:val="24"/>
                <w:szCs w:val="24"/>
              </w:rPr>
            </w:pPr>
            <w:r>
              <w:rPr>
                <w:rFonts w:ascii="Arial" w:hAnsi="Arial" w:cs="Arial"/>
                <w:sz w:val="24"/>
                <w:szCs w:val="24"/>
              </w:rPr>
              <w:t>Acknowledgment that any revised Estates Strategy should include important drivers in respect of Indicator 6.</w:t>
            </w:r>
          </w:p>
          <w:p w:rsidR="00C670E6" w:rsidRDefault="00C670E6" w:rsidP="002F57EE">
            <w:pPr>
              <w:numPr>
                <w:ilvl w:val="0"/>
                <w:numId w:val="3"/>
              </w:numPr>
              <w:spacing w:after="240"/>
              <w:rPr>
                <w:rFonts w:ascii="Arial" w:hAnsi="Arial" w:cs="Arial"/>
                <w:sz w:val="24"/>
                <w:szCs w:val="24"/>
              </w:rPr>
            </w:pPr>
            <w:r>
              <w:rPr>
                <w:rFonts w:ascii="Arial" w:hAnsi="Arial" w:cs="Arial"/>
                <w:sz w:val="24"/>
                <w:szCs w:val="24"/>
              </w:rPr>
              <w:t xml:space="preserve">Consideration of whether staff CPD activities ought to be incorporated into the Balanced Academic Workload </w:t>
            </w:r>
          </w:p>
          <w:p w:rsidR="00C670E6" w:rsidRDefault="00C670E6" w:rsidP="002F57EE">
            <w:pPr>
              <w:numPr>
                <w:ilvl w:val="0"/>
                <w:numId w:val="3"/>
              </w:numPr>
              <w:spacing w:after="240"/>
              <w:rPr>
                <w:rFonts w:ascii="Arial" w:hAnsi="Arial" w:cs="Arial"/>
                <w:sz w:val="24"/>
                <w:szCs w:val="24"/>
              </w:rPr>
            </w:pPr>
            <w:r>
              <w:rPr>
                <w:rFonts w:ascii="Arial" w:hAnsi="Arial" w:cs="Arial"/>
                <w:sz w:val="24"/>
                <w:szCs w:val="24"/>
              </w:rPr>
              <w:t xml:space="preserve">Acknowledgement that current LQU audits being undertaken will cover the extent to which the University now meets aspects of the revised QAA Code (c.f.  Indicator 7 and Audit </w:t>
            </w:r>
            <w:r>
              <w:rPr>
                <w:rFonts w:ascii="Arial" w:hAnsi="Arial" w:cs="Arial"/>
                <w:sz w:val="24"/>
                <w:szCs w:val="24"/>
              </w:rPr>
              <w:lastRenderedPageBreak/>
              <w:t>of Student Handbooks)</w:t>
            </w:r>
          </w:p>
          <w:p w:rsidR="00C670E6" w:rsidRPr="00E94E13" w:rsidRDefault="00C670E6" w:rsidP="005116F9">
            <w:pPr>
              <w:spacing w:after="240"/>
              <w:rPr>
                <w:rFonts w:ascii="Arial" w:hAnsi="Arial" w:cs="Arial"/>
                <w:sz w:val="24"/>
                <w:szCs w:val="24"/>
              </w:rPr>
            </w:pPr>
            <w:r>
              <w:rPr>
                <w:rFonts w:ascii="Arial" w:hAnsi="Arial" w:cs="Arial"/>
                <w:sz w:val="24"/>
                <w:szCs w:val="24"/>
              </w:rPr>
              <w:t>LQC noted approaches to PDP (c.f. Indicator 9) vary with the nature of disciplinary requirements and expectations and that a consistent approach across all Schools would not be desirable.  Approaches include development of specific courses focussing on increasing professionalisation as students progress (</w:t>
            </w:r>
            <w:smartTag w:uri="urn:schemas-microsoft-com:office:smarttags" w:element="PlaceName">
              <w:smartTag w:uri="urn:schemas-microsoft-com:office:smarttags" w:element="place">
                <w:r>
                  <w:rPr>
                    <w:rFonts w:ascii="Arial" w:hAnsi="Arial" w:cs="Arial"/>
                    <w:sz w:val="24"/>
                    <w:szCs w:val="24"/>
                  </w:rPr>
                  <w:t>Business</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r>
              <w:rPr>
                <w:rFonts w:ascii="Arial" w:hAnsi="Arial" w:cs="Arial"/>
                <w:sz w:val="24"/>
                <w:szCs w:val="24"/>
              </w:rPr>
              <w:t>), portfolio completion (Humanities and Social Sciences), inclusion in professional practice elements of programmes (Health and Social Care and Education).  LQC agreed that linking the activity to the individual curricula remains key to its success and that continued efforts should be made to link PDP to employability aims and Greenwich Graduate attributes.</w:t>
            </w:r>
          </w:p>
        </w:tc>
        <w:tc>
          <w:tcPr>
            <w:tcW w:w="1080" w:type="dxa"/>
            <w:tcBorders>
              <w:left w:val="nil"/>
            </w:tcBorders>
          </w:tcPr>
          <w:p w:rsidR="00C670E6" w:rsidRPr="00E94E13" w:rsidRDefault="00C670E6" w:rsidP="00CA7635">
            <w:pPr>
              <w:spacing w:after="240"/>
              <w:rPr>
                <w:rFonts w:ascii="Arial" w:hAnsi="Arial" w:cs="Arial"/>
                <w:sz w:val="24"/>
                <w:szCs w:val="24"/>
              </w:rPr>
            </w:pPr>
          </w:p>
        </w:tc>
      </w:tr>
      <w:tr w:rsidR="00C670E6" w:rsidRPr="00E94E13" w:rsidTr="002369A4">
        <w:trPr>
          <w:trHeight w:val="647"/>
        </w:trPr>
        <w:tc>
          <w:tcPr>
            <w:tcW w:w="1548" w:type="dxa"/>
          </w:tcPr>
          <w:p w:rsidR="00C670E6" w:rsidRPr="00424A89" w:rsidRDefault="00C670E6" w:rsidP="00CA7635">
            <w:pPr>
              <w:spacing w:after="240"/>
              <w:rPr>
                <w:rFonts w:ascii="Arial" w:hAnsi="Arial" w:cs="Arial"/>
                <w:b/>
                <w:color w:val="FF0000"/>
                <w:sz w:val="24"/>
                <w:szCs w:val="24"/>
              </w:rPr>
            </w:pPr>
            <w:r w:rsidRPr="00424A89">
              <w:rPr>
                <w:rFonts w:ascii="Arial" w:hAnsi="Arial" w:cs="Arial"/>
                <w:b/>
                <w:color w:val="FF0000"/>
                <w:sz w:val="24"/>
                <w:szCs w:val="24"/>
              </w:rPr>
              <w:lastRenderedPageBreak/>
              <w:t>Action</w:t>
            </w:r>
          </w:p>
        </w:tc>
        <w:tc>
          <w:tcPr>
            <w:tcW w:w="7380" w:type="dxa"/>
          </w:tcPr>
          <w:p w:rsidR="00C670E6" w:rsidRPr="00424A89" w:rsidRDefault="00C670E6" w:rsidP="005116F9">
            <w:pPr>
              <w:spacing w:after="240"/>
              <w:rPr>
                <w:rFonts w:ascii="Arial" w:hAnsi="Arial" w:cs="Arial"/>
                <w:b/>
                <w:color w:val="FF0000"/>
                <w:sz w:val="24"/>
                <w:szCs w:val="24"/>
              </w:rPr>
            </w:pPr>
            <w:r w:rsidRPr="00424A89">
              <w:rPr>
                <w:rFonts w:ascii="Arial" w:hAnsi="Arial" w:cs="Arial"/>
                <w:b/>
                <w:color w:val="FF0000"/>
                <w:sz w:val="24"/>
                <w:szCs w:val="24"/>
              </w:rPr>
              <w:t>Schools to provide a review of PDP activities (aims and outcomes) as part of development of implementation plan for the Learning, Teaching and Assessment Strategy.</w:t>
            </w:r>
          </w:p>
        </w:tc>
        <w:tc>
          <w:tcPr>
            <w:tcW w:w="1080" w:type="dxa"/>
            <w:tcBorders>
              <w:left w:val="nil"/>
            </w:tcBorders>
          </w:tcPr>
          <w:p w:rsidR="00C670E6" w:rsidRPr="00424A89" w:rsidRDefault="00C670E6" w:rsidP="00CA7635">
            <w:pPr>
              <w:spacing w:after="240"/>
              <w:rPr>
                <w:rFonts w:ascii="Arial" w:hAnsi="Arial" w:cs="Arial"/>
                <w:b/>
                <w:color w:val="FF0000"/>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.7</w:t>
            </w:r>
          </w:p>
        </w:tc>
        <w:tc>
          <w:tcPr>
            <w:tcW w:w="7380" w:type="dxa"/>
          </w:tcPr>
          <w:p w:rsidR="00C670E6" w:rsidRPr="00CA7635" w:rsidRDefault="00C670E6" w:rsidP="00E72FBF">
            <w:pPr>
              <w:spacing w:after="240"/>
              <w:rPr>
                <w:rFonts w:ascii="Arial" w:hAnsi="Arial" w:cs="Arial"/>
                <w:b/>
                <w:sz w:val="24"/>
                <w:szCs w:val="24"/>
              </w:rPr>
            </w:pPr>
            <w:r>
              <w:rPr>
                <w:rFonts w:ascii="Arial" w:hAnsi="Arial" w:cs="Arial"/>
                <w:b/>
                <w:sz w:val="24"/>
                <w:szCs w:val="24"/>
              </w:rPr>
              <w:t>Approvals and Reviews:  Central scheduling of events</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5B2025">
            <w:pPr>
              <w:spacing w:after="240"/>
              <w:jc w:val="right"/>
              <w:rPr>
                <w:rFonts w:ascii="Arial" w:hAnsi="Arial" w:cs="Arial"/>
                <w:b/>
                <w:sz w:val="24"/>
                <w:szCs w:val="24"/>
              </w:rPr>
            </w:pPr>
          </w:p>
        </w:tc>
        <w:tc>
          <w:tcPr>
            <w:tcW w:w="7380" w:type="dxa"/>
          </w:tcPr>
          <w:p w:rsidR="00C670E6" w:rsidRDefault="00C670E6" w:rsidP="00A813AD">
            <w:pPr>
              <w:spacing w:after="240"/>
              <w:rPr>
                <w:rFonts w:ascii="Arial" w:hAnsi="Arial" w:cs="Arial"/>
                <w:sz w:val="24"/>
                <w:szCs w:val="24"/>
              </w:rPr>
            </w:pPr>
            <w:r>
              <w:rPr>
                <w:rFonts w:ascii="Arial" w:hAnsi="Arial" w:cs="Arial"/>
                <w:sz w:val="24"/>
                <w:szCs w:val="24"/>
              </w:rPr>
              <w:t>LQC received a paper from the LQU in which it was proposed that from 2013/14 the LQU would schedule all reviews and approvals and nominate panel Chairs and external School members (members from other Schools in the University).  The paper was endorsed.</w:t>
            </w:r>
          </w:p>
          <w:p w:rsidR="00C670E6" w:rsidRDefault="00C670E6" w:rsidP="00A813AD">
            <w:pPr>
              <w:spacing w:after="240"/>
              <w:rPr>
                <w:rFonts w:ascii="Arial" w:hAnsi="Arial" w:cs="Arial"/>
                <w:sz w:val="24"/>
                <w:szCs w:val="24"/>
              </w:rPr>
            </w:pPr>
            <w:r>
              <w:rPr>
                <w:rFonts w:ascii="Arial" w:hAnsi="Arial" w:cs="Arial"/>
                <w:sz w:val="24"/>
                <w:szCs w:val="24"/>
              </w:rPr>
              <w:t>Members also noted that LQU and EDU could work together on proving staff experience through panel membership for those staff newly qualified with the PG Certificate.</w:t>
            </w:r>
          </w:p>
          <w:p w:rsidR="00C670E6" w:rsidRPr="0064670D" w:rsidRDefault="00C670E6" w:rsidP="00A813AD">
            <w:pPr>
              <w:spacing w:after="240"/>
              <w:rPr>
                <w:rFonts w:ascii="Arial" w:hAnsi="Arial" w:cs="Arial"/>
                <w:sz w:val="24"/>
                <w:szCs w:val="24"/>
              </w:rPr>
            </w:pPr>
            <w:r>
              <w:rPr>
                <w:rFonts w:ascii="Arial" w:hAnsi="Arial" w:cs="Arial"/>
                <w:sz w:val="24"/>
                <w:szCs w:val="24"/>
              </w:rPr>
              <w:t>Schools will also be requested to provide nominated staff members for Panel Chairing outside of those who maybe expected to complete this activity as part of their normal corporate role.</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277E32" w:rsidRDefault="00C670E6" w:rsidP="00277E32">
            <w:pPr>
              <w:spacing w:after="0"/>
              <w:jc w:val="right"/>
              <w:rPr>
                <w:rFonts w:ascii="Arial" w:hAnsi="Arial" w:cs="Arial"/>
                <w:b/>
                <w:color w:val="FF0000"/>
                <w:sz w:val="24"/>
                <w:szCs w:val="24"/>
              </w:rPr>
            </w:pPr>
            <w:r w:rsidRPr="00277E32">
              <w:rPr>
                <w:rFonts w:ascii="Arial" w:hAnsi="Arial" w:cs="Arial"/>
                <w:b/>
                <w:color w:val="FF0000"/>
                <w:sz w:val="24"/>
                <w:szCs w:val="24"/>
              </w:rPr>
              <w:t>Action</w:t>
            </w:r>
          </w:p>
        </w:tc>
        <w:tc>
          <w:tcPr>
            <w:tcW w:w="7380" w:type="dxa"/>
          </w:tcPr>
          <w:p w:rsidR="00C670E6" w:rsidRPr="00277E32" w:rsidRDefault="00C670E6" w:rsidP="00277E32">
            <w:pPr>
              <w:numPr>
                <w:ilvl w:val="0"/>
                <w:numId w:val="2"/>
              </w:numPr>
              <w:spacing w:after="0"/>
              <w:rPr>
                <w:rFonts w:ascii="Arial" w:hAnsi="Arial" w:cs="Arial"/>
                <w:b/>
                <w:color w:val="FF0000"/>
                <w:sz w:val="24"/>
                <w:szCs w:val="24"/>
              </w:rPr>
            </w:pPr>
            <w:r w:rsidRPr="00277E32">
              <w:rPr>
                <w:rFonts w:ascii="Arial" w:hAnsi="Arial" w:cs="Arial"/>
                <w:b/>
                <w:color w:val="FF0000"/>
                <w:sz w:val="24"/>
                <w:szCs w:val="24"/>
              </w:rPr>
              <w:t>Circulate review listing for first comments on events structures</w:t>
            </w:r>
          </w:p>
          <w:p w:rsidR="00C670E6" w:rsidRDefault="00C670E6" w:rsidP="00277E32">
            <w:pPr>
              <w:numPr>
                <w:ilvl w:val="0"/>
                <w:numId w:val="2"/>
              </w:numPr>
              <w:spacing w:after="0"/>
              <w:rPr>
                <w:rFonts w:ascii="Arial" w:hAnsi="Arial" w:cs="Arial"/>
                <w:b/>
                <w:color w:val="FF0000"/>
                <w:sz w:val="24"/>
                <w:szCs w:val="24"/>
              </w:rPr>
            </w:pPr>
            <w:r w:rsidRPr="00277E32">
              <w:rPr>
                <w:rFonts w:ascii="Arial" w:hAnsi="Arial" w:cs="Arial"/>
                <w:b/>
                <w:color w:val="FF0000"/>
                <w:sz w:val="24"/>
                <w:szCs w:val="24"/>
              </w:rPr>
              <w:t>Supply list of nominated School Panel Chairs</w:t>
            </w:r>
          </w:p>
          <w:p w:rsidR="00C670E6" w:rsidRPr="00277E32" w:rsidRDefault="00C670E6" w:rsidP="00277E32">
            <w:pPr>
              <w:numPr>
                <w:ilvl w:val="0"/>
                <w:numId w:val="2"/>
              </w:numPr>
              <w:spacing w:after="0"/>
              <w:rPr>
                <w:rFonts w:ascii="Arial" w:hAnsi="Arial" w:cs="Arial"/>
                <w:b/>
                <w:color w:val="FF0000"/>
                <w:sz w:val="24"/>
                <w:szCs w:val="24"/>
              </w:rPr>
            </w:pPr>
            <w:r>
              <w:rPr>
                <w:rFonts w:ascii="Arial" w:hAnsi="Arial" w:cs="Arial"/>
                <w:b/>
                <w:color w:val="FF0000"/>
                <w:sz w:val="24"/>
                <w:szCs w:val="24"/>
              </w:rPr>
              <w:t>Supply first draft Schedule</w:t>
            </w:r>
          </w:p>
          <w:p w:rsidR="00C670E6" w:rsidRPr="00277E32" w:rsidRDefault="00C670E6" w:rsidP="00277E32">
            <w:pPr>
              <w:spacing w:after="0"/>
              <w:rPr>
                <w:rFonts w:ascii="Arial" w:hAnsi="Arial" w:cs="Arial"/>
                <w:b/>
                <w:color w:val="FF0000"/>
                <w:sz w:val="24"/>
                <w:szCs w:val="24"/>
              </w:rPr>
            </w:pPr>
          </w:p>
        </w:tc>
        <w:tc>
          <w:tcPr>
            <w:tcW w:w="1080" w:type="dxa"/>
            <w:tcBorders>
              <w:left w:val="nil"/>
            </w:tcBorders>
          </w:tcPr>
          <w:p w:rsidR="00C670E6" w:rsidRDefault="00C670E6" w:rsidP="00277E32">
            <w:pPr>
              <w:spacing w:after="0"/>
              <w:rPr>
                <w:rFonts w:ascii="Arial" w:hAnsi="Arial" w:cs="Arial"/>
                <w:b/>
                <w:color w:val="FF0000"/>
                <w:sz w:val="24"/>
                <w:szCs w:val="24"/>
              </w:rPr>
            </w:pPr>
            <w:r>
              <w:rPr>
                <w:rFonts w:ascii="Arial" w:hAnsi="Arial" w:cs="Arial"/>
                <w:b/>
                <w:color w:val="FF0000"/>
                <w:sz w:val="24"/>
                <w:szCs w:val="24"/>
              </w:rPr>
              <w:t>LQU</w:t>
            </w:r>
          </w:p>
          <w:p w:rsidR="00C670E6" w:rsidRDefault="00C670E6" w:rsidP="00277E32">
            <w:pPr>
              <w:spacing w:after="0"/>
              <w:rPr>
                <w:rFonts w:ascii="Arial" w:hAnsi="Arial" w:cs="Arial"/>
                <w:b/>
                <w:color w:val="FF0000"/>
                <w:sz w:val="24"/>
                <w:szCs w:val="24"/>
              </w:rPr>
            </w:pPr>
          </w:p>
          <w:p w:rsidR="00C670E6" w:rsidRDefault="00C670E6" w:rsidP="00277E32">
            <w:pPr>
              <w:spacing w:after="0"/>
              <w:rPr>
                <w:rFonts w:ascii="Arial" w:hAnsi="Arial" w:cs="Arial"/>
                <w:b/>
                <w:color w:val="FF0000"/>
                <w:sz w:val="24"/>
                <w:szCs w:val="24"/>
              </w:rPr>
            </w:pPr>
            <w:r>
              <w:rPr>
                <w:rFonts w:ascii="Arial" w:hAnsi="Arial" w:cs="Arial"/>
                <w:b/>
                <w:color w:val="FF0000"/>
                <w:sz w:val="24"/>
                <w:szCs w:val="24"/>
              </w:rPr>
              <w:t>DLQ</w:t>
            </w:r>
          </w:p>
          <w:p w:rsidR="00C670E6" w:rsidRDefault="00C670E6" w:rsidP="00277E32">
            <w:pPr>
              <w:spacing w:after="0"/>
              <w:rPr>
                <w:rFonts w:ascii="Arial" w:hAnsi="Arial" w:cs="Arial"/>
                <w:b/>
                <w:color w:val="FF0000"/>
                <w:sz w:val="24"/>
                <w:szCs w:val="24"/>
              </w:rPr>
            </w:pPr>
            <w:r>
              <w:rPr>
                <w:rFonts w:ascii="Arial" w:hAnsi="Arial" w:cs="Arial"/>
                <w:b/>
                <w:color w:val="FF0000"/>
                <w:sz w:val="24"/>
                <w:szCs w:val="24"/>
              </w:rPr>
              <w:t>LQU (Feb LQC)</w:t>
            </w:r>
          </w:p>
          <w:p w:rsidR="00C670E6" w:rsidRPr="00277E32" w:rsidRDefault="00C670E6" w:rsidP="00277E32">
            <w:pPr>
              <w:spacing w:after="0"/>
              <w:rPr>
                <w:rFonts w:ascii="Arial" w:hAnsi="Arial" w:cs="Arial"/>
                <w:b/>
                <w:color w:val="FF0000"/>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r w:rsidRPr="00CA7635">
              <w:rPr>
                <w:rFonts w:ascii="Arial" w:hAnsi="Arial" w:cs="Arial"/>
                <w:b/>
                <w:sz w:val="24"/>
                <w:szCs w:val="24"/>
              </w:rPr>
              <w:t>LQC/12/</w:t>
            </w:r>
            <w:r>
              <w:rPr>
                <w:rFonts w:ascii="Arial" w:hAnsi="Arial" w:cs="Arial"/>
                <w:b/>
                <w:sz w:val="24"/>
                <w:szCs w:val="24"/>
              </w:rPr>
              <w:t>2.</w:t>
            </w:r>
            <w:r w:rsidRPr="00CA7635">
              <w:rPr>
                <w:rFonts w:ascii="Arial" w:hAnsi="Arial" w:cs="Arial"/>
                <w:b/>
                <w:sz w:val="24"/>
                <w:szCs w:val="24"/>
              </w:rPr>
              <w:t>8</w:t>
            </w:r>
          </w:p>
        </w:tc>
        <w:tc>
          <w:tcPr>
            <w:tcW w:w="7380" w:type="dxa"/>
          </w:tcPr>
          <w:p w:rsidR="00C670E6" w:rsidRPr="00CA7635" w:rsidRDefault="00C670E6" w:rsidP="00CA7635">
            <w:pPr>
              <w:spacing w:after="240"/>
              <w:rPr>
                <w:rFonts w:ascii="Arial" w:hAnsi="Arial" w:cs="Arial"/>
                <w:b/>
                <w:sz w:val="24"/>
                <w:szCs w:val="24"/>
              </w:rPr>
            </w:pPr>
            <w:r>
              <w:rPr>
                <w:rFonts w:ascii="Arial" w:hAnsi="Arial" w:cs="Arial"/>
                <w:b/>
                <w:sz w:val="24"/>
                <w:szCs w:val="24"/>
              </w:rPr>
              <w:t>Items for Information</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A7635">
            <w:pPr>
              <w:spacing w:after="240"/>
              <w:rPr>
                <w:rFonts w:ascii="Arial" w:hAnsi="Arial" w:cs="Arial"/>
                <w:b/>
                <w:sz w:val="24"/>
                <w:szCs w:val="24"/>
              </w:rPr>
            </w:pPr>
          </w:p>
        </w:tc>
        <w:tc>
          <w:tcPr>
            <w:tcW w:w="7380" w:type="dxa"/>
          </w:tcPr>
          <w:p w:rsidR="00C670E6" w:rsidRPr="000C596B" w:rsidRDefault="00C670E6" w:rsidP="002458CA">
            <w:pPr>
              <w:spacing w:after="240"/>
              <w:rPr>
                <w:rFonts w:ascii="Arial" w:hAnsi="Arial" w:cs="Arial"/>
                <w:sz w:val="24"/>
                <w:szCs w:val="24"/>
              </w:rPr>
            </w:pPr>
            <w:r>
              <w:rPr>
                <w:rFonts w:ascii="Arial" w:hAnsi="Arial" w:cs="Arial"/>
                <w:sz w:val="24"/>
                <w:szCs w:val="24"/>
              </w:rPr>
              <w:t>No items presented</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CA7635" w:rsidRDefault="00C670E6" w:rsidP="00C16DF1">
            <w:pPr>
              <w:spacing w:after="240"/>
              <w:rPr>
                <w:rFonts w:ascii="Arial" w:hAnsi="Arial" w:cs="Arial"/>
                <w:b/>
                <w:sz w:val="24"/>
                <w:szCs w:val="24"/>
              </w:rPr>
            </w:pPr>
            <w:r>
              <w:rPr>
                <w:rFonts w:ascii="Arial" w:hAnsi="Arial" w:cs="Arial"/>
                <w:b/>
                <w:sz w:val="24"/>
                <w:szCs w:val="24"/>
              </w:rPr>
              <w:lastRenderedPageBreak/>
              <w:t>AOB</w:t>
            </w:r>
          </w:p>
        </w:tc>
        <w:tc>
          <w:tcPr>
            <w:tcW w:w="7380" w:type="dxa"/>
          </w:tcPr>
          <w:p w:rsidR="00C670E6" w:rsidRDefault="00C670E6" w:rsidP="00CA7635">
            <w:pPr>
              <w:spacing w:after="240"/>
              <w:rPr>
                <w:rFonts w:ascii="Arial" w:hAnsi="Arial" w:cs="Arial"/>
                <w:sz w:val="24"/>
                <w:szCs w:val="24"/>
              </w:rPr>
            </w:pPr>
            <w:r>
              <w:rPr>
                <w:rFonts w:ascii="Arial" w:hAnsi="Arial" w:cs="Arial"/>
                <w:sz w:val="24"/>
                <w:szCs w:val="24"/>
              </w:rPr>
              <w:t>Higher Education Achievement Report.</w:t>
            </w:r>
          </w:p>
          <w:p w:rsidR="00C670E6" w:rsidRPr="00D66F89" w:rsidRDefault="00C670E6" w:rsidP="00CA7635">
            <w:pPr>
              <w:spacing w:after="240"/>
              <w:rPr>
                <w:rFonts w:ascii="Arial" w:hAnsi="Arial" w:cs="Arial"/>
                <w:sz w:val="24"/>
                <w:szCs w:val="24"/>
              </w:rPr>
            </w:pPr>
            <w:r>
              <w:rPr>
                <w:rFonts w:ascii="Arial" w:hAnsi="Arial" w:cs="Arial"/>
                <w:sz w:val="24"/>
                <w:szCs w:val="24"/>
              </w:rPr>
              <w:t>The Chair reminded the committee that the University has been a pilot institution for the HEAR and noted that a request will be sent to the OSA for a report on status at LQC’s December 2012 meeting.</w:t>
            </w:r>
          </w:p>
        </w:tc>
        <w:tc>
          <w:tcPr>
            <w:tcW w:w="1080" w:type="dxa"/>
            <w:tcBorders>
              <w:left w:val="nil"/>
            </w:tcBorders>
          </w:tcPr>
          <w:p w:rsidR="00C670E6" w:rsidRPr="00CA7635" w:rsidRDefault="00C670E6" w:rsidP="00CA7635">
            <w:pPr>
              <w:spacing w:after="240"/>
              <w:rPr>
                <w:rFonts w:ascii="Arial" w:hAnsi="Arial" w:cs="Arial"/>
                <w:sz w:val="24"/>
                <w:szCs w:val="24"/>
              </w:rPr>
            </w:pPr>
          </w:p>
        </w:tc>
      </w:tr>
      <w:tr w:rsidR="00C670E6" w:rsidTr="002369A4">
        <w:tc>
          <w:tcPr>
            <w:tcW w:w="1548" w:type="dxa"/>
          </w:tcPr>
          <w:p w:rsidR="00C670E6" w:rsidRPr="00EF796B" w:rsidRDefault="00C670E6" w:rsidP="00C16DF1">
            <w:pPr>
              <w:spacing w:after="240"/>
              <w:rPr>
                <w:rFonts w:ascii="Arial" w:hAnsi="Arial" w:cs="Arial"/>
                <w:b/>
                <w:color w:val="FF0000"/>
                <w:sz w:val="24"/>
                <w:szCs w:val="24"/>
              </w:rPr>
            </w:pPr>
            <w:r w:rsidRPr="00EF796B">
              <w:rPr>
                <w:rFonts w:ascii="Arial" w:hAnsi="Arial" w:cs="Arial"/>
                <w:b/>
                <w:color w:val="FF0000"/>
                <w:sz w:val="24"/>
                <w:szCs w:val="24"/>
              </w:rPr>
              <w:t>Action</w:t>
            </w:r>
          </w:p>
        </w:tc>
        <w:tc>
          <w:tcPr>
            <w:tcW w:w="7380" w:type="dxa"/>
          </w:tcPr>
          <w:p w:rsidR="00C670E6" w:rsidRPr="00EF796B" w:rsidRDefault="00C670E6" w:rsidP="00CA7635">
            <w:pPr>
              <w:spacing w:after="240"/>
              <w:rPr>
                <w:rFonts w:ascii="Arial" w:hAnsi="Arial" w:cs="Arial"/>
                <w:b/>
                <w:color w:val="FF0000"/>
                <w:sz w:val="24"/>
                <w:szCs w:val="24"/>
              </w:rPr>
            </w:pPr>
            <w:r w:rsidRPr="00EF796B">
              <w:rPr>
                <w:rFonts w:ascii="Arial" w:hAnsi="Arial" w:cs="Arial"/>
                <w:b/>
                <w:color w:val="FF0000"/>
                <w:sz w:val="24"/>
                <w:szCs w:val="24"/>
              </w:rPr>
              <w:t>Submit report on progress  of the HEAR to December meeting of LQC</w:t>
            </w:r>
          </w:p>
        </w:tc>
        <w:tc>
          <w:tcPr>
            <w:tcW w:w="1080" w:type="dxa"/>
            <w:tcBorders>
              <w:left w:val="nil"/>
            </w:tcBorders>
          </w:tcPr>
          <w:p w:rsidR="00C670E6" w:rsidRPr="00EF796B" w:rsidRDefault="00C670E6" w:rsidP="00CA7635">
            <w:pPr>
              <w:spacing w:after="240"/>
              <w:rPr>
                <w:rFonts w:ascii="Arial" w:hAnsi="Arial" w:cs="Arial"/>
                <w:b/>
                <w:color w:val="FF0000"/>
                <w:sz w:val="24"/>
                <w:szCs w:val="24"/>
              </w:rPr>
            </w:pPr>
            <w:r w:rsidRPr="00EF796B">
              <w:rPr>
                <w:rFonts w:ascii="Arial" w:hAnsi="Arial" w:cs="Arial"/>
                <w:b/>
                <w:color w:val="FF0000"/>
                <w:sz w:val="24"/>
                <w:szCs w:val="24"/>
              </w:rPr>
              <w:t>OSA</w:t>
            </w:r>
          </w:p>
        </w:tc>
      </w:tr>
      <w:tr w:rsidR="00C670E6" w:rsidTr="002369A4">
        <w:tc>
          <w:tcPr>
            <w:tcW w:w="1548" w:type="dxa"/>
          </w:tcPr>
          <w:p w:rsidR="00C670E6" w:rsidRDefault="00C670E6" w:rsidP="00CA7635">
            <w:pPr>
              <w:spacing w:after="240"/>
              <w:rPr>
                <w:rFonts w:ascii="Arial" w:hAnsi="Arial" w:cs="Arial"/>
                <w:b/>
                <w:sz w:val="24"/>
                <w:szCs w:val="24"/>
              </w:rPr>
            </w:pPr>
          </w:p>
        </w:tc>
        <w:tc>
          <w:tcPr>
            <w:tcW w:w="7380" w:type="dxa"/>
          </w:tcPr>
          <w:p w:rsidR="00C670E6" w:rsidRDefault="00C670E6" w:rsidP="003005CD">
            <w:pPr>
              <w:rPr>
                <w:rFonts w:ascii="Arial" w:hAnsi="Arial" w:cs="Arial"/>
                <w:b/>
                <w:sz w:val="24"/>
                <w:szCs w:val="24"/>
              </w:rPr>
            </w:pPr>
            <w:r w:rsidRPr="00A747B8">
              <w:rPr>
                <w:rFonts w:ascii="Arial" w:hAnsi="Arial" w:cs="Arial"/>
                <w:b/>
                <w:sz w:val="24"/>
                <w:szCs w:val="24"/>
              </w:rPr>
              <w:t xml:space="preserve">Date </w:t>
            </w:r>
            <w:r>
              <w:rPr>
                <w:rFonts w:ascii="Arial" w:hAnsi="Arial" w:cs="Arial"/>
                <w:b/>
                <w:sz w:val="24"/>
                <w:szCs w:val="24"/>
              </w:rPr>
              <w:t>and Time o</w:t>
            </w:r>
            <w:r w:rsidRPr="00A747B8">
              <w:rPr>
                <w:rFonts w:ascii="Arial" w:hAnsi="Arial" w:cs="Arial"/>
                <w:b/>
                <w:sz w:val="24"/>
                <w:szCs w:val="24"/>
              </w:rPr>
              <w:t>f Next Meeting</w:t>
            </w:r>
          </w:p>
          <w:p w:rsidR="00C670E6" w:rsidRDefault="00C670E6" w:rsidP="003005CD">
            <w:pPr>
              <w:rPr>
                <w:rFonts w:ascii="Arial" w:hAnsi="Arial" w:cs="Arial"/>
                <w:sz w:val="24"/>
                <w:szCs w:val="24"/>
              </w:rPr>
            </w:pPr>
            <w:r w:rsidRPr="007B5687">
              <w:rPr>
                <w:rFonts w:ascii="Arial" w:hAnsi="Arial" w:cs="Arial"/>
                <w:sz w:val="24"/>
                <w:szCs w:val="24"/>
              </w:rPr>
              <w:t xml:space="preserve">The next meeting of the Learning and Quality Committee will take place on Wednesday </w:t>
            </w:r>
            <w:r>
              <w:rPr>
                <w:rFonts w:ascii="Arial" w:hAnsi="Arial" w:cs="Arial"/>
                <w:sz w:val="24"/>
                <w:szCs w:val="24"/>
              </w:rPr>
              <w:t>2</w:t>
            </w:r>
            <w:r w:rsidRPr="00663FD3">
              <w:rPr>
                <w:rFonts w:ascii="Arial" w:hAnsi="Arial" w:cs="Arial"/>
                <w:sz w:val="24"/>
                <w:szCs w:val="24"/>
                <w:vertAlign w:val="superscript"/>
              </w:rPr>
              <w:t>nd</w:t>
            </w:r>
            <w:r>
              <w:rPr>
                <w:rFonts w:ascii="Arial" w:hAnsi="Arial" w:cs="Arial"/>
                <w:sz w:val="24"/>
                <w:szCs w:val="24"/>
              </w:rPr>
              <w:t xml:space="preserve"> December</w:t>
            </w:r>
            <w:r w:rsidRPr="007B5687">
              <w:rPr>
                <w:rFonts w:ascii="Arial" w:hAnsi="Arial" w:cs="Arial"/>
                <w:sz w:val="24"/>
                <w:szCs w:val="24"/>
              </w:rPr>
              <w:t xml:space="preserve"> 2012, at 13.00 in </w:t>
            </w:r>
            <w:r>
              <w:rPr>
                <w:rFonts w:ascii="Arial" w:hAnsi="Arial" w:cs="Arial"/>
                <w:sz w:val="24"/>
                <w:szCs w:val="24"/>
              </w:rPr>
              <w:t>Blake 028 Medway Campus.</w:t>
            </w:r>
          </w:p>
          <w:p w:rsidR="00C670E6" w:rsidRPr="007B5687" w:rsidRDefault="00C670E6" w:rsidP="003005CD">
            <w:pPr>
              <w:rPr>
                <w:rFonts w:ascii="Arial" w:hAnsi="Arial" w:cs="Arial"/>
                <w:sz w:val="24"/>
                <w:szCs w:val="24"/>
              </w:rPr>
            </w:pPr>
            <w:r>
              <w:rPr>
                <w:rFonts w:ascii="Arial" w:hAnsi="Arial" w:cs="Arial"/>
                <w:sz w:val="24"/>
                <w:szCs w:val="24"/>
              </w:rPr>
              <w:t>Members are requested to provide papers and agenda items (only supported by written material) no later than Wednesday 28</w:t>
            </w:r>
            <w:r w:rsidRPr="00663FD3">
              <w:rPr>
                <w:rFonts w:ascii="Arial" w:hAnsi="Arial" w:cs="Arial"/>
                <w:sz w:val="24"/>
                <w:szCs w:val="24"/>
                <w:vertAlign w:val="superscript"/>
              </w:rPr>
              <w:t>th</w:t>
            </w:r>
            <w:r>
              <w:rPr>
                <w:rFonts w:ascii="Arial" w:hAnsi="Arial" w:cs="Arial"/>
                <w:sz w:val="24"/>
                <w:szCs w:val="24"/>
              </w:rPr>
              <w:t xml:space="preserve"> November for circulation on 29</w:t>
            </w:r>
            <w:r w:rsidRPr="00663FD3">
              <w:rPr>
                <w:rFonts w:ascii="Arial" w:hAnsi="Arial" w:cs="Arial"/>
                <w:sz w:val="24"/>
                <w:szCs w:val="24"/>
                <w:vertAlign w:val="superscript"/>
              </w:rPr>
              <w:t>th</w:t>
            </w:r>
            <w:r>
              <w:rPr>
                <w:rFonts w:ascii="Arial" w:hAnsi="Arial" w:cs="Arial"/>
                <w:sz w:val="24"/>
                <w:szCs w:val="24"/>
              </w:rPr>
              <w:t xml:space="preserve"> November.</w:t>
            </w:r>
          </w:p>
          <w:p w:rsidR="00C670E6" w:rsidRDefault="00C670E6" w:rsidP="00CA7635">
            <w:pPr>
              <w:spacing w:after="240"/>
              <w:rPr>
                <w:rFonts w:ascii="Arial" w:hAnsi="Arial" w:cs="Arial"/>
                <w:sz w:val="24"/>
                <w:szCs w:val="24"/>
              </w:rPr>
            </w:pPr>
          </w:p>
        </w:tc>
        <w:tc>
          <w:tcPr>
            <w:tcW w:w="1080" w:type="dxa"/>
            <w:tcBorders>
              <w:left w:val="nil"/>
            </w:tcBorders>
          </w:tcPr>
          <w:p w:rsidR="00C670E6" w:rsidRPr="00CA7635" w:rsidRDefault="00C670E6" w:rsidP="00CA7635">
            <w:pPr>
              <w:spacing w:after="240"/>
              <w:rPr>
                <w:rFonts w:ascii="Arial" w:hAnsi="Arial" w:cs="Arial"/>
                <w:sz w:val="24"/>
                <w:szCs w:val="24"/>
              </w:rPr>
            </w:pPr>
          </w:p>
        </w:tc>
      </w:tr>
    </w:tbl>
    <w:p w:rsidR="00C670E6" w:rsidRPr="00571666" w:rsidRDefault="00C670E6" w:rsidP="00571666">
      <w:pPr>
        <w:ind w:left="180"/>
        <w:rPr>
          <w:b/>
          <w:color w:val="FF0000"/>
        </w:rPr>
      </w:pPr>
    </w:p>
    <w:p w:rsidR="00C670E6" w:rsidRDefault="00C670E6" w:rsidP="00571666">
      <w:pPr>
        <w:ind w:left="1440" w:hanging="540"/>
      </w:pPr>
    </w:p>
    <w:p w:rsidR="00C670E6" w:rsidRPr="00A747B8" w:rsidRDefault="00C670E6" w:rsidP="00B336A5">
      <w:pPr>
        <w:rPr>
          <w:rFonts w:ascii="Arial" w:hAnsi="Arial" w:cs="Arial"/>
          <w:b/>
          <w:sz w:val="24"/>
          <w:szCs w:val="24"/>
        </w:rPr>
      </w:pPr>
      <w:r w:rsidRPr="00A747B8">
        <w:rPr>
          <w:rFonts w:ascii="Arial" w:hAnsi="Arial" w:cs="Arial"/>
          <w:b/>
          <w:sz w:val="24"/>
          <w:szCs w:val="24"/>
        </w:rPr>
        <w:tab/>
      </w:r>
    </w:p>
    <w:p w:rsidR="00C670E6" w:rsidRPr="00385E81" w:rsidRDefault="00C670E6" w:rsidP="00385E81">
      <w:pPr>
        <w:jc w:val="right"/>
        <w:rPr>
          <w:rFonts w:ascii="Arial" w:hAnsi="Arial" w:cs="Arial"/>
          <w:b/>
          <w:sz w:val="24"/>
          <w:szCs w:val="24"/>
        </w:rPr>
      </w:pPr>
      <w:r w:rsidRPr="00A747B8">
        <w:rPr>
          <w:rFonts w:ascii="Arial" w:hAnsi="Arial" w:cs="Arial"/>
          <w:b/>
          <w:i/>
          <w:sz w:val="24"/>
          <w:szCs w:val="24"/>
        </w:rPr>
        <w:tab/>
      </w:r>
      <w:r w:rsidRPr="00A747B8">
        <w:rPr>
          <w:rFonts w:ascii="Arial" w:hAnsi="Arial" w:cs="Arial"/>
          <w:b/>
          <w:i/>
          <w:sz w:val="24"/>
          <w:szCs w:val="24"/>
        </w:rPr>
        <w:tab/>
      </w:r>
    </w:p>
    <w:p w:rsidR="00C670E6" w:rsidRPr="00A747B8" w:rsidRDefault="00C670E6" w:rsidP="00B336A5">
      <w:pPr>
        <w:rPr>
          <w:rFonts w:ascii="Arial" w:hAnsi="Arial" w:cs="Arial"/>
          <w:sz w:val="24"/>
          <w:szCs w:val="24"/>
        </w:rPr>
      </w:pPr>
      <w:r w:rsidRPr="00A747B8">
        <w:rPr>
          <w:rFonts w:ascii="Arial" w:hAnsi="Arial" w:cs="Arial"/>
          <w:i/>
          <w:sz w:val="24"/>
          <w:szCs w:val="24"/>
        </w:rPr>
        <w:tab/>
      </w:r>
      <w:r w:rsidRPr="00A747B8">
        <w:rPr>
          <w:rFonts w:ascii="Arial" w:hAnsi="Arial" w:cs="Arial"/>
          <w:i/>
          <w:sz w:val="24"/>
          <w:szCs w:val="24"/>
        </w:rPr>
        <w:tab/>
      </w:r>
    </w:p>
    <w:p w:rsidR="00C670E6" w:rsidRDefault="00C670E6" w:rsidP="001A4779">
      <w:pPr>
        <w:rPr>
          <w:rFonts w:ascii="Arial" w:hAnsi="Arial" w:cs="Arial"/>
          <w:i/>
          <w:sz w:val="24"/>
          <w:szCs w:val="24"/>
        </w:rPr>
      </w:pPr>
    </w:p>
    <w:p w:rsidR="00C670E6" w:rsidRDefault="00C670E6" w:rsidP="001A4779">
      <w:pPr>
        <w:rPr>
          <w:rFonts w:ascii="Arial" w:hAnsi="Arial" w:cs="Arial"/>
          <w:i/>
          <w:sz w:val="24"/>
          <w:szCs w:val="24"/>
        </w:rPr>
      </w:pPr>
    </w:p>
    <w:p w:rsidR="00C670E6" w:rsidRDefault="00C670E6" w:rsidP="001A4779">
      <w:pPr>
        <w:rPr>
          <w:rFonts w:ascii="Arial" w:hAnsi="Arial" w:cs="Arial"/>
          <w:i/>
          <w:sz w:val="24"/>
          <w:szCs w:val="24"/>
        </w:rPr>
      </w:pPr>
    </w:p>
    <w:p w:rsidR="00C670E6" w:rsidRDefault="00C670E6" w:rsidP="001A4779">
      <w:pPr>
        <w:rPr>
          <w:rFonts w:ascii="Arial" w:hAnsi="Arial" w:cs="Arial"/>
          <w:i/>
          <w:sz w:val="24"/>
          <w:szCs w:val="24"/>
        </w:rPr>
      </w:pPr>
      <w:r>
        <w:rPr>
          <w:rFonts w:ascii="Arial" w:hAnsi="Arial" w:cs="Arial"/>
          <w:i/>
          <w:sz w:val="24"/>
          <w:szCs w:val="24"/>
        </w:rPr>
        <w:t>Officer</w:t>
      </w:r>
      <w:r w:rsidRPr="00A747B8">
        <w:rPr>
          <w:rFonts w:ascii="Arial" w:hAnsi="Arial" w:cs="Arial"/>
          <w:i/>
          <w:sz w:val="24"/>
          <w:szCs w:val="24"/>
        </w:rPr>
        <w:t>:</w:t>
      </w:r>
      <w:r>
        <w:rPr>
          <w:rFonts w:ascii="Arial" w:hAnsi="Arial" w:cs="Arial"/>
          <w:i/>
          <w:sz w:val="24"/>
          <w:szCs w:val="24"/>
        </w:rPr>
        <w:t xml:space="preserve">  Stephen Naylor</w:t>
      </w:r>
      <w:r w:rsidRPr="00A747B8">
        <w:rPr>
          <w:rFonts w:ascii="Arial" w:hAnsi="Arial" w:cs="Arial"/>
          <w:i/>
          <w:sz w:val="24"/>
          <w:szCs w:val="24"/>
        </w:rPr>
        <w:tab/>
      </w:r>
      <w:r w:rsidRPr="00A747B8">
        <w:rPr>
          <w:rFonts w:ascii="Arial" w:hAnsi="Arial" w:cs="Arial"/>
          <w:i/>
          <w:sz w:val="24"/>
          <w:szCs w:val="24"/>
        </w:rPr>
        <w:br/>
        <w:t xml:space="preserve">Tel: </w:t>
      </w:r>
      <w:r w:rsidRPr="00A747B8">
        <w:rPr>
          <w:rFonts w:ascii="Arial" w:hAnsi="Arial" w:cs="Arial"/>
          <w:i/>
          <w:sz w:val="24"/>
          <w:szCs w:val="24"/>
        </w:rPr>
        <w:tab/>
      </w:r>
      <w:r>
        <w:rPr>
          <w:rFonts w:ascii="Arial" w:hAnsi="Arial" w:cs="Arial"/>
          <w:i/>
          <w:sz w:val="24"/>
          <w:szCs w:val="24"/>
        </w:rPr>
        <w:t>8159</w:t>
      </w:r>
      <w:r>
        <w:rPr>
          <w:rFonts w:ascii="Arial" w:hAnsi="Arial" w:cs="Arial"/>
          <w:i/>
          <w:sz w:val="24"/>
          <w:szCs w:val="24"/>
        </w:rPr>
        <w:br/>
        <w:t xml:space="preserve">Email: </w:t>
      </w:r>
      <w:hyperlink r:id="rId9" w:history="1">
        <w:r w:rsidRPr="00101322">
          <w:rPr>
            <w:rStyle w:val="Hyperlink"/>
            <w:rFonts w:ascii="Arial" w:hAnsi="Arial" w:cs="Arial"/>
            <w:i/>
            <w:sz w:val="24"/>
            <w:szCs w:val="24"/>
          </w:rPr>
          <w:t>ns01@gre.ac.uk</w:t>
        </w:r>
      </w:hyperlink>
    </w:p>
    <w:p w:rsidR="00C670E6" w:rsidRDefault="00C670E6" w:rsidP="001A4779">
      <w:pPr>
        <w:rPr>
          <w:rFonts w:ascii="Arial" w:hAnsi="Arial" w:cs="Arial"/>
          <w:i/>
          <w:sz w:val="24"/>
          <w:szCs w:val="24"/>
        </w:rPr>
      </w:pPr>
    </w:p>
    <w:p w:rsidR="00C670E6" w:rsidRPr="00CA155E" w:rsidRDefault="00C670E6" w:rsidP="001A4779">
      <w:pPr>
        <w:rPr>
          <w:rFonts w:ascii="Arial" w:hAnsi="Arial" w:cs="Arial"/>
          <w:sz w:val="24"/>
          <w:szCs w:val="24"/>
        </w:rPr>
      </w:pPr>
      <w:r>
        <w:rPr>
          <w:rFonts w:ascii="Arial" w:hAnsi="Arial" w:cs="Arial"/>
          <w:i/>
          <w:sz w:val="24"/>
          <w:szCs w:val="24"/>
        </w:rPr>
        <w:br w:type="page"/>
      </w:r>
      <w:r w:rsidRPr="00CA155E">
        <w:rPr>
          <w:rFonts w:ascii="Arial" w:hAnsi="Arial" w:cs="Arial"/>
          <w:sz w:val="24"/>
          <w:szCs w:val="24"/>
        </w:rPr>
        <w:lastRenderedPageBreak/>
        <w:t>Actions Arising from the Second meeting (2012/13) of the Learning and Quality Committee, 18</w:t>
      </w:r>
      <w:r w:rsidRPr="00CA155E">
        <w:rPr>
          <w:rFonts w:ascii="Arial" w:hAnsi="Arial" w:cs="Arial"/>
          <w:sz w:val="24"/>
          <w:szCs w:val="24"/>
          <w:vertAlign w:val="superscript"/>
        </w:rPr>
        <w:t>th</w:t>
      </w:r>
      <w:r w:rsidRPr="00CA155E">
        <w:rPr>
          <w:rFonts w:ascii="Arial" w:hAnsi="Arial" w:cs="Arial"/>
          <w:sz w:val="24"/>
          <w:szCs w:val="24"/>
        </w:rPr>
        <w:t xml:space="preserve"> October 2012.</w:t>
      </w:r>
    </w:p>
    <w:tbl>
      <w:tblPr>
        <w:tblW w:w="9288" w:type="dxa"/>
        <w:tblLayout w:type="fixed"/>
        <w:tblLook w:val="01E0" w:firstRow="1" w:lastRow="1" w:firstColumn="1" w:lastColumn="1" w:noHBand="0" w:noVBand="0"/>
      </w:tblPr>
      <w:tblGrid>
        <w:gridCol w:w="1548"/>
        <w:gridCol w:w="5220"/>
        <w:gridCol w:w="900"/>
        <w:gridCol w:w="1620"/>
      </w:tblGrid>
      <w:tr w:rsidR="00C670E6" w:rsidRPr="00424A89" w:rsidTr="008F6BE1">
        <w:tc>
          <w:tcPr>
            <w:tcW w:w="1548" w:type="dxa"/>
          </w:tcPr>
          <w:p w:rsidR="00C670E6" w:rsidRPr="00C60505" w:rsidRDefault="00C670E6" w:rsidP="00856859">
            <w:pPr>
              <w:spacing w:after="240"/>
              <w:jc w:val="right"/>
              <w:rPr>
                <w:rFonts w:ascii="Arial" w:hAnsi="Arial" w:cs="Arial"/>
                <w:sz w:val="24"/>
                <w:szCs w:val="24"/>
              </w:rPr>
            </w:pPr>
            <w:r w:rsidRPr="00C60505">
              <w:rPr>
                <w:rFonts w:ascii="Arial" w:hAnsi="Arial" w:cs="Arial"/>
                <w:sz w:val="24"/>
                <w:szCs w:val="24"/>
              </w:rPr>
              <w:t>Minute</w:t>
            </w:r>
          </w:p>
        </w:tc>
        <w:tc>
          <w:tcPr>
            <w:tcW w:w="522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Action</w:t>
            </w:r>
          </w:p>
        </w:tc>
        <w:tc>
          <w:tcPr>
            <w:tcW w:w="90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Responsibility</w:t>
            </w:r>
          </w:p>
        </w:tc>
        <w:tc>
          <w:tcPr>
            <w:tcW w:w="162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Status</w:t>
            </w:r>
          </w:p>
        </w:tc>
      </w:tr>
      <w:tr w:rsidR="00C670E6" w:rsidRPr="00424A89" w:rsidTr="008F6BE1">
        <w:tc>
          <w:tcPr>
            <w:tcW w:w="1548" w:type="dxa"/>
          </w:tcPr>
          <w:p w:rsidR="00C670E6" w:rsidRPr="00C60505" w:rsidRDefault="00C670E6" w:rsidP="00856859">
            <w:pPr>
              <w:spacing w:after="240"/>
              <w:jc w:val="right"/>
              <w:rPr>
                <w:rFonts w:ascii="Arial" w:hAnsi="Arial" w:cs="Arial"/>
                <w:sz w:val="24"/>
                <w:szCs w:val="24"/>
              </w:rPr>
            </w:pPr>
            <w:r w:rsidRPr="00C60505">
              <w:rPr>
                <w:rFonts w:ascii="Arial" w:hAnsi="Arial" w:cs="Arial"/>
                <w:sz w:val="24"/>
                <w:szCs w:val="24"/>
              </w:rPr>
              <w:t>1/ 3.2</w:t>
            </w:r>
          </w:p>
        </w:tc>
        <w:tc>
          <w:tcPr>
            <w:tcW w:w="522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PAS to confirm participation in PTES as a matter of priority</w:t>
            </w:r>
          </w:p>
        </w:tc>
        <w:tc>
          <w:tcPr>
            <w:tcW w:w="90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PAS</w:t>
            </w:r>
          </w:p>
        </w:tc>
        <w:tc>
          <w:tcPr>
            <w:tcW w:w="1620" w:type="dxa"/>
          </w:tcPr>
          <w:p w:rsidR="00C670E6" w:rsidRPr="00C379A2" w:rsidRDefault="00C670E6" w:rsidP="00856859">
            <w:pPr>
              <w:spacing w:after="240"/>
              <w:rPr>
                <w:rFonts w:ascii="Arial" w:hAnsi="Arial" w:cs="Arial"/>
                <w:sz w:val="20"/>
                <w:szCs w:val="20"/>
              </w:rPr>
            </w:pPr>
          </w:p>
        </w:tc>
      </w:tr>
      <w:tr w:rsidR="00C670E6" w:rsidRPr="0044568B" w:rsidTr="008F6BE1">
        <w:tc>
          <w:tcPr>
            <w:tcW w:w="1548" w:type="dxa"/>
          </w:tcPr>
          <w:p w:rsidR="00C670E6" w:rsidRPr="00C60505" w:rsidRDefault="00C670E6" w:rsidP="00856859">
            <w:pPr>
              <w:spacing w:after="240"/>
              <w:jc w:val="right"/>
              <w:rPr>
                <w:rFonts w:ascii="Arial" w:hAnsi="Arial" w:cs="Arial"/>
                <w:sz w:val="24"/>
                <w:szCs w:val="24"/>
              </w:rPr>
            </w:pPr>
            <w:r w:rsidRPr="00C60505">
              <w:rPr>
                <w:rFonts w:ascii="Arial" w:hAnsi="Arial" w:cs="Arial"/>
                <w:sz w:val="24"/>
                <w:szCs w:val="24"/>
              </w:rPr>
              <w:t xml:space="preserve">1/3.4 </w:t>
            </w:r>
          </w:p>
        </w:tc>
        <w:tc>
          <w:tcPr>
            <w:tcW w:w="522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AOB Refers: LQU will request from appropriate parties a statement to all Partners reminding them of their obligations in respect of UKBA for the small number of overseas students who register at the Partner and then transfer to the University.</w:t>
            </w:r>
          </w:p>
        </w:tc>
        <w:tc>
          <w:tcPr>
            <w:tcW w:w="90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LQU</w:t>
            </w:r>
          </w:p>
        </w:tc>
        <w:tc>
          <w:tcPr>
            <w:tcW w:w="1620" w:type="dxa"/>
          </w:tcPr>
          <w:p w:rsidR="00C670E6" w:rsidRPr="00C379A2" w:rsidRDefault="00C670E6" w:rsidP="00856859">
            <w:pPr>
              <w:spacing w:after="240"/>
              <w:rPr>
                <w:rFonts w:ascii="Arial" w:hAnsi="Arial" w:cs="Arial"/>
                <w:sz w:val="20"/>
                <w:szCs w:val="20"/>
              </w:rPr>
            </w:pPr>
            <w:r w:rsidRPr="00C379A2">
              <w:rPr>
                <w:rFonts w:ascii="Arial" w:hAnsi="Arial" w:cs="Arial"/>
                <w:sz w:val="20"/>
                <w:szCs w:val="20"/>
              </w:rPr>
              <w:t>Completed 29/10/2012.  Emailed Peter Fisher and Jane Bland with request for reminder text to be sent to Partner College staff.</w:t>
            </w:r>
          </w:p>
        </w:tc>
      </w:tr>
      <w:tr w:rsidR="00C670E6" w:rsidRPr="0044568B" w:rsidTr="008F6BE1">
        <w:tc>
          <w:tcPr>
            <w:tcW w:w="1548" w:type="dxa"/>
          </w:tcPr>
          <w:p w:rsidR="00C670E6" w:rsidRPr="00C60505" w:rsidRDefault="00C670E6" w:rsidP="00856859">
            <w:pPr>
              <w:spacing w:after="240"/>
              <w:jc w:val="right"/>
              <w:rPr>
                <w:rFonts w:ascii="Arial" w:hAnsi="Arial" w:cs="Arial"/>
                <w:sz w:val="24"/>
                <w:szCs w:val="24"/>
              </w:rPr>
            </w:pPr>
            <w:r w:rsidRPr="00C60505">
              <w:rPr>
                <w:rFonts w:ascii="Arial" w:hAnsi="Arial" w:cs="Arial"/>
                <w:sz w:val="24"/>
                <w:szCs w:val="24"/>
              </w:rPr>
              <w:t>2/2.6</w:t>
            </w:r>
          </w:p>
        </w:tc>
        <w:tc>
          <w:tcPr>
            <w:tcW w:w="522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Schools to provide a review of PDP activities (aims and outcomes) as part of development of implementation plan for the Learning, Teaching and Assessment Strategy.</w:t>
            </w:r>
          </w:p>
        </w:tc>
        <w:tc>
          <w:tcPr>
            <w:tcW w:w="900" w:type="dxa"/>
          </w:tcPr>
          <w:p w:rsidR="00C670E6" w:rsidRPr="00C60505" w:rsidRDefault="00C670E6" w:rsidP="00856859">
            <w:pPr>
              <w:spacing w:after="240"/>
              <w:rPr>
                <w:rFonts w:ascii="Arial" w:hAnsi="Arial" w:cs="Arial"/>
                <w:sz w:val="24"/>
                <w:szCs w:val="24"/>
              </w:rPr>
            </w:pPr>
          </w:p>
        </w:tc>
        <w:tc>
          <w:tcPr>
            <w:tcW w:w="1620" w:type="dxa"/>
          </w:tcPr>
          <w:p w:rsidR="00C670E6" w:rsidRPr="00C379A2" w:rsidRDefault="00C670E6" w:rsidP="00856859">
            <w:pPr>
              <w:spacing w:after="240"/>
              <w:rPr>
                <w:rFonts w:ascii="Arial" w:hAnsi="Arial" w:cs="Arial"/>
                <w:sz w:val="20"/>
                <w:szCs w:val="20"/>
              </w:rPr>
            </w:pPr>
          </w:p>
        </w:tc>
      </w:tr>
      <w:tr w:rsidR="00C670E6" w:rsidRPr="0044568B" w:rsidTr="008F6BE1">
        <w:tc>
          <w:tcPr>
            <w:tcW w:w="1548" w:type="dxa"/>
          </w:tcPr>
          <w:p w:rsidR="00C670E6" w:rsidRPr="008F6BE1" w:rsidRDefault="00C670E6" w:rsidP="007A4F46">
            <w:pPr>
              <w:spacing w:after="240"/>
              <w:jc w:val="right"/>
              <w:rPr>
                <w:rFonts w:ascii="Arial" w:hAnsi="Arial" w:cs="Arial"/>
                <w:sz w:val="24"/>
                <w:szCs w:val="24"/>
              </w:rPr>
            </w:pPr>
            <w:r w:rsidRPr="008F6BE1">
              <w:rPr>
                <w:rFonts w:ascii="Arial" w:hAnsi="Arial" w:cs="Arial"/>
                <w:sz w:val="24"/>
                <w:szCs w:val="24"/>
              </w:rPr>
              <w:t>2/2.5b</w:t>
            </w:r>
          </w:p>
        </w:tc>
        <w:tc>
          <w:tcPr>
            <w:tcW w:w="5220" w:type="dxa"/>
          </w:tcPr>
          <w:p w:rsidR="00C670E6" w:rsidRPr="008F6BE1" w:rsidRDefault="00C670E6" w:rsidP="00856859">
            <w:pPr>
              <w:spacing w:after="240"/>
              <w:rPr>
                <w:rFonts w:ascii="Arial" w:hAnsi="Arial" w:cs="Arial"/>
                <w:sz w:val="24"/>
                <w:szCs w:val="24"/>
              </w:rPr>
            </w:pPr>
            <w:r w:rsidRPr="008F6BE1">
              <w:rPr>
                <w:rFonts w:ascii="Arial" w:hAnsi="Arial" w:cs="Arial"/>
                <w:sz w:val="24"/>
                <w:szCs w:val="24"/>
              </w:rPr>
              <w:t>LQU to re-circulate SAP and PAB paper to include indications of old and revised text together with School comments</w:t>
            </w:r>
          </w:p>
        </w:tc>
        <w:tc>
          <w:tcPr>
            <w:tcW w:w="900" w:type="dxa"/>
          </w:tcPr>
          <w:p w:rsidR="00C670E6" w:rsidRPr="008F6BE1" w:rsidRDefault="00C670E6" w:rsidP="00856859">
            <w:pPr>
              <w:spacing w:after="240"/>
              <w:rPr>
                <w:rFonts w:ascii="Arial" w:hAnsi="Arial" w:cs="Arial"/>
                <w:sz w:val="24"/>
                <w:szCs w:val="24"/>
              </w:rPr>
            </w:pPr>
            <w:r w:rsidRPr="008F6BE1">
              <w:rPr>
                <w:rFonts w:ascii="Arial" w:hAnsi="Arial" w:cs="Arial"/>
                <w:sz w:val="24"/>
                <w:szCs w:val="24"/>
              </w:rPr>
              <w:t>LQU</w:t>
            </w:r>
          </w:p>
        </w:tc>
        <w:tc>
          <w:tcPr>
            <w:tcW w:w="1620" w:type="dxa"/>
          </w:tcPr>
          <w:p w:rsidR="00C670E6" w:rsidRPr="00C379A2" w:rsidRDefault="00C670E6" w:rsidP="00856859">
            <w:pPr>
              <w:spacing w:after="240"/>
              <w:rPr>
                <w:rFonts w:ascii="Arial" w:hAnsi="Arial" w:cs="Arial"/>
                <w:sz w:val="20"/>
                <w:szCs w:val="20"/>
              </w:rPr>
            </w:pPr>
            <w:r w:rsidRPr="00C379A2">
              <w:rPr>
                <w:rFonts w:ascii="Arial" w:hAnsi="Arial" w:cs="Arial"/>
                <w:sz w:val="20"/>
                <w:szCs w:val="20"/>
              </w:rPr>
              <w:t>29/10/12 DLQs circulated with textual revisions and request to comment by 12/12/12 for inclusion into January LQC</w:t>
            </w:r>
          </w:p>
        </w:tc>
      </w:tr>
      <w:tr w:rsidR="00C670E6" w:rsidRPr="0044568B" w:rsidTr="008F6BE1">
        <w:tc>
          <w:tcPr>
            <w:tcW w:w="1548" w:type="dxa"/>
          </w:tcPr>
          <w:p w:rsidR="00C670E6" w:rsidRPr="00C60505" w:rsidRDefault="00C670E6" w:rsidP="00856859">
            <w:pPr>
              <w:spacing w:after="240"/>
              <w:jc w:val="right"/>
              <w:rPr>
                <w:rFonts w:ascii="Arial" w:hAnsi="Arial" w:cs="Arial"/>
                <w:sz w:val="24"/>
                <w:szCs w:val="24"/>
              </w:rPr>
            </w:pPr>
            <w:r w:rsidRPr="00C60505">
              <w:rPr>
                <w:rFonts w:ascii="Arial" w:hAnsi="Arial" w:cs="Arial"/>
                <w:sz w:val="24"/>
                <w:szCs w:val="24"/>
              </w:rPr>
              <w:t>2/2.7</w:t>
            </w:r>
          </w:p>
        </w:tc>
        <w:tc>
          <w:tcPr>
            <w:tcW w:w="5220" w:type="dxa"/>
          </w:tcPr>
          <w:p w:rsidR="00C670E6" w:rsidRPr="00C60505" w:rsidRDefault="00C670E6" w:rsidP="00C379A2">
            <w:pPr>
              <w:numPr>
                <w:ilvl w:val="0"/>
                <w:numId w:val="4"/>
              </w:numPr>
              <w:spacing w:after="0"/>
              <w:rPr>
                <w:rFonts w:ascii="Arial" w:hAnsi="Arial" w:cs="Arial"/>
                <w:sz w:val="24"/>
                <w:szCs w:val="24"/>
              </w:rPr>
            </w:pPr>
            <w:r w:rsidRPr="00C60505">
              <w:rPr>
                <w:rFonts w:ascii="Arial" w:hAnsi="Arial" w:cs="Arial"/>
                <w:sz w:val="24"/>
                <w:szCs w:val="24"/>
              </w:rPr>
              <w:t>Circulate review listing for first comments on events structures</w:t>
            </w:r>
          </w:p>
          <w:p w:rsidR="00C670E6" w:rsidRPr="00C60505" w:rsidRDefault="00C670E6" w:rsidP="00C379A2">
            <w:pPr>
              <w:numPr>
                <w:ilvl w:val="0"/>
                <w:numId w:val="4"/>
              </w:numPr>
              <w:spacing w:after="0"/>
              <w:rPr>
                <w:rFonts w:ascii="Arial" w:hAnsi="Arial" w:cs="Arial"/>
                <w:sz w:val="24"/>
                <w:szCs w:val="24"/>
              </w:rPr>
            </w:pPr>
            <w:r w:rsidRPr="00C60505">
              <w:rPr>
                <w:rFonts w:ascii="Arial" w:hAnsi="Arial" w:cs="Arial"/>
                <w:sz w:val="24"/>
                <w:szCs w:val="24"/>
              </w:rPr>
              <w:t>Supply list of nominated School Panel Chairs</w:t>
            </w:r>
          </w:p>
          <w:p w:rsidR="00C670E6" w:rsidRPr="00C60505" w:rsidRDefault="00C670E6" w:rsidP="00C379A2">
            <w:pPr>
              <w:numPr>
                <w:ilvl w:val="0"/>
                <w:numId w:val="4"/>
              </w:numPr>
              <w:spacing w:after="0"/>
              <w:rPr>
                <w:rFonts w:ascii="Arial" w:hAnsi="Arial" w:cs="Arial"/>
                <w:sz w:val="24"/>
                <w:szCs w:val="24"/>
              </w:rPr>
            </w:pPr>
            <w:r w:rsidRPr="00C60505">
              <w:rPr>
                <w:rFonts w:ascii="Arial" w:hAnsi="Arial" w:cs="Arial"/>
                <w:sz w:val="24"/>
                <w:szCs w:val="24"/>
              </w:rPr>
              <w:t>Supply first draft Schedule</w:t>
            </w:r>
          </w:p>
          <w:p w:rsidR="00C670E6" w:rsidRPr="00C60505" w:rsidRDefault="00C670E6" w:rsidP="00856859">
            <w:pPr>
              <w:spacing w:after="0"/>
              <w:rPr>
                <w:rFonts w:ascii="Arial" w:hAnsi="Arial" w:cs="Arial"/>
                <w:sz w:val="24"/>
                <w:szCs w:val="24"/>
              </w:rPr>
            </w:pPr>
          </w:p>
        </w:tc>
        <w:tc>
          <w:tcPr>
            <w:tcW w:w="900" w:type="dxa"/>
          </w:tcPr>
          <w:p w:rsidR="00C670E6" w:rsidRPr="00C60505" w:rsidRDefault="00C670E6" w:rsidP="00856859">
            <w:pPr>
              <w:spacing w:after="0"/>
              <w:rPr>
                <w:rFonts w:ascii="Arial" w:hAnsi="Arial" w:cs="Arial"/>
                <w:sz w:val="24"/>
                <w:szCs w:val="24"/>
              </w:rPr>
            </w:pPr>
            <w:r w:rsidRPr="00C60505">
              <w:rPr>
                <w:rFonts w:ascii="Arial" w:hAnsi="Arial" w:cs="Arial"/>
                <w:sz w:val="24"/>
                <w:szCs w:val="24"/>
              </w:rPr>
              <w:t>LQU</w:t>
            </w:r>
          </w:p>
          <w:p w:rsidR="00C670E6" w:rsidRPr="00C60505" w:rsidRDefault="00C670E6" w:rsidP="00856859">
            <w:pPr>
              <w:spacing w:after="0"/>
              <w:rPr>
                <w:rFonts w:ascii="Arial" w:hAnsi="Arial" w:cs="Arial"/>
                <w:sz w:val="24"/>
                <w:szCs w:val="24"/>
              </w:rPr>
            </w:pPr>
          </w:p>
          <w:p w:rsidR="00C670E6" w:rsidRDefault="00C670E6" w:rsidP="00856859">
            <w:pPr>
              <w:spacing w:after="0"/>
              <w:rPr>
                <w:rFonts w:ascii="Arial" w:hAnsi="Arial" w:cs="Arial"/>
                <w:sz w:val="24"/>
                <w:szCs w:val="24"/>
              </w:rPr>
            </w:pPr>
            <w:r w:rsidRPr="00C60505">
              <w:rPr>
                <w:rFonts w:ascii="Arial" w:hAnsi="Arial" w:cs="Arial"/>
                <w:sz w:val="24"/>
                <w:szCs w:val="24"/>
              </w:rPr>
              <w:t>DLQ</w:t>
            </w:r>
          </w:p>
          <w:p w:rsidR="00C670E6" w:rsidRPr="00C60505" w:rsidRDefault="00C670E6" w:rsidP="00856859">
            <w:pPr>
              <w:spacing w:after="0"/>
              <w:rPr>
                <w:rFonts w:ascii="Arial" w:hAnsi="Arial" w:cs="Arial"/>
                <w:sz w:val="24"/>
                <w:szCs w:val="24"/>
              </w:rPr>
            </w:pPr>
          </w:p>
          <w:p w:rsidR="00C670E6" w:rsidRPr="00C60505" w:rsidRDefault="00C670E6" w:rsidP="00856859">
            <w:pPr>
              <w:spacing w:after="0"/>
              <w:rPr>
                <w:rFonts w:ascii="Arial" w:hAnsi="Arial" w:cs="Arial"/>
                <w:sz w:val="24"/>
                <w:szCs w:val="24"/>
              </w:rPr>
            </w:pPr>
            <w:r w:rsidRPr="00C60505">
              <w:rPr>
                <w:rFonts w:ascii="Arial" w:hAnsi="Arial" w:cs="Arial"/>
                <w:sz w:val="24"/>
                <w:szCs w:val="24"/>
              </w:rPr>
              <w:t>LQU</w:t>
            </w:r>
          </w:p>
          <w:p w:rsidR="00C670E6" w:rsidRPr="00C60505" w:rsidRDefault="00C670E6" w:rsidP="00856859">
            <w:pPr>
              <w:spacing w:after="0"/>
              <w:rPr>
                <w:rFonts w:ascii="Arial" w:hAnsi="Arial" w:cs="Arial"/>
                <w:sz w:val="24"/>
                <w:szCs w:val="24"/>
              </w:rPr>
            </w:pPr>
          </w:p>
        </w:tc>
        <w:tc>
          <w:tcPr>
            <w:tcW w:w="1620" w:type="dxa"/>
          </w:tcPr>
          <w:p w:rsidR="00C670E6" w:rsidRDefault="00C670E6" w:rsidP="00C379A2">
            <w:pPr>
              <w:numPr>
                <w:ilvl w:val="0"/>
                <w:numId w:val="6"/>
              </w:numPr>
              <w:tabs>
                <w:tab w:val="clear" w:pos="720"/>
                <w:tab w:val="num" w:pos="252"/>
              </w:tabs>
              <w:spacing w:after="240"/>
              <w:ind w:left="252" w:hanging="252"/>
              <w:rPr>
                <w:rFonts w:ascii="Arial" w:hAnsi="Arial" w:cs="Arial"/>
                <w:sz w:val="20"/>
                <w:szCs w:val="20"/>
              </w:rPr>
            </w:pPr>
            <w:r w:rsidRPr="00C379A2">
              <w:rPr>
                <w:rFonts w:ascii="Arial" w:hAnsi="Arial" w:cs="Arial"/>
                <w:sz w:val="20"/>
                <w:szCs w:val="20"/>
              </w:rPr>
              <w:t>Completed 19/10/2012 (lengthy email with request for comment by 7/12/12</w:t>
            </w:r>
          </w:p>
          <w:p w:rsidR="00C670E6" w:rsidRPr="00C379A2" w:rsidRDefault="00C670E6" w:rsidP="00C379A2">
            <w:pPr>
              <w:numPr>
                <w:ilvl w:val="0"/>
                <w:numId w:val="6"/>
              </w:numPr>
              <w:tabs>
                <w:tab w:val="clear" w:pos="720"/>
                <w:tab w:val="num" w:pos="252"/>
              </w:tabs>
              <w:spacing w:after="240"/>
              <w:ind w:left="252" w:hanging="252"/>
              <w:rPr>
                <w:rFonts w:ascii="Arial" w:hAnsi="Arial" w:cs="Arial"/>
                <w:sz w:val="20"/>
                <w:szCs w:val="20"/>
              </w:rPr>
            </w:pPr>
            <w:r>
              <w:rPr>
                <w:rFonts w:ascii="Arial" w:hAnsi="Arial" w:cs="Arial"/>
                <w:sz w:val="20"/>
                <w:szCs w:val="20"/>
              </w:rPr>
              <w:t>Awaited by 7/12/12</w:t>
            </w:r>
          </w:p>
          <w:p w:rsidR="00C670E6" w:rsidRPr="00C379A2" w:rsidRDefault="00C670E6" w:rsidP="00C379A2">
            <w:pPr>
              <w:numPr>
                <w:ilvl w:val="0"/>
                <w:numId w:val="6"/>
              </w:numPr>
              <w:tabs>
                <w:tab w:val="clear" w:pos="720"/>
              </w:tabs>
              <w:spacing w:after="240"/>
              <w:ind w:left="252" w:hanging="252"/>
              <w:rPr>
                <w:rFonts w:ascii="Arial" w:hAnsi="Arial" w:cs="Arial"/>
                <w:sz w:val="20"/>
                <w:szCs w:val="20"/>
              </w:rPr>
            </w:pPr>
            <w:r w:rsidRPr="00C379A2">
              <w:rPr>
                <w:rFonts w:ascii="Arial" w:hAnsi="Arial" w:cs="Arial"/>
                <w:sz w:val="20"/>
                <w:szCs w:val="20"/>
              </w:rPr>
              <w:t xml:space="preserve">To be completed by Feb 2013 </w:t>
            </w:r>
            <w:r w:rsidRPr="00C379A2">
              <w:rPr>
                <w:rFonts w:ascii="Arial" w:hAnsi="Arial" w:cs="Arial"/>
                <w:sz w:val="20"/>
                <w:szCs w:val="20"/>
              </w:rPr>
              <w:lastRenderedPageBreak/>
              <w:t xml:space="preserve">LQC </w:t>
            </w:r>
          </w:p>
        </w:tc>
      </w:tr>
      <w:tr w:rsidR="00C670E6" w:rsidRPr="0044568B" w:rsidTr="008F6BE1">
        <w:tc>
          <w:tcPr>
            <w:tcW w:w="1548" w:type="dxa"/>
          </w:tcPr>
          <w:p w:rsidR="00C670E6" w:rsidRPr="00C60505" w:rsidRDefault="00C670E6" w:rsidP="00856859">
            <w:pPr>
              <w:spacing w:after="240"/>
              <w:jc w:val="right"/>
              <w:rPr>
                <w:rFonts w:ascii="Arial" w:hAnsi="Arial" w:cs="Arial"/>
                <w:sz w:val="24"/>
                <w:szCs w:val="24"/>
              </w:rPr>
            </w:pPr>
            <w:r>
              <w:rPr>
                <w:rFonts w:ascii="Arial" w:hAnsi="Arial" w:cs="Arial"/>
                <w:sz w:val="24"/>
                <w:szCs w:val="24"/>
              </w:rPr>
              <w:lastRenderedPageBreak/>
              <w:t>2/</w:t>
            </w:r>
            <w:r w:rsidRPr="00C60505">
              <w:rPr>
                <w:rFonts w:ascii="Arial" w:hAnsi="Arial" w:cs="Arial"/>
                <w:sz w:val="24"/>
                <w:szCs w:val="24"/>
              </w:rPr>
              <w:t>AOB</w:t>
            </w:r>
          </w:p>
        </w:tc>
        <w:tc>
          <w:tcPr>
            <w:tcW w:w="522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Submit report on progress  of the HEAR to December meeting of LQC</w:t>
            </w:r>
          </w:p>
        </w:tc>
        <w:tc>
          <w:tcPr>
            <w:tcW w:w="900" w:type="dxa"/>
          </w:tcPr>
          <w:p w:rsidR="00C670E6" w:rsidRPr="00C60505" w:rsidRDefault="00C670E6" w:rsidP="00856859">
            <w:pPr>
              <w:spacing w:after="240"/>
              <w:rPr>
                <w:rFonts w:ascii="Arial" w:hAnsi="Arial" w:cs="Arial"/>
                <w:sz w:val="24"/>
                <w:szCs w:val="24"/>
              </w:rPr>
            </w:pPr>
            <w:r w:rsidRPr="00C60505">
              <w:rPr>
                <w:rFonts w:ascii="Arial" w:hAnsi="Arial" w:cs="Arial"/>
                <w:sz w:val="24"/>
                <w:szCs w:val="24"/>
              </w:rPr>
              <w:t>OSA</w:t>
            </w:r>
          </w:p>
        </w:tc>
        <w:tc>
          <w:tcPr>
            <w:tcW w:w="1620" w:type="dxa"/>
          </w:tcPr>
          <w:p w:rsidR="00C670E6" w:rsidRPr="00C379A2" w:rsidRDefault="00C670E6" w:rsidP="00C379A2">
            <w:pPr>
              <w:spacing w:after="240"/>
              <w:ind w:left="72" w:hanging="136"/>
              <w:rPr>
                <w:rFonts w:ascii="Arial" w:hAnsi="Arial" w:cs="Arial"/>
                <w:sz w:val="20"/>
                <w:szCs w:val="20"/>
              </w:rPr>
            </w:pPr>
            <w:r w:rsidRPr="00C379A2">
              <w:rPr>
                <w:rFonts w:ascii="Arial" w:hAnsi="Arial" w:cs="Arial"/>
                <w:sz w:val="20"/>
                <w:szCs w:val="20"/>
              </w:rPr>
              <w:t>Agenda Item, December 2012</w:t>
            </w:r>
          </w:p>
        </w:tc>
      </w:tr>
    </w:tbl>
    <w:p w:rsidR="00C670E6" w:rsidRDefault="00C670E6" w:rsidP="001A4779">
      <w:pPr>
        <w:rPr>
          <w:rFonts w:ascii="Arial" w:hAnsi="Arial" w:cs="Arial"/>
          <w:i/>
          <w:sz w:val="24"/>
          <w:szCs w:val="24"/>
        </w:rPr>
      </w:pPr>
    </w:p>
    <w:sectPr w:rsidR="00C670E6" w:rsidSect="005116F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79" w:rsidRDefault="00693E79" w:rsidP="00540A44">
      <w:pPr>
        <w:spacing w:after="0" w:line="240" w:lineRule="auto"/>
      </w:pPr>
      <w:r>
        <w:separator/>
      </w:r>
    </w:p>
  </w:endnote>
  <w:endnote w:type="continuationSeparator" w:id="0">
    <w:p w:rsidR="00693E79" w:rsidRDefault="00693E79"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6" w:rsidRDefault="00C67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6" w:rsidRPr="00994B7E" w:rsidRDefault="00C670E6" w:rsidP="00994B7E">
    <w:pPr>
      <w:pStyle w:val="Footer"/>
      <w:pBdr>
        <w:top w:val="thinThickSmallGap" w:sz="24" w:space="1" w:color="622423"/>
      </w:pBdr>
      <w:tabs>
        <w:tab w:val="clear" w:pos="4513"/>
        <w:tab w:val="clear" w:pos="9026"/>
        <w:tab w:val="right" w:pos="9638"/>
      </w:tabs>
      <w:rPr>
        <w:rFonts w:ascii="Cambria" w:hAnsi="Cambria"/>
      </w:rPr>
    </w:pPr>
    <w:r>
      <w:rPr>
        <w:rFonts w:ascii="Cambria" w:hAnsi="Cambria"/>
      </w:rPr>
      <w:t>Learning and Quality Committee 12-M1 September 2012</w:t>
    </w:r>
    <w:r w:rsidRPr="00994B7E">
      <w:rPr>
        <w:rFonts w:ascii="Cambria" w:hAnsi="Cambria"/>
      </w:rPr>
      <w:tab/>
      <w:t xml:space="preserve">Page </w:t>
    </w:r>
    <w:r w:rsidR="00693E79">
      <w:fldChar w:fldCharType="begin"/>
    </w:r>
    <w:r w:rsidR="00693E79">
      <w:instrText xml:space="preserve"> PAGE   \* MERGEFORMAT </w:instrText>
    </w:r>
    <w:r w:rsidR="00693E79">
      <w:fldChar w:fldCharType="separate"/>
    </w:r>
    <w:r w:rsidR="008F066E" w:rsidRPr="008F066E">
      <w:rPr>
        <w:rFonts w:ascii="Cambria" w:hAnsi="Cambria"/>
        <w:noProof/>
      </w:rPr>
      <w:t>1</w:t>
    </w:r>
    <w:r w:rsidR="00693E79">
      <w:rPr>
        <w:rFonts w:ascii="Cambria" w:hAnsi="Cambria"/>
        <w:noProof/>
      </w:rPr>
      <w:fldChar w:fldCharType="end"/>
    </w:r>
  </w:p>
  <w:p w:rsidR="00C670E6" w:rsidRDefault="00C67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6" w:rsidRDefault="00C6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79" w:rsidRDefault="00693E79" w:rsidP="00540A44">
      <w:pPr>
        <w:spacing w:after="0" w:line="240" w:lineRule="auto"/>
      </w:pPr>
      <w:r>
        <w:separator/>
      </w:r>
    </w:p>
  </w:footnote>
  <w:footnote w:type="continuationSeparator" w:id="0">
    <w:p w:rsidR="00693E79" w:rsidRDefault="00693E79" w:rsidP="0054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6" w:rsidRDefault="008F066E">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77.4pt;height:101.9pt;rotation:315;z-index:-251658752;mso-position-horizontal:center;mso-position-horizontal-relative:margin;mso-position-vertical:center;mso-position-vertical-relative:margin" o:allowincell="f" fillcolor="silver" stroked="f">
          <v:fill opacity=".5"/>
          <v:textpath style="font-family:&quot;Calibri&quot;;font-size:1pt" string="Chair's Agreed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6" w:rsidRDefault="008F066E">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77.4pt;height:101.9pt;rotation:315;z-index:-251657728;mso-position-horizontal:center;mso-position-horizontal-relative:margin;mso-position-vertical:center;mso-position-vertical-relative:margin" o:allowincell="f" fillcolor="silver" stroked="f">
          <v:fill opacity=".5"/>
          <v:textpath style="font-family:&quot;Calibri&quot;;font-size:1pt" string="Chair's Agreed Ver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6" w:rsidRDefault="008F066E">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77.4pt;height:101.9pt;rotation:315;z-index:-251659776;mso-position-horizontal:center;mso-position-horizontal-relative:margin;mso-position-vertical:center;mso-position-vertical-relative:margin" o:allowincell="f" fillcolor="silver" stroked="f">
          <v:fill opacity=".5"/>
          <v:textpath style="font-family:&quot;Calibri&quot;;font-size:1pt" string="Chair's Agreed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A86"/>
    <w:multiLevelType w:val="hybridMultilevel"/>
    <w:tmpl w:val="6AF2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1263A9D"/>
    <w:multiLevelType w:val="hybridMultilevel"/>
    <w:tmpl w:val="A574C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7E2251F"/>
    <w:multiLevelType w:val="multilevel"/>
    <w:tmpl w:val="45E4CC5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45F3851"/>
    <w:multiLevelType w:val="hybridMultilevel"/>
    <w:tmpl w:val="76B69EA8"/>
    <w:lvl w:ilvl="0" w:tplc="042ECD60">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8D236AC"/>
    <w:multiLevelType w:val="hybridMultilevel"/>
    <w:tmpl w:val="79CAA18A"/>
    <w:lvl w:ilvl="0" w:tplc="08090019">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E596BD6"/>
    <w:multiLevelType w:val="hybridMultilevel"/>
    <w:tmpl w:val="6908F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04160"/>
    <w:rsid w:val="00006E11"/>
    <w:rsid w:val="00013D77"/>
    <w:rsid w:val="000318E5"/>
    <w:rsid w:val="0003337C"/>
    <w:rsid w:val="000442AA"/>
    <w:rsid w:val="00056E44"/>
    <w:rsid w:val="00062568"/>
    <w:rsid w:val="000B4563"/>
    <w:rsid w:val="000C596B"/>
    <w:rsid w:val="000E1917"/>
    <w:rsid w:val="000E2630"/>
    <w:rsid w:val="000F44A6"/>
    <w:rsid w:val="00101322"/>
    <w:rsid w:val="001078EA"/>
    <w:rsid w:val="00110C4C"/>
    <w:rsid w:val="00156078"/>
    <w:rsid w:val="00162FF2"/>
    <w:rsid w:val="001772AD"/>
    <w:rsid w:val="001949E2"/>
    <w:rsid w:val="001A2DAF"/>
    <w:rsid w:val="001A4779"/>
    <w:rsid w:val="001A649F"/>
    <w:rsid w:val="001B0AA5"/>
    <w:rsid w:val="001F2340"/>
    <w:rsid w:val="002005D5"/>
    <w:rsid w:val="0020483F"/>
    <w:rsid w:val="0021513C"/>
    <w:rsid w:val="00223A23"/>
    <w:rsid w:val="002369A4"/>
    <w:rsid w:val="002458CA"/>
    <w:rsid w:val="002616E2"/>
    <w:rsid w:val="00277E32"/>
    <w:rsid w:val="002A22EA"/>
    <w:rsid w:val="002D1A61"/>
    <w:rsid w:val="002D4BC8"/>
    <w:rsid w:val="002F32BE"/>
    <w:rsid w:val="002F5257"/>
    <w:rsid w:val="002F57EE"/>
    <w:rsid w:val="003005CD"/>
    <w:rsid w:val="00317245"/>
    <w:rsid w:val="0032340E"/>
    <w:rsid w:val="003248BD"/>
    <w:rsid w:val="00332579"/>
    <w:rsid w:val="0033391E"/>
    <w:rsid w:val="003565B2"/>
    <w:rsid w:val="00373A15"/>
    <w:rsid w:val="0037615B"/>
    <w:rsid w:val="00385E81"/>
    <w:rsid w:val="003C637C"/>
    <w:rsid w:val="003D47C3"/>
    <w:rsid w:val="003D5841"/>
    <w:rsid w:val="00424A89"/>
    <w:rsid w:val="00437FEF"/>
    <w:rsid w:val="0044568B"/>
    <w:rsid w:val="00454D5E"/>
    <w:rsid w:val="00461DFF"/>
    <w:rsid w:val="004704BE"/>
    <w:rsid w:val="00470FC1"/>
    <w:rsid w:val="004B4E82"/>
    <w:rsid w:val="004C1CA5"/>
    <w:rsid w:val="004E5F80"/>
    <w:rsid w:val="00510DBC"/>
    <w:rsid w:val="005116F9"/>
    <w:rsid w:val="00522B4B"/>
    <w:rsid w:val="005237FD"/>
    <w:rsid w:val="00540A44"/>
    <w:rsid w:val="00543100"/>
    <w:rsid w:val="00544BC9"/>
    <w:rsid w:val="00571666"/>
    <w:rsid w:val="005728CF"/>
    <w:rsid w:val="005804A7"/>
    <w:rsid w:val="0058501B"/>
    <w:rsid w:val="005A5D83"/>
    <w:rsid w:val="005B2025"/>
    <w:rsid w:val="005B5BDB"/>
    <w:rsid w:val="005C3F33"/>
    <w:rsid w:val="005E4F47"/>
    <w:rsid w:val="005F3FB4"/>
    <w:rsid w:val="006108C7"/>
    <w:rsid w:val="0061224D"/>
    <w:rsid w:val="0063132B"/>
    <w:rsid w:val="0064670D"/>
    <w:rsid w:val="0065590C"/>
    <w:rsid w:val="00663FD3"/>
    <w:rsid w:val="00684277"/>
    <w:rsid w:val="00693E79"/>
    <w:rsid w:val="006979DD"/>
    <w:rsid w:val="006E05CF"/>
    <w:rsid w:val="006F4EF0"/>
    <w:rsid w:val="0072682D"/>
    <w:rsid w:val="007464D0"/>
    <w:rsid w:val="007529E8"/>
    <w:rsid w:val="007567C9"/>
    <w:rsid w:val="00772D24"/>
    <w:rsid w:val="007829C9"/>
    <w:rsid w:val="007860EF"/>
    <w:rsid w:val="007A4F46"/>
    <w:rsid w:val="007B5687"/>
    <w:rsid w:val="007B7BB5"/>
    <w:rsid w:val="007E2521"/>
    <w:rsid w:val="0081051E"/>
    <w:rsid w:val="00855BC6"/>
    <w:rsid w:val="00856859"/>
    <w:rsid w:val="008729D5"/>
    <w:rsid w:val="0087597C"/>
    <w:rsid w:val="00885648"/>
    <w:rsid w:val="008919CF"/>
    <w:rsid w:val="008A55CD"/>
    <w:rsid w:val="008D68EB"/>
    <w:rsid w:val="008F066E"/>
    <w:rsid w:val="008F6BE1"/>
    <w:rsid w:val="0094233C"/>
    <w:rsid w:val="00994B7E"/>
    <w:rsid w:val="009E0DC6"/>
    <w:rsid w:val="00A154BE"/>
    <w:rsid w:val="00A26584"/>
    <w:rsid w:val="00A31D49"/>
    <w:rsid w:val="00A53464"/>
    <w:rsid w:val="00A60DD9"/>
    <w:rsid w:val="00A6112D"/>
    <w:rsid w:val="00A747B8"/>
    <w:rsid w:val="00A813AD"/>
    <w:rsid w:val="00AC31BA"/>
    <w:rsid w:val="00AD4654"/>
    <w:rsid w:val="00B0044C"/>
    <w:rsid w:val="00B336A5"/>
    <w:rsid w:val="00B71293"/>
    <w:rsid w:val="00B83566"/>
    <w:rsid w:val="00B84C9B"/>
    <w:rsid w:val="00B852DE"/>
    <w:rsid w:val="00B96D52"/>
    <w:rsid w:val="00C13265"/>
    <w:rsid w:val="00C15ABD"/>
    <w:rsid w:val="00C16DF1"/>
    <w:rsid w:val="00C379A2"/>
    <w:rsid w:val="00C47A4C"/>
    <w:rsid w:val="00C5074E"/>
    <w:rsid w:val="00C50901"/>
    <w:rsid w:val="00C60505"/>
    <w:rsid w:val="00C670E6"/>
    <w:rsid w:val="00C6785C"/>
    <w:rsid w:val="00C751F5"/>
    <w:rsid w:val="00C902A2"/>
    <w:rsid w:val="00CA155E"/>
    <w:rsid w:val="00CA3106"/>
    <w:rsid w:val="00CA3402"/>
    <w:rsid w:val="00CA7635"/>
    <w:rsid w:val="00CB570D"/>
    <w:rsid w:val="00CE16A3"/>
    <w:rsid w:val="00CF0ECD"/>
    <w:rsid w:val="00D158A8"/>
    <w:rsid w:val="00D17A1B"/>
    <w:rsid w:val="00D66F89"/>
    <w:rsid w:val="00D701DC"/>
    <w:rsid w:val="00D912B6"/>
    <w:rsid w:val="00DA13ED"/>
    <w:rsid w:val="00DA2B7F"/>
    <w:rsid w:val="00DE06BF"/>
    <w:rsid w:val="00DE2E96"/>
    <w:rsid w:val="00E03EED"/>
    <w:rsid w:val="00E1526B"/>
    <w:rsid w:val="00E41FAA"/>
    <w:rsid w:val="00E42EC3"/>
    <w:rsid w:val="00E72FBF"/>
    <w:rsid w:val="00E94E13"/>
    <w:rsid w:val="00EE464D"/>
    <w:rsid w:val="00EF796B"/>
    <w:rsid w:val="00F0648A"/>
    <w:rsid w:val="00F06521"/>
    <w:rsid w:val="00F26608"/>
    <w:rsid w:val="00F64FBE"/>
    <w:rsid w:val="00F81421"/>
    <w:rsid w:val="00F81F6B"/>
    <w:rsid w:val="00F869F0"/>
    <w:rsid w:val="00FB5110"/>
    <w:rsid w:val="00FB7D12"/>
    <w:rsid w:val="00FC393B"/>
    <w:rsid w:val="00FC4188"/>
    <w:rsid w:val="00FE4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sid w:val="00470F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sid w:val="00470FC1"/>
    <w:rPr>
      <w:rFonts w:cs="Times New Roman"/>
      <w:b/>
      <w:bCs/>
      <w:sz w:val="20"/>
      <w:szCs w:val="20"/>
      <w:lang w:eastAsia="en-US"/>
    </w:rPr>
  </w:style>
  <w:style w:type="character" w:styleId="Hyperlink">
    <w:name w:val="Hyperlink"/>
    <w:basedOn w:val="DefaultParagraphFont"/>
    <w:uiPriority w:val="99"/>
    <w:rsid w:val="002D1A6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563183">
      <w:marLeft w:val="0"/>
      <w:marRight w:val="0"/>
      <w:marTop w:val="0"/>
      <w:marBottom w:val="0"/>
      <w:divBdr>
        <w:top w:val="none" w:sz="0" w:space="0" w:color="auto"/>
        <w:left w:val="none" w:sz="0" w:space="0" w:color="auto"/>
        <w:bottom w:val="none" w:sz="0" w:space="0" w:color="auto"/>
        <w:right w:val="none" w:sz="0" w:space="0" w:color="auto"/>
      </w:divBdr>
    </w:div>
    <w:div w:id="1209563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01@gre.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1659</Words>
  <Characters>9460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2012-11-13T09:53:00Z</cp:lastPrinted>
  <dcterms:created xsi:type="dcterms:W3CDTF">2012-11-13T09:58:00Z</dcterms:created>
  <dcterms:modified xsi:type="dcterms:W3CDTF">2012-11-13T09:58:00Z</dcterms:modified>
</cp:coreProperties>
</file>