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80A" w:rsidRPr="00B9680A" w:rsidRDefault="00B9680A" w:rsidP="00B9680A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B9680A" w:rsidRDefault="00B9680A" w:rsidP="00B9680A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FACULTY LEARNING AND INNOVATION GROUP (FLIG)</w:t>
      </w:r>
    </w:p>
    <w:p w:rsidR="00B9680A" w:rsidRDefault="00B9680A" w:rsidP="00B9680A">
      <w:pPr>
        <w:spacing w:after="0" w:line="240" w:lineRule="auto"/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</w:rPr>
        <w:t>Terms of Reference and Membership</w:t>
      </w:r>
    </w:p>
    <w:p w:rsidR="00B9680A" w:rsidRDefault="00B9680A" w:rsidP="00B9680A">
      <w:pPr>
        <w:spacing w:after="0" w:line="240" w:lineRule="auto"/>
        <w:rPr>
          <w:rFonts w:ascii="Arial" w:hAnsi="Arial" w:cs="Arial"/>
          <w:b/>
        </w:rPr>
      </w:pPr>
    </w:p>
    <w:p w:rsidR="00B9680A" w:rsidRDefault="00B9680A" w:rsidP="00B9680A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Purpose</w:t>
      </w:r>
    </w:p>
    <w:p w:rsidR="00B9680A" w:rsidRDefault="00B9680A" w:rsidP="00B9680A">
      <w:pPr>
        <w:spacing w:after="0" w:line="240" w:lineRule="auto"/>
        <w:rPr>
          <w:rFonts w:ascii="Arial" w:hAnsi="Arial" w:cs="Arial"/>
          <w:b/>
        </w:rPr>
      </w:pPr>
    </w:p>
    <w:p w:rsidR="00B9680A" w:rsidRPr="009135EA" w:rsidRDefault="00B9680A" w:rsidP="00B9680A">
      <w:pPr>
        <w:pStyle w:val="ColorfulList-Accent1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9135EA">
        <w:rPr>
          <w:rFonts w:ascii="Arial" w:hAnsi="Arial" w:cs="Arial"/>
          <w:sz w:val="24"/>
          <w:szCs w:val="24"/>
        </w:rPr>
        <w:t>The Faculty Learning and Innovation Group (FLIG) acts as a Faculty forum for consultation and development in the area of learning quality enhancement, with particular emphasis on innovative learning experiences, technology, and engaging curriculum</w:t>
      </w:r>
    </w:p>
    <w:p w:rsidR="00B9680A" w:rsidRPr="009135EA" w:rsidRDefault="00B9680A" w:rsidP="00B9680A">
      <w:pPr>
        <w:pStyle w:val="Default"/>
      </w:pPr>
    </w:p>
    <w:p w:rsidR="00B9680A" w:rsidRPr="009135EA" w:rsidRDefault="00B9680A" w:rsidP="00B9680A">
      <w:pPr>
        <w:pStyle w:val="Default"/>
      </w:pPr>
      <w:r w:rsidRPr="009135EA">
        <w:t>The Faculty Learning and Innovation group shall be accountable to the Faculty Board for implementing practices designed to improve the learning and teaching experiences of students.</w:t>
      </w:r>
      <w:r>
        <w:t xml:space="preserve">  It also reports to the Learning Innovation Group on learning, teaching and assessment excellence.</w:t>
      </w:r>
    </w:p>
    <w:p w:rsidR="00B9680A" w:rsidRDefault="00B9680A" w:rsidP="00B9680A">
      <w:pPr>
        <w:spacing w:after="0" w:line="240" w:lineRule="auto"/>
        <w:jc w:val="both"/>
        <w:rPr>
          <w:rFonts w:ascii="Arial" w:hAnsi="Arial" w:cs="Arial"/>
          <w:b/>
        </w:rPr>
      </w:pPr>
    </w:p>
    <w:p w:rsidR="00B9680A" w:rsidRDefault="00B9680A" w:rsidP="00B9680A">
      <w:pPr>
        <w:spacing w:after="0" w:line="240" w:lineRule="auto"/>
        <w:jc w:val="both"/>
        <w:rPr>
          <w:rFonts w:ascii="Arial" w:hAnsi="Arial" w:cs="Arial"/>
          <w:b/>
        </w:rPr>
      </w:pPr>
    </w:p>
    <w:p w:rsidR="00B9680A" w:rsidRDefault="00B9680A" w:rsidP="00B9680A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Terms of Reference</w:t>
      </w:r>
    </w:p>
    <w:p w:rsidR="00B9680A" w:rsidRPr="003F0D0B" w:rsidRDefault="00B9680A" w:rsidP="00B9680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9680A" w:rsidRPr="003F0D0B" w:rsidRDefault="00B9680A" w:rsidP="00B9680A">
      <w:pPr>
        <w:pStyle w:val="ColorfulList-Accent1"/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F0D0B">
        <w:rPr>
          <w:rFonts w:ascii="Arial" w:hAnsi="Arial" w:cs="Arial"/>
          <w:sz w:val="24"/>
          <w:szCs w:val="24"/>
        </w:rPr>
        <w:t>To encourage and facilitate the sharing of good practice and cooperation, and support colleagues in the Faculty to enhance their teaching, le</w:t>
      </w:r>
      <w:r>
        <w:rPr>
          <w:rFonts w:ascii="Arial" w:hAnsi="Arial" w:cs="Arial"/>
          <w:sz w:val="24"/>
          <w:szCs w:val="24"/>
        </w:rPr>
        <w:t>arning and assessment practices;</w:t>
      </w:r>
      <w:r>
        <w:rPr>
          <w:rFonts w:ascii="Arial" w:hAnsi="Arial" w:cs="Arial"/>
          <w:sz w:val="24"/>
          <w:szCs w:val="24"/>
        </w:rPr>
        <w:br/>
      </w:r>
    </w:p>
    <w:p w:rsidR="00B9680A" w:rsidRPr="003F0D0B" w:rsidRDefault="00B9680A" w:rsidP="00B9680A">
      <w:pPr>
        <w:pStyle w:val="ColorfulList-Accent1"/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foster </w:t>
      </w:r>
      <w:r w:rsidRPr="003F0D0B">
        <w:rPr>
          <w:rFonts w:ascii="Arial" w:hAnsi="Arial" w:cs="Arial"/>
          <w:sz w:val="24"/>
          <w:szCs w:val="24"/>
        </w:rPr>
        <w:t>the adoption of new Faculty and University initiatives, acting as an interface to/from</w:t>
      </w:r>
      <w:r>
        <w:rPr>
          <w:rFonts w:ascii="Arial" w:hAnsi="Arial" w:cs="Arial"/>
          <w:sz w:val="24"/>
          <w:szCs w:val="24"/>
        </w:rPr>
        <w:t xml:space="preserve"> other University Committees;</w:t>
      </w:r>
      <w:r>
        <w:rPr>
          <w:rFonts w:ascii="Arial" w:hAnsi="Arial" w:cs="Arial"/>
          <w:sz w:val="24"/>
          <w:szCs w:val="24"/>
        </w:rPr>
        <w:br/>
      </w:r>
    </w:p>
    <w:p w:rsidR="00B9680A" w:rsidRPr="003F0D0B" w:rsidRDefault="00B9680A" w:rsidP="00B9680A">
      <w:pPr>
        <w:pStyle w:val="ColorfulList-Accent1"/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a</w:t>
      </w:r>
      <w:r w:rsidRPr="003F0D0B">
        <w:rPr>
          <w:rFonts w:ascii="Arial" w:hAnsi="Arial" w:cs="Arial"/>
          <w:sz w:val="24"/>
          <w:szCs w:val="24"/>
        </w:rPr>
        <w:t>dvise the Faculty Boa</w:t>
      </w:r>
      <w:r>
        <w:rPr>
          <w:rFonts w:ascii="Arial" w:hAnsi="Arial" w:cs="Arial"/>
          <w:sz w:val="24"/>
          <w:szCs w:val="24"/>
        </w:rPr>
        <w:t xml:space="preserve">rd, Faculty Executive, Faculty Learning </w:t>
      </w:r>
      <w:r w:rsidRPr="003F0D0B">
        <w:rPr>
          <w:rFonts w:ascii="Arial" w:hAnsi="Arial" w:cs="Arial"/>
          <w:sz w:val="24"/>
          <w:szCs w:val="24"/>
        </w:rPr>
        <w:t>Q</w:t>
      </w:r>
      <w:r>
        <w:rPr>
          <w:rFonts w:ascii="Arial" w:hAnsi="Arial" w:cs="Arial"/>
          <w:sz w:val="24"/>
          <w:szCs w:val="24"/>
        </w:rPr>
        <w:t xml:space="preserve">uality and </w:t>
      </w:r>
      <w:r w:rsidRPr="003F0D0B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tandards </w:t>
      </w:r>
      <w:r w:rsidRPr="003F0D0B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ommittee</w:t>
      </w:r>
      <w:r w:rsidRPr="003F0D0B">
        <w:rPr>
          <w:rFonts w:ascii="Arial" w:hAnsi="Arial" w:cs="Arial"/>
          <w:sz w:val="24"/>
          <w:szCs w:val="24"/>
        </w:rPr>
        <w:t>, Heads of Department and programme teams on quality enhancement of academic practice, and staff development needs pertinent to the enhancement of learning</w:t>
      </w:r>
      <w:r>
        <w:rPr>
          <w:rFonts w:ascii="Arial" w:hAnsi="Arial" w:cs="Arial"/>
          <w:sz w:val="24"/>
          <w:szCs w:val="24"/>
        </w:rPr>
        <w:t>, teaching</w:t>
      </w:r>
      <w:r w:rsidRPr="003F0D0B">
        <w:rPr>
          <w:rFonts w:ascii="Arial" w:hAnsi="Arial" w:cs="Arial"/>
          <w:sz w:val="24"/>
          <w:szCs w:val="24"/>
        </w:rPr>
        <w:t xml:space="preserve"> and assessment, in</w:t>
      </w:r>
      <w:r>
        <w:rPr>
          <w:rFonts w:ascii="Arial" w:hAnsi="Arial" w:cs="Arial"/>
          <w:sz w:val="24"/>
          <w:szCs w:val="24"/>
        </w:rPr>
        <w:t>cluding the use of technologies;</w:t>
      </w:r>
      <w:r>
        <w:rPr>
          <w:rFonts w:ascii="Arial" w:hAnsi="Arial" w:cs="Arial"/>
          <w:sz w:val="24"/>
          <w:szCs w:val="24"/>
        </w:rPr>
        <w:br/>
      </w:r>
    </w:p>
    <w:p w:rsidR="00B9680A" w:rsidRPr="003F0D0B" w:rsidRDefault="00B9680A" w:rsidP="00B9680A">
      <w:pPr>
        <w:pStyle w:val="ColorfulList-Accent1"/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F0D0B">
        <w:rPr>
          <w:rFonts w:ascii="Arial" w:hAnsi="Arial" w:cs="Arial"/>
          <w:sz w:val="24"/>
          <w:szCs w:val="24"/>
        </w:rPr>
        <w:t xml:space="preserve">To promote the </w:t>
      </w:r>
      <w:r>
        <w:rPr>
          <w:rFonts w:ascii="Arial" w:hAnsi="Arial" w:cs="Arial"/>
          <w:sz w:val="24"/>
          <w:szCs w:val="24"/>
        </w:rPr>
        <w:t>use of technology to support implementation of the u</w:t>
      </w:r>
      <w:r w:rsidRPr="003F0D0B">
        <w:rPr>
          <w:rFonts w:ascii="Arial" w:hAnsi="Arial" w:cs="Arial"/>
          <w:sz w:val="24"/>
          <w:szCs w:val="24"/>
        </w:rPr>
        <w:t>niversity</w:t>
      </w:r>
      <w:r>
        <w:rPr>
          <w:rFonts w:ascii="Arial" w:hAnsi="Arial" w:cs="Arial"/>
          <w:sz w:val="24"/>
          <w:szCs w:val="24"/>
        </w:rPr>
        <w:t xml:space="preserve"> strategies relating to learning, teaching and assessment and information and t</w:t>
      </w:r>
      <w:r w:rsidRPr="003F0D0B">
        <w:rPr>
          <w:rFonts w:ascii="Arial" w:hAnsi="Arial" w:cs="Arial"/>
          <w:sz w:val="24"/>
          <w:szCs w:val="24"/>
        </w:rPr>
        <w:t>echnology and initiatives</w:t>
      </w:r>
      <w:r>
        <w:rPr>
          <w:rFonts w:ascii="Arial" w:hAnsi="Arial" w:cs="Arial"/>
          <w:sz w:val="24"/>
          <w:szCs w:val="24"/>
        </w:rPr>
        <w:t xml:space="preserve"> arising from projects linked to these;</w:t>
      </w:r>
      <w:r>
        <w:rPr>
          <w:rFonts w:ascii="Arial" w:hAnsi="Arial" w:cs="Arial"/>
          <w:sz w:val="24"/>
          <w:szCs w:val="24"/>
        </w:rPr>
        <w:br/>
      </w:r>
    </w:p>
    <w:p w:rsidR="00B9680A" w:rsidRPr="003F0D0B" w:rsidRDefault="00B9680A" w:rsidP="00B9680A">
      <w:pPr>
        <w:pStyle w:val="ColorfulList-Accent1"/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F0D0B">
        <w:rPr>
          <w:rFonts w:ascii="Arial" w:hAnsi="Arial" w:cs="Arial"/>
          <w:sz w:val="24"/>
          <w:szCs w:val="24"/>
        </w:rPr>
        <w:t>To consider student a</w:t>
      </w:r>
      <w:r>
        <w:rPr>
          <w:rFonts w:ascii="Arial" w:hAnsi="Arial" w:cs="Arial"/>
          <w:sz w:val="24"/>
          <w:szCs w:val="24"/>
        </w:rPr>
        <w:t>nd tutor feedback relevant to</w:t>
      </w:r>
      <w:r w:rsidRPr="003F0D0B">
        <w:rPr>
          <w:rFonts w:ascii="Arial" w:hAnsi="Arial" w:cs="Arial"/>
          <w:sz w:val="24"/>
          <w:szCs w:val="24"/>
        </w:rPr>
        <w:t xml:space="preserve"> learning</w:t>
      </w:r>
      <w:r>
        <w:rPr>
          <w:rFonts w:ascii="Arial" w:hAnsi="Arial" w:cs="Arial"/>
          <w:sz w:val="24"/>
          <w:szCs w:val="24"/>
        </w:rPr>
        <w:t>, teaching</w:t>
      </w:r>
      <w:r w:rsidRPr="003F0D0B">
        <w:rPr>
          <w:rFonts w:ascii="Arial" w:hAnsi="Arial" w:cs="Arial"/>
          <w:sz w:val="24"/>
          <w:szCs w:val="24"/>
        </w:rPr>
        <w:t xml:space="preserve"> and assessment </w:t>
      </w:r>
      <w:r>
        <w:rPr>
          <w:rFonts w:ascii="Arial" w:hAnsi="Arial" w:cs="Arial"/>
          <w:sz w:val="24"/>
          <w:szCs w:val="24"/>
        </w:rPr>
        <w:t>and to consider relevant cross-f</w:t>
      </w:r>
      <w:r w:rsidRPr="003F0D0B">
        <w:rPr>
          <w:rFonts w:ascii="Arial" w:hAnsi="Arial" w:cs="Arial"/>
          <w:sz w:val="24"/>
          <w:szCs w:val="24"/>
        </w:rPr>
        <w:t>aculty actions tak</w:t>
      </w:r>
      <w:r>
        <w:rPr>
          <w:rFonts w:ascii="Arial" w:hAnsi="Arial" w:cs="Arial"/>
          <w:sz w:val="24"/>
          <w:szCs w:val="24"/>
        </w:rPr>
        <w:t>en in response to that feedback;</w:t>
      </w:r>
      <w:r>
        <w:rPr>
          <w:rFonts w:ascii="Arial" w:hAnsi="Arial" w:cs="Arial"/>
          <w:sz w:val="24"/>
          <w:szCs w:val="24"/>
        </w:rPr>
        <w:br/>
      </w:r>
    </w:p>
    <w:p w:rsidR="00B9680A" w:rsidRPr="003F0D0B" w:rsidRDefault="00B9680A" w:rsidP="00B9680A">
      <w:pPr>
        <w:pStyle w:val="ColorfulList-Accent1"/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sponsor</w:t>
      </w:r>
      <w:r w:rsidRPr="003F0D0B">
        <w:rPr>
          <w:rFonts w:ascii="Arial" w:hAnsi="Arial" w:cs="Arial"/>
          <w:sz w:val="24"/>
          <w:szCs w:val="24"/>
        </w:rPr>
        <w:t xml:space="preserve"> project groups to work on specific initiatives</w:t>
      </w:r>
      <w:r>
        <w:rPr>
          <w:rFonts w:ascii="Arial" w:hAnsi="Arial" w:cs="Arial"/>
          <w:sz w:val="24"/>
          <w:szCs w:val="24"/>
        </w:rPr>
        <w:t>;</w:t>
      </w:r>
      <w:r>
        <w:rPr>
          <w:rFonts w:ascii="Arial" w:hAnsi="Arial" w:cs="Arial"/>
          <w:sz w:val="24"/>
          <w:szCs w:val="24"/>
        </w:rPr>
        <w:br/>
      </w:r>
    </w:p>
    <w:p w:rsidR="00B9680A" w:rsidRPr="003F0D0B" w:rsidRDefault="00B9680A" w:rsidP="00B9680A">
      <w:pPr>
        <w:pStyle w:val="ColorfulList-Accent1"/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F0D0B">
        <w:rPr>
          <w:rFonts w:ascii="Arial" w:hAnsi="Arial" w:cs="Arial"/>
          <w:sz w:val="24"/>
          <w:szCs w:val="24"/>
        </w:rPr>
        <w:t>To sift for potential trends and discuss new and emerging technologies and resources and, where appropriate, make recommendations for their tria</w:t>
      </w:r>
      <w:r>
        <w:rPr>
          <w:rFonts w:ascii="Arial" w:hAnsi="Arial" w:cs="Arial"/>
          <w:sz w:val="24"/>
          <w:szCs w:val="24"/>
        </w:rPr>
        <w:t>l, acquisition, purchase or use;</w:t>
      </w:r>
      <w:r>
        <w:rPr>
          <w:rFonts w:ascii="Arial" w:hAnsi="Arial" w:cs="Arial"/>
          <w:sz w:val="24"/>
          <w:szCs w:val="24"/>
        </w:rPr>
        <w:br/>
      </w:r>
    </w:p>
    <w:p w:rsidR="00B9680A" w:rsidRPr="003F0D0B" w:rsidRDefault="00B9680A" w:rsidP="00B9680A">
      <w:pPr>
        <w:pStyle w:val="ColorfulList-Accent1"/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promote</w:t>
      </w:r>
      <w:r w:rsidRPr="003F0D0B">
        <w:rPr>
          <w:rFonts w:ascii="Arial" w:hAnsi="Arial" w:cs="Arial"/>
          <w:sz w:val="24"/>
          <w:szCs w:val="24"/>
        </w:rPr>
        <w:t xml:space="preserve"> best practise within the Faculty and receive updates from Faculty representatives</w:t>
      </w:r>
      <w:r>
        <w:rPr>
          <w:rFonts w:ascii="Arial" w:hAnsi="Arial" w:cs="Arial"/>
          <w:sz w:val="24"/>
          <w:szCs w:val="24"/>
        </w:rPr>
        <w:t>.</w:t>
      </w:r>
    </w:p>
    <w:p w:rsidR="00B9680A" w:rsidRPr="003F0D0B" w:rsidRDefault="00B9680A" w:rsidP="00B9680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9680A" w:rsidRDefault="00B9680A" w:rsidP="00B9680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9680A" w:rsidRDefault="00B9680A" w:rsidP="00B9680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9680A" w:rsidRDefault="00B9680A" w:rsidP="00B9680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9680A" w:rsidRPr="003F0D0B" w:rsidRDefault="00B9680A" w:rsidP="00B9680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9680A" w:rsidRDefault="00B9680A" w:rsidP="00B9680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Membership</w:t>
      </w:r>
    </w:p>
    <w:p w:rsidR="00B9680A" w:rsidRPr="009135EA" w:rsidRDefault="00B9680A" w:rsidP="00B9680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9680A" w:rsidRPr="009135EA" w:rsidRDefault="00B9680A" w:rsidP="00B9680A">
      <w:pPr>
        <w:pStyle w:val="ColorfulList-Accent1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Chair</w:t>
      </w:r>
      <w:r w:rsidRPr="009135EA">
        <w:rPr>
          <w:rFonts w:ascii="Arial" w:hAnsi="Arial" w:cs="Arial"/>
          <w:sz w:val="24"/>
          <w:szCs w:val="24"/>
        </w:rPr>
        <w:t xml:space="preserve"> nominated by the PVC</w:t>
      </w:r>
    </w:p>
    <w:p w:rsidR="00B9680A" w:rsidRPr="009135EA" w:rsidRDefault="00B9680A" w:rsidP="00B9680A">
      <w:pPr>
        <w:pStyle w:val="ColorfulList-Accent1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Faculty </w:t>
      </w:r>
      <w:r w:rsidRPr="009135EA">
        <w:rPr>
          <w:rFonts w:ascii="Arial" w:hAnsi="Arial" w:cs="Arial"/>
          <w:sz w:val="24"/>
          <w:szCs w:val="24"/>
        </w:rPr>
        <w:t>Director of Learning and Teaching</w:t>
      </w:r>
    </w:p>
    <w:p w:rsidR="00B9680A" w:rsidRPr="009135EA" w:rsidRDefault="00B9680A" w:rsidP="00B9680A">
      <w:pPr>
        <w:pStyle w:val="ColorfulList-Accent1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135EA">
        <w:rPr>
          <w:rFonts w:ascii="Arial" w:hAnsi="Arial" w:cs="Arial"/>
          <w:sz w:val="24"/>
          <w:szCs w:val="24"/>
        </w:rPr>
        <w:t>Faculty Director of Student Experience</w:t>
      </w:r>
    </w:p>
    <w:p w:rsidR="00B9680A" w:rsidRPr="009135EA" w:rsidRDefault="00B9680A" w:rsidP="00B9680A">
      <w:pPr>
        <w:pStyle w:val="ColorfulList-Accent1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135EA">
        <w:rPr>
          <w:rFonts w:ascii="Arial" w:hAnsi="Arial" w:cs="Arial"/>
          <w:sz w:val="24"/>
          <w:szCs w:val="24"/>
        </w:rPr>
        <w:t xml:space="preserve">Departmental representative(s) – </w:t>
      </w:r>
      <w:r>
        <w:rPr>
          <w:rFonts w:ascii="Arial" w:hAnsi="Arial" w:cs="Arial"/>
          <w:sz w:val="24"/>
          <w:szCs w:val="24"/>
        </w:rPr>
        <w:t xml:space="preserve">a </w:t>
      </w:r>
      <w:r w:rsidRPr="009135EA">
        <w:rPr>
          <w:rFonts w:ascii="Arial" w:hAnsi="Arial" w:cs="Arial"/>
          <w:sz w:val="24"/>
          <w:szCs w:val="24"/>
        </w:rPr>
        <w:t>minimum one per department</w:t>
      </w:r>
    </w:p>
    <w:p w:rsidR="00B9680A" w:rsidRPr="009135EA" w:rsidRDefault="00B9680A" w:rsidP="00B9680A">
      <w:pPr>
        <w:pStyle w:val="ColorfulList-Accent1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135EA">
        <w:rPr>
          <w:rFonts w:ascii="Arial" w:hAnsi="Arial" w:cs="Arial"/>
          <w:sz w:val="24"/>
          <w:szCs w:val="24"/>
        </w:rPr>
        <w:t>EDU Representative</w:t>
      </w:r>
    </w:p>
    <w:p w:rsidR="00B9680A" w:rsidRDefault="00B9680A" w:rsidP="00B9680A">
      <w:pPr>
        <w:pStyle w:val="ColorfulList-Accent1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Representative from another F</w:t>
      </w:r>
      <w:r w:rsidRPr="009135EA">
        <w:rPr>
          <w:rFonts w:ascii="Arial" w:hAnsi="Arial" w:cs="Arial"/>
          <w:sz w:val="24"/>
          <w:szCs w:val="24"/>
        </w:rPr>
        <w:t>aculty</w:t>
      </w:r>
      <w:r>
        <w:rPr>
          <w:rFonts w:ascii="Arial" w:hAnsi="Arial" w:cs="Arial"/>
          <w:sz w:val="24"/>
          <w:szCs w:val="24"/>
        </w:rPr>
        <w:t xml:space="preserve"> x 1</w:t>
      </w:r>
    </w:p>
    <w:p w:rsidR="00B9680A" w:rsidRPr="009135EA" w:rsidRDefault="00B9680A" w:rsidP="00B9680A">
      <w:pPr>
        <w:pStyle w:val="ColorfulList-Accent1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Faculty </w:t>
      </w:r>
      <w:r w:rsidRPr="009135EA">
        <w:rPr>
          <w:rFonts w:ascii="Arial" w:hAnsi="Arial" w:cs="Arial"/>
          <w:sz w:val="24"/>
          <w:szCs w:val="24"/>
        </w:rPr>
        <w:t>Director of Partnerships</w:t>
      </w:r>
    </w:p>
    <w:p w:rsidR="00B9680A" w:rsidRDefault="00B9680A" w:rsidP="00B9680A">
      <w:pPr>
        <w:pStyle w:val="ColorfulList-Accent1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135EA">
        <w:rPr>
          <w:rFonts w:ascii="Arial" w:hAnsi="Arial" w:cs="Arial"/>
          <w:sz w:val="24"/>
          <w:szCs w:val="24"/>
        </w:rPr>
        <w:t>Faculty Learning Te</w:t>
      </w:r>
      <w:r>
        <w:rPr>
          <w:rFonts w:ascii="Arial" w:hAnsi="Arial" w:cs="Arial"/>
          <w:sz w:val="24"/>
          <w:szCs w:val="24"/>
        </w:rPr>
        <w:t>chnologists</w:t>
      </w:r>
    </w:p>
    <w:p w:rsidR="00B9680A" w:rsidRPr="002B1745" w:rsidRDefault="00B9680A" w:rsidP="00B9680A">
      <w:pPr>
        <w:numPr>
          <w:ilvl w:val="0"/>
          <w:numId w:val="1"/>
        </w:numPr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</w:rPr>
        <w:t>Other staff to be co-opted as necessary</w:t>
      </w:r>
    </w:p>
    <w:p w:rsidR="00B9680A" w:rsidRPr="009135EA" w:rsidRDefault="00B9680A" w:rsidP="00B9680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9135EA" w:rsidRPr="009135EA" w:rsidRDefault="009135EA" w:rsidP="009135E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135EA">
        <w:rPr>
          <w:rFonts w:ascii="Arial" w:hAnsi="Arial" w:cs="Arial"/>
          <w:sz w:val="24"/>
          <w:szCs w:val="24"/>
        </w:rPr>
        <w:t>Existing</w:t>
      </w:r>
    </w:p>
    <w:p w:rsidR="009135EA" w:rsidRPr="009135EA" w:rsidRDefault="009135EA" w:rsidP="00E22654">
      <w:pPr>
        <w:spacing w:after="0" w:line="240" w:lineRule="auto"/>
        <w:jc w:val="center"/>
        <w:rPr>
          <w:sz w:val="24"/>
          <w:szCs w:val="24"/>
          <w:u w:val="single"/>
        </w:rPr>
      </w:pPr>
    </w:p>
    <w:p w:rsidR="0079021C" w:rsidRPr="004D2686" w:rsidRDefault="00DD54B8" w:rsidP="00E22654">
      <w:pPr>
        <w:spacing w:after="0" w:line="240" w:lineRule="auto"/>
        <w:jc w:val="center"/>
        <w:rPr>
          <w:b/>
          <w:sz w:val="24"/>
          <w:szCs w:val="24"/>
          <w:u w:val="single"/>
        </w:rPr>
      </w:pPr>
      <w:r w:rsidRPr="004D2686">
        <w:rPr>
          <w:b/>
          <w:sz w:val="24"/>
          <w:szCs w:val="24"/>
          <w:u w:val="single"/>
        </w:rPr>
        <w:t xml:space="preserve">Learning </w:t>
      </w:r>
      <w:r w:rsidR="0079021C" w:rsidRPr="004D2686">
        <w:rPr>
          <w:b/>
          <w:sz w:val="24"/>
          <w:szCs w:val="24"/>
          <w:u w:val="single"/>
        </w:rPr>
        <w:t>Enhancement and Teaching (L</w:t>
      </w:r>
      <w:r w:rsidRPr="004D2686">
        <w:rPr>
          <w:b/>
          <w:sz w:val="24"/>
          <w:szCs w:val="24"/>
          <w:u w:val="single"/>
        </w:rPr>
        <w:t>E</w:t>
      </w:r>
      <w:r w:rsidR="004D2686" w:rsidRPr="004D2686">
        <w:rPr>
          <w:b/>
          <w:sz w:val="24"/>
          <w:szCs w:val="24"/>
          <w:u w:val="single"/>
        </w:rPr>
        <w:t>T)</w:t>
      </w:r>
      <w:r w:rsidR="0079021C" w:rsidRPr="004D2686">
        <w:rPr>
          <w:b/>
          <w:sz w:val="24"/>
          <w:szCs w:val="24"/>
          <w:u w:val="single"/>
        </w:rPr>
        <w:t xml:space="preserve"> Group</w:t>
      </w:r>
    </w:p>
    <w:p w:rsidR="00652282" w:rsidRPr="006A2E25" w:rsidRDefault="0079021C" w:rsidP="00E8738A">
      <w:pPr>
        <w:spacing w:after="0" w:line="240" w:lineRule="auto"/>
        <w:jc w:val="center"/>
        <w:rPr>
          <w:sz w:val="20"/>
          <w:szCs w:val="20"/>
        </w:rPr>
      </w:pPr>
      <w:r w:rsidRPr="006A2E25">
        <w:rPr>
          <w:sz w:val="20"/>
          <w:szCs w:val="20"/>
        </w:rPr>
        <w:t>Terms of Reference</w:t>
      </w:r>
    </w:p>
    <w:p w:rsidR="00E50F56" w:rsidRPr="006A2E25" w:rsidRDefault="004D2686" w:rsidP="00E8738A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Nov</w:t>
      </w:r>
      <w:r w:rsidR="00E50F56" w:rsidRPr="006A2E25">
        <w:rPr>
          <w:sz w:val="20"/>
          <w:szCs w:val="20"/>
        </w:rPr>
        <w:t xml:space="preserve"> 2014</w:t>
      </w:r>
    </w:p>
    <w:p w:rsidR="00E22654" w:rsidRPr="006A2E25" w:rsidRDefault="00E22654" w:rsidP="00E8738A">
      <w:pPr>
        <w:spacing w:after="0" w:line="240" w:lineRule="auto"/>
        <w:rPr>
          <w:sz w:val="20"/>
          <w:szCs w:val="20"/>
        </w:rPr>
      </w:pPr>
    </w:p>
    <w:p w:rsidR="00E50F56" w:rsidRPr="006A2E25" w:rsidRDefault="00E50F56" w:rsidP="00E8738A">
      <w:pPr>
        <w:spacing w:after="0" w:line="240" w:lineRule="auto"/>
        <w:rPr>
          <w:b/>
          <w:sz w:val="20"/>
          <w:szCs w:val="20"/>
        </w:rPr>
      </w:pPr>
      <w:r w:rsidRPr="006A2E25">
        <w:rPr>
          <w:b/>
          <w:sz w:val="20"/>
          <w:szCs w:val="20"/>
        </w:rPr>
        <w:t>Aim:</w:t>
      </w:r>
    </w:p>
    <w:p w:rsidR="00E50F56" w:rsidRPr="006A2E25" w:rsidRDefault="00E50F56" w:rsidP="00E50F56">
      <w:pPr>
        <w:pStyle w:val="ColorfulList-Accent1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6A2E25">
        <w:rPr>
          <w:sz w:val="20"/>
          <w:szCs w:val="20"/>
        </w:rPr>
        <w:t xml:space="preserve">To embed Faculty-wide culture and practices aimed at </w:t>
      </w:r>
      <w:r w:rsidRPr="006A2E25">
        <w:rPr>
          <w:bCs/>
          <w:sz w:val="20"/>
          <w:szCs w:val="20"/>
          <w:lang w:eastAsia="en-GB"/>
        </w:rPr>
        <w:t>improvement of learning and teaching experiences of students</w:t>
      </w:r>
      <w:r w:rsidRPr="006A2E25">
        <w:rPr>
          <w:sz w:val="20"/>
          <w:szCs w:val="20"/>
        </w:rPr>
        <w:t xml:space="preserve"> </w:t>
      </w:r>
    </w:p>
    <w:p w:rsidR="00E50F56" w:rsidRPr="006A2E25" w:rsidRDefault="00E50F56" w:rsidP="00E8738A">
      <w:pPr>
        <w:spacing w:after="0" w:line="240" w:lineRule="auto"/>
        <w:rPr>
          <w:b/>
          <w:sz w:val="20"/>
          <w:szCs w:val="20"/>
        </w:rPr>
      </w:pPr>
    </w:p>
    <w:p w:rsidR="0079021C" w:rsidRPr="006A2E25" w:rsidRDefault="001C695D" w:rsidP="00E8738A">
      <w:pPr>
        <w:spacing w:after="0" w:line="240" w:lineRule="auto"/>
        <w:rPr>
          <w:b/>
          <w:sz w:val="20"/>
          <w:szCs w:val="20"/>
        </w:rPr>
      </w:pPr>
      <w:r w:rsidRPr="006A2E25">
        <w:rPr>
          <w:b/>
          <w:sz w:val="20"/>
          <w:szCs w:val="20"/>
        </w:rPr>
        <w:t>Objectives:</w:t>
      </w:r>
    </w:p>
    <w:p w:rsidR="001C695D" w:rsidRPr="006A2E25" w:rsidRDefault="00E50F56" w:rsidP="00E8738A">
      <w:pPr>
        <w:pStyle w:val="ColorfulList-Accent1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6A2E25">
        <w:rPr>
          <w:sz w:val="20"/>
          <w:szCs w:val="20"/>
        </w:rPr>
        <w:t>A</w:t>
      </w:r>
      <w:r w:rsidR="001C695D" w:rsidRPr="006A2E25">
        <w:rPr>
          <w:sz w:val="20"/>
          <w:szCs w:val="20"/>
        </w:rPr>
        <w:t xml:space="preserve">ct as a </w:t>
      </w:r>
      <w:r w:rsidRPr="006A2E25">
        <w:rPr>
          <w:sz w:val="20"/>
          <w:szCs w:val="20"/>
        </w:rPr>
        <w:t xml:space="preserve">Faculty </w:t>
      </w:r>
      <w:r w:rsidR="001C695D" w:rsidRPr="006A2E25">
        <w:rPr>
          <w:sz w:val="20"/>
          <w:szCs w:val="20"/>
        </w:rPr>
        <w:t>forum for consultation and development in the area of quality enhancement</w:t>
      </w:r>
      <w:r w:rsidRPr="006A2E25">
        <w:rPr>
          <w:sz w:val="20"/>
          <w:szCs w:val="20"/>
        </w:rPr>
        <w:t>, with particular emphasis on innovative learning experiences, technology, and engaging curriculum</w:t>
      </w:r>
      <w:r w:rsidR="001C695D" w:rsidRPr="006A2E25">
        <w:rPr>
          <w:sz w:val="20"/>
          <w:szCs w:val="20"/>
        </w:rPr>
        <w:t>;</w:t>
      </w:r>
    </w:p>
    <w:p w:rsidR="00FB2346" w:rsidRPr="00FB2346" w:rsidRDefault="00FB2346" w:rsidP="00FB2346">
      <w:pPr>
        <w:pStyle w:val="ColorfulList-Accent1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FB2346">
        <w:rPr>
          <w:sz w:val="20"/>
          <w:szCs w:val="20"/>
        </w:rPr>
        <w:t xml:space="preserve">To actively encourage </w:t>
      </w:r>
      <w:r>
        <w:rPr>
          <w:sz w:val="20"/>
          <w:szCs w:val="20"/>
        </w:rPr>
        <w:t xml:space="preserve">and facilitate </w:t>
      </w:r>
      <w:r w:rsidRPr="00FB2346">
        <w:rPr>
          <w:sz w:val="20"/>
          <w:szCs w:val="20"/>
        </w:rPr>
        <w:t xml:space="preserve">the sharing of good practice </w:t>
      </w:r>
      <w:r w:rsidRPr="006A2E25">
        <w:rPr>
          <w:sz w:val="20"/>
          <w:szCs w:val="20"/>
        </w:rPr>
        <w:t>and cooperation</w:t>
      </w:r>
      <w:r>
        <w:rPr>
          <w:sz w:val="20"/>
          <w:szCs w:val="20"/>
        </w:rPr>
        <w:t>,</w:t>
      </w:r>
      <w:r w:rsidRPr="006A2E25">
        <w:rPr>
          <w:sz w:val="20"/>
          <w:szCs w:val="20"/>
        </w:rPr>
        <w:t xml:space="preserve"> </w:t>
      </w:r>
      <w:r w:rsidRPr="00FB2346">
        <w:rPr>
          <w:sz w:val="20"/>
          <w:szCs w:val="20"/>
        </w:rPr>
        <w:t>and support colleagues in the Faculty to enhance their teaching, learning and assessment practices.</w:t>
      </w:r>
    </w:p>
    <w:p w:rsidR="00E50F56" w:rsidRPr="006A2E25" w:rsidRDefault="00E50F56" w:rsidP="00E8738A">
      <w:pPr>
        <w:pStyle w:val="ColorfulList-Accent1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6A2E25">
        <w:rPr>
          <w:sz w:val="20"/>
          <w:szCs w:val="20"/>
        </w:rPr>
        <w:t>Foster the planning for the adoption of new Faculty and University initiatives</w:t>
      </w:r>
      <w:r w:rsidR="0021429D">
        <w:rPr>
          <w:sz w:val="20"/>
          <w:szCs w:val="20"/>
        </w:rPr>
        <w:t>, acting as an interface to/from</w:t>
      </w:r>
      <w:r w:rsidR="005E47FA">
        <w:rPr>
          <w:sz w:val="20"/>
          <w:szCs w:val="20"/>
        </w:rPr>
        <w:t xml:space="preserve"> other University Committees.</w:t>
      </w:r>
    </w:p>
    <w:p w:rsidR="00FB2346" w:rsidRPr="00FB2346" w:rsidRDefault="00E50F56" w:rsidP="00FB2346">
      <w:pPr>
        <w:pStyle w:val="ColorfulList-Accent1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6A2E25">
        <w:rPr>
          <w:sz w:val="20"/>
          <w:szCs w:val="20"/>
        </w:rPr>
        <w:t>A</w:t>
      </w:r>
      <w:r w:rsidR="001C695D" w:rsidRPr="006A2E25">
        <w:rPr>
          <w:sz w:val="20"/>
          <w:szCs w:val="20"/>
        </w:rPr>
        <w:t xml:space="preserve">dvise the </w:t>
      </w:r>
      <w:r w:rsidRPr="006A2E25">
        <w:rPr>
          <w:sz w:val="20"/>
          <w:szCs w:val="20"/>
        </w:rPr>
        <w:t xml:space="preserve">Faculty </w:t>
      </w:r>
      <w:r w:rsidR="001C695D" w:rsidRPr="006A2E25">
        <w:rPr>
          <w:sz w:val="20"/>
          <w:szCs w:val="20"/>
        </w:rPr>
        <w:t xml:space="preserve">Board, </w:t>
      </w:r>
      <w:r w:rsidRPr="006A2E25">
        <w:rPr>
          <w:sz w:val="20"/>
          <w:szCs w:val="20"/>
        </w:rPr>
        <w:t xml:space="preserve">Faculty </w:t>
      </w:r>
      <w:r w:rsidR="001C695D" w:rsidRPr="006A2E25">
        <w:rPr>
          <w:sz w:val="20"/>
          <w:szCs w:val="20"/>
        </w:rPr>
        <w:t xml:space="preserve">Executive, </w:t>
      </w:r>
      <w:r w:rsidRPr="006A2E25">
        <w:rPr>
          <w:sz w:val="20"/>
          <w:szCs w:val="20"/>
        </w:rPr>
        <w:t>Faculty AQSC</w:t>
      </w:r>
      <w:r w:rsidR="001C695D" w:rsidRPr="006A2E25">
        <w:rPr>
          <w:sz w:val="20"/>
          <w:szCs w:val="20"/>
        </w:rPr>
        <w:t xml:space="preserve">, </w:t>
      </w:r>
      <w:r w:rsidR="00FB2346" w:rsidRPr="00FB2346">
        <w:rPr>
          <w:sz w:val="20"/>
          <w:szCs w:val="20"/>
        </w:rPr>
        <w:t xml:space="preserve">Heads of Department </w:t>
      </w:r>
      <w:r w:rsidR="001C695D" w:rsidRPr="006A2E25">
        <w:rPr>
          <w:sz w:val="20"/>
          <w:szCs w:val="20"/>
        </w:rPr>
        <w:t xml:space="preserve">and programme teams on </w:t>
      </w:r>
      <w:r w:rsidR="00171A79" w:rsidRPr="006A2E25">
        <w:rPr>
          <w:sz w:val="20"/>
          <w:szCs w:val="20"/>
        </w:rPr>
        <w:t>quality enhancement</w:t>
      </w:r>
      <w:r w:rsidR="00A54BF3">
        <w:rPr>
          <w:sz w:val="20"/>
          <w:szCs w:val="20"/>
        </w:rPr>
        <w:t xml:space="preserve"> of academic practice</w:t>
      </w:r>
      <w:r w:rsidR="00FB2346">
        <w:rPr>
          <w:sz w:val="20"/>
          <w:szCs w:val="20"/>
        </w:rPr>
        <w:t xml:space="preserve">, </w:t>
      </w:r>
      <w:r w:rsidR="00A54BF3">
        <w:rPr>
          <w:sz w:val="20"/>
          <w:szCs w:val="20"/>
        </w:rPr>
        <w:t xml:space="preserve">and </w:t>
      </w:r>
      <w:r w:rsidR="00FB2346" w:rsidRPr="00FB2346">
        <w:rPr>
          <w:sz w:val="20"/>
          <w:szCs w:val="20"/>
        </w:rPr>
        <w:t>staff development needs pertinent to the enhancement of teaching, learning and assessment, including the use of technologies.</w:t>
      </w:r>
    </w:p>
    <w:p w:rsidR="007C5899" w:rsidRPr="00FB2346" w:rsidRDefault="007C5899" w:rsidP="007C5899">
      <w:pPr>
        <w:pStyle w:val="ColorfulList-Accent1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FB2346">
        <w:rPr>
          <w:sz w:val="20"/>
          <w:szCs w:val="20"/>
        </w:rPr>
        <w:t>To promote the use of technology to support the</w:t>
      </w:r>
      <w:r>
        <w:rPr>
          <w:sz w:val="20"/>
          <w:szCs w:val="20"/>
        </w:rPr>
        <w:t xml:space="preserve"> latest</w:t>
      </w:r>
      <w:r w:rsidRPr="00FB2346">
        <w:rPr>
          <w:sz w:val="20"/>
          <w:szCs w:val="20"/>
        </w:rPr>
        <w:t xml:space="preserve"> implementation of the University’s Teaching, Learning and Assessment Strategy, Informatio</w:t>
      </w:r>
      <w:r>
        <w:rPr>
          <w:sz w:val="20"/>
          <w:szCs w:val="20"/>
        </w:rPr>
        <w:t>n and Technology Strategy</w:t>
      </w:r>
      <w:r w:rsidRPr="00FB2346">
        <w:rPr>
          <w:sz w:val="20"/>
          <w:szCs w:val="20"/>
        </w:rPr>
        <w:t xml:space="preserve"> and initiatives arising from Greenwich Connect.</w:t>
      </w:r>
    </w:p>
    <w:p w:rsidR="007C5899" w:rsidRPr="00FB2346" w:rsidRDefault="007C5899" w:rsidP="007C5899">
      <w:pPr>
        <w:pStyle w:val="ColorfulList-Accent1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FB2346">
        <w:rPr>
          <w:sz w:val="20"/>
          <w:szCs w:val="20"/>
        </w:rPr>
        <w:t>To consider student and tutor feedback relevant to teaching, learning and assessment and to consider relevant cross-Faculty actions taken in response to that feedback.</w:t>
      </w:r>
    </w:p>
    <w:p w:rsidR="009A14A9" w:rsidRDefault="009A14A9" w:rsidP="00E8738A">
      <w:pPr>
        <w:pStyle w:val="ColorfulList-Accent1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Sponsor project groups to work on specific initiatives</w:t>
      </w:r>
    </w:p>
    <w:p w:rsidR="007C5899" w:rsidRPr="007C5899" w:rsidRDefault="007C5899" w:rsidP="007C5899">
      <w:pPr>
        <w:pStyle w:val="ColorfulList-Accent1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To s</w:t>
      </w:r>
      <w:r w:rsidRPr="007C5899">
        <w:rPr>
          <w:sz w:val="20"/>
          <w:szCs w:val="20"/>
        </w:rPr>
        <w:t>ift for potential trends and discuss new and emerging technologies and resources and, where appropriate, make recommendations for their trial, acquisition, purchase or use.</w:t>
      </w:r>
    </w:p>
    <w:p w:rsidR="0021429D" w:rsidRDefault="0021429D" w:rsidP="00E8738A">
      <w:pPr>
        <w:pStyle w:val="ColorfulList-Accent1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Promoting best practise within the Faculty</w:t>
      </w:r>
      <w:r w:rsidR="00FB2346">
        <w:rPr>
          <w:sz w:val="20"/>
          <w:szCs w:val="20"/>
        </w:rPr>
        <w:t xml:space="preserve"> and receive updates from </w:t>
      </w:r>
      <w:r w:rsidR="00FB2346" w:rsidRPr="00FB2346">
        <w:rPr>
          <w:sz w:val="20"/>
          <w:szCs w:val="20"/>
        </w:rPr>
        <w:t>Faculty representatives</w:t>
      </w:r>
    </w:p>
    <w:p w:rsidR="00FB2346" w:rsidRPr="006A2E25" w:rsidRDefault="00FB2346" w:rsidP="00FB2346">
      <w:pPr>
        <w:pStyle w:val="ColorfulList-Accent1"/>
        <w:spacing w:after="0" w:line="240" w:lineRule="auto"/>
        <w:rPr>
          <w:sz w:val="20"/>
          <w:szCs w:val="20"/>
        </w:rPr>
      </w:pPr>
    </w:p>
    <w:p w:rsidR="00FB2346" w:rsidRPr="006A2E25" w:rsidRDefault="00FB2346" w:rsidP="00E8738A">
      <w:pPr>
        <w:spacing w:after="0" w:line="240" w:lineRule="auto"/>
        <w:rPr>
          <w:sz w:val="20"/>
          <w:szCs w:val="20"/>
        </w:rPr>
      </w:pPr>
    </w:p>
    <w:p w:rsidR="00E8738A" w:rsidRPr="006A2E25" w:rsidRDefault="00E8738A" w:rsidP="00E8738A">
      <w:pPr>
        <w:spacing w:after="0" w:line="240" w:lineRule="auto"/>
        <w:rPr>
          <w:b/>
          <w:sz w:val="20"/>
          <w:szCs w:val="20"/>
        </w:rPr>
      </w:pPr>
      <w:r w:rsidRPr="006A2E25">
        <w:rPr>
          <w:b/>
          <w:sz w:val="20"/>
          <w:szCs w:val="20"/>
        </w:rPr>
        <w:t>Structure:</w:t>
      </w:r>
    </w:p>
    <w:p w:rsidR="00E8738A" w:rsidRPr="006A2E25" w:rsidRDefault="00E50F56" w:rsidP="00E8738A">
      <w:pPr>
        <w:spacing w:after="0" w:line="240" w:lineRule="auto"/>
        <w:rPr>
          <w:sz w:val="20"/>
          <w:szCs w:val="20"/>
        </w:rPr>
      </w:pPr>
      <w:r w:rsidRPr="006A2E25">
        <w:rPr>
          <w:sz w:val="20"/>
          <w:szCs w:val="20"/>
        </w:rPr>
        <w:t>A</w:t>
      </w:r>
      <w:r w:rsidR="00E8738A" w:rsidRPr="006A2E25">
        <w:rPr>
          <w:sz w:val="20"/>
          <w:szCs w:val="20"/>
        </w:rPr>
        <w:t xml:space="preserve"> </w:t>
      </w:r>
      <w:r w:rsidRPr="006A2E25">
        <w:rPr>
          <w:sz w:val="20"/>
          <w:szCs w:val="20"/>
        </w:rPr>
        <w:t xml:space="preserve">sub-committee reporting to Faculty AQSC and consisting of key post-holders, interested parties and </w:t>
      </w:r>
      <w:r w:rsidR="009A14A9">
        <w:rPr>
          <w:sz w:val="20"/>
          <w:szCs w:val="20"/>
        </w:rPr>
        <w:t>dept</w:t>
      </w:r>
      <w:r w:rsidRPr="006A2E25">
        <w:rPr>
          <w:sz w:val="20"/>
          <w:szCs w:val="20"/>
        </w:rPr>
        <w:t xml:space="preserve"> reps</w:t>
      </w:r>
      <w:r w:rsidR="00E8738A" w:rsidRPr="006A2E25">
        <w:rPr>
          <w:sz w:val="20"/>
          <w:szCs w:val="20"/>
        </w:rPr>
        <w:t>.</w:t>
      </w:r>
    </w:p>
    <w:p w:rsidR="00E22654" w:rsidRPr="006A2E25" w:rsidRDefault="00E22654" w:rsidP="00E8738A">
      <w:pPr>
        <w:spacing w:after="0" w:line="240" w:lineRule="auto"/>
        <w:rPr>
          <w:sz w:val="20"/>
          <w:szCs w:val="20"/>
        </w:rPr>
      </w:pPr>
    </w:p>
    <w:p w:rsidR="00E8738A" w:rsidRPr="006A2E25" w:rsidRDefault="00E8738A" w:rsidP="00E8738A">
      <w:pPr>
        <w:spacing w:after="0" w:line="240" w:lineRule="auto"/>
        <w:rPr>
          <w:b/>
          <w:sz w:val="20"/>
          <w:szCs w:val="20"/>
        </w:rPr>
      </w:pPr>
      <w:r w:rsidRPr="006A2E25">
        <w:rPr>
          <w:b/>
          <w:sz w:val="20"/>
          <w:szCs w:val="20"/>
        </w:rPr>
        <w:t>Membership:</w:t>
      </w:r>
    </w:p>
    <w:p w:rsidR="00E83FE2" w:rsidRPr="006A2E25" w:rsidRDefault="00FE7CC1" w:rsidP="00E8738A">
      <w:pPr>
        <w:pStyle w:val="ColorfulList-Accent1"/>
        <w:spacing w:after="0" w:line="240" w:lineRule="auto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Core</w:t>
      </w:r>
      <w:r w:rsidR="00E83FE2" w:rsidRPr="006A2E25">
        <w:rPr>
          <w:sz w:val="20"/>
          <w:szCs w:val="20"/>
          <w:u w:val="single"/>
        </w:rPr>
        <w:t xml:space="preserve"> Membership:</w:t>
      </w:r>
    </w:p>
    <w:p w:rsidR="00E8738A" w:rsidRDefault="006278B5" w:rsidP="00E8738A">
      <w:pPr>
        <w:pStyle w:val="ColorfulList-Accent1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>
        <w:t>Person nominated by the PVC</w:t>
      </w:r>
      <w:r w:rsidRPr="006A2E25">
        <w:rPr>
          <w:sz w:val="20"/>
          <w:szCs w:val="20"/>
        </w:rPr>
        <w:t xml:space="preserve"> </w:t>
      </w:r>
      <w:r w:rsidR="00E83FE2" w:rsidRPr="006A2E25">
        <w:rPr>
          <w:sz w:val="20"/>
          <w:szCs w:val="20"/>
        </w:rPr>
        <w:t>(</w:t>
      </w:r>
      <w:r w:rsidR="00E50F56" w:rsidRPr="006A2E25">
        <w:rPr>
          <w:sz w:val="20"/>
          <w:szCs w:val="20"/>
        </w:rPr>
        <w:t>Chair</w:t>
      </w:r>
      <w:r w:rsidR="00FE7CC1">
        <w:rPr>
          <w:sz w:val="20"/>
          <w:szCs w:val="20"/>
        </w:rPr>
        <w:t>)</w:t>
      </w:r>
      <w:r w:rsidR="00E83FE2" w:rsidRPr="006A2E25">
        <w:rPr>
          <w:sz w:val="20"/>
          <w:szCs w:val="20"/>
        </w:rPr>
        <w:t xml:space="preserve"> </w:t>
      </w:r>
    </w:p>
    <w:p w:rsidR="006278B5" w:rsidRPr="006A2E25" w:rsidRDefault="006278B5" w:rsidP="00E8738A">
      <w:pPr>
        <w:pStyle w:val="ColorfulList-Accent1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Director of Learning and Teaching</w:t>
      </w:r>
    </w:p>
    <w:p w:rsidR="00E8738A" w:rsidRPr="006A2E25" w:rsidRDefault="00E50F56" w:rsidP="00E8738A">
      <w:pPr>
        <w:pStyle w:val="ColorfulList-Accent1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6A2E25">
        <w:rPr>
          <w:sz w:val="20"/>
          <w:szCs w:val="20"/>
        </w:rPr>
        <w:t>Faculty Director of Student Experience</w:t>
      </w:r>
    </w:p>
    <w:p w:rsidR="00E8738A" w:rsidRPr="006A2E25" w:rsidRDefault="00E50F56" w:rsidP="00E8738A">
      <w:pPr>
        <w:pStyle w:val="ColorfulList-Accent1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6A2E25">
        <w:rPr>
          <w:sz w:val="20"/>
          <w:szCs w:val="20"/>
        </w:rPr>
        <w:t xml:space="preserve">Departmental </w:t>
      </w:r>
      <w:r w:rsidR="00E83FE2" w:rsidRPr="006A2E25">
        <w:rPr>
          <w:sz w:val="20"/>
          <w:szCs w:val="20"/>
        </w:rPr>
        <w:t>representative</w:t>
      </w:r>
      <w:r w:rsidR="00FE7CC1">
        <w:rPr>
          <w:sz w:val="20"/>
          <w:szCs w:val="20"/>
        </w:rPr>
        <w:t>(s) – minimum one</w:t>
      </w:r>
      <w:r w:rsidR="00E83FE2" w:rsidRPr="006A2E25">
        <w:rPr>
          <w:sz w:val="20"/>
          <w:szCs w:val="20"/>
        </w:rPr>
        <w:t xml:space="preserve"> per department</w:t>
      </w:r>
    </w:p>
    <w:p w:rsidR="007C5899" w:rsidRDefault="007C5899" w:rsidP="007C5899">
      <w:pPr>
        <w:pStyle w:val="ColorfulList-Accent1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EDU Representative</w:t>
      </w:r>
    </w:p>
    <w:p w:rsidR="00FE7CC1" w:rsidRDefault="00FE7CC1" w:rsidP="007C5899">
      <w:pPr>
        <w:pStyle w:val="ColorfulList-Accent1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Representative from another faculty</w:t>
      </w:r>
    </w:p>
    <w:p w:rsidR="00FE7CC1" w:rsidRDefault="00FE7CC1" w:rsidP="00FE7CC1">
      <w:pPr>
        <w:pStyle w:val="ColorfulList-Accent1"/>
        <w:spacing w:after="0" w:line="240" w:lineRule="auto"/>
        <w:ind w:left="0"/>
        <w:rPr>
          <w:sz w:val="20"/>
          <w:szCs w:val="20"/>
        </w:rPr>
      </w:pPr>
    </w:p>
    <w:p w:rsidR="00FE7CC1" w:rsidRPr="00FE7CC1" w:rsidRDefault="00FE7CC1" w:rsidP="00FE7CC1">
      <w:pPr>
        <w:pStyle w:val="ColorfulList-Accent1"/>
        <w:spacing w:after="0" w:line="240" w:lineRule="auto"/>
        <w:rPr>
          <w:sz w:val="20"/>
          <w:szCs w:val="20"/>
          <w:u w:val="single"/>
        </w:rPr>
      </w:pPr>
      <w:r w:rsidRPr="00FE7CC1">
        <w:rPr>
          <w:sz w:val="20"/>
          <w:szCs w:val="20"/>
          <w:u w:val="single"/>
        </w:rPr>
        <w:t>Other Members</w:t>
      </w:r>
      <w:r w:rsidR="00FE1EA9">
        <w:rPr>
          <w:sz w:val="20"/>
          <w:szCs w:val="20"/>
          <w:u w:val="single"/>
        </w:rPr>
        <w:t xml:space="preserve"> may include</w:t>
      </w:r>
      <w:r w:rsidRPr="00FE7CC1">
        <w:rPr>
          <w:sz w:val="20"/>
          <w:szCs w:val="20"/>
          <w:u w:val="single"/>
        </w:rPr>
        <w:t>:</w:t>
      </w:r>
    </w:p>
    <w:p w:rsidR="00FE1EA9" w:rsidRPr="006A2E25" w:rsidRDefault="00FE1EA9" w:rsidP="00FE1EA9">
      <w:pPr>
        <w:pStyle w:val="ColorfulList-Accent1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6A2E25">
        <w:rPr>
          <w:sz w:val="20"/>
          <w:szCs w:val="20"/>
        </w:rPr>
        <w:t xml:space="preserve">Director of </w:t>
      </w:r>
      <w:r>
        <w:rPr>
          <w:sz w:val="20"/>
          <w:szCs w:val="20"/>
        </w:rPr>
        <w:t>Partnerships</w:t>
      </w:r>
    </w:p>
    <w:p w:rsidR="00FE1EA9" w:rsidRDefault="00FE1EA9" w:rsidP="00FE1EA9">
      <w:pPr>
        <w:pStyle w:val="ColorfulList-Accent1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6A2E25">
        <w:rPr>
          <w:sz w:val="20"/>
          <w:szCs w:val="20"/>
        </w:rPr>
        <w:t>Faculty Learning Technologists</w:t>
      </w:r>
      <w:r>
        <w:rPr>
          <w:sz w:val="20"/>
          <w:szCs w:val="20"/>
        </w:rPr>
        <w:t xml:space="preserve"> (if they exist)</w:t>
      </w:r>
    </w:p>
    <w:p w:rsidR="00FE1EA9" w:rsidRPr="006A2E25" w:rsidRDefault="00FE1EA9" w:rsidP="00FE1EA9">
      <w:pPr>
        <w:pStyle w:val="ColorfulList-Accent1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Staff on relevant university committees / projects </w:t>
      </w:r>
    </w:p>
    <w:p w:rsidR="00E22654" w:rsidRDefault="00E22654" w:rsidP="00E8738A">
      <w:pPr>
        <w:spacing w:after="0" w:line="240" w:lineRule="auto"/>
        <w:rPr>
          <w:b/>
          <w:sz w:val="20"/>
          <w:szCs w:val="20"/>
        </w:rPr>
      </w:pPr>
    </w:p>
    <w:p w:rsidR="00681246" w:rsidRDefault="00681246" w:rsidP="00E8738A">
      <w:pPr>
        <w:spacing w:after="0" w:line="240" w:lineRule="auto"/>
        <w:rPr>
          <w:b/>
          <w:sz w:val="20"/>
          <w:szCs w:val="20"/>
        </w:rPr>
      </w:pPr>
    </w:p>
    <w:p w:rsidR="00681246" w:rsidRPr="004B303A" w:rsidRDefault="00681246" w:rsidP="00681246">
      <w:pPr>
        <w:pStyle w:val="ColorfulList-Accent1"/>
        <w:spacing w:after="0" w:line="240" w:lineRule="auto"/>
        <w:ind w:left="0"/>
        <w:rPr>
          <w:b/>
          <w:sz w:val="20"/>
          <w:szCs w:val="20"/>
        </w:rPr>
      </w:pPr>
      <w:r w:rsidRPr="004B303A">
        <w:rPr>
          <w:b/>
          <w:sz w:val="20"/>
          <w:szCs w:val="20"/>
        </w:rPr>
        <w:t>Frequency of meetings</w:t>
      </w:r>
    </w:p>
    <w:p w:rsidR="00681246" w:rsidRDefault="0036297F" w:rsidP="00681246">
      <w:pPr>
        <w:pStyle w:val="ColorfulList-Accent1"/>
        <w:spacing w:after="0" w:line="240" w:lineRule="auto"/>
        <w:ind w:left="0"/>
        <w:rPr>
          <w:sz w:val="20"/>
          <w:szCs w:val="20"/>
        </w:rPr>
      </w:pPr>
      <w:r>
        <w:rPr>
          <w:sz w:val="20"/>
          <w:szCs w:val="20"/>
        </w:rPr>
        <w:t xml:space="preserve">Minimum of </w:t>
      </w:r>
      <w:r w:rsidR="00681246">
        <w:rPr>
          <w:sz w:val="20"/>
          <w:szCs w:val="20"/>
        </w:rPr>
        <w:t>5 per year</w:t>
      </w:r>
    </w:p>
    <w:p w:rsidR="00681246" w:rsidRDefault="00681246" w:rsidP="00E8738A">
      <w:pPr>
        <w:spacing w:after="0" w:line="240" w:lineRule="auto"/>
        <w:rPr>
          <w:b/>
          <w:sz w:val="20"/>
          <w:szCs w:val="20"/>
        </w:rPr>
      </w:pPr>
    </w:p>
    <w:p w:rsidR="002006B9" w:rsidRDefault="002006B9" w:rsidP="00E8738A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Quorum:</w:t>
      </w:r>
    </w:p>
    <w:p w:rsidR="009135EA" w:rsidRPr="00B9680A" w:rsidRDefault="002006B9" w:rsidP="009135EA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One third of the membership</w:t>
      </w:r>
    </w:p>
    <w:sectPr w:rsidR="009135EA" w:rsidRPr="00B9680A" w:rsidSect="00E50F56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75A850E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4173AD"/>
    <w:multiLevelType w:val="hybridMultilevel"/>
    <w:tmpl w:val="EC5881DC"/>
    <w:lvl w:ilvl="0" w:tplc="6E7CF2A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42154F"/>
    <w:multiLevelType w:val="hybridMultilevel"/>
    <w:tmpl w:val="B6EC0BD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B2605A1"/>
    <w:multiLevelType w:val="hybridMultilevel"/>
    <w:tmpl w:val="27B007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250010"/>
    <w:multiLevelType w:val="hybridMultilevel"/>
    <w:tmpl w:val="A6382C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7CF2A0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0B6067"/>
    <w:multiLevelType w:val="hybridMultilevel"/>
    <w:tmpl w:val="1018E8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81738B"/>
    <w:multiLevelType w:val="hybridMultilevel"/>
    <w:tmpl w:val="B9DCDC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21C"/>
    <w:rsid w:val="00023365"/>
    <w:rsid w:val="00171A79"/>
    <w:rsid w:val="001C695D"/>
    <w:rsid w:val="002006B9"/>
    <w:rsid w:val="0021429D"/>
    <w:rsid w:val="002228A5"/>
    <w:rsid w:val="002B1745"/>
    <w:rsid w:val="00333B64"/>
    <w:rsid w:val="00350A77"/>
    <w:rsid w:val="0036297F"/>
    <w:rsid w:val="00392AC0"/>
    <w:rsid w:val="003F0D0B"/>
    <w:rsid w:val="004D2686"/>
    <w:rsid w:val="004E7B3A"/>
    <w:rsid w:val="0058199B"/>
    <w:rsid w:val="005D16D7"/>
    <w:rsid w:val="005E47FA"/>
    <w:rsid w:val="006278B5"/>
    <w:rsid w:val="00652282"/>
    <w:rsid w:val="00681246"/>
    <w:rsid w:val="006A2E25"/>
    <w:rsid w:val="006E422E"/>
    <w:rsid w:val="00784194"/>
    <w:rsid w:val="0079021C"/>
    <w:rsid w:val="007C5899"/>
    <w:rsid w:val="00806D88"/>
    <w:rsid w:val="008942BE"/>
    <w:rsid w:val="009135EA"/>
    <w:rsid w:val="009A14A9"/>
    <w:rsid w:val="00A23C64"/>
    <w:rsid w:val="00A54BF3"/>
    <w:rsid w:val="00B66638"/>
    <w:rsid w:val="00B9680A"/>
    <w:rsid w:val="00BB28CE"/>
    <w:rsid w:val="00C53977"/>
    <w:rsid w:val="00CD328C"/>
    <w:rsid w:val="00D2310C"/>
    <w:rsid w:val="00D831A6"/>
    <w:rsid w:val="00DC499F"/>
    <w:rsid w:val="00DD54B8"/>
    <w:rsid w:val="00E22654"/>
    <w:rsid w:val="00E50F56"/>
    <w:rsid w:val="00E83FE2"/>
    <w:rsid w:val="00E8738A"/>
    <w:rsid w:val="00F573F9"/>
    <w:rsid w:val="00FB2346"/>
    <w:rsid w:val="00FE1EA9"/>
    <w:rsid w:val="00FE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3E826D09-D410-4F22-A670-6E07D6827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2282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lorfulList-Accent1">
    <w:name w:val="Colorful List Accent 1"/>
    <w:basedOn w:val="Normal"/>
    <w:uiPriority w:val="34"/>
    <w:qFormat/>
    <w:rsid w:val="00E8738A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A54BF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A54BF3"/>
    <w:rPr>
      <w:sz w:val="24"/>
      <w:szCs w:val="24"/>
    </w:rPr>
  </w:style>
  <w:style w:type="character" w:customStyle="1" w:styleId="CommentTextChar">
    <w:name w:val="Comment Text Char"/>
    <w:link w:val="CommentText"/>
    <w:uiPriority w:val="99"/>
    <w:rsid w:val="00A54BF3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4BF3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A54BF3"/>
    <w:rPr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4BF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54BF3"/>
    <w:rPr>
      <w:rFonts w:ascii="Lucida Grande" w:hAnsi="Lucida Grande" w:cs="Lucida Grande"/>
      <w:sz w:val="18"/>
      <w:szCs w:val="18"/>
    </w:rPr>
  </w:style>
  <w:style w:type="paragraph" w:customStyle="1" w:styleId="Default">
    <w:name w:val="Default"/>
    <w:rsid w:val="009135E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62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695</Words>
  <Characters>3967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Greenwich</Company>
  <LinksUpToDate>false</LinksUpToDate>
  <CharactersWithSpaces>4653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Cullinane</dc:creator>
  <cp:keywords/>
  <cp:lastModifiedBy>Pat Rosser Davies</cp:lastModifiedBy>
  <cp:revision>2</cp:revision>
  <dcterms:created xsi:type="dcterms:W3CDTF">2016-08-10T16:10:00Z</dcterms:created>
  <dcterms:modified xsi:type="dcterms:W3CDTF">2016-08-10T16:10:00Z</dcterms:modified>
</cp:coreProperties>
</file>