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79EF" w:rsidR="00BE370C" w:rsidP="00BE370C" w:rsidRDefault="2040EC2E" w14:paraId="192E3C9C" w14:textId="0963372A">
      <w:pPr>
        <w:spacing w:after="0"/>
        <w:jc w:val="center"/>
        <w:rPr>
          <w:rFonts w:ascii="Arial" w:hAnsi="Arial" w:cs="Arial"/>
          <w:b/>
          <w:bCs/>
          <w:color w:val="215E99" w:themeColor="text2" w:themeTint="BF"/>
        </w:rPr>
      </w:pPr>
      <w:r w:rsidRPr="000279EF">
        <w:rPr>
          <w:rFonts w:ascii="Arial" w:hAnsi="Arial" w:cs="Arial"/>
          <w:b/>
          <w:bCs/>
          <w:color w:val="215E99" w:themeColor="text2" w:themeTint="BF"/>
        </w:rPr>
        <w:t xml:space="preserve">Application: </w:t>
      </w:r>
      <w:r w:rsidRPr="000279EF" w:rsidR="00BE370C">
        <w:rPr>
          <w:rFonts w:ascii="Arial" w:hAnsi="Arial" w:cs="Arial"/>
          <w:b/>
          <w:bCs/>
          <w:color w:val="215E99" w:themeColor="text2" w:themeTint="BF"/>
        </w:rPr>
        <w:t>Business Case</w:t>
      </w:r>
    </w:p>
    <w:p w:rsidRPr="000279EF" w:rsidR="00BE370C" w:rsidP="00BE370C" w:rsidRDefault="00BE370C" w14:paraId="1DD7DF7A" w14:textId="77777777">
      <w:pPr>
        <w:spacing w:after="0"/>
        <w:rPr>
          <w:rFonts w:ascii="Arial" w:hAnsi="Arial" w:cs="Arial"/>
        </w:rPr>
      </w:pPr>
    </w:p>
    <w:p w:rsidRPr="000279EF" w:rsidR="00BE370C" w:rsidP="00BE370C" w:rsidRDefault="00BE370C" w14:paraId="7DA504A3" w14:textId="77777777">
      <w:pPr>
        <w:spacing w:after="0"/>
        <w:rPr>
          <w:rFonts w:ascii="Arial" w:hAnsi="Arial" w:cs="Arial"/>
          <w:b/>
          <w:bCs/>
        </w:rPr>
      </w:pPr>
      <w:r w:rsidRPr="000279EF">
        <w:rPr>
          <w:rFonts w:ascii="Arial" w:hAnsi="Arial" w:cs="Arial"/>
          <w:b/>
          <w:bCs/>
        </w:rPr>
        <w:t>Introduction</w:t>
      </w:r>
    </w:p>
    <w:p w:rsidRPr="000279EF" w:rsidR="00BE370C" w:rsidP="00BE370C" w:rsidRDefault="00BE370C" w14:paraId="3EAFDFB2" w14:textId="77777777">
      <w:pPr>
        <w:spacing w:after="0"/>
        <w:rPr>
          <w:rFonts w:ascii="Arial" w:hAnsi="Arial" w:cs="Arial"/>
          <w:b/>
          <w:bCs/>
        </w:rPr>
      </w:pPr>
    </w:p>
    <w:p w:rsidRPr="000279EF" w:rsidR="00BE370C" w:rsidP="00BE370C" w:rsidRDefault="00BE370C" w14:paraId="7C257A84" w14:textId="0BCB7C67">
      <w:pPr>
        <w:spacing w:after="0"/>
        <w:rPr>
          <w:rFonts w:ascii="Arial" w:hAnsi="Arial" w:cs="Arial"/>
        </w:rPr>
      </w:pPr>
      <w:r w:rsidRPr="000279EF">
        <w:rPr>
          <w:rFonts w:ascii="Arial" w:hAnsi="Arial" w:cs="Arial"/>
        </w:rPr>
        <w:t>Thank you for your interest in collaborating with the University of Greenwich (UoG). The University welcomes proposals from high-quality institutions seeking to develop international partnerships across a range of collaborative models, including franchise, validation, dual and joint degrees, research collaboration, progression pathways, articulation agreements</w:t>
      </w:r>
      <w:r w:rsidRPr="000279EF" w:rsidR="460A2936">
        <w:rPr>
          <w:rFonts w:ascii="Arial" w:hAnsi="Arial" w:cs="Arial"/>
        </w:rPr>
        <w:t xml:space="preserve">, summer schools, and study abroad (Global Mobility). </w:t>
      </w:r>
    </w:p>
    <w:p w:rsidRPr="000279EF" w:rsidR="1FF004BE" w:rsidP="1FF004BE" w:rsidRDefault="1FF004BE" w14:paraId="1735F76F" w14:textId="17C60DFB">
      <w:pPr>
        <w:spacing w:after="0"/>
        <w:rPr>
          <w:rFonts w:ascii="Arial" w:hAnsi="Arial" w:eastAsia="Times New Roman" w:cs="Arial"/>
        </w:rPr>
      </w:pPr>
    </w:p>
    <w:p w:rsidRPr="000279EF" w:rsidR="79A8734C" w:rsidP="1FF004BE" w:rsidRDefault="79A8734C" w14:paraId="37BA18D0" w14:textId="3F386BD1">
      <w:pPr>
        <w:spacing w:after="0" w:line="276" w:lineRule="auto"/>
        <w:rPr>
          <w:rFonts w:ascii="Arial" w:hAnsi="Arial" w:eastAsia="Times New Roman" w:cs="Arial"/>
        </w:rPr>
      </w:pPr>
      <w:r w:rsidRPr="000279EF">
        <w:rPr>
          <w:rFonts w:ascii="Arial" w:hAnsi="Arial" w:eastAsia="Times New Roman" w:cs="Arial"/>
        </w:rPr>
        <w:t>Information on our International Partnerships is available on our website:</w:t>
      </w:r>
    </w:p>
    <w:p w:rsidRPr="000279EF" w:rsidR="79A8734C" w:rsidP="1FF004BE" w:rsidRDefault="79A8734C" w14:paraId="08040D03" w14:textId="1F65FD94">
      <w:pPr>
        <w:spacing w:after="0" w:line="276" w:lineRule="auto"/>
        <w:rPr>
          <w:rFonts w:ascii="Arial" w:hAnsi="Arial" w:eastAsia="Times New Roman" w:cs="Arial"/>
        </w:rPr>
      </w:pPr>
      <w:r w:rsidRPr="000279EF">
        <w:rPr>
          <w:rFonts w:ascii="Arial" w:hAnsi="Arial" w:eastAsia="Times New Roman" w:cs="Arial"/>
          <w:color w:val="002060"/>
        </w:rPr>
        <w:t xml:space="preserve"> </w:t>
      </w:r>
      <w:hyperlink r:id="rId10">
        <w:r w:rsidRPr="000279EF">
          <w:rPr>
            <w:rStyle w:val="Hyperlink"/>
            <w:rFonts w:ascii="Arial" w:hAnsi="Arial" w:eastAsia="Times New Roman" w:cs="Arial"/>
          </w:rPr>
          <w:t>http://www.gre.ac.uk/collaborations/prospective</w:t>
        </w:r>
      </w:hyperlink>
    </w:p>
    <w:p w:rsidRPr="000279EF" w:rsidR="00BE370C" w:rsidP="00BE370C" w:rsidRDefault="00BE370C" w14:paraId="44DA0566" w14:textId="77777777">
      <w:pPr>
        <w:spacing w:after="0"/>
        <w:rPr>
          <w:rFonts w:ascii="Arial" w:hAnsi="Arial" w:cs="Arial"/>
        </w:rPr>
      </w:pPr>
    </w:p>
    <w:p w:rsidRPr="000279EF" w:rsidR="00BE370C" w:rsidP="00BE370C" w:rsidRDefault="00BE370C" w14:paraId="7B0E062C" w14:textId="421DAF05">
      <w:pPr>
        <w:spacing w:after="0"/>
        <w:rPr>
          <w:rFonts w:ascii="Arial" w:hAnsi="Arial" w:cs="Arial"/>
        </w:rPr>
      </w:pPr>
      <w:r w:rsidRPr="000279EF">
        <w:rPr>
          <w:rFonts w:ascii="Arial" w:hAnsi="Arial" w:cs="Arial"/>
        </w:rPr>
        <w:t>To support the University in evaluating the strategic, academic, and commercial suitability of the proposed collaboration, prospective partners are required to complete a summary of their Business Case. This document will be reviewed in line with the University of Greenwich’s international strategy, academic standards, and transnational education (TNE) framework.</w:t>
      </w:r>
    </w:p>
    <w:p w:rsidRPr="000279EF" w:rsidR="00BE370C" w:rsidP="00BE370C" w:rsidRDefault="00BE370C" w14:paraId="640FCA4E" w14:textId="77777777">
      <w:pPr>
        <w:spacing w:after="0"/>
        <w:rPr>
          <w:rFonts w:ascii="Arial" w:hAnsi="Arial" w:cs="Arial"/>
        </w:rPr>
      </w:pPr>
    </w:p>
    <w:p w:rsidRPr="000279EF" w:rsidR="00BE370C" w:rsidP="00BE370C" w:rsidRDefault="00BE370C" w14:paraId="4CD10A25" w14:textId="17EBA80A">
      <w:pPr>
        <w:spacing w:after="0"/>
        <w:rPr>
          <w:rFonts w:ascii="Arial" w:hAnsi="Arial" w:cs="Arial"/>
        </w:rPr>
      </w:pPr>
      <w:r w:rsidRPr="000279EF">
        <w:rPr>
          <w:rFonts w:ascii="Arial" w:hAnsi="Arial" w:cs="Arial"/>
        </w:rPr>
        <w:t>Please complete the table below by providing a summary for each section. Where information is not applicable or not currently available, please explain the reasons rather than leaving sections blank.</w:t>
      </w:r>
    </w:p>
    <w:p w:rsidRPr="000279EF" w:rsidR="00BE370C" w:rsidP="00BE370C" w:rsidRDefault="00BE370C" w14:paraId="0A7F184B" w14:textId="77777777">
      <w:pPr>
        <w:spacing w:after="0"/>
        <w:rPr>
          <w:rFonts w:ascii="Arial" w:hAnsi="Arial" w:cs="Arial"/>
        </w:rPr>
      </w:pPr>
    </w:p>
    <w:p w:rsidRPr="000279EF" w:rsidR="00BE370C" w:rsidP="00BE370C" w:rsidRDefault="00BE370C" w14:paraId="48D3A979" w14:textId="77777777">
      <w:pPr>
        <w:spacing w:after="0"/>
        <w:rPr>
          <w:rFonts w:ascii="Arial" w:hAnsi="Arial" w:cs="Arial"/>
        </w:rPr>
      </w:pPr>
      <w:r w:rsidRPr="000279EF">
        <w:rPr>
          <w:rFonts w:ascii="Arial" w:hAnsi="Arial" w:cs="Arial"/>
        </w:rPr>
        <w:t>The Business Case and any supporting documentation should be written in plain English, avoiding institutional jargon and unexplained acronyms. The information provided should be suitable for review by senior academic and professional stakeholders.</w:t>
      </w:r>
    </w:p>
    <w:p w:rsidRPr="000279EF" w:rsidR="00BE370C" w:rsidP="00BE370C" w:rsidRDefault="00BE370C" w14:paraId="2EF9AC30" w14:textId="77777777">
      <w:pPr>
        <w:spacing w:after="0"/>
        <w:rPr>
          <w:rFonts w:ascii="Arial" w:hAnsi="Arial" w:cs="Arial"/>
        </w:rPr>
      </w:pPr>
    </w:p>
    <w:p w:rsidRPr="000279EF" w:rsidR="00BE370C" w:rsidP="00BE370C" w:rsidRDefault="00BE370C" w14:paraId="716AC9FA" w14:textId="5EF7F000">
      <w:pPr>
        <w:spacing w:after="0"/>
        <w:rPr>
          <w:rFonts w:ascii="Arial" w:hAnsi="Arial" w:cs="Arial"/>
        </w:rPr>
      </w:pPr>
      <w:r w:rsidRPr="000279EF">
        <w:rPr>
          <w:rFonts w:ascii="Arial" w:hAnsi="Arial" w:cs="Arial"/>
        </w:rPr>
        <w:t>Useful guidance:</w:t>
      </w:r>
    </w:p>
    <w:p w:rsidRPr="000279EF" w:rsidR="00BE370C" w:rsidP="00BE370C" w:rsidRDefault="00BE370C" w14:paraId="426E7C45" w14:textId="324F0DFA">
      <w:pPr>
        <w:pStyle w:val="ListParagraph"/>
        <w:numPr>
          <w:ilvl w:val="0"/>
          <w:numId w:val="4"/>
        </w:numPr>
        <w:spacing w:after="0"/>
        <w:rPr>
          <w:rFonts w:ascii="Arial" w:hAnsi="Arial" w:cs="Arial"/>
        </w:rPr>
      </w:pPr>
      <w:r w:rsidRPr="000279EF">
        <w:rPr>
          <w:rFonts w:ascii="Arial" w:hAnsi="Arial" w:cs="Arial"/>
        </w:rPr>
        <w:t>The University of Greenwich prioritises partnerships with clear growth potential.</w:t>
      </w:r>
    </w:p>
    <w:p w:rsidRPr="000279EF" w:rsidR="00BE370C" w:rsidP="00BE370C" w:rsidRDefault="00BE370C" w14:paraId="713A317F" w14:textId="1547A804">
      <w:pPr>
        <w:pStyle w:val="ListParagraph"/>
        <w:numPr>
          <w:ilvl w:val="0"/>
          <w:numId w:val="4"/>
        </w:numPr>
        <w:spacing w:after="0"/>
        <w:rPr>
          <w:rFonts w:ascii="Arial" w:hAnsi="Arial" w:cs="Arial"/>
        </w:rPr>
      </w:pPr>
      <w:r w:rsidRPr="000279EF">
        <w:rPr>
          <w:rFonts w:ascii="Arial" w:hAnsi="Arial" w:cs="Arial"/>
        </w:rPr>
        <w:t xml:space="preserve">Proposals offering a minimum of </w:t>
      </w:r>
      <w:r w:rsidRPr="000279EF">
        <w:rPr>
          <w:rFonts w:ascii="Arial" w:hAnsi="Arial" w:cs="Arial"/>
          <w:b/>
          <w:bCs/>
        </w:rPr>
        <w:t>four programmes</w:t>
      </w:r>
      <w:r w:rsidRPr="000279EF">
        <w:rPr>
          <w:rFonts w:ascii="Arial" w:hAnsi="Arial" w:cs="Arial"/>
        </w:rPr>
        <w:t xml:space="preserve"> with projected enrolments of at least </w:t>
      </w:r>
      <w:r w:rsidRPr="000279EF">
        <w:rPr>
          <w:rFonts w:ascii="Arial" w:hAnsi="Arial" w:cs="Arial"/>
          <w:b/>
          <w:bCs/>
        </w:rPr>
        <w:t>200 students</w:t>
      </w:r>
      <w:r w:rsidRPr="000279EF">
        <w:rPr>
          <w:rFonts w:ascii="Arial" w:hAnsi="Arial" w:cs="Arial"/>
        </w:rPr>
        <w:t xml:space="preserve"> within 12 months (normally 50 students per programme) will be prioritised.</w:t>
      </w:r>
    </w:p>
    <w:p w:rsidRPr="000279EF" w:rsidR="00BE370C" w:rsidP="00BE370C" w:rsidRDefault="00BE370C" w14:paraId="200CDBE9" w14:textId="77777777">
      <w:pPr>
        <w:pStyle w:val="ListParagraph"/>
        <w:numPr>
          <w:ilvl w:val="0"/>
          <w:numId w:val="4"/>
        </w:numPr>
        <w:spacing w:after="0"/>
        <w:rPr>
          <w:rFonts w:ascii="Arial" w:hAnsi="Arial" w:cs="Arial"/>
        </w:rPr>
      </w:pPr>
      <w:r w:rsidRPr="000279EF">
        <w:rPr>
          <w:rFonts w:ascii="Arial" w:hAnsi="Arial" w:cs="Arial"/>
        </w:rPr>
        <w:t>Partner fee arrangements are negotiated on a case-by-case basis and are typically linked to student recruitment volume and the agreed collaboration model.</w:t>
      </w:r>
    </w:p>
    <w:p w:rsidRPr="000279EF" w:rsidR="00BE370C" w:rsidP="00BE370C" w:rsidRDefault="00BE370C" w14:paraId="1BC956B8" w14:textId="77777777">
      <w:pPr>
        <w:pStyle w:val="ListParagraph"/>
        <w:numPr>
          <w:ilvl w:val="0"/>
          <w:numId w:val="4"/>
        </w:numPr>
        <w:spacing w:after="0"/>
        <w:rPr>
          <w:rFonts w:ascii="Arial" w:hAnsi="Arial" w:cs="Arial"/>
        </w:rPr>
      </w:pPr>
      <w:r w:rsidRPr="000279EF">
        <w:rPr>
          <w:rFonts w:ascii="Arial" w:hAnsi="Arial" w:cs="Arial"/>
        </w:rPr>
        <w:t>Partners are required to commit to a minimum annual financial payment, providing assurance of the partnership’s commercial sustainability.</w:t>
      </w:r>
    </w:p>
    <w:p w:rsidR="000279EF" w:rsidP="00BE370C" w:rsidRDefault="00BE370C" w14:paraId="02F156B3" w14:textId="77777777">
      <w:pPr>
        <w:pStyle w:val="ListParagraph"/>
        <w:numPr>
          <w:ilvl w:val="0"/>
          <w:numId w:val="4"/>
        </w:numPr>
        <w:spacing w:after="0"/>
        <w:rPr>
          <w:rFonts w:ascii="Arial" w:hAnsi="Arial" w:cs="Arial"/>
        </w:rPr>
      </w:pPr>
      <w:r w:rsidRPr="000279EF">
        <w:rPr>
          <w:rFonts w:ascii="Arial" w:hAnsi="Arial" w:cs="Arial"/>
        </w:rPr>
        <w:t>Proposals should demonstrate a credible recruitment strategy</w:t>
      </w:r>
      <w:r w:rsidRPr="000279EF" w:rsidR="392C0B59">
        <w:rPr>
          <w:rFonts w:ascii="Arial" w:hAnsi="Arial" w:cs="Arial"/>
        </w:rPr>
        <w:t xml:space="preserve"> and </w:t>
      </w:r>
      <w:r w:rsidRPr="000279EF">
        <w:rPr>
          <w:rFonts w:ascii="Arial" w:hAnsi="Arial" w:cs="Arial"/>
        </w:rPr>
        <w:t>capacity to scale</w:t>
      </w:r>
      <w:r w:rsidRPr="000279EF" w:rsidR="73040A27">
        <w:rPr>
          <w:rFonts w:ascii="Arial" w:hAnsi="Arial" w:cs="Arial"/>
        </w:rPr>
        <w:t>.</w:t>
      </w:r>
    </w:p>
    <w:p w:rsidRPr="000279EF" w:rsidR="00BE370C" w:rsidP="00BE370C" w:rsidRDefault="00BE370C" w14:paraId="0723E998" w14:textId="3C903295">
      <w:pPr>
        <w:pStyle w:val="ListParagraph"/>
        <w:numPr>
          <w:ilvl w:val="0"/>
          <w:numId w:val="4"/>
        </w:numPr>
        <w:spacing w:after="0"/>
        <w:rPr>
          <w:rFonts w:ascii="Arial" w:hAnsi="Arial" w:cs="Arial"/>
        </w:rPr>
      </w:pPr>
      <w:r w:rsidRPr="000279EF">
        <w:rPr>
          <w:rFonts w:ascii="Arial" w:hAnsi="Arial" w:cs="Arial"/>
        </w:rPr>
        <w:t>All partnerships must meet the University of Greenwich’s academic quality, regulatory, and governance requirements.</w:t>
      </w:r>
    </w:p>
    <w:p w:rsidRPr="000279EF" w:rsidR="1FF004BE" w:rsidP="1FF004BE" w:rsidRDefault="1FF004BE" w14:paraId="5B936357" w14:textId="0167CF5E">
      <w:pPr>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Pr="000279EF" w:rsidR="00BE370C" w:rsidTr="000279EF" w14:paraId="223A0B62" w14:textId="77777777">
        <w:tc>
          <w:tcPr>
            <w:tcW w:w="4508" w:type="dxa"/>
            <w:shd w:val="clear" w:color="auto" w:fill="215E99" w:themeFill="text2" w:themeFillTint="BF"/>
          </w:tcPr>
          <w:p w:rsidRPr="000279EF" w:rsidR="00BE370C" w:rsidP="004777B5" w:rsidRDefault="00BE370C" w14:paraId="155BBE0A" w14:textId="77777777">
            <w:pPr>
              <w:jc w:val="center"/>
              <w:rPr>
                <w:rFonts w:ascii="Arial" w:hAnsi="Arial" w:cs="Arial"/>
                <w:b/>
                <w:bCs/>
                <w:color w:val="FFFFFF" w:themeColor="background1"/>
              </w:rPr>
            </w:pPr>
            <w:r w:rsidRPr="000279EF">
              <w:rPr>
                <w:rFonts w:ascii="Arial" w:hAnsi="Arial" w:cs="Arial"/>
                <w:b/>
                <w:bCs/>
                <w:color w:val="FFFFFF" w:themeColor="background1"/>
              </w:rPr>
              <w:t>Topic</w:t>
            </w:r>
          </w:p>
        </w:tc>
        <w:tc>
          <w:tcPr>
            <w:tcW w:w="4508" w:type="dxa"/>
            <w:shd w:val="clear" w:color="auto" w:fill="215E99" w:themeFill="text2" w:themeFillTint="BF"/>
          </w:tcPr>
          <w:p w:rsidRPr="000279EF" w:rsidR="00BE370C" w:rsidP="004777B5" w:rsidRDefault="00BE370C" w14:paraId="7B963150" w14:textId="77777777">
            <w:pPr>
              <w:jc w:val="center"/>
              <w:rPr>
                <w:rFonts w:ascii="Arial" w:hAnsi="Arial" w:cs="Arial"/>
                <w:b/>
                <w:bCs/>
                <w:color w:val="FFFFFF" w:themeColor="background1"/>
              </w:rPr>
            </w:pPr>
            <w:r w:rsidRPr="000279EF">
              <w:rPr>
                <w:rFonts w:ascii="Arial" w:hAnsi="Arial" w:cs="Arial"/>
                <w:b/>
                <w:bCs/>
                <w:color w:val="FFFFFF" w:themeColor="background1"/>
              </w:rPr>
              <w:t>Partner Response</w:t>
            </w:r>
          </w:p>
          <w:p w:rsidRPr="000279EF" w:rsidR="00BE370C" w:rsidP="004777B5" w:rsidRDefault="00BE370C" w14:paraId="4BEEC64B" w14:textId="0C49E2E2">
            <w:pPr>
              <w:jc w:val="center"/>
              <w:rPr>
                <w:rFonts w:ascii="Arial" w:hAnsi="Arial" w:cs="Arial"/>
                <w:b/>
                <w:bCs/>
                <w:color w:val="FFFFFF" w:themeColor="background1"/>
              </w:rPr>
            </w:pPr>
            <w:r w:rsidRPr="000279EF">
              <w:rPr>
                <w:rFonts w:ascii="Arial" w:hAnsi="Arial" w:cs="Arial"/>
                <w:b/>
                <w:bCs/>
                <w:color w:val="FFFFFF" w:themeColor="background1"/>
              </w:rPr>
              <w:t xml:space="preserve"> </w:t>
            </w:r>
            <w:r w:rsidRPr="000279EF">
              <w:rPr>
                <w:rFonts w:ascii="Arial" w:hAnsi="Arial" w:cs="Arial"/>
                <w:color w:val="FFFFFF" w:themeColor="background1"/>
              </w:rPr>
              <w:t>(maximum of 200 words per row)</w:t>
            </w:r>
          </w:p>
        </w:tc>
      </w:tr>
      <w:tr w:rsidRPr="000279EF" w:rsidR="00BE370C" w:rsidTr="1FF004BE" w14:paraId="73A887F6" w14:textId="77777777">
        <w:trPr>
          <w:trHeight w:val="235"/>
        </w:trPr>
        <w:tc>
          <w:tcPr>
            <w:tcW w:w="9016" w:type="dxa"/>
            <w:gridSpan w:val="2"/>
            <w:shd w:val="clear" w:color="auto" w:fill="D9D9D9" w:themeFill="background1" w:themeFillShade="D9"/>
          </w:tcPr>
          <w:p w:rsidRPr="000279EF" w:rsidR="00BE370C" w:rsidP="004777B5" w:rsidRDefault="00BE370C" w14:paraId="27D363CD" w14:textId="77777777">
            <w:pPr>
              <w:rPr>
                <w:rFonts w:ascii="Arial" w:hAnsi="Arial" w:cs="Arial"/>
                <w:b/>
                <w:bCs/>
              </w:rPr>
            </w:pPr>
            <w:r w:rsidRPr="000279EF">
              <w:rPr>
                <w:rFonts w:ascii="Arial" w:hAnsi="Arial" w:cs="Arial"/>
                <w:b/>
                <w:bCs/>
              </w:rPr>
              <w:t>Section 1: Institutional Profile</w:t>
            </w:r>
          </w:p>
        </w:tc>
      </w:tr>
      <w:tr w:rsidRPr="000279EF" w:rsidR="00BE370C" w:rsidTr="1FF004BE" w14:paraId="36DC745F" w14:textId="77777777">
        <w:trPr>
          <w:trHeight w:val="879"/>
        </w:trPr>
        <w:tc>
          <w:tcPr>
            <w:tcW w:w="4508" w:type="dxa"/>
          </w:tcPr>
          <w:p w:rsidRPr="000279EF" w:rsidR="00BE370C" w:rsidP="1FF004BE" w:rsidRDefault="00BE370C" w14:paraId="5C9F7791" w14:textId="1E06B6AB">
            <w:pPr>
              <w:rPr>
                <w:rFonts w:ascii="Arial" w:hAnsi="Arial" w:cs="Arial"/>
              </w:rPr>
            </w:pPr>
            <w:r w:rsidRPr="000279EF">
              <w:rPr>
                <w:rFonts w:ascii="Arial" w:hAnsi="Arial" w:cs="Arial"/>
              </w:rPr>
              <w:t xml:space="preserve">1.1 </w:t>
            </w:r>
            <w:r w:rsidRPr="000279EF" w:rsidR="4E587FAC">
              <w:rPr>
                <w:rFonts w:ascii="Arial" w:hAnsi="Arial" w:cs="Arial"/>
              </w:rPr>
              <w:t>Institution Details</w:t>
            </w:r>
          </w:p>
          <w:p w:rsidRPr="000279EF" w:rsidR="00BE370C" w:rsidP="1FF004BE" w:rsidRDefault="75F82A06" w14:paraId="6DDC2E42" w14:textId="6B027D12">
            <w:pPr>
              <w:rPr>
                <w:rFonts w:ascii="Arial" w:hAnsi="Arial" w:cs="Arial"/>
                <w:i/>
                <w:iCs/>
              </w:rPr>
            </w:pPr>
            <w:r w:rsidRPr="000279EF">
              <w:rPr>
                <w:rFonts w:ascii="Arial" w:hAnsi="Arial" w:cs="Arial"/>
                <w:i/>
                <w:iCs/>
              </w:rPr>
              <w:t xml:space="preserve">Please provide </w:t>
            </w:r>
            <w:r w:rsidRPr="000279EF" w:rsidR="73DDE864">
              <w:rPr>
                <w:rFonts w:ascii="Arial" w:hAnsi="Arial" w:cs="Arial"/>
                <w:i/>
                <w:iCs/>
              </w:rPr>
              <w:t>institution name, address, website, applicant name, job title and email</w:t>
            </w:r>
          </w:p>
          <w:p w:rsidRPr="000279EF" w:rsidR="00BE370C" w:rsidP="1FF004BE" w:rsidRDefault="00BE370C" w14:paraId="5444FAA7" w14:textId="34C0FC41">
            <w:pPr>
              <w:rPr>
                <w:rFonts w:ascii="Arial" w:hAnsi="Arial" w:cs="Arial"/>
              </w:rPr>
            </w:pPr>
          </w:p>
        </w:tc>
        <w:tc>
          <w:tcPr>
            <w:tcW w:w="4508" w:type="dxa"/>
          </w:tcPr>
          <w:p w:rsidRPr="000279EF" w:rsidR="00BE370C" w:rsidP="004777B5" w:rsidRDefault="00BE370C" w14:paraId="7550C683" w14:textId="77777777">
            <w:pPr>
              <w:rPr>
                <w:rFonts w:ascii="Arial" w:hAnsi="Arial" w:cs="Arial"/>
              </w:rPr>
            </w:pPr>
          </w:p>
        </w:tc>
      </w:tr>
      <w:tr w:rsidRPr="000279EF" w:rsidR="1FF004BE" w:rsidTr="1FF004BE" w14:paraId="473A3C30" w14:textId="77777777">
        <w:trPr>
          <w:trHeight w:val="879"/>
        </w:trPr>
        <w:tc>
          <w:tcPr>
            <w:tcW w:w="4508" w:type="dxa"/>
          </w:tcPr>
          <w:p w:rsidRPr="000279EF" w:rsidR="797C1060" w:rsidP="1FF004BE" w:rsidRDefault="797C1060" w14:paraId="1D3A49BD" w14:textId="5FB5439B">
            <w:pPr>
              <w:rPr>
                <w:rFonts w:ascii="Arial" w:hAnsi="Arial" w:cs="Arial"/>
              </w:rPr>
            </w:pPr>
            <w:r w:rsidRPr="000279EF">
              <w:rPr>
                <w:rFonts w:ascii="Arial" w:hAnsi="Arial" w:cs="Arial"/>
              </w:rPr>
              <w:t>1.2</w:t>
            </w:r>
            <w:r w:rsidRPr="000279EF" w:rsidR="3BBDF401">
              <w:rPr>
                <w:rFonts w:ascii="Arial" w:hAnsi="Arial" w:cs="Arial"/>
              </w:rPr>
              <w:t xml:space="preserve"> </w:t>
            </w:r>
            <w:r w:rsidRPr="000279EF" w:rsidR="6573899E">
              <w:rPr>
                <w:rFonts w:ascii="Arial" w:hAnsi="Arial" w:cs="Arial"/>
              </w:rPr>
              <w:t>Institution Overview</w:t>
            </w:r>
          </w:p>
          <w:p w:rsidRPr="000279EF" w:rsidR="456AF855" w:rsidP="1FF004BE" w:rsidRDefault="456AF855" w14:paraId="5C1CC31E" w14:textId="7088F93F">
            <w:pPr>
              <w:spacing w:line="276" w:lineRule="auto"/>
              <w:rPr>
                <w:rFonts w:ascii="Arial" w:hAnsi="Arial" w:cs="Arial" w:eastAsiaTheme="minorEastAsia"/>
                <w:i/>
                <w:iCs/>
              </w:rPr>
            </w:pPr>
            <w:r w:rsidRPr="000279EF">
              <w:rPr>
                <w:rFonts w:ascii="Arial" w:hAnsi="Arial" w:cs="Arial" w:eastAsiaTheme="minorEastAsia"/>
                <w:i/>
                <w:iCs/>
              </w:rPr>
              <w:t xml:space="preserve">Provide a brief background of your institution, year established, number of faculties, professional recognition/accreditations, other international partnerships you currently </w:t>
            </w:r>
            <w:r w:rsidRPr="000279EF" w:rsidR="0381CBF6">
              <w:rPr>
                <w:rFonts w:ascii="Arial" w:hAnsi="Arial" w:cs="Arial" w:eastAsiaTheme="minorEastAsia"/>
                <w:i/>
                <w:iCs/>
              </w:rPr>
              <w:t>have</w:t>
            </w:r>
            <w:r w:rsidRPr="000279EF">
              <w:rPr>
                <w:rFonts w:ascii="Arial" w:hAnsi="Arial" w:cs="Arial" w:eastAsiaTheme="minorEastAsia"/>
                <w:i/>
                <w:iCs/>
              </w:rPr>
              <w:t>, strategic mission/educational values and any other information you feel relevant</w:t>
            </w:r>
          </w:p>
          <w:p w:rsidRPr="000279EF" w:rsidR="1FF004BE" w:rsidP="1FF004BE" w:rsidRDefault="1FF004BE" w14:paraId="6FDC0EE4" w14:textId="06BE89D3">
            <w:pPr>
              <w:rPr>
                <w:rFonts w:ascii="Arial" w:hAnsi="Arial" w:cs="Arial"/>
                <w:i/>
                <w:iCs/>
              </w:rPr>
            </w:pPr>
          </w:p>
        </w:tc>
        <w:tc>
          <w:tcPr>
            <w:tcW w:w="4508" w:type="dxa"/>
          </w:tcPr>
          <w:p w:rsidRPr="000279EF" w:rsidR="1FF004BE" w:rsidP="1FF004BE" w:rsidRDefault="1FF004BE" w14:paraId="6C3EC2EB" w14:textId="3DBDF8B5">
            <w:pPr>
              <w:rPr>
                <w:rFonts w:ascii="Arial" w:hAnsi="Arial" w:cs="Arial"/>
              </w:rPr>
            </w:pPr>
          </w:p>
        </w:tc>
      </w:tr>
      <w:tr w:rsidRPr="000279EF" w:rsidR="00BE370C" w:rsidTr="1FF004BE" w14:paraId="1878C795" w14:textId="77777777">
        <w:trPr>
          <w:trHeight w:val="1172"/>
        </w:trPr>
        <w:tc>
          <w:tcPr>
            <w:tcW w:w="4508" w:type="dxa"/>
          </w:tcPr>
          <w:p w:rsidRPr="000279EF" w:rsidR="00BE370C" w:rsidP="004777B5" w:rsidRDefault="00BE370C" w14:paraId="42691FD4" w14:textId="54F8DE1C">
            <w:pPr>
              <w:rPr>
                <w:rFonts w:ascii="Arial" w:hAnsi="Arial" w:cs="Arial"/>
              </w:rPr>
            </w:pPr>
            <w:r w:rsidRPr="000279EF">
              <w:rPr>
                <w:rFonts w:ascii="Arial" w:hAnsi="Arial" w:cs="Arial"/>
              </w:rPr>
              <w:t>1.</w:t>
            </w:r>
            <w:r w:rsidRPr="000279EF" w:rsidR="2F41A267">
              <w:rPr>
                <w:rFonts w:ascii="Arial" w:hAnsi="Arial" w:cs="Arial"/>
              </w:rPr>
              <w:t>3</w:t>
            </w:r>
            <w:r w:rsidRPr="000279EF">
              <w:rPr>
                <w:rFonts w:ascii="Arial" w:hAnsi="Arial" w:cs="Arial"/>
              </w:rPr>
              <w:t xml:space="preserve"> Strategic Rationale for Partnership</w:t>
            </w:r>
          </w:p>
          <w:p w:rsidRPr="000279EF" w:rsidR="00BE370C" w:rsidP="004777B5" w:rsidRDefault="00BE370C" w14:paraId="4F453A61" w14:textId="6E4404EA">
            <w:pPr>
              <w:rPr>
                <w:rFonts w:ascii="Arial" w:hAnsi="Arial" w:cs="Arial"/>
              </w:rPr>
            </w:pPr>
            <w:r w:rsidRPr="000279EF">
              <w:rPr>
                <w:rFonts w:ascii="Arial" w:hAnsi="Arial" w:cs="Arial"/>
                <w:i/>
                <w:iCs/>
              </w:rPr>
              <w:t>Explain why you are seeking partnership with the University of Greenwich and why now</w:t>
            </w:r>
          </w:p>
          <w:p w:rsidRPr="000279EF" w:rsidR="00BE370C" w:rsidP="1FF004BE" w:rsidRDefault="00BE370C" w14:paraId="55F6CE26" w14:textId="5435013E">
            <w:pPr>
              <w:rPr>
                <w:rFonts w:ascii="Arial" w:hAnsi="Arial" w:cs="Arial"/>
                <w:i/>
                <w:iCs/>
              </w:rPr>
            </w:pPr>
          </w:p>
        </w:tc>
        <w:tc>
          <w:tcPr>
            <w:tcW w:w="4508" w:type="dxa"/>
          </w:tcPr>
          <w:p w:rsidRPr="000279EF" w:rsidR="00BE370C" w:rsidP="004777B5" w:rsidRDefault="00BE370C" w14:paraId="784F623D" w14:textId="77777777">
            <w:pPr>
              <w:rPr>
                <w:rFonts w:ascii="Arial" w:hAnsi="Arial" w:cs="Arial"/>
              </w:rPr>
            </w:pPr>
          </w:p>
        </w:tc>
      </w:tr>
      <w:tr w:rsidRPr="000279EF" w:rsidR="00BE370C" w:rsidTr="1FF004BE" w14:paraId="1784FE29" w14:textId="77777777">
        <w:trPr>
          <w:trHeight w:val="898"/>
        </w:trPr>
        <w:tc>
          <w:tcPr>
            <w:tcW w:w="4508" w:type="dxa"/>
          </w:tcPr>
          <w:p w:rsidRPr="000279EF" w:rsidR="00BE370C" w:rsidP="004777B5" w:rsidRDefault="00BE370C" w14:paraId="6C8D57B3" w14:textId="6FE05EFC">
            <w:pPr>
              <w:rPr>
                <w:rFonts w:ascii="Arial" w:hAnsi="Arial" w:cs="Arial"/>
              </w:rPr>
            </w:pPr>
            <w:r w:rsidRPr="000279EF">
              <w:rPr>
                <w:rFonts w:ascii="Arial" w:hAnsi="Arial" w:cs="Arial"/>
              </w:rPr>
              <w:t>1.</w:t>
            </w:r>
            <w:r w:rsidRPr="000279EF" w:rsidR="07198A26">
              <w:rPr>
                <w:rFonts w:ascii="Arial" w:hAnsi="Arial" w:cs="Arial"/>
              </w:rPr>
              <w:t>4</w:t>
            </w:r>
            <w:r w:rsidRPr="000279EF">
              <w:rPr>
                <w:rFonts w:ascii="Arial" w:hAnsi="Arial" w:cs="Arial"/>
              </w:rPr>
              <w:t xml:space="preserve"> Campuses and Delivery Locations</w:t>
            </w:r>
          </w:p>
          <w:p w:rsidRPr="000279EF" w:rsidR="00BE370C" w:rsidP="004777B5" w:rsidRDefault="00BE370C" w14:paraId="6C660675" w14:textId="16C63FA2">
            <w:pPr>
              <w:rPr>
                <w:rFonts w:ascii="Arial" w:hAnsi="Arial" w:cs="Arial"/>
              </w:rPr>
            </w:pPr>
            <w:r w:rsidRPr="000279EF">
              <w:rPr>
                <w:rFonts w:ascii="Arial" w:hAnsi="Arial" w:cs="Arial"/>
                <w:i/>
                <w:iCs/>
              </w:rPr>
              <w:t>List campuses where University of Greenwich programmes would be delivered</w:t>
            </w:r>
          </w:p>
          <w:p w:rsidRPr="000279EF" w:rsidR="00BE370C" w:rsidP="1FF004BE" w:rsidRDefault="00BE370C" w14:paraId="056A4D31" w14:textId="2A4E40D9">
            <w:pPr>
              <w:rPr>
                <w:rFonts w:ascii="Arial" w:hAnsi="Arial" w:cs="Arial"/>
                <w:i/>
                <w:iCs/>
              </w:rPr>
            </w:pPr>
          </w:p>
        </w:tc>
        <w:tc>
          <w:tcPr>
            <w:tcW w:w="4508" w:type="dxa"/>
          </w:tcPr>
          <w:p w:rsidRPr="000279EF" w:rsidR="00BE370C" w:rsidP="004777B5" w:rsidRDefault="00BE370C" w14:paraId="5A1FF849" w14:textId="77777777">
            <w:pPr>
              <w:rPr>
                <w:rFonts w:ascii="Arial" w:hAnsi="Arial" w:cs="Arial"/>
              </w:rPr>
            </w:pPr>
          </w:p>
        </w:tc>
      </w:tr>
      <w:tr w:rsidRPr="000279EF" w:rsidR="00BE370C" w:rsidTr="1FF004BE" w14:paraId="66F7A88B" w14:textId="77777777">
        <w:tc>
          <w:tcPr>
            <w:tcW w:w="9016" w:type="dxa"/>
            <w:gridSpan w:val="2"/>
            <w:shd w:val="clear" w:color="auto" w:fill="D9D9D9" w:themeFill="background1" w:themeFillShade="D9"/>
          </w:tcPr>
          <w:p w:rsidRPr="000279EF" w:rsidR="00BE370C" w:rsidP="004777B5" w:rsidRDefault="00BE370C" w14:paraId="6417251D" w14:textId="77777777">
            <w:pPr>
              <w:rPr>
                <w:rFonts w:ascii="Arial" w:hAnsi="Arial" w:cs="Arial"/>
                <w:b/>
                <w:bCs/>
              </w:rPr>
            </w:pPr>
            <w:r w:rsidRPr="000279EF">
              <w:rPr>
                <w:rFonts w:ascii="Arial" w:hAnsi="Arial" w:cs="Arial"/>
                <w:b/>
                <w:bCs/>
              </w:rPr>
              <w:t>Section 2: Academic Capability and Delivery Model</w:t>
            </w:r>
          </w:p>
        </w:tc>
      </w:tr>
      <w:tr w:rsidRPr="000279EF" w:rsidR="00BE370C" w:rsidTr="1FF004BE" w14:paraId="38965C9C" w14:textId="77777777">
        <w:trPr>
          <w:trHeight w:val="879"/>
        </w:trPr>
        <w:tc>
          <w:tcPr>
            <w:tcW w:w="4508" w:type="dxa"/>
          </w:tcPr>
          <w:p w:rsidRPr="000279EF" w:rsidR="00BE370C" w:rsidP="004777B5" w:rsidRDefault="00BE370C" w14:paraId="4609C2A0" w14:textId="77777777">
            <w:pPr>
              <w:rPr>
                <w:rFonts w:ascii="Arial" w:hAnsi="Arial" w:cs="Arial"/>
              </w:rPr>
            </w:pPr>
            <w:r w:rsidRPr="000279EF">
              <w:rPr>
                <w:rFonts w:ascii="Arial" w:hAnsi="Arial" w:cs="Arial"/>
              </w:rPr>
              <w:t>2.1 Current Academic Provision</w:t>
            </w:r>
          </w:p>
          <w:p w:rsidRPr="000279EF" w:rsidR="00BE370C" w:rsidP="004777B5" w:rsidRDefault="00BE370C" w14:paraId="1051EC57" w14:textId="2B33721F">
            <w:pPr>
              <w:rPr>
                <w:rFonts w:ascii="Arial" w:hAnsi="Arial" w:cs="Arial"/>
              </w:rPr>
            </w:pPr>
            <w:r w:rsidRPr="000279EF">
              <w:rPr>
                <w:rFonts w:ascii="Arial" w:hAnsi="Arial" w:cs="Arial"/>
                <w:i/>
                <w:iCs/>
              </w:rPr>
              <w:t>Outline current UG/PG/Foundation provision</w:t>
            </w:r>
            <w:r w:rsidRPr="000279EF" w:rsidR="0D9D801A">
              <w:rPr>
                <w:rFonts w:ascii="Arial" w:hAnsi="Arial" w:cs="Arial"/>
                <w:i/>
                <w:iCs/>
              </w:rPr>
              <w:t xml:space="preserve"> </w:t>
            </w:r>
            <w:r w:rsidRPr="000279EF">
              <w:rPr>
                <w:rFonts w:ascii="Arial" w:hAnsi="Arial" w:cs="Arial"/>
                <w:i/>
                <w:iCs/>
              </w:rPr>
              <w:t>and subject strengths</w:t>
            </w:r>
          </w:p>
          <w:p w:rsidRPr="000279EF" w:rsidR="00BE370C" w:rsidP="1FF004BE" w:rsidRDefault="00BE370C" w14:paraId="7F7C3DB3" w14:textId="35571AB5">
            <w:pPr>
              <w:rPr>
                <w:rFonts w:ascii="Arial" w:hAnsi="Arial" w:cs="Arial"/>
                <w:i/>
                <w:iCs/>
              </w:rPr>
            </w:pPr>
          </w:p>
        </w:tc>
        <w:tc>
          <w:tcPr>
            <w:tcW w:w="4508" w:type="dxa"/>
          </w:tcPr>
          <w:p w:rsidRPr="000279EF" w:rsidR="00BE370C" w:rsidP="004777B5" w:rsidRDefault="00BE370C" w14:paraId="5C580A77" w14:textId="77777777">
            <w:pPr>
              <w:rPr>
                <w:rFonts w:ascii="Arial" w:hAnsi="Arial" w:cs="Arial"/>
              </w:rPr>
            </w:pPr>
          </w:p>
        </w:tc>
      </w:tr>
      <w:tr w:rsidRPr="000279EF" w:rsidR="00BE370C" w:rsidTr="1FF004BE" w14:paraId="25AF2B17" w14:textId="77777777">
        <w:trPr>
          <w:trHeight w:val="879"/>
        </w:trPr>
        <w:tc>
          <w:tcPr>
            <w:tcW w:w="4508" w:type="dxa"/>
          </w:tcPr>
          <w:p w:rsidRPr="000279EF" w:rsidR="00BE370C" w:rsidP="004777B5" w:rsidRDefault="00BE370C" w14:paraId="7B6B9D4B" w14:textId="77777777">
            <w:pPr>
              <w:rPr>
                <w:rFonts w:ascii="Arial" w:hAnsi="Arial" w:cs="Arial"/>
              </w:rPr>
            </w:pPr>
            <w:r w:rsidRPr="000279EF">
              <w:rPr>
                <w:rFonts w:ascii="Arial" w:hAnsi="Arial" w:cs="Arial"/>
              </w:rPr>
              <w:t>2.2 Student Profile and Scale</w:t>
            </w:r>
          </w:p>
          <w:p w:rsidRPr="000279EF" w:rsidR="00BE370C" w:rsidP="004777B5" w:rsidRDefault="00BE370C" w14:paraId="0A07A888" w14:textId="38C42703">
            <w:pPr>
              <w:rPr>
                <w:rFonts w:ascii="Arial" w:hAnsi="Arial" w:cs="Arial"/>
              </w:rPr>
            </w:pPr>
            <w:r w:rsidRPr="000279EF">
              <w:rPr>
                <w:rFonts w:ascii="Arial" w:hAnsi="Arial" w:cs="Arial"/>
                <w:i/>
                <w:iCs/>
              </w:rPr>
              <w:t>Provide current student numbers by level and discipline</w:t>
            </w:r>
          </w:p>
          <w:p w:rsidRPr="000279EF" w:rsidR="00BE370C" w:rsidP="1FF004BE" w:rsidRDefault="00BE370C" w14:paraId="6A7E312B" w14:textId="33AF3AC2">
            <w:pPr>
              <w:rPr>
                <w:rFonts w:ascii="Arial" w:hAnsi="Arial" w:cs="Arial"/>
                <w:i/>
                <w:iCs/>
              </w:rPr>
            </w:pPr>
          </w:p>
        </w:tc>
        <w:tc>
          <w:tcPr>
            <w:tcW w:w="4508" w:type="dxa"/>
          </w:tcPr>
          <w:p w:rsidRPr="000279EF" w:rsidR="00BE370C" w:rsidP="004777B5" w:rsidRDefault="00BE370C" w14:paraId="06312042" w14:textId="77777777">
            <w:pPr>
              <w:rPr>
                <w:rFonts w:ascii="Arial" w:hAnsi="Arial" w:cs="Arial"/>
              </w:rPr>
            </w:pPr>
          </w:p>
        </w:tc>
      </w:tr>
      <w:tr w:rsidRPr="000279EF" w:rsidR="00BE370C" w:rsidTr="1FF004BE" w14:paraId="26857085" w14:textId="77777777">
        <w:trPr>
          <w:trHeight w:val="879"/>
        </w:trPr>
        <w:tc>
          <w:tcPr>
            <w:tcW w:w="4508" w:type="dxa"/>
          </w:tcPr>
          <w:p w:rsidRPr="000279EF" w:rsidR="00BE370C" w:rsidP="004777B5" w:rsidRDefault="00BE370C" w14:paraId="4C14E427" w14:textId="77777777">
            <w:pPr>
              <w:rPr>
                <w:rFonts w:ascii="Arial" w:hAnsi="Arial" w:cs="Arial"/>
              </w:rPr>
            </w:pPr>
            <w:r w:rsidRPr="000279EF">
              <w:rPr>
                <w:rFonts w:ascii="Arial" w:hAnsi="Arial" w:cs="Arial"/>
              </w:rPr>
              <w:t>2.3 Teaching and Assessment Model</w:t>
            </w:r>
          </w:p>
          <w:p w:rsidRPr="000279EF" w:rsidR="00BE370C" w:rsidP="1FF004BE" w:rsidRDefault="00BE370C" w14:paraId="47881A90" w14:textId="242714A2">
            <w:pPr>
              <w:rPr>
                <w:rFonts w:ascii="Arial" w:hAnsi="Arial" w:cs="Arial"/>
                <w:i/>
                <w:iCs/>
              </w:rPr>
            </w:pPr>
            <w:r w:rsidRPr="000279EF">
              <w:rPr>
                <w:rFonts w:ascii="Arial" w:hAnsi="Arial" w:cs="Arial"/>
                <w:i/>
                <w:iCs/>
              </w:rPr>
              <w:t xml:space="preserve">Describe </w:t>
            </w:r>
            <w:r w:rsidRPr="000279EF" w:rsidR="453C5BB5">
              <w:rPr>
                <w:rFonts w:ascii="Arial" w:hAnsi="Arial" w:cs="Arial"/>
                <w:i/>
                <w:iCs/>
              </w:rPr>
              <w:t xml:space="preserve">your </w:t>
            </w:r>
            <w:r w:rsidRPr="000279EF">
              <w:rPr>
                <w:rFonts w:ascii="Arial" w:hAnsi="Arial" w:cs="Arial"/>
                <w:i/>
                <w:iCs/>
              </w:rPr>
              <w:t>academic calendar, assessment</w:t>
            </w:r>
            <w:r w:rsidRPr="000279EF" w:rsidR="2BE47127">
              <w:rPr>
                <w:rFonts w:ascii="Arial" w:hAnsi="Arial" w:cs="Arial"/>
                <w:i/>
                <w:iCs/>
              </w:rPr>
              <w:t>s</w:t>
            </w:r>
            <w:r w:rsidRPr="000279EF">
              <w:rPr>
                <w:rFonts w:ascii="Arial" w:hAnsi="Arial" w:cs="Arial"/>
                <w:i/>
                <w:iCs/>
              </w:rPr>
              <w:t xml:space="preserve"> and </w:t>
            </w:r>
            <w:r w:rsidRPr="000279EF" w:rsidR="0D36A6A5">
              <w:rPr>
                <w:rFonts w:ascii="Arial" w:hAnsi="Arial" w:cs="Arial"/>
                <w:i/>
                <w:iCs/>
              </w:rPr>
              <w:t xml:space="preserve">current </w:t>
            </w:r>
            <w:r w:rsidRPr="000279EF">
              <w:rPr>
                <w:rFonts w:ascii="Arial" w:hAnsi="Arial" w:cs="Arial"/>
                <w:i/>
                <w:iCs/>
              </w:rPr>
              <w:t>language of instruction</w:t>
            </w:r>
          </w:p>
          <w:p w:rsidRPr="000279EF" w:rsidR="00BE370C" w:rsidP="1FF004BE" w:rsidRDefault="00BE370C" w14:paraId="58817AFE" w14:textId="6A4C5C89">
            <w:pPr>
              <w:rPr>
                <w:rFonts w:ascii="Arial" w:hAnsi="Arial" w:cs="Arial"/>
                <w:i/>
                <w:iCs/>
              </w:rPr>
            </w:pPr>
          </w:p>
        </w:tc>
        <w:tc>
          <w:tcPr>
            <w:tcW w:w="4508" w:type="dxa"/>
          </w:tcPr>
          <w:p w:rsidRPr="000279EF" w:rsidR="00BE370C" w:rsidP="004777B5" w:rsidRDefault="00BE370C" w14:paraId="7A583F68" w14:textId="77777777">
            <w:pPr>
              <w:rPr>
                <w:rFonts w:ascii="Arial" w:hAnsi="Arial" w:cs="Arial"/>
              </w:rPr>
            </w:pPr>
          </w:p>
        </w:tc>
      </w:tr>
      <w:tr w:rsidRPr="000279EF" w:rsidR="00BE370C" w:rsidTr="1FF004BE" w14:paraId="1E130825" w14:textId="77777777">
        <w:trPr>
          <w:trHeight w:val="879"/>
        </w:trPr>
        <w:tc>
          <w:tcPr>
            <w:tcW w:w="4508" w:type="dxa"/>
          </w:tcPr>
          <w:p w:rsidRPr="000279EF" w:rsidR="00BE370C" w:rsidP="004777B5" w:rsidRDefault="00BE370C" w14:paraId="683A5BFB" w14:textId="77777777">
            <w:pPr>
              <w:rPr>
                <w:rFonts w:ascii="Arial" w:hAnsi="Arial" w:cs="Arial"/>
              </w:rPr>
            </w:pPr>
            <w:r w:rsidRPr="000279EF">
              <w:rPr>
                <w:rFonts w:ascii="Arial" w:hAnsi="Arial" w:cs="Arial"/>
              </w:rPr>
              <w:t>2.4 Academic Mission and Values</w:t>
            </w:r>
          </w:p>
          <w:p w:rsidRPr="000279EF" w:rsidR="00BE370C" w:rsidP="004777B5" w:rsidRDefault="00BE370C" w14:paraId="34AD0719" w14:textId="6A9E009C">
            <w:pPr>
              <w:rPr>
                <w:rFonts w:ascii="Arial" w:hAnsi="Arial" w:cs="Arial"/>
              </w:rPr>
            </w:pPr>
            <w:r w:rsidRPr="000279EF">
              <w:rPr>
                <w:rFonts w:ascii="Arial" w:hAnsi="Arial" w:cs="Arial"/>
                <w:i/>
                <w:iCs/>
              </w:rPr>
              <w:t>Explain alignment with the University of Greenwich</w:t>
            </w:r>
          </w:p>
          <w:p w:rsidRPr="000279EF" w:rsidR="00BE370C" w:rsidP="1FF004BE" w:rsidRDefault="00BE370C" w14:paraId="21E798D5" w14:textId="13CF0733">
            <w:pPr>
              <w:rPr>
                <w:rFonts w:ascii="Arial" w:hAnsi="Arial" w:cs="Arial"/>
                <w:i/>
                <w:iCs/>
              </w:rPr>
            </w:pPr>
          </w:p>
        </w:tc>
        <w:tc>
          <w:tcPr>
            <w:tcW w:w="4508" w:type="dxa"/>
          </w:tcPr>
          <w:p w:rsidRPr="000279EF" w:rsidR="00BE370C" w:rsidP="004777B5" w:rsidRDefault="00BE370C" w14:paraId="4CDEE564" w14:textId="77777777">
            <w:pPr>
              <w:rPr>
                <w:rFonts w:ascii="Arial" w:hAnsi="Arial" w:cs="Arial"/>
              </w:rPr>
            </w:pPr>
          </w:p>
        </w:tc>
      </w:tr>
    </w:tbl>
    <w:p w:rsidR="000279EF" w:rsidRDefault="000279EF" w14:paraId="0A363606" w14:textId="77777777">
      <w:r>
        <w:br w:type="page"/>
      </w:r>
    </w:p>
    <w:tbl>
      <w:tblPr>
        <w:tblStyle w:val="TableGrid"/>
        <w:tblW w:w="0" w:type="auto"/>
        <w:tblLook w:val="04A0" w:firstRow="1" w:lastRow="0" w:firstColumn="1" w:lastColumn="0" w:noHBand="0" w:noVBand="1"/>
      </w:tblPr>
      <w:tblGrid>
        <w:gridCol w:w="4508"/>
        <w:gridCol w:w="4508"/>
      </w:tblGrid>
      <w:tr w:rsidRPr="000279EF" w:rsidR="00BE370C" w:rsidTr="1FF004BE" w14:paraId="48B84D37" w14:textId="77777777">
        <w:tc>
          <w:tcPr>
            <w:tcW w:w="9016" w:type="dxa"/>
            <w:gridSpan w:val="2"/>
            <w:shd w:val="clear" w:color="auto" w:fill="D9D9D9" w:themeFill="background1" w:themeFillShade="D9"/>
          </w:tcPr>
          <w:p w:rsidRPr="000279EF" w:rsidR="00BE370C" w:rsidP="004777B5" w:rsidRDefault="00BE370C" w14:paraId="5B2C2C9C" w14:textId="29D5CD6A">
            <w:pPr>
              <w:rPr>
                <w:rFonts w:ascii="Arial" w:hAnsi="Arial" w:cs="Arial"/>
                <w:b/>
                <w:bCs/>
              </w:rPr>
            </w:pPr>
            <w:r w:rsidRPr="000279EF">
              <w:rPr>
                <w:rFonts w:ascii="Arial" w:hAnsi="Arial" w:cs="Arial"/>
                <w:b/>
                <w:bCs/>
              </w:rPr>
              <w:lastRenderedPageBreak/>
              <w:t>Section 3: Market and Country Context</w:t>
            </w:r>
          </w:p>
        </w:tc>
      </w:tr>
      <w:tr w:rsidRPr="000279EF" w:rsidR="00BE370C" w:rsidTr="1FF004BE" w14:paraId="4EE66D74" w14:textId="77777777">
        <w:trPr>
          <w:trHeight w:val="879"/>
        </w:trPr>
        <w:tc>
          <w:tcPr>
            <w:tcW w:w="4508" w:type="dxa"/>
          </w:tcPr>
          <w:p w:rsidRPr="000279EF" w:rsidR="00BE370C" w:rsidP="004777B5" w:rsidRDefault="00BE370C" w14:paraId="61770A13" w14:textId="77777777">
            <w:pPr>
              <w:rPr>
                <w:rFonts w:ascii="Arial" w:hAnsi="Arial" w:cs="Arial"/>
              </w:rPr>
            </w:pPr>
            <w:r w:rsidRPr="000279EF">
              <w:rPr>
                <w:rFonts w:ascii="Arial" w:hAnsi="Arial" w:cs="Arial"/>
              </w:rPr>
              <w:t>3.1 Country and Economic Context</w:t>
            </w:r>
          </w:p>
          <w:p w:rsidRPr="000279EF" w:rsidR="00BE370C" w:rsidP="004777B5" w:rsidRDefault="00BE370C" w14:paraId="32796134" w14:textId="009F778B">
            <w:pPr>
              <w:rPr>
                <w:rFonts w:ascii="Arial" w:hAnsi="Arial" w:cs="Arial"/>
              </w:rPr>
            </w:pPr>
            <w:r w:rsidRPr="000279EF">
              <w:rPr>
                <w:rFonts w:ascii="Arial" w:hAnsi="Arial" w:cs="Arial"/>
                <w:i/>
                <w:iCs/>
              </w:rPr>
              <w:t>Provide population, economy, language, and political context</w:t>
            </w:r>
          </w:p>
          <w:p w:rsidRPr="000279EF" w:rsidR="00BE370C" w:rsidP="1FF004BE" w:rsidRDefault="00BE370C" w14:paraId="2ECA659A" w14:textId="77A87523">
            <w:pPr>
              <w:rPr>
                <w:rFonts w:ascii="Arial" w:hAnsi="Arial" w:cs="Arial"/>
                <w:i/>
                <w:iCs/>
              </w:rPr>
            </w:pPr>
          </w:p>
        </w:tc>
        <w:tc>
          <w:tcPr>
            <w:tcW w:w="4508" w:type="dxa"/>
          </w:tcPr>
          <w:p w:rsidRPr="000279EF" w:rsidR="00BE370C" w:rsidP="004777B5" w:rsidRDefault="00BE370C" w14:paraId="25A89199" w14:textId="77777777">
            <w:pPr>
              <w:rPr>
                <w:rFonts w:ascii="Arial" w:hAnsi="Arial" w:cs="Arial"/>
              </w:rPr>
            </w:pPr>
          </w:p>
        </w:tc>
      </w:tr>
      <w:tr w:rsidRPr="000279EF" w:rsidR="00BE370C" w:rsidTr="1FF004BE" w14:paraId="3E62918E" w14:textId="77777777">
        <w:trPr>
          <w:trHeight w:val="879"/>
        </w:trPr>
        <w:tc>
          <w:tcPr>
            <w:tcW w:w="4508" w:type="dxa"/>
          </w:tcPr>
          <w:p w:rsidRPr="000279EF" w:rsidR="00BE370C" w:rsidP="004777B5" w:rsidRDefault="00BE370C" w14:paraId="7901D0EE" w14:textId="77777777">
            <w:pPr>
              <w:rPr>
                <w:rFonts w:ascii="Arial" w:hAnsi="Arial" w:cs="Arial"/>
              </w:rPr>
            </w:pPr>
            <w:r w:rsidRPr="000279EF">
              <w:rPr>
                <w:rFonts w:ascii="Arial" w:hAnsi="Arial" w:cs="Arial"/>
              </w:rPr>
              <w:t>3.2 Education System Overview</w:t>
            </w:r>
          </w:p>
          <w:p w:rsidRPr="000279EF" w:rsidR="00BE370C" w:rsidP="004777B5" w:rsidRDefault="00BE370C" w14:paraId="39C59ED0" w14:textId="1FCF049E">
            <w:pPr>
              <w:rPr>
                <w:rFonts w:ascii="Arial" w:hAnsi="Arial" w:cs="Arial"/>
              </w:rPr>
            </w:pPr>
            <w:r w:rsidRPr="000279EF">
              <w:rPr>
                <w:rFonts w:ascii="Arial" w:hAnsi="Arial" w:cs="Arial"/>
                <w:i/>
                <w:iCs/>
              </w:rPr>
              <w:t>Describe the national education system and degree length</w:t>
            </w:r>
          </w:p>
          <w:p w:rsidRPr="000279EF" w:rsidR="00BE370C" w:rsidP="1FF004BE" w:rsidRDefault="00BE370C" w14:paraId="55B939D7" w14:textId="690D4325">
            <w:pPr>
              <w:rPr>
                <w:rFonts w:ascii="Arial" w:hAnsi="Arial" w:cs="Arial"/>
                <w:i/>
                <w:iCs/>
              </w:rPr>
            </w:pPr>
          </w:p>
        </w:tc>
        <w:tc>
          <w:tcPr>
            <w:tcW w:w="4508" w:type="dxa"/>
          </w:tcPr>
          <w:p w:rsidRPr="000279EF" w:rsidR="00BE370C" w:rsidP="004777B5" w:rsidRDefault="00BE370C" w14:paraId="3DECBEDA" w14:textId="77777777">
            <w:pPr>
              <w:rPr>
                <w:rFonts w:ascii="Arial" w:hAnsi="Arial" w:cs="Arial"/>
              </w:rPr>
            </w:pPr>
          </w:p>
        </w:tc>
      </w:tr>
      <w:tr w:rsidRPr="000279EF" w:rsidR="00BE370C" w:rsidTr="1FF004BE" w14:paraId="3301A139" w14:textId="77777777">
        <w:trPr>
          <w:trHeight w:val="879"/>
        </w:trPr>
        <w:tc>
          <w:tcPr>
            <w:tcW w:w="4508" w:type="dxa"/>
          </w:tcPr>
          <w:p w:rsidRPr="000279EF" w:rsidR="00BE370C" w:rsidP="004777B5" w:rsidRDefault="00BE370C" w14:paraId="6676BEB0" w14:textId="77777777">
            <w:pPr>
              <w:rPr>
                <w:rFonts w:ascii="Arial" w:hAnsi="Arial" w:cs="Arial"/>
              </w:rPr>
            </w:pPr>
            <w:r w:rsidRPr="000279EF">
              <w:rPr>
                <w:rFonts w:ascii="Arial" w:hAnsi="Arial" w:cs="Arial"/>
              </w:rPr>
              <w:t>3.3 Market Demand and Subject Areas</w:t>
            </w:r>
          </w:p>
          <w:p w:rsidRPr="000279EF" w:rsidR="00BE370C" w:rsidP="004777B5" w:rsidRDefault="00BE370C" w14:paraId="7709D0D1" w14:textId="1F256DA4">
            <w:pPr>
              <w:rPr>
                <w:rFonts w:ascii="Arial" w:hAnsi="Arial" w:cs="Arial"/>
              </w:rPr>
            </w:pPr>
            <w:r w:rsidRPr="000279EF">
              <w:rPr>
                <w:rFonts w:ascii="Arial" w:hAnsi="Arial" w:cs="Arial"/>
                <w:i/>
                <w:iCs/>
              </w:rPr>
              <w:t>Identify high-demand subjects and delivery preferences</w:t>
            </w:r>
            <w:r w:rsidRPr="000279EF" w:rsidR="4FF5B718">
              <w:rPr>
                <w:rFonts w:ascii="Arial" w:hAnsi="Arial" w:cs="Arial"/>
                <w:i/>
                <w:iCs/>
              </w:rPr>
              <w:t xml:space="preserve"> (full time on campus or blended)</w:t>
            </w:r>
          </w:p>
          <w:p w:rsidRPr="000279EF" w:rsidR="00BE370C" w:rsidP="1FF004BE" w:rsidRDefault="00BE370C" w14:paraId="747E586D" w14:textId="0B40D967">
            <w:pPr>
              <w:rPr>
                <w:rFonts w:ascii="Arial" w:hAnsi="Arial" w:cs="Arial"/>
                <w:i/>
                <w:iCs/>
              </w:rPr>
            </w:pPr>
          </w:p>
        </w:tc>
        <w:tc>
          <w:tcPr>
            <w:tcW w:w="4508" w:type="dxa"/>
          </w:tcPr>
          <w:p w:rsidRPr="000279EF" w:rsidR="00BE370C" w:rsidP="004777B5" w:rsidRDefault="00BE370C" w14:paraId="2E133C6B" w14:textId="77777777">
            <w:pPr>
              <w:rPr>
                <w:rFonts w:ascii="Arial" w:hAnsi="Arial" w:cs="Arial"/>
              </w:rPr>
            </w:pPr>
          </w:p>
        </w:tc>
      </w:tr>
      <w:tr w:rsidRPr="000279EF" w:rsidR="00BE370C" w:rsidTr="1FF004BE" w14:paraId="0AA7BCDE" w14:textId="77777777">
        <w:trPr>
          <w:trHeight w:val="879"/>
        </w:trPr>
        <w:tc>
          <w:tcPr>
            <w:tcW w:w="4508" w:type="dxa"/>
          </w:tcPr>
          <w:p w:rsidRPr="000279EF" w:rsidR="00BE370C" w:rsidP="004777B5" w:rsidRDefault="00BE370C" w14:paraId="6092E511" w14:textId="77777777">
            <w:pPr>
              <w:rPr>
                <w:rFonts w:ascii="Arial" w:hAnsi="Arial" w:cs="Arial"/>
              </w:rPr>
            </w:pPr>
            <w:r w:rsidRPr="000279EF">
              <w:rPr>
                <w:rFonts w:ascii="Arial" w:hAnsi="Arial" w:cs="Arial"/>
              </w:rPr>
              <w:t>3.4 Industry and Employer Alignment</w:t>
            </w:r>
          </w:p>
          <w:p w:rsidRPr="000279EF" w:rsidR="00BE370C" w:rsidP="004777B5" w:rsidRDefault="00BE370C" w14:paraId="342DF5E8" w14:textId="30A470CA">
            <w:pPr>
              <w:rPr>
                <w:rFonts w:ascii="Arial" w:hAnsi="Arial" w:cs="Arial"/>
              </w:rPr>
            </w:pPr>
            <w:r w:rsidRPr="000279EF">
              <w:rPr>
                <w:rFonts w:ascii="Arial" w:hAnsi="Arial" w:cs="Arial"/>
                <w:i/>
                <w:iCs/>
              </w:rPr>
              <w:t xml:space="preserve">Summarise key industries and employer </w:t>
            </w:r>
            <w:r w:rsidRPr="000279EF" w:rsidR="553BF50C">
              <w:rPr>
                <w:rFonts w:ascii="Arial" w:hAnsi="Arial" w:cs="Arial"/>
                <w:i/>
                <w:iCs/>
              </w:rPr>
              <w:t>collaborations</w:t>
            </w:r>
          </w:p>
          <w:p w:rsidRPr="000279EF" w:rsidR="00BE370C" w:rsidP="1FF004BE" w:rsidRDefault="00BE370C" w14:paraId="7E6AA373" w14:textId="469D06B1">
            <w:pPr>
              <w:rPr>
                <w:rFonts w:ascii="Arial" w:hAnsi="Arial" w:cs="Arial"/>
                <w:i/>
                <w:iCs/>
              </w:rPr>
            </w:pPr>
          </w:p>
        </w:tc>
        <w:tc>
          <w:tcPr>
            <w:tcW w:w="4508" w:type="dxa"/>
          </w:tcPr>
          <w:p w:rsidRPr="000279EF" w:rsidR="00BE370C" w:rsidP="004777B5" w:rsidRDefault="00BE370C" w14:paraId="5C0D70A8" w14:textId="77777777">
            <w:pPr>
              <w:rPr>
                <w:rFonts w:ascii="Arial" w:hAnsi="Arial" w:cs="Arial"/>
              </w:rPr>
            </w:pPr>
          </w:p>
        </w:tc>
      </w:tr>
      <w:tr w:rsidRPr="000279EF" w:rsidR="00BE370C" w:rsidTr="1FF004BE" w14:paraId="46E7DC37" w14:textId="77777777">
        <w:tc>
          <w:tcPr>
            <w:tcW w:w="9016" w:type="dxa"/>
            <w:gridSpan w:val="2"/>
            <w:shd w:val="clear" w:color="auto" w:fill="D9D9D9" w:themeFill="background1" w:themeFillShade="D9"/>
          </w:tcPr>
          <w:p w:rsidRPr="000279EF" w:rsidR="00BE370C" w:rsidP="004777B5" w:rsidRDefault="00BE370C" w14:paraId="60055056" w14:textId="77777777">
            <w:pPr>
              <w:rPr>
                <w:rFonts w:ascii="Arial" w:hAnsi="Arial" w:cs="Arial"/>
                <w:b/>
                <w:bCs/>
              </w:rPr>
            </w:pPr>
            <w:r w:rsidRPr="000279EF">
              <w:rPr>
                <w:rFonts w:ascii="Arial" w:hAnsi="Arial" w:cs="Arial"/>
                <w:b/>
                <w:bCs/>
              </w:rPr>
              <w:t>Section 4: Regulatory and Quality Environment</w:t>
            </w:r>
          </w:p>
        </w:tc>
      </w:tr>
      <w:tr w:rsidRPr="000279EF" w:rsidR="00BE370C" w:rsidTr="1FF004BE" w14:paraId="27202062" w14:textId="77777777">
        <w:trPr>
          <w:trHeight w:val="879"/>
        </w:trPr>
        <w:tc>
          <w:tcPr>
            <w:tcW w:w="4508" w:type="dxa"/>
          </w:tcPr>
          <w:p w:rsidRPr="000279EF" w:rsidR="00BE370C" w:rsidP="004777B5" w:rsidRDefault="00BE370C" w14:paraId="47F8162D" w14:textId="77777777">
            <w:pPr>
              <w:rPr>
                <w:rFonts w:ascii="Arial" w:hAnsi="Arial" w:cs="Arial"/>
              </w:rPr>
            </w:pPr>
            <w:r w:rsidRPr="000279EF">
              <w:rPr>
                <w:rFonts w:ascii="Arial" w:hAnsi="Arial" w:cs="Arial"/>
              </w:rPr>
              <w:t>4.1 Regulatory Framework</w:t>
            </w:r>
          </w:p>
          <w:p w:rsidRPr="000279EF" w:rsidR="00BE370C" w:rsidP="004777B5" w:rsidRDefault="00BE370C" w14:paraId="64D80239" w14:textId="35717251">
            <w:pPr>
              <w:rPr>
                <w:rFonts w:ascii="Arial" w:hAnsi="Arial" w:cs="Arial"/>
              </w:rPr>
            </w:pPr>
            <w:r w:rsidRPr="000279EF">
              <w:rPr>
                <w:rFonts w:ascii="Arial" w:hAnsi="Arial" w:cs="Arial"/>
                <w:i/>
                <w:iCs/>
              </w:rPr>
              <w:t>Identify regulators and approval requirements</w:t>
            </w:r>
          </w:p>
          <w:p w:rsidRPr="000279EF" w:rsidR="00BE370C" w:rsidP="1FF004BE" w:rsidRDefault="00BE370C" w14:paraId="1377A147" w14:textId="7939A5CC">
            <w:pPr>
              <w:rPr>
                <w:rFonts w:ascii="Arial" w:hAnsi="Arial" w:cs="Arial"/>
                <w:i/>
                <w:iCs/>
              </w:rPr>
            </w:pPr>
          </w:p>
        </w:tc>
        <w:tc>
          <w:tcPr>
            <w:tcW w:w="4508" w:type="dxa"/>
          </w:tcPr>
          <w:p w:rsidRPr="000279EF" w:rsidR="00BE370C" w:rsidP="004777B5" w:rsidRDefault="00BE370C" w14:paraId="6F72EDF7" w14:textId="77777777">
            <w:pPr>
              <w:rPr>
                <w:rFonts w:ascii="Arial" w:hAnsi="Arial" w:cs="Arial"/>
              </w:rPr>
            </w:pPr>
          </w:p>
        </w:tc>
      </w:tr>
      <w:tr w:rsidRPr="000279EF" w:rsidR="00BE370C" w:rsidTr="1FF004BE" w14:paraId="2EC319FF" w14:textId="77777777">
        <w:trPr>
          <w:trHeight w:val="879"/>
        </w:trPr>
        <w:tc>
          <w:tcPr>
            <w:tcW w:w="4508" w:type="dxa"/>
          </w:tcPr>
          <w:p w:rsidRPr="000279EF" w:rsidR="00BE370C" w:rsidP="004777B5" w:rsidRDefault="00BE370C" w14:paraId="168708A0" w14:textId="77777777">
            <w:pPr>
              <w:rPr>
                <w:rFonts w:ascii="Arial" w:hAnsi="Arial" w:cs="Arial"/>
              </w:rPr>
            </w:pPr>
            <w:r w:rsidRPr="000279EF">
              <w:rPr>
                <w:rFonts w:ascii="Arial" w:hAnsi="Arial" w:cs="Arial"/>
              </w:rPr>
              <w:t>4.2 Recognition of UK Qualifications</w:t>
            </w:r>
          </w:p>
          <w:p w:rsidRPr="000279EF" w:rsidR="00BE370C" w:rsidP="004777B5" w:rsidRDefault="00BE370C" w14:paraId="7C0C5DAC" w14:textId="4428B490">
            <w:pPr>
              <w:rPr>
                <w:rFonts w:ascii="Arial" w:hAnsi="Arial" w:cs="Arial"/>
              </w:rPr>
            </w:pPr>
            <w:r w:rsidRPr="000279EF">
              <w:rPr>
                <w:rFonts w:ascii="Arial" w:hAnsi="Arial" w:cs="Arial"/>
                <w:i/>
                <w:iCs/>
              </w:rPr>
              <w:t>Confirm recognition of UK TNE programmes</w:t>
            </w:r>
          </w:p>
          <w:p w:rsidRPr="000279EF" w:rsidR="00BE370C" w:rsidP="1FF004BE" w:rsidRDefault="00BE370C" w14:paraId="55629E5E" w14:textId="701B6801">
            <w:pPr>
              <w:rPr>
                <w:rFonts w:ascii="Arial" w:hAnsi="Arial" w:cs="Arial"/>
                <w:i/>
                <w:iCs/>
              </w:rPr>
            </w:pPr>
          </w:p>
        </w:tc>
        <w:tc>
          <w:tcPr>
            <w:tcW w:w="4508" w:type="dxa"/>
          </w:tcPr>
          <w:p w:rsidRPr="000279EF" w:rsidR="00BE370C" w:rsidP="004777B5" w:rsidRDefault="00BE370C" w14:paraId="4362577C" w14:textId="77777777">
            <w:pPr>
              <w:rPr>
                <w:rFonts w:ascii="Arial" w:hAnsi="Arial" w:cs="Arial"/>
              </w:rPr>
            </w:pPr>
          </w:p>
        </w:tc>
      </w:tr>
      <w:tr w:rsidRPr="000279EF" w:rsidR="00BE370C" w:rsidTr="1FF004BE" w14:paraId="77C3D598" w14:textId="77777777">
        <w:tc>
          <w:tcPr>
            <w:tcW w:w="9016" w:type="dxa"/>
            <w:gridSpan w:val="2"/>
            <w:shd w:val="clear" w:color="auto" w:fill="D9D9D9" w:themeFill="background1" w:themeFillShade="D9"/>
          </w:tcPr>
          <w:p w:rsidRPr="000279EF" w:rsidR="00BE370C" w:rsidP="004777B5" w:rsidRDefault="00BE370C" w14:paraId="0DC91F56" w14:textId="77777777">
            <w:pPr>
              <w:rPr>
                <w:rFonts w:ascii="Arial" w:hAnsi="Arial" w:cs="Arial"/>
                <w:b/>
                <w:bCs/>
              </w:rPr>
            </w:pPr>
            <w:r w:rsidRPr="000279EF">
              <w:rPr>
                <w:rFonts w:ascii="Arial" w:hAnsi="Arial" w:cs="Arial"/>
                <w:b/>
                <w:bCs/>
              </w:rPr>
              <w:t>Section 5: Partnership Scope and Programme Intent</w:t>
            </w:r>
          </w:p>
        </w:tc>
      </w:tr>
      <w:tr w:rsidRPr="000279EF" w:rsidR="00BE370C" w:rsidTr="1FF004BE" w14:paraId="088A3A84" w14:textId="77777777">
        <w:trPr>
          <w:trHeight w:val="879"/>
        </w:trPr>
        <w:tc>
          <w:tcPr>
            <w:tcW w:w="4508" w:type="dxa"/>
          </w:tcPr>
          <w:p w:rsidRPr="000279EF" w:rsidR="00BE370C" w:rsidP="004777B5" w:rsidRDefault="00BE370C" w14:paraId="2EE620A1" w14:textId="77777777">
            <w:pPr>
              <w:rPr>
                <w:rFonts w:ascii="Arial" w:hAnsi="Arial" w:cs="Arial"/>
              </w:rPr>
            </w:pPr>
            <w:r w:rsidRPr="000279EF">
              <w:rPr>
                <w:rFonts w:ascii="Arial" w:hAnsi="Arial" w:cs="Arial"/>
              </w:rPr>
              <w:t>5.1 Proposed Programmes</w:t>
            </w:r>
          </w:p>
          <w:p w:rsidRPr="000279EF" w:rsidR="00BE370C" w:rsidP="004777B5" w:rsidRDefault="00BE370C" w14:paraId="6D17B23D" w14:textId="32DDC6B2">
            <w:pPr>
              <w:rPr>
                <w:rFonts w:ascii="Arial" w:hAnsi="Arial" w:cs="Arial"/>
              </w:rPr>
            </w:pPr>
            <w:r w:rsidRPr="000279EF">
              <w:rPr>
                <w:rFonts w:ascii="Arial" w:hAnsi="Arial" w:cs="Arial"/>
                <w:i/>
                <w:iCs/>
              </w:rPr>
              <w:t>List University of Greenwich programmes of interest</w:t>
            </w:r>
            <w:r w:rsidRPr="000279EF" w:rsidR="45F99F9C">
              <w:rPr>
                <w:rFonts w:ascii="Arial" w:hAnsi="Arial" w:cs="Arial"/>
                <w:i/>
                <w:iCs/>
              </w:rPr>
              <w:t xml:space="preserve"> (and what Levels you wish to support i.e</w:t>
            </w:r>
            <w:r w:rsidRPr="000279EF" w:rsidR="1C39BDE8">
              <w:rPr>
                <w:rFonts w:ascii="Arial" w:hAnsi="Arial" w:cs="Arial"/>
                <w:i/>
                <w:iCs/>
              </w:rPr>
              <w:t>.</w:t>
            </w:r>
            <w:r w:rsidRPr="000279EF" w:rsidR="45F99F9C">
              <w:rPr>
                <w:rFonts w:ascii="Arial" w:hAnsi="Arial" w:cs="Arial"/>
                <w:i/>
                <w:iCs/>
              </w:rPr>
              <w:t xml:space="preserve"> Level 4, 5, 6 and 7)</w:t>
            </w:r>
          </w:p>
          <w:p w:rsidRPr="000279EF" w:rsidR="00BE370C" w:rsidP="1FF004BE" w:rsidRDefault="00BE370C" w14:paraId="4D7E966E" w14:textId="739CA5E7">
            <w:pPr>
              <w:rPr>
                <w:rFonts w:ascii="Arial" w:hAnsi="Arial" w:cs="Arial"/>
                <w:i/>
                <w:iCs/>
              </w:rPr>
            </w:pPr>
          </w:p>
        </w:tc>
        <w:tc>
          <w:tcPr>
            <w:tcW w:w="4508" w:type="dxa"/>
          </w:tcPr>
          <w:p w:rsidRPr="000279EF" w:rsidR="00BE370C" w:rsidP="004777B5" w:rsidRDefault="00BE370C" w14:paraId="0C5DE0EA" w14:textId="77777777">
            <w:pPr>
              <w:rPr>
                <w:rFonts w:ascii="Arial" w:hAnsi="Arial" w:cs="Arial"/>
              </w:rPr>
            </w:pPr>
          </w:p>
        </w:tc>
      </w:tr>
      <w:tr w:rsidRPr="000279EF" w:rsidR="00BE370C" w:rsidTr="1FF004BE" w14:paraId="3801526B" w14:textId="77777777">
        <w:trPr>
          <w:trHeight w:val="596"/>
        </w:trPr>
        <w:tc>
          <w:tcPr>
            <w:tcW w:w="4508" w:type="dxa"/>
          </w:tcPr>
          <w:p w:rsidRPr="000279EF" w:rsidR="00BE370C" w:rsidP="004777B5" w:rsidRDefault="00BE370C" w14:paraId="39F394B3" w14:textId="77777777">
            <w:pPr>
              <w:rPr>
                <w:rFonts w:ascii="Arial" w:hAnsi="Arial" w:cs="Arial"/>
              </w:rPr>
            </w:pPr>
            <w:r w:rsidRPr="000279EF">
              <w:rPr>
                <w:rFonts w:ascii="Arial" w:hAnsi="Arial" w:cs="Arial"/>
              </w:rPr>
              <w:t>5.2 Delivery and Award Structure</w:t>
            </w:r>
          </w:p>
          <w:p w:rsidRPr="000279EF" w:rsidR="00BE370C" w:rsidP="004777B5" w:rsidRDefault="00F12F5F" w14:paraId="0867BDB0" w14:textId="627C808B">
            <w:pPr>
              <w:rPr>
                <w:rFonts w:ascii="Arial" w:hAnsi="Arial" w:cs="Arial"/>
              </w:rPr>
            </w:pPr>
            <w:r w:rsidRPr="000279EF">
              <w:rPr>
                <w:rFonts w:ascii="Arial" w:hAnsi="Arial" w:cs="Arial"/>
                <w:i/>
                <w:iCs/>
              </w:rPr>
              <w:t>Confirm whether programmes will be delivered as franchise, validation, dual award, joint award, progression, articulation, or other models</w:t>
            </w:r>
            <w:r w:rsidRPr="000279EF" w:rsidR="01FDB922">
              <w:rPr>
                <w:rFonts w:ascii="Arial" w:hAnsi="Arial" w:cs="Arial"/>
                <w:i/>
                <w:iCs/>
              </w:rPr>
              <w:t xml:space="preserve"> around global mobility such as summer schools and study abroad </w:t>
            </w:r>
          </w:p>
          <w:p w:rsidRPr="000279EF" w:rsidR="00BE370C" w:rsidP="1FF004BE" w:rsidRDefault="00BE370C" w14:paraId="509C5A16" w14:textId="4734B5BE">
            <w:pPr>
              <w:rPr>
                <w:rFonts w:ascii="Arial" w:hAnsi="Arial" w:cs="Arial"/>
                <w:i/>
                <w:iCs/>
              </w:rPr>
            </w:pPr>
          </w:p>
        </w:tc>
        <w:tc>
          <w:tcPr>
            <w:tcW w:w="4508" w:type="dxa"/>
          </w:tcPr>
          <w:p w:rsidRPr="000279EF" w:rsidR="00BE370C" w:rsidP="004777B5" w:rsidRDefault="00BE370C" w14:paraId="1938EDA3" w14:textId="77777777">
            <w:pPr>
              <w:rPr>
                <w:rFonts w:ascii="Arial" w:hAnsi="Arial" w:cs="Arial"/>
              </w:rPr>
            </w:pPr>
          </w:p>
        </w:tc>
      </w:tr>
      <w:tr w:rsidRPr="000279EF" w:rsidR="00BE370C" w:rsidTr="1FF004BE" w14:paraId="7C8806F7" w14:textId="77777777">
        <w:tc>
          <w:tcPr>
            <w:tcW w:w="4508" w:type="dxa"/>
          </w:tcPr>
          <w:p w:rsidRPr="000279EF" w:rsidR="00BE370C" w:rsidP="004777B5" w:rsidRDefault="00BE370C" w14:paraId="73BFAB8C" w14:textId="59A9350C">
            <w:pPr>
              <w:rPr>
                <w:rFonts w:ascii="Arial" w:hAnsi="Arial" w:cs="Arial"/>
              </w:rPr>
            </w:pPr>
            <w:r w:rsidRPr="000279EF">
              <w:rPr>
                <w:rFonts w:ascii="Arial" w:hAnsi="Arial" w:cs="Arial"/>
              </w:rPr>
              <w:t>5.3 Credit Articulation / Parallel Degrees</w:t>
            </w:r>
            <w:r w:rsidRPr="000279EF" w:rsidR="0622D4E9">
              <w:rPr>
                <w:rFonts w:ascii="Arial" w:hAnsi="Arial" w:cs="Arial"/>
              </w:rPr>
              <w:t xml:space="preserve"> </w:t>
            </w:r>
          </w:p>
          <w:p w:rsidRPr="000279EF" w:rsidR="00F12F5F" w:rsidP="004777B5" w:rsidRDefault="00F12F5F" w14:paraId="7FBF95F2" w14:textId="49C30649">
            <w:pPr>
              <w:rPr>
                <w:rFonts w:ascii="Arial" w:hAnsi="Arial" w:cs="Arial"/>
              </w:rPr>
            </w:pPr>
            <w:r w:rsidRPr="000279EF">
              <w:rPr>
                <w:rFonts w:ascii="Arial" w:hAnsi="Arial" w:cs="Arial"/>
                <w:i/>
                <w:iCs/>
              </w:rPr>
              <w:t>If applicable, describe any proposed articulation routes or parallel degree arrangements and institutional readiness to support them</w:t>
            </w:r>
          </w:p>
          <w:p w:rsidRPr="000279EF" w:rsidR="00F12F5F" w:rsidP="1FF004BE" w:rsidRDefault="00F12F5F" w14:paraId="25C3A24C" w14:textId="12F04AC0">
            <w:pPr>
              <w:rPr>
                <w:rFonts w:ascii="Arial" w:hAnsi="Arial" w:cs="Arial"/>
                <w:i/>
                <w:iCs/>
              </w:rPr>
            </w:pPr>
          </w:p>
        </w:tc>
        <w:tc>
          <w:tcPr>
            <w:tcW w:w="4508" w:type="dxa"/>
          </w:tcPr>
          <w:p w:rsidRPr="000279EF" w:rsidR="00BE370C" w:rsidP="004777B5" w:rsidRDefault="00BE370C" w14:paraId="5D3605C4" w14:textId="77777777">
            <w:pPr>
              <w:rPr>
                <w:rFonts w:ascii="Arial" w:hAnsi="Arial" w:cs="Arial"/>
              </w:rPr>
            </w:pPr>
          </w:p>
        </w:tc>
      </w:tr>
      <w:tr w:rsidRPr="000279EF" w:rsidR="00BE370C" w:rsidTr="1FF004BE" w14:paraId="34D2DA71" w14:textId="77777777">
        <w:tc>
          <w:tcPr>
            <w:tcW w:w="4508" w:type="dxa"/>
          </w:tcPr>
          <w:p w:rsidRPr="000279EF" w:rsidR="00BE370C" w:rsidP="004777B5" w:rsidRDefault="00BE370C" w14:paraId="09803EF9" w14:textId="77777777">
            <w:pPr>
              <w:rPr>
                <w:rFonts w:ascii="Arial" w:hAnsi="Arial" w:cs="Arial"/>
              </w:rPr>
            </w:pPr>
            <w:r w:rsidRPr="000279EF">
              <w:rPr>
                <w:rFonts w:ascii="Arial" w:hAnsi="Arial" w:cs="Arial"/>
              </w:rPr>
              <w:t>5.4 Intended Start Date</w:t>
            </w:r>
          </w:p>
          <w:p w:rsidRPr="000279EF" w:rsidR="00BE370C" w:rsidP="004777B5" w:rsidRDefault="00BE370C" w14:paraId="6D3F6C1D" w14:textId="10E582B3">
            <w:pPr>
              <w:rPr>
                <w:rFonts w:ascii="Arial" w:hAnsi="Arial" w:cs="Arial"/>
              </w:rPr>
            </w:pPr>
            <w:r w:rsidRPr="000279EF">
              <w:rPr>
                <w:rFonts w:ascii="Arial" w:hAnsi="Arial" w:cs="Arial"/>
                <w:i/>
                <w:iCs/>
              </w:rPr>
              <w:t>State proposed start year and intake</w:t>
            </w:r>
          </w:p>
          <w:p w:rsidRPr="000279EF" w:rsidR="00BE370C" w:rsidP="1FF004BE" w:rsidRDefault="00BE370C" w14:paraId="17FC9912" w14:textId="245CF8A2">
            <w:pPr>
              <w:rPr>
                <w:rFonts w:ascii="Arial" w:hAnsi="Arial" w:cs="Arial"/>
                <w:i/>
                <w:iCs/>
              </w:rPr>
            </w:pPr>
          </w:p>
        </w:tc>
        <w:tc>
          <w:tcPr>
            <w:tcW w:w="4508" w:type="dxa"/>
          </w:tcPr>
          <w:p w:rsidRPr="000279EF" w:rsidR="00BE370C" w:rsidP="004777B5" w:rsidRDefault="00BE370C" w14:paraId="50890D5F" w14:textId="77777777">
            <w:pPr>
              <w:rPr>
                <w:rFonts w:ascii="Arial" w:hAnsi="Arial" w:cs="Arial"/>
              </w:rPr>
            </w:pPr>
          </w:p>
        </w:tc>
      </w:tr>
      <w:tr w:rsidRPr="000279EF" w:rsidR="00BE370C" w:rsidTr="1FF004BE" w14:paraId="294A045C" w14:textId="77777777">
        <w:tc>
          <w:tcPr>
            <w:tcW w:w="9016" w:type="dxa"/>
            <w:gridSpan w:val="2"/>
            <w:shd w:val="clear" w:color="auto" w:fill="D9D9D9" w:themeFill="background1" w:themeFillShade="D9"/>
          </w:tcPr>
          <w:p w:rsidRPr="000279EF" w:rsidR="00BE370C" w:rsidP="004777B5" w:rsidRDefault="00BE370C" w14:paraId="1812EE3B" w14:textId="77777777">
            <w:pPr>
              <w:rPr>
                <w:rFonts w:ascii="Arial" w:hAnsi="Arial" w:cs="Arial"/>
                <w:b/>
                <w:bCs/>
              </w:rPr>
            </w:pPr>
            <w:r w:rsidRPr="000279EF">
              <w:rPr>
                <w:rFonts w:ascii="Arial" w:hAnsi="Arial" w:cs="Arial"/>
                <w:b/>
                <w:bCs/>
              </w:rPr>
              <w:lastRenderedPageBreak/>
              <w:t>Section 6: Assessment and Academic Infrastructure</w:t>
            </w:r>
          </w:p>
        </w:tc>
      </w:tr>
      <w:tr w:rsidRPr="000279EF" w:rsidR="00BE370C" w:rsidTr="1FF004BE" w14:paraId="36A37F0C" w14:textId="77777777">
        <w:trPr>
          <w:trHeight w:val="879"/>
        </w:trPr>
        <w:tc>
          <w:tcPr>
            <w:tcW w:w="4508" w:type="dxa"/>
          </w:tcPr>
          <w:p w:rsidRPr="000279EF" w:rsidR="00BE370C" w:rsidP="004777B5" w:rsidRDefault="00BE370C" w14:paraId="1795F65F" w14:textId="77777777">
            <w:pPr>
              <w:rPr>
                <w:rFonts w:ascii="Arial" w:hAnsi="Arial" w:cs="Arial"/>
              </w:rPr>
            </w:pPr>
            <w:r w:rsidRPr="000279EF">
              <w:rPr>
                <w:rFonts w:ascii="Arial" w:hAnsi="Arial" w:cs="Arial"/>
              </w:rPr>
              <w:t>6.1 Assessment Centres</w:t>
            </w:r>
          </w:p>
          <w:p w:rsidRPr="000279EF" w:rsidR="00BE370C" w:rsidP="1FF004BE" w:rsidRDefault="00BE370C" w14:paraId="491799C6" w14:textId="7D320D0A">
            <w:pPr>
              <w:rPr>
                <w:rFonts w:ascii="Arial" w:hAnsi="Arial" w:cs="Arial"/>
                <w:i/>
                <w:iCs/>
              </w:rPr>
            </w:pPr>
            <w:r w:rsidRPr="000279EF">
              <w:rPr>
                <w:rFonts w:ascii="Arial" w:hAnsi="Arial" w:cs="Arial"/>
                <w:i/>
                <w:iCs/>
              </w:rPr>
              <w:t xml:space="preserve">Identify </w:t>
            </w:r>
            <w:r w:rsidRPr="000279EF" w:rsidR="4A467F2C">
              <w:rPr>
                <w:rFonts w:ascii="Arial" w:hAnsi="Arial" w:cs="Arial"/>
                <w:i/>
                <w:iCs/>
              </w:rPr>
              <w:t xml:space="preserve">where students will take exams within the institution and its capacity </w:t>
            </w:r>
          </w:p>
          <w:p w:rsidRPr="000279EF" w:rsidR="00BE370C" w:rsidP="1FF004BE" w:rsidRDefault="00BE370C" w14:paraId="6F194FC8" w14:textId="052FB8BE">
            <w:pPr>
              <w:rPr>
                <w:rFonts w:ascii="Arial" w:hAnsi="Arial" w:cs="Arial"/>
                <w:i/>
                <w:iCs/>
              </w:rPr>
            </w:pPr>
          </w:p>
        </w:tc>
        <w:tc>
          <w:tcPr>
            <w:tcW w:w="4508" w:type="dxa"/>
          </w:tcPr>
          <w:p w:rsidRPr="000279EF" w:rsidR="00BE370C" w:rsidP="004777B5" w:rsidRDefault="00BE370C" w14:paraId="3916B17B" w14:textId="77777777">
            <w:pPr>
              <w:rPr>
                <w:rFonts w:ascii="Arial" w:hAnsi="Arial" w:cs="Arial"/>
              </w:rPr>
            </w:pPr>
          </w:p>
        </w:tc>
      </w:tr>
      <w:tr w:rsidRPr="000279EF" w:rsidR="00BE370C" w:rsidTr="1FF004BE" w14:paraId="4C4DE866" w14:textId="77777777">
        <w:trPr>
          <w:trHeight w:val="596"/>
        </w:trPr>
        <w:tc>
          <w:tcPr>
            <w:tcW w:w="4508" w:type="dxa"/>
          </w:tcPr>
          <w:p w:rsidRPr="000279EF" w:rsidR="00BE370C" w:rsidP="004777B5" w:rsidRDefault="00BE370C" w14:paraId="394DAE26" w14:textId="77777777">
            <w:pPr>
              <w:rPr>
                <w:rFonts w:ascii="Arial" w:hAnsi="Arial" w:cs="Arial"/>
              </w:rPr>
            </w:pPr>
            <w:r w:rsidRPr="000279EF">
              <w:rPr>
                <w:rFonts w:ascii="Arial" w:hAnsi="Arial" w:cs="Arial"/>
              </w:rPr>
              <w:t>6.2 Academic Governance Readiness</w:t>
            </w:r>
          </w:p>
          <w:p w:rsidRPr="000279EF" w:rsidR="00BE370C" w:rsidP="004777B5" w:rsidRDefault="00BE370C" w14:paraId="5316F152" w14:textId="73DC69A8">
            <w:pPr>
              <w:rPr>
                <w:rFonts w:ascii="Arial" w:hAnsi="Arial" w:cs="Arial"/>
              </w:rPr>
            </w:pPr>
            <w:r w:rsidRPr="000279EF">
              <w:rPr>
                <w:rFonts w:ascii="Arial" w:hAnsi="Arial" w:cs="Arial"/>
                <w:i/>
                <w:iCs/>
              </w:rPr>
              <w:t>Confirm leadership and faculty support</w:t>
            </w:r>
          </w:p>
          <w:p w:rsidRPr="000279EF" w:rsidR="00BE370C" w:rsidP="1FF004BE" w:rsidRDefault="00BE370C" w14:paraId="741EC9E2" w14:textId="74A4174D">
            <w:pPr>
              <w:rPr>
                <w:rFonts w:ascii="Arial" w:hAnsi="Arial" w:cs="Arial"/>
                <w:i/>
                <w:iCs/>
              </w:rPr>
            </w:pPr>
          </w:p>
        </w:tc>
        <w:tc>
          <w:tcPr>
            <w:tcW w:w="4508" w:type="dxa"/>
          </w:tcPr>
          <w:p w:rsidRPr="000279EF" w:rsidR="00BE370C" w:rsidP="004777B5" w:rsidRDefault="00BE370C" w14:paraId="5C33DA63" w14:textId="77777777">
            <w:pPr>
              <w:rPr>
                <w:rFonts w:ascii="Arial" w:hAnsi="Arial" w:cs="Arial"/>
              </w:rPr>
            </w:pPr>
          </w:p>
        </w:tc>
      </w:tr>
      <w:tr w:rsidRPr="000279EF" w:rsidR="00F12F5F" w:rsidTr="1FF004BE" w14:paraId="13212678" w14:textId="77777777">
        <w:tc>
          <w:tcPr>
            <w:tcW w:w="9016" w:type="dxa"/>
            <w:gridSpan w:val="2"/>
            <w:shd w:val="clear" w:color="auto" w:fill="D9D9D9" w:themeFill="background1" w:themeFillShade="D9"/>
          </w:tcPr>
          <w:p w:rsidRPr="000279EF" w:rsidR="00F12F5F" w:rsidP="004777B5" w:rsidRDefault="00F12F5F" w14:paraId="259653FF" w14:textId="14D5C9AC">
            <w:pPr>
              <w:rPr>
                <w:rFonts w:ascii="Arial" w:hAnsi="Arial" w:cs="Arial"/>
                <w:b/>
                <w:bCs/>
              </w:rPr>
            </w:pPr>
            <w:r w:rsidRPr="000279EF">
              <w:rPr>
                <w:rFonts w:ascii="Arial" w:hAnsi="Arial" w:cs="Arial"/>
                <w:b/>
                <w:bCs/>
              </w:rPr>
              <w:t>Section 7: Competitive Landscape and Recruitment</w:t>
            </w:r>
          </w:p>
        </w:tc>
      </w:tr>
      <w:tr w:rsidRPr="000279EF" w:rsidR="00BE370C" w:rsidTr="1FF004BE" w14:paraId="576B7647" w14:textId="77777777">
        <w:trPr>
          <w:trHeight w:val="879"/>
        </w:trPr>
        <w:tc>
          <w:tcPr>
            <w:tcW w:w="4508" w:type="dxa"/>
          </w:tcPr>
          <w:p w:rsidRPr="000279EF" w:rsidR="00BE370C" w:rsidP="004777B5" w:rsidRDefault="00BE370C" w14:paraId="79CD9259" w14:textId="77777777">
            <w:pPr>
              <w:rPr>
                <w:rFonts w:ascii="Arial" w:hAnsi="Arial" w:cs="Arial"/>
              </w:rPr>
            </w:pPr>
            <w:r w:rsidRPr="000279EF">
              <w:rPr>
                <w:rFonts w:ascii="Arial" w:hAnsi="Arial" w:cs="Arial"/>
              </w:rPr>
              <w:t>7.1 Competitive Environment</w:t>
            </w:r>
          </w:p>
          <w:p w:rsidRPr="000279EF" w:rsidR="00BE370C" w:rsidP="004777B5" w:rsidRDefault="00BE370C" w14:paraId="0128897F" w14:textId="19AAABAA">
            <w:pPr>
              <w:rPr>
                <w:rFonts w:ascii="Arial" w:hAnsi="Arial" w:cs="Arial"/>
              </w:rPr>
            </w:pPr>
            <w:r w:rsidRPr="000279EF">
              <w:rPr>
                <w:rFonts w:ascii="Arial" w:hAnsi="Arial" w:cs="Arial"/>
                <w:i/>
                <w:iCs/>
              </w:rPr>
              <w:t>Summarise competitors and UK TNE presence</w:t>
            </w:r>
          </w:p>
          <w:p w:rsidRPr="000279EF" w:rsidR="00BE370C" w:rsidP="1FF004BE" w:rsidRDefault="00BE370C" w14:paraId="5E74487B" w14:textId="4C480B2D">
            <w:pPr>
              <w:rPr>
                <w:rFonts w:ascii="Arial" w:hAnsi="Arial" w:cs="Arial"/>
                <w:i/>
                <w:iCs/>
              </w:rPr>
            </w:pPr>
          </w:p>
        </w:tc>
        <w:tc>
          <w:tcPr>
            <w:tcW w:w="4508" w:type="dxa"/>
          </w:tcPr>
          <w:p w:rsidRPr="000279EF" w:rsidR="00BE370C" w:rsidP="004777B5" w:rsidRDefault="00BE370C" w14:paraId="2E0D831B" w14:textId="77777777">
            <w:pPr>
              <w:rPr>
                <w:rFonts w:ascii="Arial" w:hAnsi="Arial" w:cs="Arial"/>
              </w:rPr>
            </w:pPr>
          </w:p>
        </w:tc>
      </w:tr>
      <w:tr w:rsidRPr="000279EF" w:rsidR="00BE370C" w:rsidTr="1FF004BE" w14:paraId="029459F0" w14:textId="77777777">
        <w:trPr>
          <w:trHeight w:val="879"/>
        </w:trPr>
        <w:tc>
          <w:tcPr>
            <w:tcW w:w="4508" w:type="dxa"/>
          </w:tcPr>
          <w:p w:rsidRPr="000279EF" w:rsidR="00BE370C" w:rsidP="004777B5" w:rsidRDefault="00BE370C" w14:paraId="50A568F8" w14:textId="77777777">
            <w:pPr>
              <w:rPr>
                <w:rFonts w:ascii="Arial" w:hAnsi="Arial" w:cs="Arial"/>
              </w:rPr>
            </w:pPr>
            <w:r w:rsidRPr="000279EF">
              <w:rPr>
                <w:rFonts w:ascii="Arial" w:hAnsi="Arial" w:cs="Arial"/>
              </w:rPr>
              <w:t>7.2 Target Student Market</w:t>
            </w:r>
          </w:p>
          <w:p w:rsidRPr="000279EF" w:rsidR="00BE370C" w:rsidP="1FF004BE" w:rsidRDefault="00BE370C" w14:paraId="74B8D080" w14:textId="1669D0B5">
            <w:pPr>
              <w:rPr>
                <w:rFonts w:ascii="Arial" w:hAnsi="Arial" w:cs="Arial"/>
                <w:i/>
                <w:iCs/>
              </w:rPr>
            </w:pPr>
            <w:r w:rsidRPr="000279EF">
              <w:rPr>
                <w:rFonts w:ascii="Arial" w:hAnsi="Arial" w:cs="Arial"/>
                <w:i/>
                <w:iCs/>
              </w:rPr>
              <w:t>Describe target demographics and funding</w:t>
            </w:r>
          </w:p>
        </w:tc>
        <w:tc>
          <w:tcPr>
            <w:tcW w:w="4508" w:type="dxa"/>
          </w:tcPr>
          <w:p w:rsidRPr="000279EF" w:rsidR="00BE370C" w:rsidP="004777B5" w:rsidRDefault="00BE370C" w14:paraId="7123B99B" w14:textId="77777777">
            <w:pPr>
              <w:rPr>
                <w:rFonts w:ascii="Arial" w:hAnsi="Arial" w:cs="Arial"/>
              </w:rPr>
            </w:pPr>
          </w:p>
        </w:tc>
      </w:tr>
      <w:tr w:rsidRPr="000279EF" w:rsidR="00BE370C" w:rsidTr="1FF004BE" w14:paraId="000D8BE1" w14:textId="77777777">
        <w:trPr>
          <w:trHeight w:val="879"/>
        </w:trPr>
        <w:tc>
          <w:tcPr>
            <w:tcW w:w="4508" w:type="dxa"/>
          </w:tcPr>
          <w:p w:rsidRPr="000279EF" w:rsidR="00BE370C" w:rsidP="004777B5" w:rsidRDefault="00BE370C" w14:paraId="104AEB96" w14:textId="77777777">
            <w:pPr>
              <w:rPr>
                <w:rFonts w:ascii="Arial" w:hAnsi="Arial" w:cs="Arial"/>
              </w:rPr>
            </w:pPr>
            <w:r w:rsidRPr="000279EF">
              <w:rPr>
                <w:rFonts w:ascii="Arial" w:hAnsi="Arial" w:cs="Arial"/>
              </w:rPr>
              <w:t>7.3 Recruitment Channels</w:t>
            </w:r>
          </w:p>
          <w:p w:rsidRPr="000279EF" w:rsidR="00BE370C" w:rsidP="004777B5" w:rsidRDefault="00BE370C" w14:paraId="1B4BE777" w14:textId="514D491E">
            <w:pPr>
              <w:rPr>
                <w:rFonts w:ascii="Arial" w:hAnsi="Arial" w:cs="Arial"/>
              </w:rPr>
            </w:pPr>
            <w:r w:rsidRPr="000279EF">
              <w:rPr>
                <w:rFonts w:ascii="Arial" w:hAnsi="Arial" w:cs="Arial"/>
                <w:i/>
                <w:iCs/>
              </w:rPr>
              <w:t>Outline recruitment channels and feeder schools</w:t>
            </w:r>
          </w:p>
          <w:p w:rsidRPr="000279EF" w:rsidR="00BE370C" w:rsidP="1FF004BE" w:rsidRDefault="00BE370C" w14:paraId="253C9118" w14:textId="4557C992">
            <w:pPr>
              <w:rPr>
                <w:rFonts w:ascii="Arial" w:hAnsi="Arial" w:cs="Arial"/>
                <w:i/>
                <w:iCs/>
              </w:rPr>
            </w:pPr>
          </w:p>
        </w:tc>
        <w:tc>
          <w:tcPr>
            <w:tcW w:w="4508" w:type="dxa"/>
          </w:tcPr>
          <w:p w:rsidRPr="000279EF" w:rsidR="00BE370C" w:rsidP="004777B5" w:rsidRDefault="00BE370C" w14:paraId="1F9707A8" w14:textId="77777777">
            <w:pPr>
              <w:rPr>
                <w:rFonts w:ascii="Arial" w:hAnsi="Arial" w:cs="Arial"/>
              </w:rPr>
            </w:pPr>
          </w:p>
        </w:tc>
      </w:tr>
      <w:tr w:rsidRPr="000279EF" w:rsidR="00BE370C" w:rsidTr="1FF004BE" w14:paraId="1F8DA0B7" w14:textId="77777777">
        <w:tc>
          <w:tcPr>
            <w:tcW w:w="9016" w:type="dxa"/>
            <w:gridSpan w:val="2"/>
            <w:shd w:val="clear" w:color="auto" w:fill="D9D9D9" w:themeFill="background1" w:themeFillShade="D9"/>
          </w:tcPr>
          <w:p w:rsidRPr="000279EF" w:rsidR="00BE370C" w:rsidP="004777B5" w:rsidRDefault="00BE370C" w14:paraId="22BBF408" w14:textId="77777777">
            <w:pPr>
              <w:rPr>
                <w:rFonts w:ascii="Arial" w:hAnsi="Arial" w:cs="Arial"/>
                <w:b/>
                <w:bCs/>
              </w:rPr>
            </w:pPr>
            <w:r w:rsidRPr="000279EF">
              <w:rPr>
                <w:rFonts w:ascii="Arial" w:hAnsi="Arial" w:cs="Arial"/>
                <w:b/>
                <w:bCs/>
              </w:rPr>
              <w:t>Section 8: Financial Model and Sustainability</w:t>
            </w:r>
          </w:p>
        </w:tc>
      </w:tr>
      <w:tr w:rsidRPr="000279EF" w:rsidR="00BE370C" w:rsidTr="1FF004BE" w14:paraId="124B6F93" w14:textId="77777777">
        <w:trPr>
          <w:trHeight w:val="586"/>
        </w:trPr>
        <w:tc>
          <w:tcPr>
            <w:tcW w:w="4508" w:type="dxa"/>
          </w:tcPr>
          <w:p w:rsidRPr="000279EF" w:rsidR="00BE370C" w:rsidP="004777B5" w:rsidRDefault="00BE370C" w14:paraId="175B4A60" w14:textId="77777777">
            <w:pPr>
              <w:rPr>
                <w:rFonts w:ascii="Arial" w:hAnsi="Arial" w:cs="Arial"/>
              </w:rPr>
            </w:pPr>
            <w:r w:rsidRPr="000279EF">
              <w:rPr>
                <w:rFonts w:ascii="Arial" w:hAnsi="Arial" w:cs="Arial"/>
              </w:rPr>
              <w:t>8.1 Fee Structure and Affordability</w:t>
            </w:r>
          </w:p>
          <w:p w:rsidRPr="000279EF" w:rsidR="00BE370C" w:rsidP="004777B5" w:rsidRDefault="00BE370C" w14:paraId="01BFD7D1" w14:textId="58D4627B">
            <w:pPr>
              <w:rPr>
                <w:rFonts w:ascii="Arial" w:hAnsi="Arial" w:cs="Arial"/>
              </w:rPr>
            </w:pPr>
            <w:r w:rsidRPr="000279EF">
              <w:rPr>
                <w:rFonts w:ascii="Arial" w:hAnsi="Arial" w:cs="Arial"/>
                <w:i/>
                <w:iCs/>
              </w:rPr>
              <w:t>Explain proposed fees and affordability</w:t>
            </w:r>
            <w:r w:rsidRPr="000279EF" w:rsidR="16B4238D">
              <w:rPr>
                <w:rFonts w:ascii="Arial" w:hAnsi="Arial" w:cs="Arial"/>
                <w:i/>
                <w:iCs/>
              </w:rPr>
              <w:t xml:space="preserve"> </w:t>
            </w:r>
            <w:r w:rsidRPr="000279EF" w:rsidR="6DAF4DB6">
              <w:rPr>
                <w:rFonts w:ascii="Arial" w:hAnsi="Arial" w:cs="Arial"/>
                <w:i/>
                <w:iCs/>
              </w:rPr>
              <w:t>-</w:t>
            </w:r>
            <w:r w:rsidRPr="000279EF" w:rsidR="16B4238D">
              <w:rPr>
                <w:rFonts w:ascii="Arial" w:hAnsi="Arial" w:cs="Arial"/>
                <w:i/>
                <w:iCs/>
              </w:rPr>
              <w:t xml:space="preserve"> what your institution will charge and UoG’s proposed fee per student </w:t>
            </w:r>
          </w:p>
          <w:p w:rsidRPr="000279EF" w:rsidR="00BE370C" w:rsidP="1FF004BE" w:rsidRDefault="00BE370C" w14:paraId="2440F9B4" w14:textId="5EE61866">
            <w:pPr>
              <w:rPr>
                <w:rFonts w:ascii="Arial" w:hAnsi="Arial" w:cs="Arial"/>
                <w:i/>
                <w:iCs/>
              </w:rPr>
            </w:pPr>
          </w:p>
        </w:tc>
        <w:tc>
          <w:tcPr>
            <w:tcW w:w="4508" w:type="dxa"/>
          </w:tcPr>
          <w:p w:rsidRPr="000279EF" w:rsidR="00BE370C" w:rsidP="004777B5" w:rsidRDefault="00BE370C" w14:paraId="6BB82409" w14:textId="77777777">
            <w:pPr>
              <w:rPr>
                <w:rFonts w:ascii="Arial" w:hAnsi="Arial" w:cs="Arial"/>
              </w:rPr>
            </w:pPr>
          </w:p>
        </w:tc>
      </w:tr>
      <w:tr w:rsidRPr="000279EF" w:rsidR="00BE370C" w:rsidTr="1FF004BE" w14:paraId="697DFBD5" w14:textId="77777777">
        <w:trPr>
          <w:trHeight w:val="586"/>
        </w:trPr>
        <w:tc>
          <w:tcPr>
            <w:tcW w:w="4508" w:type="dxa"/>
          </w:tcPr>
          <w:p w:rsidRPr="000279EF" w:rsidR="00BE370C" w:rsidP="004777B5" w:rsidRDefault="00BE370C" w14:paraId="73040914" w14:textId="77777777">
            <w:pPr>
              <w:rPr>
                <w:rFonts w:ascii="Arial" w:hAnsi="Arial" w:cs="Arial"/>
              </w:rPr>
            </w:pPr>
            <w:r w:rsidRPr="000279EF">
              <w:rPr>
                <w:rFonts w:ascii="Arial" w:hAnsi="Arial" w:cs="Arial"/>
              </w:rPr>
              <w:t>8.2 Recruitment Projections</w:t>
            </w:r>
          </w:p>
          <w:p w:rsidRPr="000279EF" w:rsidR="00BE370C" w:rsidP="004777B5" w:rsidRDefault="00BE370C" w14:paraId="47CE7B1B" w14:textId="5C021F98">
            <w:pPr>
              <w:rPr>
                <w:rFonts w:ascii="Arial" w:hAnsi="Arial" w:cs="Arial"/>
              </w:rPr>
            </w:pPr>
            <w:r w:rsidRPr="000279EF">
              <w:rPr>
                <w:rFonts w:ascii="Arial" w:hAnsi="Arial" w:cs="Arial"/>
                <w:i/>
                <w:iCs/>
              </w:rPr>
              <w:t>Provide five-year recruitment projections, per programme, for UoG collaboration</w:t>
            </w:r>
          </w:p>
          <w:p w:rsidRPr="000279EF" w:rsidR="00BE370C" w:rsidP="1FF004BE" w:rsidRDefault="00BE370C" w14:paraId="7CDD4AAF" w14:textId="57CA1C55">
            <w:pPr>
              <w:rPr>
                <w:rFonts w:ascii="Arial" w:hAnsi="Arial" w:cs="Arial"/>
                <w:i/>
                <w:iCs/>
              </w:rPr>
            </w:pPr>
          </w:p>
        </w:tc>
        <w:tc>
          <w:tcPr>
            <w:tcW w:w="4508" w:type="dxa"/>
          </w:tcPr>
          <w:p w:rsidRPr="000279EF" w:rsidR="00BE370C" w:rsidP="004777B5" w:rsidRDefault="00BE370C" w14:paraId="508716AE" w14:textId="77777777">
            <w:pPr>
              <w:rPr>
                <w:rFonts w:ascii="Arial" w:hAnsi="Arial" w:cs="Arial"/>
              </w:rPr>
            </w:pPr>
          </w:p>
        </w:tc>
      </w:tr>
      <w:tr w:rsidRPr="000279EF" w:rsidR="00BE370C" w:rsidTr="1FF004BE" w14:paraId="568FE1F7" w14:textId="77777777">
        <w:trPr>
          <w:trHeight w:val="586"/>
        </w:trPr>
        <w:tc>
          <w:tcPr>
            <w:tcW w:w="4508" w:type="dxa"/>
          </w:tcPr>
          <w:p w:rsidRPr="000279EF" w:rsidR="00BE370C" w:rsidP="004777B5" w:rsidRDefault="00BE370C" w14:paraId="2133066D" w14:textId="77777777">
            <w:pPr>
              <w:rPr>
                <w:rFonts w:ascii="Arial" w:hAnsi="Arial" w:cs="Arial"/>
              </w:rPr>
            </w:pPr>
            <w:r w:rsidRPr="000279EF">
              <w:rPr>
                <w:rFonts w:ascii="Arial" w:hAnsi="Arial" w:cs="Arial"/>
              </w:rPr>
              <w:t>8.3 Marketing and Investment Plan</w:t>
            </w:r>
          </w:p>
          <w:p w:rsidRPr="000279EF" w:rsidR="00BE370C" w:rsidP="004777B5" w:rsidRDefault="00BE370C" w14:paraId="48E3D254" w14:textId="57582A27">
            <w:pPr>
              <w:rPr>
                <w:rFonts w:ascii="Arial" w:hAnsi="Arial" w:cs="Arial"/>
              </w:rPr>
            </w:pPr>
            <w:r w:rsidRPr="000279EF">
              <w:rPr>
                <w:rFonts w:ascii="Arial" w:hAnsi="Arial" w:cs="Arial"/>
                <w:i/>
                <w:iCs/>
              </w:rPr>
              <w:t>Summarise marketing strategy and costs</w:t>
            </w:r>
          </w:p>
          <w:p w:rsidRPr="000279EF" w:rsidR="00BE370C" w:rsidP="1FF004BE" w:rsidRDefault="00BE370C" w14:paraId="3D8A5A97" w14:textId="0C17EDCA">
            <w:pPr>
              <w:rPr>
                <w:rFonts w:ascii="Arial" w:hAnsi="Arial" w:cs="Arial"/>
                <w:i/>
                <w:iCs/>
              </w:rPr>
            </w:pPr>
          </w:p>
        </w:tc>
        <w:tc>
          <w:tcPr>
            <w:tcW w:w="4508" w:type="dxa"/>
          </w:tcPr>
          <w:p w:rsidRPr="000279EF" w:rsidR="00BE370C" w:rsidP="004777B5" w:rsidRDefault="00BE370C" w14:paraId="7FC22845" w14:textId="77777777">
            <w:pPr>
              <w:rPr>
                <w:rFonts w:ascii="Arial" w:hAnsi="Arial" w:cs="Arial"/>
              </w:rPr>
            </w:pPr>
          </w:p>
        </w:tc>
      </w:tr>
      <w:tr w:rsidRPr="000279EF" w:rsidR="00BE370C" w:rsidTr="1FF004BE" w14:paraId="74058EFB" w14:textId="77777777">
        <w:tc>
          <w:tcPr>
            <w:tcW w:w="9016" w:type="dxa"/>
            <w:gridSpan w:val="2"/>
            <w:shd w:val="clear" w:color="auto" w:fill="D9D9D9" w:themeFill="background1" w:themeFillShade="D9"/>
          </w:tcPr>
          <w:p w:rsidRPr="000279EF" w:rsidR="00BE370C" w:rsidP="004777B5" w:rsidRDefault="00BE370C" w14:paraId="68DCA728" w14:textId="77777777">
            <w:pPr>
              <w:rPr>
                <w:rFonts w:ascii="Arial" w:hAnsi="Arial" w:cs="Arial"/>
                <w:b/>
                <w:bCs/>
              </w:rPr>
            </w:pPr>
            <w:r w:rsidRPr="000279EF">
              <w:rPr>
                <w:rFonts w:ascii="Arial" w:hAnsi="Arial" w:cs="Arial"/>
                <w:b/>
                <w:bCs/>
              </w:rPr>
              <w:t>Section 9: External Support and Validation</w:t>
            </w:r>
          </w:p>
        </w:tc>
      </w:tr>
      <w:tr w:rsidRPr="000279EF" w:rsidR="00BE370C" w:rsidTr="1FF004BE" w14:paraId="05B89858" w14:textId="77777777">
        <w:trPr>
          <w:trHeight w:val="879"/>
        </w:trPr>
        <w:tc>
          <w:tcPr>
            <w:tcW w:w="4508" w:type="dxa"/>
          </w:tcPr>
          <w:p w:rsidRPr="000279EF" w:rsidR="00BE370C" w:rsidP="004777B5" w:rsidRDefault="00BE370C" w14:paraId="144B3124" w14:textId="77777777">
            <w:pPr>
              <w:rPr>
                <w:rFonts w:ascii="Arial" w:hAnsi="Arial" w:cs="Arial"/>
              </w:rPr>
            </w:pPr>
            <w:r w:rsidRPr="000279EF">
              <w:rPr>
                <w:rFonts w:ascii="Arial" w:hAnsi="Arial" w:cs="Arial"/>
              </w:rPr>
              <w:t>9.1 Government and Stakeholder Support</w:t>
            </w:r>
          </w:p>
          <w:p w:rsidRPr="000279EF" w:rsidR="00BE370C" w:rsidP="004777B5" w:rsidRDefault="00BE370C" w14:paraId="24B04C54" w14:textId="4A3EF91B">
            <w:pPr>
              <w:rPr>
                <w:rFonts w:ascii="Arial" w:hAnsi="Arial" w:cs="Arial"/>
              </w:rPr>
            </w:pPr>
            <w:r w:rsidRPr="000279EF">
              <w:rPr>
                <w:rFonts w:ascii="Arial" w:hAnsi="Arial" w:cs="Arial"/>
                <w:i/>
                <w:iCs/>
              </w:rPr>
              <w:t>Identify government or institutional champions</w:t>
            </w:r>
          </w:p>
          <w:p w:rsidRPr="000279EF" w:rsidR="00BE370C" w:rsidP="1FF004BE" w:rsidRDefault="00BE370C" w14:paraId="23A8F298" w14:textId="631D36D8">
            <w:pPr>
              <w:rPr>
                <w:rFonts w:ascii="Arial" w:hAnsi="Arial" w:cs="Arial"/>
                <w:i/>
                <w:iCs/>
              </w:rPr>
            </w:pPr>
          </w:p>
        </w:tc>
        <w:tc>
          <w:tcPr>
            <w:tcW w:w="4508" w:type="dxa"/>
          </w:tcPr>
          <w:p w:rsidRPr="000279EF" w:rsidR="00BE370C" w:rsidP="004777B5" w:rsidRDefault="00BE370C" w14:paraId="236F73C2" w14:textId="77777777">
            <w:pPr>
              <w:rPr>
                <w:rFonts w:ascii="Arial" w:hAnsi="Arial" w:cs="Arial"/>
              </w:rPr>
            </w:pPr>
          </w:p>
        </w:tc>
      </w:tr>
      <w:tr w:rsidRPr="000279EF" w:rsidR="00BE370C" w:rsidTr="1FF004BE" w14:paraId="33523B30" w14:textId="77777777">
        <w:tc>
          <w:tcPr>
            <w:tcW w:w="4508" w:type="dxa"/>
          </w:tcPr>
          <w:p w:rsidRPr="000279EF" w:rsidR="00BE370C" w:rsidP="004777B5" w:rsidRDefault="00BE370C" w14:paraId="47BC362C" w14:textId="371310BD">
            <w:pPr>
              <w:rPr>
                <w:rFonts w:ascii="Arial" w:hAnsi="Arial" w:cs="Arial"/>
              </w:rPr>
            </w:pPr>
            <w:r w:rsidRPr="000279EF">
              <w:rPr>
                <w:rFonts w:ascii="Arial" w:hAnsi="Arial" w:cs="Arial"/>
              </w:rPr>
              <w:t>9.2 Market Research and Advisors</w:t>
            </w:r>
            <w:r w:rsidRPr="000279EF">
              <w:rPr>
                <w:rFonts w:ascii="Arial" w:hAnsi="Arial" w:cs="Arial"/>
              </w:rPr>
              <w:br/>
            </w:r>
            <w:r w:rsidRPr="000279EF">
              <w:rPr>
                <w:rFonts w:ascii="Arial" w:hAnsi="Arial" w:cs="Arial"/>
                <w:i/>
                <w:iCs/>
              </w:rPr>
              <w:t>Provide details of any third-party research used, if applicable</w:t>
            </w:r>
          </w:p>
          <w:p w:rsidRPr="000279EF" w:rsidR="00BE370C" w:rsidP="1FF004BE" w:rsidRDefault="00BE370C" w14:paraId="15B92AA8" w14:textId="2E0FC5FC">
            <w:pPr>
              <w:rPr>
                <w:rFonts w:ascii="Arial" w:hAnsi="Arial" w:cs="Arial"/>
                <w:i/>
                <w:iCs/>
              </w:rPr>
            </w:pPr>
          </w:p>
        </w:tc>
        <w:tc>
          <w:tcPr>
            <w:tcW w:w="4508" w:type="dxa"/>
          </w:tcPr>
          <w:p w:rsidRPr="000279EF" w:rsidR="00BE370C" w:rsidP="004777B5" w:rsidRDefault="00BE370C" w14:paraId="7BA63BD4" w14:textId="77777777">
            <w:pPr>
              <w:rPr>
                <w:rFonts w:ascii="Arial" w:hAnsi="Arial" w:cs="Arial"/>
              </w:rPr>
            </w:pPr>
          </w:p>
        </w:tc>
      </w:tr>
    </w:tbl>
    <w:p w:rsidRPr="000279EF" w:rsidR="00BE370C" w:rsidP="00BE370C" w:rsidRDefault="00BE370C" w14:paraId="74B56DFC" w14:textId="77777777">
      <w:pPr>
        <w:rPr>
          <w:rFonts w:ascii="Arial" w:hAnsi="Arial" w:cs="Arial"/>
        </w:rPr>
      </w:pPr>
    </w:p>
    <w:p w:rsidR="000279EF" w:rsidRDefault="000279EF" w14:paraId="4AA7DDC5" w14:textId="77777777">
      <w:pPr>
        <w:rPr>
          <w:rFonts w:ascii="Arial" w:hAnsi="Arial" w:cs="Arial"/>
          <w:b/>
          <w:bCs/>
        </w:rPr>
      </w:pPr>
      <w:r>
        <w:rPr>
          <w:rFonts w:ascii="Arial" w:hAnsi="Arial" w:cs="Arial"/>
          <w:b/>
          <w:bCs/>
        </w:rPr>
        <w:br w:type="page"/>
      </w:r>
    </w:p>
    <w:p w:rsidRPr="000279EF" w:rsidR="00E9734D" w:rsidRDefault="00BE370C" w14:paraId="7D0B47CB" w14:textId="5CC347D7">
      <w:pPr>
        <w:rPr>
          <w:rFonts w:ascii="Arial" w:hAnsi="Arial" w:cs="Arial"/>
          <w:b/>
          <w:bCs/>
        </w:rPr>
      </w:pPr>
      <w:r w:rsidRPr="000279EF">
        <w:rPr>
          <w:rFonts w:ascii="Arial" w:hAnsi="Arial" w:cs="Arial"/>
          <w:b/>
          <w:bCs/>
        </w:rPr>
        <w:lastRenderedPageBreak/>
        <w:t>Next Steps</w:t>
      </w:r>
    </w:p>
    <w:p w:rsidRPr="000279EF" w:rsidR="00BE370C" w:rsidRDefault="00BE370C" w14:paraId="066095EE" w14:textId="1F27CE6D">
      <w:pPr>
        <w:rPr>
          <w:rFonts w:ascii="Arial" w:hAnsi="Arial" w:cs="Arial"/>
        </w:rPr>
      </w:pPr>
      <w:r w:rsidRPr="000279EF">
        <w:rPr>
          <w:rFonts w:ascii="Arial" w:hAnsi="Arial" w:cs="Arial"/>
        </w:rPr>
        <w:t xml:space="preserve">On completion of the above table please email this document back to </w:t>
      </w:r>
      <w:hyperlink w:history="1" r:id="rId11">
        <w:r w:rsidRPr="000279EF">
          <w:rPr>
            <w:rStyle w:val="Hyperlink"/>
            <w:rFonts w:ascii="Arial" w:hAnsi="Arial" w:cs="Arial"/>
          </w:rPr>
          <w:t>IPO@greenwich.ac.uk</w:t>
        </w:r>
      </w:hyperlink>
      <w:r w:rsidRPr="000279EF">
        <w:rPr>
          <w:rFonts w:ascii="Arial" w:hAnsi="Arial" w:cs="Arial"/>
        </w:rPr>
        <w:t xml:space="preserve"> </w:t>
      </w:r>
    </w:p>
    <w:p w:rsidRPr="000279EF" w:rsidR="00F12F5F" w:rsidP="00F12F5F" w:rsidRDefault="00F12F5F" w14:paraId="4C1C719D" w14:textId="77777777">
      <w:pPr>
        <w:spacing w:after="0"/>
        <w:rPr>
          <w:rFonts w:ascii="Arial" w:hAnsi="Arial" w:cs="Arial"/>
        </w:rPr>
      </w:pPr>
      <w:r w:rsidRPr="000279EF">
        <w:rPr>
          <w:rFonts w:ascii="Arial" w:hAnsi="Arial" w:cs="Arial"/>
        </w:rPr>
        <w:t>Following submission, the University of Greenwich will review the Business Case as part of its initial due diligence and strategic assessment process. Where further clarification or additional information is required, the University may contact you by email or invite you to participate in an online meeting.</w:t>
      </w:r>
    </w:p>
    <w:p w:rsidRPr="000279EF" w:rsidR="1FF004BE" w:rsidP="1FF004BE" w:rsidRDefault="1FF004BE" w14:paraId="7120BE7C" w14:textId="313A0987">
      <w:pPr>
        <w:spacing w:after="0"/>
        <w:rPr>
          <w:rFonts w:ascii="Arial" w:hAnsi="Arial" w:cs="Arial"/>
        </w:rPr>
      </w:pPr>
    </w:p>
    <w:p w:rsidRPr="000279EF" w:rsidR="424B43EA" w:rsidP="1FF004BE" w:rsidRDefault="424B43EA" w14:paraId="0A4591F1" w14:textId="088247A4">
      <w:pPr>
        <w:spacing w:after="0"/>
        <w:rPr>
          <w:rFonts w:ascii="Arial" w:hAnsi="Arial" w:cs="Arial"/>
        </w:rPr>
      </w:pPr>
      <w:r w:rsidRPr="000279EF">
        <w:rPr>
          <w:rFonts w:ascii="Arial" w:hAnsi="Arial" w:cs="Arial"/>
        </w:rPr>
        <w:t xml:space="preserve">If the collaboration appears </w:t>
      </w:r>
      <w:proofErr w:type="gramStart"/>
      <w:r w:rsidRPr="000279EF">
        <w:rPr>
          <w:rFonts w:ascii="Arial" w:hAnsi="Arial" w:cs="Arial"/>
        </w:rPr>
        <w:t>viable</w:t>
      </w:r>
      <w:proofErr w:type="gramEnd"/>
      <w:r w:rsidRPr="000279EF">
        <w:rPr>
          <w:rFonts w:ascii="Arial" w:hAnsi="Arial" w:cs="Arial"/>
        </w:rPr>
        <w:t xml:space="preserve"> please note that the University will request three elements of Due Diligence: </w:t>
      </w:r>
    </w:p>
    <w:p w:rsidRPr="000279EF" w:rsidR="424B43EA" w:rsidP="1FF004BE" w:rsidRDefault="424B43EA" w14:paraId="00B8D80D" w14:textId="56F05B6A">
      <w:pPr>
        <w:pStyle w:val="ListParagraph"/>
        <w:numPr>
          <w:ilvl w:val="0"/>
          <w:numId w:val="1"/>
        </w:numPr>
        <w:spacing w:after="0"/>
        <w:rPr>
          <w:rFonts w:ascii="Arial" w:hAnsi="Arial" w:cs="Arial"/>
        </w:rPr>
      </w:pPr>
      <w:r w:rsidRPr="000279EF">
        <w:rPr>
          <w:rFonts w:ascii="Arial" w:hAnsi="Arial" w:cs="Arial"/>
        </w:rPr>
        <w:t>Legal</w:t>
      </w:r>
    </w:p>
    <w:p w:rsidRPr="000279EF" w:rsidR="424B43EA" w:rsidP="1FF004BE" w:rsidRDefault="424B43EA" w14:paraId="4448F795" w14:textId="1D3EF407">
      <w:pPr>
        <w:pStyle w:val="ListParagraph"/>
        <w:numPr>
          <w:ilvl w:val="0"/>
          <w:numId w:val="1"/>
        </w:numPr>
        <w:spacing w:after="0"/>
        <w:rPr>
          <w:rFonts w:ascii="Arial" w:hAnsi="Arial" w:cs="Arial"/>
        </w:rPr>
      </w:pPr>
      <w:r w:rsidRPr="000279EF">
        <w:rPr>
          <w:rFonts w:ascii="Arial" w:hAnsi="Arial" w:cs="Arial"/>
        </w:rPr>
        <w:t>Financial</w:t>
      </w:r>
    </w:p>
    <w:p w:rsidRPr="000279EF" w:rsidR="424B43EA" w:rsidP="1FF004BE" w:rsidRDefault="424B43EA" w14:paraId="62BCC22D" w14:textId="67FA3D4D">
      <w:pPr>
        <w:pStyle w:val="ListParagraph"/>
        <w:numPr>
          <w:ilvl w:val="0"/>
          <w:numId w:val="1"/>
        </w:numPr>
        <w:spacing w:after="0"/>
        <w:rPr>
          <w:rFonts w:ascii="Arial" w:hAnsi="Arial" w:cs="Arial"/>
        </w:rPr>
      </w:pPr>
      <w:r w:rsidRPr="000279EF">
        <w:rPr>
          <w:rFonts w:ascii="Arial" w:hAnsi="Arial" w:cs="Arial"/>
        </w:rPr>
        <w:t>Re</w:t>
      </w:r>
      <w:r w:rsidRPr="000279EF" w:rsidR="4F82E3DD">
        <w:rPr>
          <w:rFonts w:ascii="Arial" w:hAnsi="Arial" w:cs="Arial"/>
        </w:rPr>
        <w:t>gulatory</w:t>
      </w:r>
    </w:p>
    <w:p w:rsidRPr="000279EF" w:rsidR="1FF004BE" w:rsidP="1FF004BE" w:rsidRDefault="1FF004BE" w14:paraId="6915218A" w14:textId="4CE7BC0A">
      <w:pPr>
        <w:spacing w:after="0"/>
        <w:rPr>
          <w:rFonts w:ascii="Arial" w:hAnsi="Arial" w:cs="Arial"/>
        </w:rPr>
      </w:pPr>
    </w:p>
    <w:p w:rsidRPr="000279EF" w:rsidR="00F12F5F" w:rsidP="00F12F5F" w:rsidRDefault="00F12F5F" w14:paraId="6FC2CC65" w14:textId="78D2F169">
      <w:pPr>
        <w:spacing w:after="0"/>
        <w:rPr>
          <w:rFonts w:ascii="Arial" w:hAnsi="Arial" w:cs="Arial"/>
        </w:rPr>
      </w:pPr>
      <w:r w:rsidRPr="000279EF">
        <w:rPr>
          <w:rFonts w:ascii="Arial" w:hAnsi="Arial" w:cs="Arial"/>
        </w:rPr>
        <w:t>If the University of Greenwich determines that it does not wish to progress the opportunity at this stage, this decision will be communicated in writing. Please note that the University is unable to provide detailed feedback on unsuccessful</w:t>
      </w:r>
      <w:r w:rsidRPr="000279EF" w:rsidR="6A0005D4">
        <w:rPr>
          <w:rFonts w:ascii="Arial" w:hAnsi="Arial" w:cs="Arial"/>
        </w:rPr>
        <w:t xml:space="preserve"> applications</w:t>
      </w:r>
      <w:r w:rsidRPr="000279EF">
        <w:rPr>
          <w:rFonts w:ascii="Arial" w:hAnsi="Arial" w:cs="Arial"/>
        </w:rPr>
        <w:t>. However, the decision may be based on one or more of the following considerations:</w:t>
      </w:r>
    </w:p>
    <w:p w:rsidRPr="000279EF" w:rsidR="00F12F5F" w:rsidP="00F12F5F" w:rsidRDefault="00F12F5F" w14:paraId="1F283E99" w14:textId="77777777">
      <w:pPr>
        <w:spacing w:after="0"/>
        <w:rPr>
          <w:rFonts w:ascii="Arial" w:hAnsi="Arial" w:cs="Arial"/>
        </w:rPr>
      </w:pPr>
    </w:p>
    <w:p w:rsidRPr="000279EF" w:rsidR="00F12F5F" w:rsidP="00F12F5F" w:rsidRDefault="00F12F5F" w14:paraId="65F62974" w14:textId="77777777">
      <w:pPr>
        <w:pStyle w:val="ListParagraph"/>
        <w:numPr>
          <w:ilvl w:val="0"/>
          <w:numId w:val="7"/>
        </w:numPr>
        <w:spacing w:after="0"/>
        <w:rPr>
          <w:rFonts w:ascii="Arial" w:hAnsi="Arial" w:cs="Arial"/>
        </w:rPr>
      </w:pPr>
      <w:r w:rsidRPr="000279EF">
        <w:rPr>
          <w:rFonts w:ascii="Arial" w:hAnsi="Arial" w:cs="Arial"/>
        </w:rPr>
        <w:t>Lack of alignment with the University of Greenwich’s mission, values, or educational objectives</w:t>
      </w:r>
    </w:p>
    <w:p w:rsidRPr="000279EF" w:rsidR="00F12F5F" w:rsidP="00F12F5F" w:rsidRDefault="00F12F5F" w14:paraId="56ED8727" w14:textId="77777777">
      <w:pPr>
        <w:pStyle w:val="ListParagraph"/>
        <w:numPr>
          <w:ilvl w:val="0"/>
          <w:numId w:val="7"/>
        </w:numPr>
        <w:spacing w:after="0"/>
        <w:rPr>
          <w:rFonts w:ascii="Arial" w:hAnsi="Arial" w:cs="Arial"/>
        </w:rPr>
      </w:pPr>
      <w:r w:rsidRPr="000279EF">
        <w:rPr>
          <w:rFonts w:ascii="Arial" w:hAnsi="Arial" w:cs="Arial"/>
        </w:rPr>
        <w:t>Misalignment with the University’s transnational education (TNE) and international partnership strategy</w:t>
      </w:r>
    </w:p>
    <w:p w:rsidRPr="000279EF" w:rsidR="00F12F5F" w:rsidP="00F12F5F" w:rsidRDefault="00F12F5F" w14:paraId="0D7C26C1" w14:textId="77777777">
      <w:pPr>
        <w:pStyle w:val="ListParagraph"/>
        <w:numPr>
          <w:ilvl w:val="0"/>
          <w:numId w:val="7"/>
        </w:numPr>
        <w:spacing w:after="0"/>
        <w:rPr>
          <w:rFonts w:ascii="Arial" w:hAnsi="Arial" w:cs="Arial"/>
        </w:rPr>
      </w:pPr>
      <w:r w:rsidRPr="000279EF">
        <w:rPr>
          <w:rFonts w:ascii="Arial" w:hAnsi="Arial" w:cs="Arial"/>
        </w:rPr>
        <w:t>Insufficient evidence of market demand, student recruitment potential, or long-term sustainability</w:t>
      </w:r>
    </w:p>
    <w:p w:rsidRPr="000279EF" w:rsidR="00F12F5F" w:rsidP="00F12F5F" w:rsidRDefault="00F12F5F" w14:paraId="41FEED86" w14:textId="18FAF453">
      <w:pPr>
        <w:pStyle w:val="ListParagraph"/>
        <w:numPr>
          <w:ilvl w:val="0"/>
          <w:numId w:val="7"/>
        </w:numPr>
        <w:spacing w:after="0"/>
        <w:rPr>
          <w:rFonts w:ascii="Arial" w:hAnsi="Arial" w:cs="Arial"/>
        </w:rPr>
      </w:pPr>
      <w:r w:rsidRPr="000279EF">
        <w:rPr>
          <w:rFonts w:ascii="Arial" w:hAnsi="Arial" w:cs="Arial"/>
        </w:rPr>
        <w:t>Proposed scale or programme portfolio not meeting minimum viability thresholds</w:t>
      </w:r>
      <w:r w:rsidRPr="000279EF" w:rsidR="00DA2B8A">
        <w:rPr>
          <w:rFonts w:ascii="Arial" w:hAnsi="Arial" w:cs="Arial"/>
        </w:rPr>
        <w:t xml:space="preserve">, even within an extended period. </w:t>
      </w:r>
    </w:p>
    <w:p w:rsidRPr="000279EF" w:rsidR="00F12F5F" w:rsidP="00F12F5F" w:rsidRDefault="00F12F5F" w14:paraId="32F3C655" w14:textId="77777777">
      <w:pPr>
        <w:pStyle w:val="ListParagraph"/>
        <w:numPr>
          <w:ilvl w:val="0"/>
          <w:numId w:val="7"/>
        </w:numPr>
        <w:spacing w:after="0"/>
        <w:rPr>
          <w:rFonts w:ascii="Arial" w:hAnsi="Arial" w:cs="Arial"/>
        </w:rPr>
      </w:pPr>
      <w:r w:rsidRPr="000279EF">
        <w:rPr>
          <w:rFonts w:ascii="Arial" w:hAnsi="Arial" w:cs="Arial"/>
        </w:rPr>
        <w:t>Concerns regarding academic quality, governance, or delivery capability</w:t>
      </w:r>
    </w:p>
    <w:p w:rsidRPr="000279EF" w:rsidR="00F12F5F" w:rsidP="00F12F5F" w:rsidRDefault="00F12F5F" w14:paraId="7504503C" w14:textId="77777777">
      <w:pPr>
        <w:pStyle w:val="ListParagraph"/>
        <w:numPr>
          <w:ilvl w:val="0"/>
          <w:numId w:val="7"/>
        </w:numPr>
        <w:spacing w:after="0"/>
        <w:rPr>
          <w:rFonts w:ascii="Arial" w:hAnsi="Arial" w:cs="Arial"/>
        </w:rPr>
      </w:pPr>
      <w:r w:rsidRPr="000279EF">
        <w:rPr>
          <w:rFonts w:ascii="Arial" w:hAnsi="Arial" w:cs="Arial"/>
        </w:rPr>
        <w:t>Regulatory, legal, or compliance constraints within the proposed country or region</w:t>
      </w:r>
    </w:p>
    <w:p w:rsidRPr="000279EF" w:rsidR="00F12F5F" w:rsidP="00F12F5F" w:rsidRDefault="00F12F5F" w14:paraId="75D7A03E" w14:textId="77777777">
      <w:pPr>
        <w:pStyle w:val="ListParagraph"/>
        <w:numPr>
          <w:ilvl w:val="0"/>
          <w:numId w:val="7"/>
        </w:numPr>
        <w:spacing w:after="0"/>
        <w:rPr>
          <w:rFonts w:ascii="Arial" w:hAnsi="Arial" w:cs="Arial"/>
        </w:rPr>
      </w:pPr>
      <w:r w:rsidRPr="000279EF">
        <w:rPr>
          <w:rFonts w:ascii="Arial" w:hAnsi="Arial" w:cs="Arial"/>
        </w:rPr>
        <w:t>Financial or commercial models that do not meet the University’s sustainability or risk requirements</w:t>
      </w:r>
    </w:p>
    <w:p w:rsidRPr="000279EF" w:rsidR="00F12F5F" w:rsidP="00F12F5F" w:rsidRDefault="00F12F5F" w14:paraId="58511740" w14:textId="77777777">
      <w:pPr>
        <w:pStyle w:val="ListParagraph"/>
        <w:numPr>
          <w:ilvl w:val="0"/>
          <w:numId w:val="7"/>
        </w:numPr>
        <w:spacing w:after="0"/>
        <w:rPr>
          <w:rFonts w:ascii="Arial" w:hAnsi="Arial" w:cs="Arial"/>
        </w:rPr>
      </w:pPr>
      <w:r w:rsidRPr="000279EF">
        <w:rPr>
          <w:rFonts w:ascii="Arial" w:hAnsi="Arial" w:cs="Arial"/>
        </w:rPr>
        <w:t>Duplication or conflict with existing University of Greenwich partnerships or strategic priorities</w:t>
      </w:r>
    </w:p>
    <w:p w:rsidRPr="000279EF" w:rsidR="00F12F5F" w:rsidP="00F12F5F" w:rsidRDefault="00F12F5F" w14:paraId="277ACAD2" w14:textId="77777777">
      <w:pPr>
        <w:pStyle w:val="ListParagraph"/>
        <w:numPr>
          <w:ilvl w:val="0"/>
          <w:numId w:val="7"/>
        </w:numPr>
        <w:spacing w:after="0"/>
        <w:rPr>
          <w:rFonts w:ascii="Arial" w:hAnsi="Arial" w:cs="Arial"/>
        </w:rPr>
      </w:pPr>
      <w:r w:rsidRPr="000279EF">
        <w:rPr>
          <w:rFonts w:ascii="Arial" w:hAnsi="Arial" w:cs="Arial"/>
        </w:rPr>
        <w:t>Reputational risk considerations or adverse due diligence findings</w:t>
      </w:r>
    </w:p>
    <w:p w:rsidRPr="000279EF" w:rsidR="00F12F5F" w:rsidP="00F12F5F" w:rsidRDefault="00F12F5F" w14:paraId="2CC39C01" w14:textId="77777777">
      <w:pPr>
        <w:spacing w:after="0"/>
        <w:rPr>
          <w:rFonts w:ascii="Arial" w:hAnsi="Arial" w:cs="Arial"/>
        </w:rPr>
      </w:pPr>
    </w:p>
    <w:p w:rsidRPr="000279EF" w:rsidR="00BE370C" w:rsidP="00F12F5F" w:rsidRDefault="00F12F5F" w14:paraId="52399FE8" w14:textId="62774CC9">
      <w:pPr>
        <w:spacing w:after="0"/>
        <w:rPr>
          <w:rFonts w:ascii="Arial" w:hAnsi="Arial" w:cs="Arial"/>
        </w:rPr>
      </w:pPr>
      <w:r w:rsidRPr="53913CE8" w:rsidR="00F12F5F">
        <w:rPr>
          <w:rFonts w:ascii="Arial" w:hAnsi="Arial" w:cs="Arial"/>
        </w:rPr>
        <w:t xml:space="preserve">The University of Greenwich reserves the right to </w:t>
      </w:r>
      <w:r w:rsidRPr="53913CE8" w:rsidR="00F12F5F">
        <w:rPr>
          <w:rFonts w:ascii="Arial" w:hAnsi="Arial" w:cs="Arial"/>
        </w:rPr>
        <w:t>discontinue</w:t>
      </w:r>
      <w:r w:rsidRPr="53913CE8" w:rsidR="00F12F5F">
        <w:rPr>
          <w:rFonts w:ascii="Arial" w:hAnsi="Arial" w:cs="Arial"/>
        </w:rPr>
        <w:t xml:space="preserve"> consideration of any proposal at its discretion and at any stage of the review process.</w:t>
      </w:r>
      <w:r w:rsidRPr="53913CE8" w:rsidR="1562779F">
        <w:rPr>
          <w:rFonts w:ascii="Arial" w:hAnsi="Arial" w:cs="Arial"/>
        </w:rPr>
        <w:t xml:space="preserve"> </w:t>
      </w:r>
    </w:p>
    <w:sectPr w:rsidRPr="000279EF" w:rsidR="00BE370C" w:rsidSect="000279EF">
      <w:headerReference w:type="default" r:id="rId12"/>
      <w:footerReference w:type="default" r:id="rId13"/>
      <w:pgSz w:w="11906" w:h="16838" w:orient="portrait"/>
      <w:pgMar w:top="1134" w:right="1440" w:bottom="426"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A13" w:rsidP="00DA2B8A" w:rsidRDefault="00410A13" w14:paraId="7B32E412" w14:textId="77777777">
      <w:pPr>
        <w:spacing w:after="0" w:line="240" w:lineRule="auto"/>
      </w:pPr>
      <w:r>
        <w:separator/>
      </w:r>
    </w:p>
  </w:endnote>
  <w:endnote w:type="continuationSeparator" w:id="0">
    <w:p w:rsidR="00410A13" w:rsidP="00DA2B8A" w:rsidRDefault="00410A13" w14:paraId="2A0E415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850270"/>
      <w:docPartObj>
        <w:docPartGallery w:val="Page Numbers (Bottom of Page)"/>
        <w:docPartUnique/>
      </w:docPartObj>
    </w:sdtPr>
    <w:sdtEndPr>
      <w:rPr>
        <w:noProof/>
      </w:rPr>
    </w:sdtEndPr>
    <w:sdtContent>
      <w:p w:rsidR="00DA2B8A" w:rsidRDefault="00DA2B8A" w14:paraId="04ACA428" w14:textId="140050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A2B8A" w:rsidRDefault="00DA2B8A" w14:paraId="32F2D85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A13" w:rsidP="00DA2B8A" w:rsidRDefault="00410A13" w14:paraId="33CF0231" w14:textId="77777777">
      <w:pPr>
        <w:spacing w:after="0" w:line="240" w:lineRule="auto"/>
      </w:pPr>
      <w:r>
        <w:separator/>
      </w:r>
    </w:p>
  </w:footnote>
  <w:footnote w:type="continuationSeparator" w:id="0">
    <w:p w:rsidR="00410A13" w:rsidP="00DA2B8A" w:rsidRDefault="00410A13" w14:paraId="718CFB3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279EF" w:rsidP="000279EF" w:rsidRDefault="000279EF" w14:paraId="0B734686" w14:textId="7B6E684F">
    <w:pPr>
      <w:pStyle w:val="Header"/>
      <w:jc w:val="right"/>
    </w:pPr>
    <w:r>
      <w:rPr>
        <w:noProof/>
      </w:rPr>
      <w:drawing>
        <wp:anchor distT="0" distB="0" distL="114300" distR="114300" simplePos="0" relativeHeight="251658240" behindDoc="0" locked="0" layoutInCell="1" allowOverlap="1" wp14:anchorId="43E426AD" wp14:editId="5A915A37">
          <wp:simplePos x="0" y="0"/>
          <wp:positionH relativeFrom="column">
            <wp:posOffset>4076700</wp:posOffset>
          </wp:positionH>
          <wp:positionV relativeFrom="paragraph">
            <wp:posOffset>-210185</wp:posOffset>
          </wp:positionV>
          <wp:extent cx="1710690" cy="623579"/>
          <wp:effectExtent l="0" t="0" r="0" b="0"/>
          <wp:wrapNone/>
          <wp:docPr id="2081354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690" cy="623579"/>
                  </a:xfrm>
                  <a:prstGeom prst="rect">
                    <a:avLst/>
                  </a:prstGeom>
                  <a:noFill/>
                </pic:spPr>
              </pic:pic>
            </a:graphicData>
          </a:graphic>
          <wp14:sizeRelH relativeFrom="margin">
            <wp14:pctWidth>0</wp14:pctWidth>
          </wp14:sizeRelH>
          <wp14:sizeRelV relativeFrom="margin">
            <wp14:pctHeight>0</wp14:pctHeight>
          </wp14:sizeRelV>
        </wp:anchor>
      </w:drawing>
    </w:r>
  </w:p>
  <w:p w:rsidR="000279EF" w:rsidRDefault="000279EF" w14:paraId="7DF19E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6081"/>
    <w:multiLevelType w:val="hybridMultilevel"/>
    <w:tmpl w:val="C450EE4E"/>
    <w:lvl w:ilvl="0" w:tplc="C8AAD74C">
      <w:start w:val="1"/>
      <w:numFmt w:val="bullet"/>
      <w:lvlText w:val=""/>
      <w:lvlJc w:val="left"/>
      <w:pPr>
        <w:ind w:left="720" w:hanging="360"/>
      </w:pPr>
      <w:rPr>
        <w:rFonts w:hint="default" w:ascii="Symbol" w:hAnsi="Symbol"/>
      </w:rPr>
    </w:lvl>
    <w:lvl w:ilvl="1" w:tplc="FA5C26B6">
      <w:start w:val="1"/>
      <w:numFmt w:val="bullet"/>
      <w:lvlText w:val="o"/>
      <w:lvlJc w:val="left"/>
      <w:pPr>
        <w:ind w:left="1440" w:hanging="360"/>
      </w:pPr>
      <w:rPr>
        <w:rFonts w:hint="default" w:ascii="Courier New" w:hAnsi="Courier New"/>
      </w:rPr>
    </w:lvl>
    <w:lvl w:ilvl="2" w:tplc="763C7B00">
      <w:start w:val="1"/>
      <w:numFmt w:val="bullet"/>
      <w:lvlText w:val=""/>
      <w:lvlJc w:val="left"/>
      <w:pPr>
        <w:ind w:left="2160" w:hanging="360"/>
      </w:pPr>
      <w:rPr>
        <w:rFonts w:hint="default" w:ascii="Wingdings" w:hAnsi="Wingdings"/>
      </w:rPr>
    </w:lvl>
    <w:lvl w:ilvl="3" w:tplc="0AC43D1A">
      <w:start w:val="1"/>
      <w:numFmt w:val="bullet"/>
      <w:lvlText w:val=""/>
      <w:lvlJc w:val="left"/>
      <w:pPr>
        <w:ind w:left="2880" w:hanging="360"/>
      </w:pPr>
      <w:rPr>
        <w:rFonts w:hint="default" w:ascii="Symbol" w:hAnsi="Symbol"/>
      </w:rPr>
    </w:lvl>
    <w:lvl w:ilvl="4" w:tplc="7AF0AB74">
      <w:start w:val="1"/>
      <w:numFmt w:val="bullet"/>
      <w:lvlText w:val="o"/>
      <w:lvlJc w:val="left"/>
      <w:pPr>
        <w:ind w:left="3600" w:hanging="360"/>
      </w:pPr>
      <w:rPr>
        <w:rFonts w:hint="default" w:ascii="Courier New" w:hAnsi="Courier New"/>
      </w:rPr>
    </w:lvl>
    <w:lvl w:ilvl="5" w:tplc="165C4DD0">
      <w:start w:val="1"/>
      <w:numFmt w:val="bullet"/>
      <w:lvlText w:val=""/>
      <w:lvlJc w:val="left"/>
      <w:pPr>
        <w:ind w:left="4320" w:hanging="360"/>
      </w:pPr>
      <w:rPr>
        <w:rFonts w:hint="default" w:ascii="Wingdings" w:hAnsi="Wingdings"/>
      </w:rPr>
    </w:lvl>
    <w:lvl w:ilvl="6" w:tplc="85E8951E">
      <w:start w:val="1"/>
      <w:numFmt w:val="bullet"/>
      <w:lvlText w:val=""/>
      <w:lvlJc w:val="left"/>
      <w:pPr>
        <w:ind w:left="5040" w:hanging="360"/>
      </w:pPr>
      <w:rPr>
        <w:rFonts w:hint="default" w:ascii="Symbol" w:hAnsi="Symbol"/>
      </w:rPr>
    </w:lvl>
    <w:lvl w:ilvl="7" w:tplc="281652C6">
      <w:start w:val="1"/>
      <w:numFmt w:val="bullet"/>
      <w:lvlText w:val="o"/>
      <w:lvlJc w:val="left"/>
      <w:pPr>
        <w:ind w:left="5760" w:hanging="360"/>
      </w:pPr>
      <w:rPr>
        <w:rFonts w:hint="default" w:ascii="Courier New" w:hAnsi="Courier New"/>
      </w:rPr>
    </w:lvl>
    <w:lvl w:ilvl="8" w:tplc="07B62CE4">
      <w:start w:val="1"/>
      <w:numFmt w:val="bullet"/>
      <w:lvlText w:val=""/>
      <w:lvlJc w:val="left"/>
      <w:pPr>
        <w:ind w:left="6480" w:hanging="360"/>
      </w:pPr>
      <w:rPr>
        <w:rFonts w:hint="default" w:ascii="Wingdings" w:hAnsi="Wingdings"/>
      </w:rPr>
    </w:lvl>
  </w:abstractNum>
  <w:abstractNum w:abstractNumId="1" w15:restartNumberingAfterBreak="0">
    <w:nsid w:val="14C46ACA"/>
    <w:multiLevelType w:val="hybridMultilevel"/>
    <w:tmpl w:val="463C022E"/>
    <w:lvl w:ilvl="0" w:tplc="C002B122">
      <w:start w:val="9"/>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22E797A"/>
    <w:multiLevelType w:val="hybridMultilevel"/>
    <w:tmpl w:val="936C28A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30F566AB"/>
    <w:multiLevelType w:val="hybridMultilevel"/>
    <w:tmpl w:val="D13A56FA"/>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50EE00BD"/>
    <w:multiLevelType w:val="hybridMultilevel"/>
    <w:tmpl w:val="E8EE7880"/>
    <w:lvl w:ilvl="0" w:tplc="C002B122">
      <w:start w:val="9"/>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49D28C3"/>
    <w:multiLevelType w:val="hybridMultilevel"/>
    <w:tmpl w:val="D4FED01E"/>
    <w:lvl w:ilvl="0" w:tplc="F4064604">
      <w:start w:val="9"/>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84F616F"/>
    <w:multiLevelType w:val="hybridMultilevel"/>
    <w:tmpl w:val="7618E69C"/>
    <w:lvl w:ilvl="0" w:tplc="F4064604">
      <w:start w:val="9"/>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2038069">
    <w:abstractNumId w:val="0"/>
  </w:num>
  <w:num w:numId="2" w16cid:durableId="1178934005">
    <w:abstractNumId w:val="4"/>
  </w:num>
  <w:num w:numId="3" w16cid:durableId="2011256374">
    <w:abstractNumId w:val="1"/>
  </w:num>
  <w:num w:numId="4" w16cid:durableId="466434423">
    <w:abstractNumId w:val="2"/>
  </w:num>
  <w:num w:numId="5" w16cid:durableId="1758095346">
    <w:abstractNumId w:val="6"/>
  </w:num>
  <w:num w:numId="6" w16cid:durableId="1289314065">
    <w:abstractNumId w:val="5"/>
  </w:num>
  <w:num w:numId="7" w16cid:durableId="1883595845">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0C"/>
    <w:rsid w:val="000279EF"/>
    <w:rsid w:val="00286646"/>
    <w:rsid w:val="00410A13"/>
    <w:rsid w:val="00656D6B"/>
    <w:rsid w:val="00844A64"/>
    <w:rsid w:val="00A74767"/>
    <w:rsid w:val="00BE370C"/>
    <w:rsid w:val="00D609C3"/>
    <w:rsid w:val="00DA2B8A"/>
    <w:rsid w:val="00E9734D"/>
    <w:rsid w:val="00F07E9D"/>
    <w:rsid w:val="00F12F5F"/>
    <w:rsid w:val="00F64D07"/>
    <w:rsid w:val="0109A4FF"/>
    <w:rsid w:val="01FDB922"/>
    <w:rsid w:val="0381CBF6"/>
    <w:rsid w:val="0622D4E9"/>
    <w:rsid w:val="07198A26"/>
    <w:rsid w:val="0C1AD05C"/>
    <w:rsid w:val="0D36A6A5"/>
    <w:rsid w:val="0D9D801A"/>
    <w:rsid w:val="0EDECB31"/>
    <w:rsid w:val="11926652"/>
    <w:rsid w:val="12560A9F"/>
    <w:rsid w:val="15321FD5"/>
    <w:rsid w:val="1562779F"/>
    <w:rsid w:val="161E9431"/>
    <w:rsid w:val="16B4238D"/>
    <w:rsid w:val="1C39BDE8"/>
    <w:rsid w:val="1FF004BE"/>
    <w:rsid w:val="2040EC2E"/>
    <w:rsid w:val="204A0CAD"/>
    <w:rsid w:val="2312FBCF"/>
    <w:rsid w:val="25292EAC"/>
    <w:rsid w:val="2BDA80E0"/>
    <w:rsid w:val="2BE47127"/>
    <w:rsid w:val="2CC074A9"/>
    <w:rsid w:val="2EB70222"/>
    <w:rsid w:val="2F41A267"/>
    <w:rsid w:val="30F1ED4F"/>
    <w:rsid w:val="33476325"/>
    <w:rsid w:val="35DF3CA7"/>
    <w:rsid w:val="3643CFDE"/>
    <w:rsid w:val="392C0B59"/>
    <w:rsid w:val="39CCE344"/>
    <w:rsid w:val="39FE80FA"/>
    <w:rsid w:val="3BBAEC2A"/>
    <w:rsid w:val="3BBDF401"/>
    <w:rsid w:val="3D3251F4"/>
    <w:rsid w:val="3E4D5BCE"/>
    <w:rsid w:val="41133A20"/>
    <w:rsid w:val="424B43EA"/>
    <w:rsid w:val="44E22F8E"/>
    <w:rsid w:val="453C5BB5"/>
    <w:rsid w:val="456AF855"/>
    <w:rsid w:val="45F99F9C"/>
    <w:rsid w:val="460A2936"/>
    <w:rsid w:val="478E19CF"/>
    <w:rsid w:val="4A467F2C"/>
    <w:rsid w:val="4E587FAC"/>
    <w:rsid w:val="4F82E3DD"/>
    <w:rsid w:val="4FF5B718"/>
    <w:rsid w:val="520E5EF1"/>
    <w:rsid w:val="52896C5F"/>
    <w:rsid w:val="53913CE8"/>
    <w:rsid w:val="539FE453"/>
    <w:rsid w:val="553BF50C"/>
    <w:rsid w:val="57AEF4EB"/>
    <w:rsid w:val="5B3C1A28"/>
    <w:rsid w:val="5DCAD634"/>
    <w:rsid w:val="6573899E"/>
    <w:rsid w:val="66800E1D"/>
    <w:rsid w:val="6710BBF6"/>
    <w:rsid w:val="675FC3CC"/>
    <w:rsid w:val="697228AD"/>
    <w:rsid w:val="69D9A074"/>
    <w:rsid w:val="6A0005D4"/>
    <w:rsid w:val="6DAF4DB6"/>
    <w:rsid w:val="6E4BE580"/>
    <w:rsid w:val="721D035A"/>
    <w:rsid w:val="73040A27"/>
    <w:rsid w:val="73DDE864"/>
    <w:rsid w:val="7418C6ED"/>
    <w:rsid w:val="753F41D7"/>
    <w:rsid w:val="75F82A06"/>
    <w:rsid w:val="797C1060"/>
    <w:rsid w:val="79A8734C"/>
    <w:rsid w:val="7A062F2B"/>
    <w:rsid w:val="7C544397"/>
    <w:rsid w:val="7E5154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57A063"/>
  <w15:chartTrackingRefBased/>
  <w15:docId w15:val="{CA8CADE9-29A8-4F1F-BFD8-CC09B322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370C"/>
  </w:style>
  <w:style w:type="paragraph" w:styleId="Heading1">
    <w:name w:val="heading 1"/>
    <w:basedOn w:val="Normal"/>
    <w:next w:val="Normal"/>
    <w:link w:val="Heading1Char"/>
    <w:uiPriority w:val="9"/>
    <w:qFormat/>
    <w:rsid w:val="00BE370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70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7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7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7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70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E370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E370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E370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E370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E370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E370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E370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E370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E370C"/>
    <w:rPr>
      <w:rFonts w:eastAsiaTheme="majorEastAsia" w:cstheme="majorBidi"/>
      <w:color w:val="272727" w:themeColor="text1" w:themeTint="D8"/>
    </w:rPr>
  </w:style>
  <w:style w:type="paragraph" w:styleId="Title">
    <w:name w:val="Title"/>
    <w:basedOn w:val="Normal"/>
    <w:next w:val="Normal"/>
    <w:link w:val="TitleChar"/>
    <w:uiPriority w:val="10"/>
    <w:qFormat/>
    <w:rsid w:val="00BE370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E370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E370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E3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70C"/>
    <w:pPr>
      <w:spacing w:before="160"/>
      <w:jc w:val="center"/>
    </w:pPr>
    <w:rPr>
      <w:i/>
      <w:iCs/>
      <w:color w:val="404040" w:themeColor="text1" w:themeTint="BF"/>
    </w:rPr>
  </w:style>
  <w:style w:type="character" w:styleId="QuoteChar" w:customStyle="1">
    <w:name w:val="Quote Char"/>
    <w:basedOn w:val="DefaultParagraphFont"/>
    <w:link w:val="Quote"/>
    <w:uiPriority w:val="29"/>
    <w:rsid w:val="00BE370C"/>
    <w:rPr>
      <w:i/>
      <w:iCs/>
      <w:color w:val="404040" w:themeColor="text1" w:themeTint="BF"/>
    </w:rPr>
  </w:style>
  <w:style w:type="paragraph" w:styleId="ListParagraph">
    <w:name w:val="List Paragraph"/>
    <w:basedOn w:val="Normal"/>
    <w:uiPriority w:val="34"/>
    <w:qFormat/>
    <w:rsid w:val="00BE370C"/>
    <w:pPr>
      <w:ind w:left="720"/>
      <w:contextualSpacing/>
    </w:pPr>
  </w:style>
  <w:style w:type="character" w:styleId="IntenseEmphasis">
    <w:name w:val="Intense Emphasis"/>
    <w:basedOn w:val="DefaultParagraphFont"/>
    <w:uiPriority w:val="21"/>
    <w:qFormat/>
    <w:rsid w:val="00BE370C"/>
    <w:rPr>
      <w:i/>
      <w:iCs/>
      <w:color w:val="0F4761" w:themeColor="accent1" w:themeShade="BF"/>
    </w:rPr>
  </w:style>
  <w:style w:type="paragraph" w:styleId="IntenseQuote">
    <w:name w:val="Intense Quote"/>
    <w:basedOn w:val="Normal"/>
    <w:next w:val="Normal"/>
    <w:link w:val="IntenseQuoteChar"/>
    <w:uiPriority w:val="30"/>
    <w:qFormat/>
    <w:rsid w:val="00BE370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E370C"/>
    <w:rPr>
      <w:i/>
      <w:iCs/>
      <w:color w:val="0F4761" w:themeColor="accent1" w:themeShade="BF"/>
    </w:rPr>
  </w:style>
  <w:style w:type="character" w:styleId="IntenseReference">
    <w:name w:val="Intense Reference"/>
    <w:basedOn w:val="DefaultParagraphFont"/>
    <w:uiPriority w:val="32"/>
    <w:qFormat/>
    <w:rsid w:val="00BE370C"/>
    <w:rPr>
      <w:b/>
      <w:bCs/>
      <w:smallCaps/>
      <w:color w:val="0F4761" w:themeColor="accent1" w:themeShade="BF"/>
      <w:spacing w:val="5"/>
    </w:rPr>
  </w:style>
  <w:style w:type="table" w:styleId="TableGrid">
    <w:name w:val="Table Grid"/>
    <w:basedOn w:val="TableNormal"/>
    <w:uiPriority w:val="39"/>
    <w:rsid w:val="00BE37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E370C"/>
    <w:rPr>
      <w:color w:val="467886" w:themeColor="hyperlink"/>
      <w:u w:val="single"/>
    </w:rPr>
  </w:style>
  <w:style w:type="character" w:styleId="UnresolvedMention">
    <w:name w:val="Unresolved Mention"/>
    <w:basedOn w:val="DefaultParagraphFont"/>
    <w:uiPriority w:val="99"/>
    <w:semiHidden/>
    <w:unhideWhenUsed/>
    <w:rsid w:val="00BE370C"/>
    <w:rPr>
      <w:color w:val="605E5C"/>
      <w:shd w:val="clear" w:color="auto" w:fill="E1DFDD"/>
    </w:rPr>
  </w:style>
  <w:style w:type="paragraph" w:styleId="Header">
    <w:name w:val="header"/>
    <w:basedOn w:val="Normal"/>
    <w:link w:val="HeaderChar"/>
    <w:uiPriority w:val="99"/>
    <w:unhideWhenUsed/>
    <w:rsid w:val="00DA2B8A"/>
    <w:pPr>
      <w:tabs>
        <w:tab w:val="center" w:pos="4513"/>
        <w:tab w:val="right" w:pos="9026"/>
      </w:tabs>
      <w:spacing w:after="0" w:line="240" w:lineRule="auto"/>
    </w:pPr>
  </w:style>
  <w:style w:type="character" w:styleId="HeaderChar" w:customStyle="1">
    <w:name w:val="Header Char"/>
    <w:basedOn w:val="DefaultParagraphFont"/>
    <w:link w:val="Header"/>
    <w:uiPriority w:val="99"/>
    <w:rsid w:val="00DA2B8A"/>
  </w:style>
  <w:style w:type="paragraph" w:styleId="Footer">
    <w:name w:val="footer"/>
    <w:basedOn w:val="Normal"/>
    <w:link w:val="FooterChar"/>
    <w:uiPriority w:val="99"/>
    <w:unhideWhenUsed/>
    <w:rsid w:val="00DA2B8A"/>
    <w:pPr>
      <w:tabs>
        <w:tab w:val="center" w:pos="4513"/>
        <w:tab w:val="right" w:pos="9026"/>
      </w:tabs>
      <w:spacing w:after="0" w:line="240" w:lineRule="auto"/>
    </w:pPr>
  </w:style>
  <w:style w:type="character" w:styleId="FooterChar" w:customStyle="1">
    <w:name w:val="Footer Char"/>
    <w:basedOn w:val="DefaultParagraphFont"/>
    <w:link w:val="Footer"/>
    <w:uiPriority w:val="99"/>
    <w:rsid w:val="00DA2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PO@greenwich.ac.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www.gre.ac.uk/collaborations/prospectiv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11/relationships/people" Target="people.xml" Id="Rd46ddf002c974c8c" /><Relationship Type="http://schemas.microsoft.com/office/2011/relationships/commentsExtended" Target="commentsExtended.xml" Id="Rbec8ad79f2ca4cfa" /><Relationship Type="http://schemas.microsoft.com/office/2016/09/relationships/commentsIds" Target="commentsIds.xml" Id="R4bfc515a2f5b417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6b216a-2db0-4252-91f5-700dccfccd1f">
      <Terms xmlns="http://schemas.microsoft.com/office/infopath/2007/PartnerControls"/>
    </lcf76f155ced4ddcb4097134ff3c332f>
    <TaxCatchAll xmlns="19e93ef9-ebe9-46d2-899e-1421b60882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1AB7638E9E6F4B802CC65B56C3CF36" ma:contentTypeVersion="16" ma:contentTypeDescription="Create a new document." ma:contentTypeScope="" ma:versionID="f5568e80daa4de83858ee9f744b8da56">
  <xsd:schema xmlns:xsd="http://www.w3.org/2001/XMLSchema" xmlns:xs="http://www.w3.org/2001/XMLSchema" xmlns:p="http://schemas.microsoft.com/office/2006/metadata/properties" xmlns:ns2="df6b216a-2db0-4252-91f5-700dccfccd1f" xmlns:ns3="19e93ef9-ebe9-46d2-899e-1421b60882a2" targetNamespace="http://schemas.microsoft.com/office/2006/metadata/properties" ma:root="true" ma:fieldsID="08146c9dfd7da9e67a527de6d907fae3" ns2:_="" ns3:_="">
    <xsd:import namespace="df6b216a-2db0-4252-91f5-700dccfccd1f"/>
    <xsd:import namespace="19e93ef9-ebe9-46d2-899e-1421b60882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16a-2db0-4252-91f5-700dccfcc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93ef9-ebe9-46d2-899e-1421b60882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baa7126-e1d0-4121-ae14-ccbf22fdeb3d}" ma:internalName="TaxCatchAll" ma:showField="CatchAllData" ma:web="19e93ef9-ebe9-46d2-899e-1421b60882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B1746-811C-4884-A08A-9A246A9FF6D4}">
  <ds:schemaRefs>
    <ds:schemaRef ds:uri="http://schemas.microsoft.com/office/2006/metadata/properties"/>
    <ds:schemaRef ds:uri="http://schemas.microsoft.com/office/infopath/2007/PartnerControls"/>
    <ds:schemaRef ds:uri="df6b216a-2db0-4252-91f5-700dccfccd1f"/>
    <ds:schemaRef ds:uri="19e93ef9-ebe9-46d2-899e-1421b60882a2"/>
  </ds:schemaRefs>
</ds:datastoreItem>
</file>

<file path=customXml/itemProps2.xml><?xml version="1.0" encoding="utf-8"?>
<ds:datastoreItem xmlns:ds="http://schemas.openxmlformats.org/officeDocument/2006/customXml" ds:itemID="{ACA48A25-D20A-4B14-8C62-103F174B2FA5}">
  <ds:schemaRefs>
    <ds:schemaRef ds:uri="http://schemas.microsoft.com/sharepoint/v3/contenttype/forms"/>
  </ds:schemaRefs>
</ds:datastoreItem>
</file>

<file path=customXml/itemProps3.xml><?xml version="1.0" encoding="utf-8"?>
<ds:datastoreItem xmlns:ds="http://schemas.openxmlformats.org/officeDocument/2006/customXml" ds:itemID="{B47796CD-677D-42CA-A435-021AF0C18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16a-2db0-4252-91f5-700dccfccd1f"/>
    <ds:schemaRef ds:uri="19e93ef9-ebe9-46d2-899e-1421b6088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O'Hara</dc:creator>
  <keywords/>
  <dc:description/>
  <lastModifiedBy>Marie Glynn</lastModifiedBy>
  <revision>5</revision>
  <dcterms:created xsi:type="dcterms:W3CDTF">2026-01-21T09:34:00.0000000Z</dcterms:created>
  <dcterms:modified xsi:type="dcterms:W3CDTF">2026-01-27T10:21:42.9482286Z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0x010100C91AB7638E9E6F4B802CC65B56C3CF36</vt:lpwstr>
  </property>
  <property fmtid="{D5CDD505-2E9C-101B-9397-08002B2CF9AE}" pid="3" name="MediaServiceImageTags">
    <vt:lpwstr/>
  </property>
</Properties>
</file>